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0AC685">
      <w:pPr>
        <w:spacing w:line="900" w:lineRule="exact"/>
        <w:jc w:val="center"/>
        <w:rPr>
          <w:rFonts w:hint="eastAsia" w:ascii="方正小标宋简体" w:hAnsi="方正小标宋_GBK" w:eastAsia="方正小标宋简体" w:cs="方正小标宋_GBK"/>
          <w:bCs/>
          <w:color w:val="auto"/>
          <w:sz w:val="52"/>
          <w:szCs w:val="52"/>
          <w:highlight w:val="none"/>
        </w:rPr>
      </w:pPr>
      <w:r>
        <w:rPr>
          <w:rFonts w:hint="eastAsia" w:ascii="方正小标宋简体" w:hAnsi="方正小标宋_GBK" w:eastAsia="方正小标宋简体" w:cs="方正小标宋_GBK"/>
          <w:bCs/>
          <w:color w:val="auto"/>
          <w:sz w:val="52"/>
          <w:szCs w:val="52"/>
          <w:highlight w:val="none"/>
        </w:rPr>
        <w:t>浙江省房屋建筑和市政基础设施工程总承包招标文件示范文本</w:t>
      </w:r>
    </w:p>
    <w:p w14:paraId="7E6EE6A1">
      <w:pPr>
        <w:spacing w:line="900" w:lineRule="exact"/>
        <w:jc w:val="center"/>
        <w:rPr>
          <w:rFonts w:hint="eastAsia" w:ascii="方正小标宋简体" w:hAnsi="方正小标宋_GBK" w:eastAsia="方正小标宋简体" w:cs="方正小标宋_GBK"/>
          <w:bCs/>
          <w:color w:val="auto"/>
          <w:sz w:val="52"/>
          <w:szCs w:val="52"/>
          <w:highlight w:val="none"/>
        </w:rPr>
      </w:pPr>
      <w:r>
        <w:rPr>
          <w:rFonts w:hint="eastAsia" w:ascii="方正小标宋简体" w:hAnsi="方正小标宋_GBK" w:eastAsia="方正小标宋简体" w:cs="方正小标宋_GBK"/>
          <w:bCs/>
          <w:color w:val="auto"/>
          <w:sz w:val="52"/>
          <w:szCs w:val="52"/>
          <w:highlight w:val="none"/>
        </w:rPr>
        <w:t>（2023版）-20241101</w:t>
      </w:r>
    </w:p>
    <w:p w14:paraId="7F92BAAD">
      <w:pPr>
        <w:jc w:val="center"/>
        <w:rPr>
          <w:b/>
          <w:color w:val="auto"/>
          <w:sz w:val="48"/>
          <w:szCs w:val="48"/>
          <w:highlight w:val="none"/>
        </w:rPr>
      </w:pPr>
    </w:p>
    <w:p w14:paraId="3B10795B">
      <w:pPr>
        <w:jc w:val="center"/>
        <w:rPr>
          <w:b/>
          <w:color w:val="auto"/>
          <w:sz w:val="48"/>
          <w:szCs w:val="48"/>
          <w:highlight w:val="none"/>
        </w:rPr>
      </w:pPr>
    </w:p>
    <w:p w14:paraId="020C714D">
      <w:pPr>
        <w:jc w:val="center"/>
        <w:rPr>
          <w:b/>
          <w:color w:val="auto"/>
          <w:sz w:val="48"/>
          <w:szCs w:val="48"/>
          <w:highlight w:val="none"/>
        </w:rPr>
      </w:pPr>
    </w:p>
    <w:p w14:paraId="32635743">
      <w:pPr>
        <w:jc w:val="center"/>
        <w:rPr>
          <w:b/>
          <w:color w:val="auto"/>
          <w:sz w:val="48"/>
          <w:szCs w:val="48"/>
          <w:highlight w:val="none"/>
        </w:rPr>
      </w:pPr>
    </w:p>
    <w:p w14:paraId="28177957">
      <w:pPr>
        <w:jc w:val="center"/>
        <w:rPr>
          <w:b/>
          <w:color w:val="auto"/>
          <w:sz w:val="48"/>
          <w:szCs w:val="48"/>
          <w:highlight w:val="none"/>
        </w:rPr>
      </w:pPr>
    </w:p>
    <w:p w14:paraId="2796BA7A">
      <w:pPr>
        <w:jc w:val="center"/>
        <w:rPr>
          <w:b/>
          <w:color w:val="auto"/>
          <w:sz w:val="48"/>
          <w:szCs w:val="48"/>
          <w:highlight w:val="none"/>
        </w:rPr>
      </w:pPr>
    </w:p>
    <w:p w14:paraId="5C7C92D1">
      <w:pPr>
        <w:jc w:val="center"/>
        <w:rPr>
          <w:b/>
          <w:color w:val="auto"/>
          <w:sz w:val="48"/>
          <w:szCs w:val="48"/>
          <w:highlight w:val="none"/>
        </w:rPr>
      </w:pPr>
    </w:p>
    <w:p w14:paraId="3219341E">
      <w:pPr>
        <w:jc w:val="center"/>
        <w:rPr>
          <w:b/>
          <w:color w:val="auto"/>
          <w:sz w:val="48"/>
          <w:szCs w:val="48"/>
          <w:highlight w:val="none"/>
        </w:rPr>
      </w:pPr>
    </w:p>
    <w:p w14:paraId="0BF134B9">
      <w:pPr>
        <w:spacing w:line="660" w:lineRule="exact"/>
        <w:jc w:val="center"/>
        <w:rPr>
          <w:b/>
          <w:color w:val="auto"/>
          <w:sz w:val="48"/>
          <w:szCs w:val="48"/>
          <w:highlight w:val="none"/>
        </w:rPr>
      </w:pPr>
    </w:p>
    <w:p w14:paraId="3F805E2C">
      <w:pPr>
        <w:rPr>
          <w:color w:val="auto"/>
          <w:highlight w:val="none"/>
        </w:rPr>
      </w:pPr>
    </w:p>
    <w:p w14:paraId="3AA983F8">
      <w:pPr>
        <w:pStyle w:val="17"/>
        <w:rPr>
          <w:rFonts w:hint="eastAsia"/>
          <w:color w:val="auto"/>
          <w:highlight w:val="none"/>
        </w:rPr>
      </w:pPr>
    </w:p>
    <w:p w14:paraId="14388D99">
      <w:pPr>
        <w:rPr>
          <w:color w:val="auto"/>
          <w:highlight w:val="none"/>
        </w:rPr>
      </w:pPr>
    </w:p>
    <w:p w14:paraId="589CEB84">
      <w:pPr>
        <w:rPr>
          <w:color w:val="auto"/>
          <w:highlight w:val="none"/>
        </w:rPr>
      </w:pPr>
    </w:p>
    <w:p w14:paraId="170404FE">
      <w:pPr>
        <w:rPr>
          <w:color w:val="auto"/>
          <w:highlight w:val="none"/>
        </w:rPr>
      </w:pPr>
    </w:p>
    <w:p w14:paraId="1040362E">
      <w:pPr>
        <w:pStyle w:val="17"/>
        <w:spacing w:line="660" w:lineRule="exact"/>
        <w:rPr>
          <w:rFonts w:hint="eastAsia"/>
          <w:color w:val="auto"/>
          <w:highlight w:val="none"/>
        </w:rPr>
      </w:pPr>
    </w:p>
    <w:p w14:paraId="0A6B3524">
      <w:pPr>
        <w:spacing w:line="640" w:lineRule="exact"/>
        <w:jc w:val="center"/>
        <w:rPr>
          <w:rFonts w:hint="eastAsia" w:ascii="楷体_GB2312" w:hAnsi="楷体_GB2312" w:eastAsia="楷体_GB2312" w:cs="楷体_GB2312"/>
          <w:bCs/>
          <w:color w:val="auto"/>
          <w:sz w:val="36"/>
          <w:szCs w:val="36"/>
          <w:highlight w:val="none"/>
        </w:rPr>
      </w:pPr>
      <w:r>
        <w:rPr>
          <w:rFonts w:hint="eastAsia" w:ascii="楷体_GB2312" w:hAnsi="楷体_GB2312" w:eastAsia="楷体_GB2312" w:cs="楷体_GB2312"/>
          <w:bCs/>
          <w:color w:val="auto"/>
          <w:sz w:val="36"/>
          <w:szCs w:val="36"/>
          <w:highlight w:val="none"/>
        </w:rPr>
        <w:t>浙江省住房和城乡建设厅</w:t>
      </w:r>
    </w:p>
    <w:p w14:paraId="4DE262EB">
      <w:pPr>
        <w:spacing w:line="640" w:lineRule="exact"/>
        <w:jc w:val="center"/>
        <w:rPr>
          <w:rFonts w:hint="eastAsia" w:ascii="楷体_GB2312" w:hAnsi="楷体_GB2312" w:eastAsia="楷体_GB2312" w:cs="楷体_GB2312"/>
          <w:bCs/>
          <w:color w:val="auto"/>
          <w:sz w:val="36"/>
          <w:szCs w:val="36"/>
          <w:highlight w:val="none"/>
        </w:rPr>
      </w:pPr>
      <w:r>
        <w:rPr>
          <w:rFonts w:hint="eastAsia" w:ascii="楷体_GB2312" w:hAnsi="楷体_GB2312" w:eastAsia="楷体_GB2312" w:cs="楷体_GB2312"/>
          <w:bCs/>
          <w:color w:val="auto"/>
          <w:sz w:val="36"/>
          <w:szCs w:val="36"/>
          <w:highlight w:val="none"/>
        </w:rPr>
        <w:t>浙江省发展和改革委员会</w:t>
      </w:r>
    </w:p>
    <w:p w14:paraId="00F9BE19">
      <w:pPr>
        <w:spacing w:line="640" w:lineRule="exact"/>
        <w:jc w:val="center"/>
        <w:rPr>
          <w:rFonts w:hint="eastAsia" w:ascii="楷体_GB2312" w:hAnsi="楷体_GB2312" w:eastAsia="楷体_GB2312" w:cs="楷体_GB2312"/>
          <w:bCs/>
          <w:color w:val="auto"/>
          <w:sz w:val="36"/>
          <w:szCs w:val="36"/>
          <w:highlight w:val="none"/>
        </w:rPr>
      </w:pPr>
    </w:p>
    <w:p w14:paraId="07FE67B4">
      <w:pPr>
        <w:spacing w:line="640" w:lineRule="exact"/>
        <w:jc w:val="center"/>
        <w:rPr>
          <w:rFonts w:ascii="Times New Roman" w:hAnsi="Times New Roman" w:eastAsia="楷体_GB2312"/>
          <w:bCs/>
          <w:color w:val="auto"/>
          <w:sz w:val="36"/>
          <w:szCs w:val="36"/>
          <w:highlight w:val="none"/>
        </w:rPr>
      </w:pPr>
      <w:r>
        <w:rPr>
          <w:rFonts w:ascii="Times New Roman" w:hAnsi="Times New Roman" w:eastAsia="楷体_GB2312"/>
          <w:bCs/>
          <w:color w:val="auto"/>
          <w:sz w:val="36"/>
          <w:szCs w:val="36"/>
          <w:highlight w:val="none"/>
        </w:rPr>
        <w:t>二O二三年十二月</w:t>
      </w:r>
      <w:bookmarkStart w:id="0" w:name="_Toc45697217"/>
    </w:p>
    <w:p w14:paraId="45DD14B8">
      <w:pPr>
        <w:pStyle w:val="17"/>
        <w:rPr>
          <w:rFonts w:hint="eastAsia"/>
          <w:color w:val="auto"/>
          <w:highlight w:val="none"/>
        </w:rPr>
      </w:pPr>
    </w:p>
    <w:p w14:paraId="4D70C241">
      <w:pPr>
        <w:pStyle w:val="17"/>
        <w:rPr>
          <w:rFonts w:hint="eastAsia"/>
          <w:color w:val="auto"/>
          <w:highlight w:val="none"/>
        </w:rPr>
      </w:pPr>
    </w:p>
    <w:bookmarkEnd w:id="0"/>
    <w:p w14:paraId="79D90CE1">
      <w:pPr>
        <w:pStyle w:val="35"/>
        <w:tabs>
          <w:tab w:val="left" w:pos="3839"/>
        </w:tabs>
        <w:adjustRightInd/>
        <w:ind w:firstLine="0" w:firstLineChars="0"/>
        <w:jc w:val="center"/>
        <w:rPr>
          <w:color w:val="auto"/>
          <w:sz w:val="36"/>
          <w:szCs w:val="36"/>
          <w:highlight w:val="none"/>
          <w:u w:val="single"/>
        </w:rPr>
      </w:pPr>
    </w:p>
    <w:p w14:paraId="16D008B4">
      <w:pPr>
        <w:pStyle w:val="9"/>
        <w:adjustRightInd/>
        <w:jc w:val="center"/>
        <w:rPr>
          <w:color w:val="auto"/>
          <w:sz w:val="23"/>
          <w:szCs w:val="23"/>
          <w:highlight w:val="none"/>
        </w:rPr>
      </w:pPr>
      <w:r>
        <w:rPr>
          <w:rFonts w:hint="eastAsia"/>
          <w:color w:val="auto"/>
          <w:sz w:val="36"/>
          <w:szCs w:val="36"/>
          <w:highlight w:val="none"/>
          <w:u w:val="single"/>
        </w:rPr>
        <w:t>越润集成电路（绍兴）有限公司下一代异构集成先进封装技术及DDIC项目工程总承包</w:t>
      </w:r>
    </w:p>
    <w:p w14:paraId="45EAA9B2">
      <w:pPr>
        <w:pStyle w:val="9"/>
        <w:tabs>
          <w:tab w:val="left" w:pos="5834"/>
        </w:tabs>
        <w:adjustRightInd/>
        <w:jc w:val="center"/>
        <w:rPr>
          <w:color w:val="auto"/>
          <w:spacing w:val="-1"/>
          <w:sz w:val="28"/>
          <w:szCs w:val="28"/>
          <w:highlight w:val="none"/>
        </w:rPr>
      </w:pPr>
    </w:p>
    <w:p w14:paraId="567CF65E">
      <w:pPr>
        <w:pStyle w:val="9"/>
        <w:tabs>
          <w:tab w:val="left" w:pos="5834"/>
        </w:tabs>
        <w:adjustRightInd/>
        <w:jc w:val="center"/>
        <w:rPr>
          <w:color w:val="auto"/>
          <w:sz w:val="28"/>
          <w:szCs w:val="28"/>
          <w:highlight w:val="none"/>
        </w:rPr>
      </w:pPr>
      <w:r>
        <w:rPr>
          <w:rFonts w:hint="eastAsia"/>
          <w:color w:val="auto"/>
          <w:spacing w:val="-1"/>
          <w:sz w:val="28"/>
          <w:szCs w:val="28"/>
          <w:highlight w:val="none"/>
        </w:rPr>
        <w:t>（招标编号：</w:t>
      </w:r>
      <w:r>
        <w:rPr>
          <w:rFonts w:hint="eastAsia"/>
          <w:color w:val="auto"/>
          <w:sz w:val="28"/>
          <w:szCs w:val="28"/>
          <w:highlight w:val="none"/>
        </w:rPr>
        <w:t>）</w:t>
      </w:r>
    </w:p>
    <w:p w14:paraId="130452C9">
      <w:pPr>
        <w:pStyle w:val="9"/>
        <w:adjustRightInd/>
        <w:jc w:val="center"/>
        <w:rPr>
          <w:color w:val="auto"/>
          <w:sz w:val="20"/>
          <w:szCs w:val="20"/>
          <w:highlight w:val="none"/>
        </w:rPr>
      </w:pPr>
    </w:p>
    <w:p w14:paraId="27E8AC4F">
      <w:pPr>
        <w:pStyle w:val="9"/>
        <w:adjustRightInd/>
        <w:jc w:val="center"/>
        <w:rPr>
          <w:color w:val="auto"/>
          <w:sz w:val="20"/>
          <w:szCs w:val="20"/>
          <w:highlight w:val="none"/>
        </w:rPr>
      </w:pPr>
    </w:p>
    <w:p w14:paraId="24270A86">
      <w:pPr>
        <w:pStyle w:val="9"/>
        <w:adjustRightInd/>
        <w:jc w:val="center"/>
        <w:rPr>
          <w:color w:val="auto"/>
          <w:sz w:val="20"/>
          <w:szCs w:val="20"/>
          <w:highlight w:val="none"/>
        </w:rPr>
      </w:pPr>
    </w:p>
    <w:p w14:paraId="08CB7686">
      <w:pPr>
        <w:pStyle w:val="9"/>
        <w:adjustRightInd/>
        <w:jc w:val="center"/>
        <w:rPr>
          <w:color w:val="auto"/>
          <w:sz w:val="20"/>
          <w:szCs w:val="20"/>
          <w:highlight w:val="none"/>
        </w:rPr>
      </w:pPr>
    </w:p>
    <w:p w14:paraId="008E9CDE">
      <w:pPr>
        <w:pStyle w:val="9"/>
        <w:adjustRightInd/>
        <w:jc w:val="center"/>
        <w:rPr>
          <w:color w:val="auto"/>
          <w:sz w:val="20"/>
          <w:szCs w:val="20"/>
          <w:highlight w:val="none"/>
        </w:rPr>
      </w:pPr>
    </w:p>
    <w:p w14:paraId="7A24AE3C">
      <w:pPr>
        <w:pStyle w:val="9"/>
        <w:adjustRightInd/>
        <w:jc w:val="center"/>
        <w:rPr>
          <w:color w:val="auto"/>
          <w:sz w:val="20"/>
          <w:szCs w:val="20"/>
          <w:highlight w:val="none"/>
        </w:rPr>
      </w:pPr>
    </w:p>
    <w:p w14:paraId="6C3D3FD6">
      <w:pPr>
        <w:pStyle w:val="9"/>
        <w:adjustRightInd/>
        <w:jc w:val="center"/>
        <w:rPr>
          <w:color w:val="auto"/>
          <w:sz w:val="44"/>
          <w:szCs w:val="44"/>
          <w:highlight w:val="none"/>
        </w:rPr>
      </w:pPr>
      <w:r>
        <w:rPr>
          <w:rFonts w:hint="eastAsia"/>
          <w:color w:val="auto"/>
          <w:sz w:val="44"/>
          <w:szCs w:val="44"/>
          <w:highlight w:val="none"/>
        </w:rPr>
        <w:t>招标文件</w:t>
      </w:r>
    </w:p>
    <w:p w14:paraId="04C6ECDB">
      <w:pPr>
        <w:pStyle w:val="9"/>
        <w:adjustRightInd/>
        <w:jc w:val="center"/>
        <w:rPr>
          <w:color w:val="auto"/>
          <w:sz w:val="44"/>
          <w:szCs w:val="44"/>
          <w:highlight w:val="none"/>
        </w:rPr>
      </w:pPr>
      <w:r>
        <w:rPr>
          <w:rFonts w:hint="eastAsia"/>
          <w:color w:val="auto"/>
          <w:sz w:val="44"/>
          <w:szCs w:val="44"/>
          <w:highlight w:val="none"/>
        </w:rPr>
        <w:t>（</w:t>
      </w:r>
      <w:r>
        <w:rPr>
          <w:rFonts w:hint="eastAsia" w:hAnsi="宋体"/>
          <w:color w:val="auto"/>
          <w:sz w:val="44"/>
          <w:szCs w:val="44"/>
          <w:highlight w:val="none"/>
        </w:rPr>
        <w:t>☑</w:t>
      </w:r>
      <w:r>
        <w:rPr>
          <w:rFonts w:hint="eastAsia"/>
          <w:color w:val="auto"/>
          <w:sz w:val="44"/>
          <w:szCs w:val="44"/>
          <w:highlight w:val="none"/>
        </w:rPr>
        <w:t>公开招标</w:t>
      </w:r>
      <w:r>
        <w:rPr>
          <w:rFonts w:hint="eastAsia" w:hAnsi="宋体"/>
          <w:color w:val="auto"/>
          <w:sz w:val="44"/>
          <w:szCs w:val="44"/>
          <w:highlight w:val="none"/>
        </w:rPr>
        <w:t>□</w:t>
      </w:r>
      <w:r>
        <w:rPr>
          <w:rFonts w:hint="eastAsia"/>
          <w:color w:val="auto"/>
          <w:sz w:val="44"/>
          <w:szCs w:val="44"/>
          <w:highlight w:val="none"/>
        </w:rPr>
        <w:t>邀请招标）</w:t>
      </w:r>
    </w:p>
    <w:p w14:paraId="5E7947A0">
      <w:pPr>
        <w:pStyle w:val="9"/>
        <w:adjustRightInd/>
        <w:jc w:val="center"/>
        <w:rPr>
          <w:color w:val="auto"/>
          <w:sz w:val="44"/>
          <w:szCs w:val="44"/>
          <w:highlight w:val="none"/>
        </w:rPr>
      </w:pPr>
    </w:p>
    <w:p w14:paraId="6DBDBC8F">
      <w:pPr>
        <w:pStyle w:val="9"/>
        <w:adjustRightInd/>
        <w:jc w:val="center"/>
        <w:rPr>
          <w:color w:val="auto"/>
          <w:sz w:val="44"/>
          <w:szCs w:val="44"/>
          <w:highlight w:val="none"/>
        </w:rPr>
      </w:pPr>
    </w:p>
    <w:p w14:paraId="22F7A852">
      <w:pPr>
        <w:pStyle w:val="9"/>
        <w:adjustRightInd/>
        <w:jc w:val="center"/>
        <w:rPr>
          <w:color w:val="auto"/>
          <w:sz w:val="44"/>
          <w:szCs w:val="44"/>
          <w:highlight w:val="none"/>
        </w:rPr>
      </w:pPr>
    </w:p>
    <w:p w14:paraId="12011AB3">
      <w:pPr>
        <w:pStyle w:val="9"/>
        <w:adjustRightInd/>
        <w:jc w:val="both"/>
        <w:rPr>
          <w:color w:val="auto"/>
          <w:sz w:val="44"/>
          <w:szCs w:val="44"/>
          <w:highlight w:val="none"/>
        </w:rPr>
      </w:pPr>
    </w:p>
    <w:p w14:paraId="4F69EE63">
      <w:pPr>
        <w:pStyle w:val="9"/>
        <w:adjustRightInd/>
        <w:jc w:val="center"/>
        <w:rPr>
          <w:color w:val="auto"/>
          <w:sz w:val="44"/>
          <w:szCs w:val="44"/>
          <w:highlight w:val="none"/>
        </w:rPr>
      </w:pPr>
    </w:p>
    <w:p w14:paraId="2DEB2FFF">
      <w:pPr>
        <w:pStyle w:val="9"/>
        <w:adjustRightInd/>
        <w:jc w:val="center"/>
        <w:rPr>
          <w:color w:val="auto"/>
          <w:sz w:val="33"/>
          <w:szCs w:val="33"/>
          <w:highlight w:val="none"/>
        </w:rPr>
      </w:pPr>
    </w:p>
    <w:p w14:paraId="329D0FEC">
      <w:pPr>
        <w:pStyle w:val="9"/>
        <w:tabs>
          <w:tab w:val="left" w:pos="2593"/>
        </w:tabs>
        <w:adjustRightInd/>
        <w:jc w:val="center"/>
        <w:rPr>
          <w:color w:val="auto"/>
          <w:sz w:val="28"/>
          <w:szCs w:val="28"/>
          <w:highlight w:val="none"/>
        </w:rPr>
      </w:pPr>
      <w:r>
        <w:rPr>
          <w:rFonts w:hint="eastAsia"/>
          <w:color w:val="auto"/>
          <w:sz w:val="28"/>
          <w:szCs w:val="28"/>
          <w:highlight w:val="none"/>
        </w:rPr>
        <w:t>招标人：</w:t>
      </w:r>
      <w:r>
        <w:rPr>
          <w:rFonts w:hint="eastAsia" w:ascii="宋体" w:hAnsi="宋体" w:cs="宋体"/>
          <w:color w:val="auto"/>
          <w:sz w:val="28"/>
          <w:szCs w:val="28"/>
          <w:highlight w:val="none"/>
          <w:u w:val="single"/>
        </w:rPr>
        <w:t>越润集成电路（绍兴）有限公司</w:t>
      </w:r>
      <w:r>
        <w:rPr>
          <w:rFonts w:hint="eastAsia"/>
          <w:color w:val="auto"/>
          <w:sz w:val="28"/>
          <w:szCs w:val="28"/>
          <w:highlight w:val="none"/>
        </w:rPr>
        <w:t>（单位盖章）</w:t>
      </w:r>
    </w:p>
    <w:p w14:paraId="4E7892BF">
      <w:pPr>
        <w:pStyle w:val="9"/>
        <w:tabs>
          <w:tab w:val="left" w:pos="2593"/>
        </w:tabs>
        <w:adjustRightInd/>
        <w:jc w:val="center"/>
        <w:rPr>
          <w:color w:val="auto"/>
          <w:sz w:val="28"/>
          <w:szCs w:val="28"/>
          <w:highlight w:val="none"/>
        </w:rPr>
      </w:pPr>
      <w:r>
        <w:rPr>
          <w:rFonts w:hint="eastAsia"/>
          <w:color w:val="auto"/>
          <w:sz w:val="28"/>
          <w:szCs w:val="28"/>
          <w:highlight w:val="none"/>
        </w:rPr>
        <w:t>招标代理机构：</w:t>
      </w:r>
      <w:r>
        <w:rPr>
          <w:rFonts w:hint="eastAsia" w:ascii="宋体" w:hAnsi="宋体"/>
          <w:color w:val="auto"/>
          <w:sz w:val="28"/>
          <w:szCs w:val="28"/>
          <w:highlight w:val="none"/>
          <w:u w:val="single"/>
        </w:rPr>
        <w:t>浙江天平投资咨询有限公司</w:t>
      </w:r>
      <w:r>
        <w:rPr>
          <w:rFonts w:hint="eastAsia"/>
          <w:color w:val="auto"/>
          <w:sz w:val="28"/>
          <w:szCs w:val="28"/>
          <w:highlight w:val="none"/>
        </w:rPr>
        <w:t>（单位盖章）</w:t>
      </w:r>
    </w:p>
    <w:p w14:paraId="02A28434">
      <w:pPr>
        <w:pStyle w:val="9"/>
        <w:adjustRightInd/>
        <w:jc w:val="center"/>
        <w:rPr>
          <w:color w:val="auto"/>
          <w:sz w:val="23"/>
          <w:szCs w:val="23"/>
          <w:highlight w:val="none"/>
        </w:rPr>
      </w:pPr>
    </w:p>
    <w:p w14:paraId="2FB67810">
      <w:pPr>
        <w:pStyle w:val="9"/>
        <w:adjustRightInd/>
        <w:jc w:val="center"/>
        <w:rPr>
          <w:color w:val="auto"/>
          <w:sz w:val="28"/>
          <w:szCs w:val="28"/>
          <w:highlight w:val="none"/>
        </w:rPr>
      </w:pPr>
      <w:r>
        <w:rPr>
          <w:rFonts w:hint="eastAsia"/>
          <w:color w:val="auto"/>
          <w:sz w:val="28"/>
          <w:szCs w:val="28"/>
          <w:highlight w:val="none"/>
          <w:u w:val="single"/>
        </w:rPr>
        <w:t xml:space="preserve">  2025 </w:t>
      </w:r>
      <w:r>
        <w:rPr>
          <w:rFonts w:hint="eastAsia"/>
          <w:color w:val="auto"/>
          <w:sz w:val="28"/>
          <w:szCs w:val="28"/>
          <w:highlight w:val="none"/>
        </w:rPr>
        <w:t>年</w:t>
      </w:r>
      <w:r>
        <w:rPr>
          <w:rFonts w:hint="eastAsia"/>
          <w:color w:val="auto"/>
          <w:sz w:val="28"/>
          <w:szCs w:val="28"/>
          <w:highlight w:val="none"/>
          <w:u w:val="single"/>
        </w:rPr>
        <w:t xml:space="preserve"> 12 </w:t>
      </w:r>
      <w:r>
        <w:rPr>
          <w:rFonts w:hint="eastAsia"/>
          <w:color w:val="auto"/>
          <w:sz w:val="28"/>
          <w:szCs w:val="28"/>
          <w:highlight w:val="none"/>
        </w:rPr>
        <w:t>月</w:t>
      </w:r>
    </w:p>
    <w:p w14:paraId="0628C7FF">
      <w:pPr>
        <w:pStyle w:val="10"/>
        <w:tabs>
          <w:tab w:val="left" w:pos="9360"/>
        </w:tabs>
        <w:kinsoku w:val="0"/>
        <w:adjustRightInd w:val="0"/>
        <w:snapToGrid w:val="0"/>
        <w:spacing w:before="14" w:line="360" w:lineRule="auto"/>
        <w:ind w:right="175" w:firstLine="0" w:firstLineChars="0"/>
        <w:jc w:val="center"/>
        <w:rPr>
          <w:rFonts w:ascii="小标宋" w:eastAsia="小标宋"/>
          <w:color w:val="auto"/>
          <w:sz w:val="44"/>
          <w:szCs w:val="44"/>
          <w:highlight w:val="none"/>
        </w:rPr>
      </w:pPr>
      <w:r>
        <w:rPr>
          <w:color w:val="auto"/>
          <w:sz w:val="28"/>
          <w:szCs w:val="28"/>
          <w:highlight w:val="none"/>
        </w:rPr>
        <w:br w:type="page"/>
      </w:r>
    </w:p>
    <w:p w14:paraId="658D455F">
      <w:pPr>
        <w:pStyle w:val="9"/>
        <w:snapToGrid w:val="0"/>
        <w:jc w:val="center"/>
        <w:rPr>
          <w:rFonts w:hint="eastAsia" w:ascii="小标宋" w:hAnsi="黑体" w:eastAsia="小标宋"/>
          <w:color w:val="auto"/>
          <w:sz w:val="44"/>
          <w:szCs w:val="44"/>
          <w:highlight w:val="none"/>
          <w:lang w:val="zh-CN"/>
        </w:rPr>
      </w:pPr>
      <w:bookmarkStart w:id="1" w:name="bookmark1"/>
      <w:bookmarkEnd w:id="1"/>
      <w:r>
        <w:rPr>
          <w:rFonts w:hint="eastAsia" w:ascii="小标宋" w:hAnsi="黑体" w:eastAsia="小标宋"/>
          <w:color w:val="auto"/>
          <w:sz w:val="44"/>
          <w:szCs w:val="44"/>
          <w:highlight w:val="none"/>
          <w:lang w:val="zh-CN"/>
        </w:rPr>
        <w:t>目  录</w:t>
      </w:r>
    </w:p>
    <w:p w14:paraId="77AB2F24">
      <w:pPr>
        <w:snapToGrid w:val="0"/>
        <w:jc w:val="center"/>
        <w:rPr>
          <w:rFonts w:ascii="小标宋" w:eastAsia="小标宋"/>
          <w:color w:val="auto"/>
          <w:sz w:val="44"/>
          <w:szCs w:val="44"/>
          <w:highlight w:val="none"/>
          <w:lang w:val="zh-CN"/>
        </w:rPr>
      </w:pPr>
    </w:p>
    <w:p w14:paraId="7D3C6BEA">
      <w:pPr>
        <w:pStyle w:val="17"/>
        <w:tabs>
          <w:tab w:val="right" w:leader="dot" w:pos="8835"/>
        </w:tabs>
        <w:rPr>
          <w:rFonts w:hint="eastAsia" w:cs="宋体"/>
          <w:color w:val="auto"/>
          <w:kern w:val="2"/>
          <w:highlight w:val="none"/>
        </w:rPr>
      </w:pPr>
      <w:r>
        <w:rPr>
          <w:color w:val="auto"/>
          <w:highlight w:val="none"/>
        </w:rPr>
        <w:fldChar w:fldCharType="begin"/>
      </w:r>
      <w:r>
        <w:rPr>
          <w:color w:val="auto"/>
          <w:highlight w:val="none"/>
        </w:rPr>
        <w:instrText xml:space="preserve"> HYPERLINK \l "_Toc74946795" </w:instrText>
      </w:r>
      <w:r>
        <w:rPr>
          <w:color w:val="auto"/>
          <w:highlight w:val="none"/>
        </w:rPr>
        <w:fldChar w:fldCharType="separate"/>
      </w:r>
      <w:r>
        <w:rPr>
          <w:rStyle w:val="25"/>
          <w:rFonts w:hint="eastAsia" w:cs="宋体"/>
          <w:color w:val="auto"/>
          <w:highlight w:val="none"/>
          <w:u w:val="none"/>
        </w:rPr>
        <w:t>第一章 招标公告（投标邀请书）</w:t>
      </w:r>
      <w:r>
        <w:rPr>
          <w:rFonts w:hint="eastAsia" w:cs="宋体"/>
          <w:color w:val="auto"/>
          <w:highlight w:val="none"/>
        </w:rPr>
        <w:tab/>
      </w:r>
      <w:r>
        <w:rPr>
          <w:rFonts w:hint="eastAsia" w:cs="宋体"/>
          <w:color w:val="auto"/>
          <w:highlight w:val="none"/>
        </w:rPr>
        <w:t>1</w:t>
      </w:r>
      <w:r>
        <w:rPr>
          <w:rFonts w:hint="eastAsia" w:cs="宋体"/>
          <w:color w:val="auto"/>
          <w:highlight w:val="none"/>
        </w:rPr>
        <w:fldChar w:fldCharType="end"/>
      </w:r>
      <w:r>
        <w:rPr>
          <w:rStyle w:val="25"/>
          <w:rFonts w:hint="eastAsia" w:cs="宋体"/>
          <w:color w:val="auto"/>
          <w:highlight w:val="none"/>
          <w:u w:val="none"/>
        </w:rPr>
        <w:t>4</w:t>
      </w:r>
    </w:p>
    <w:p w14:paraId="1204E952">
      <w:pPr>
        <w:pStyle w:val="17"/>
        <w:tabs>
          <w:tab w:val="right" w:leader="dot" w:pos="8835"/>
        </w:tabs>
        <w:rPr>
          <w:rFonts w:hint="eastAsia" w:cs="宋体"/>
          <w:color w:val="auto"/>
          <w:kern w:val="2"/>
          <w:highlight w:val="none"/>
        </w:rPr>
      </w:pPr>
      <w:r>
        <w:rPr>
          <w:color w:val="auto"/>
          <w:highlight w:val="none"/>
        </w:rPr>
        <w:fldChar w:fldCharType="begin"/>
      </w:r>
      <w:r>
        <w:rPr>
          <w:color w:val="auto"/>
          <w:highlight w:val="none"/>
        </w:rPr>
        <w:instrText xml:space="preserve"> HYPERLINK \l "_Toc74946796" </w:instrText>
      </w:r>
      <w:r>
        <w:rPr>
          <w:color w:val="auto"/>
          <w:highlight w:val="none"/>
        </w:rPr>
        <w:fldChar w:fldCharType="separate"/>
      </w:r>
      <w:r>
        <w:rPr>
          <w:rStyle w:val="25"/>
          <w:rFonts w:hint="eastAsia" w:cs="宋体"/>
          <w:color w:val="auto"/>
          <w:highlight w:val="none"/>
          <w:u w:val="none"/>
        </w:rPr>
        <w:t>第二章 投标人须知</w:t>
      </w:r>
      <w:r>
        <w:rPr>
          <w:rFonts w:hint="eastAsia" w:cs="宋体"/>
          <w:color w:val="auto"/>
          <w:highlight w:val="none"/>
        </w:rPr>
        <w:tab/>
      </w:r>
      <w:r>
        <w:rPr>
          <w:rFonts w:hint="eastAsia" w:cs="宋体"/>
          <w:color w:val="auto"/>
          <w:highlight w:val="none"/>
        </w:rPr>
        <w:fldChar w:fldCharType="end"/>
      </w:r>
      <w:r>
        <w:rPr>
          <w:rFonts w:hint="eastAsia" w:cs="宋体"/>
          <w:color w:val="auto"/>
          <w:highlight w:val="none"/>
        </w:rPr>
        <w:t>25</w:t>
      </w:r>
    </w:p>
    <w:p w14:paraId="6177A543">
      <w:pPr>
        <w:pStyle w:val="17"/>
        <w:tabs>
          <w:tab w:val="right" w:leader="dot" w:pos="8835"/>
        </w:tabs>
        <w:rPr>
          <w:rFonts w:hint="eastAsia" w:cs="宋体"/>
          <w:color w:val="auto"/>
          <w:kern w:val="2"/>
          <w:highlight w:val="none"/>
        </w:rPr>
      </w:pPr>
      <w:r>
        <w:rPr>
          <w:color w:val="auto"/>
          <w:highlight w:val="none"/>
        </w:rPr>
        <w:fldChar w:fldCharType="begin"/>
      </w:r>
      <w:r>
        <w:rPr>
          <w:color w:val="auto"/>
          <w:highlight w:val="none"/>
        </w:rPr>
        <w:instrText xml:space="preserve"> HYPERLINK \l "_Toc74946797" </w:instrText>
      </w:r>
      <w:r>
        <w:rPr>
          <w:color w:val="auto"/>
          <w:highlight w:val="none"/>
        </w:rPr>
        <w:fldChar w:fldCharType="separate"/>
      </w:r>
      <w:r>
        <w:rPr>
          <w:rStyle w:val="25"/>
          <w:rFonts w:hint="eastAsia" w:cs="宋体"/>
          <w:color w:val="auto"/>
          <w:highlight w:val="none"/>
          <w:u w:val="none"/>
        </w:rPr>
        <w:t>第三章 评标定标办法</w:t>
      </w:r>
      <w:r>
        <w:rPr>
          <w:rFonts w:hint="eastAsia" w:cs="宋体"/>
          <w:color w:val="auto"/>
          <w:highlight w:val="none"/>
        </w:rPr>
        <w:tab/>
      </w:r>
      <w:r>
        <w:rPr>
          <w:rFonts w:hint="eastAsia" w:cs="宋体"/>
          <w:color w:val="auto"/>
          <w:highlight w:val="none"/>
        </w:rPr>
        <w:fldChar w:fldCharType="end"/>
      </w:r>
      <w:r>
        <w:rPr>
          <w:rFonts w:hint="eastAsia" w:cs="宋体"/>
          <w:color w:val="auto"/>
          <w:highlight w:val="none"/>
        </w:rPr>
        <w:t>60</w:t>
      </w:r>
    </w:p>
    <w:p w14:paraId="460BD734">
      <w:pPr>
        <w:pStyle w:val="17"/>
        <w:tabs>
          <w:tab w:val="right" w:leader="dot" w:pos="8835"/>
        </w:tabs>
        <w:rPr>
          <w:rFonts w:hint="eastAsia" w:cs="宋体"/>
          <w:color w:val="auto"/>
          <w:kern w:val="2"/>
          <w:highlight w:val="none"/>
        </w:rPr>
      </w:pPr>
      <w:r>
        <w:rPr>
          <w:color w:val="auto"/>
          <w:highlight w:val="none"/>
        </w:rPr>
        <w:fldChar w:fldCharType="begin"/>
      </w:r>
      <w:r>
        <w:rPr>
          <w:color w:val="auto"/>
          <w:highlight w:val="none"/>
        </w:rPr>
        <w:instrText xml:space="preserve"> HYPERLINK \l "_Toc74946798" </w:instrText>
      </w:r>
      <w:r>
        <w:rPr>
          <w:color w:val="auto"/>
          <w:highlight w:val="none"/>
        </w:rPr>
        <w:fldChar w:fldCharType="separate"/>
      </w:r>
      <w:r>
        <w:rPr>
          <w:rStyle w:val="25"/>
          <w:rFonts w:hint="eastAsia" w:cs="宋体"/>
          <w:color w:val="auto"/>
          <w:highlight w:val="none"/>
          <w:u w:val="none"/>
        </w:rPr>
        <w:t>第四章 合同条款及格式</w:t>
      </w:r>
      <w:r>
        <w:rPr>
          <w:rFonts w:hint="eastAsia" w:cs="宋体"/>
          <w:color w:val="auto"/>
          <w:highlight w:val="none"/>
        </w:rPr>
        <w:tab/>
      </w:r>
      <w:r>
        <w:rPr>
          <w:rFonts w:hint="eastAsia" w:cs="宋体"/>
          <w:color w:val="auto"/>
          <w:highlight w:val="none"/>
        </w:rPr>
        <w:fldChar w:fldCharType="end"/>
      </w:r>
      <w:r>
        <w:rPr>
          <w:rFonts w:hint="eastAsia" w:cs="宋体"/>
          <w:color w:val="auto"/>
          <w:highlight w:val="none"/>
        </w:rPr>
        <w:t>77</w:t>
      </w:r>
    </w:p>
    <w:p w14:paraId="4F4BB3E4">
      <w:pPr>
        <w:pStyle w:val="17"/>
        <w:tabs>
          <w:tab w:val="right" w:leader="dot" w:pos="8835"/>
        </w:tabs>
        <w:rPr>
          <w:rFonts w:hint="eastAsia" w:cs="宋体"/>
          <w:color w:val="auto"/>
          <w:kern w:val="2"/>
          <w:highlight w:val="none"/>
        </w:rPr>
      </w:pPr>
      <w:r>
        <w:rPr>
          <w:color w:val="auto"/>
          <w:highlight w:val="none"/>
        </w:rPr>
        <w:fldChar w:fldCharType="begin"/>
      </w:r>
      <w:r>
        <w:rPr>
          <w:color w:val="auto"/>
          <w:highlight w:val="none"/>
        </w:rPr>
        <w:instrText xml:space="preserve"> HYPERLINK \l "_Toc74946799" </w:instrText>
      </w:r>
      <w:r>
        <w:rPr>
          <w:color w:val="auto"/>
          <w:highlight w:val="none"/>
        </w:rPr>
        <w:fldChar w:fldCharType="separate"/>
      </w:r>
      <w:r>
        <w:rPr>
          <w:rStyle w:val="25"/>
          <w:rFonts w:hint="eastAsia" w:cs="宋体"/>
          <w:color w:val="auto"/>
          <w:highlight w:val="none"/>
          <w:u w:val="none"/>
        </w:rPr>
        <w:t>第五章 发包人要求</w:t>
      </w:r>
      <w:r>
        <w:rPr>
          <w:rFonts w:hint="eastAsia" w:cs="宋体"/>
          <w:color w:val="auto"/>
          <w:highlight w:val="none"/>
        </w:rPr>
        <w:tab/>
      </w:r>
      <w:r>
        <w:rPr>
          <w:rFonts w:hint="eastAsia" w:cs="宋体"/>
          <w:color w:val="auto"/>
          <w:highlight w:val="none"/>
        </w:rPr>
        <w:fldChar w:fldCharType="end"/>
      </w:r>
      <w:r>
        <w:rPr>
          <w:rFonts w:hint="eastAsia" w:cs="宋体"/>
          <w:color w:val="auto"/>
          <w:highlight w:val="none"/>
        </w:rPr>
        <w:t>120</w:t>
      </w:r>
    </w:p>
    <w:p w14:paraId="26410F0A">
      <w:pPr>
        <w:pStyle w:val="17"/>
        <w:tabs>
          <w:tab w:val="right" w:leader="dot" w:pos="8835"/>
        </w:tabs>
        <w:rPr>
          <w:rFonts w:hint="eastAsia" w:cs="宋体"/>
          <w:color w:val="auto"/>
          <w:kern w:val="2"/>
          <w:highlight w:val="none"/>
        </w:rPr>
      </w:pPr>
      <w:r>
        <w:rPr>
          <w:color w:val="auto"/>
          <w:highlight w:val="none"/>
        </w:rPr>
        <w:fldChar w:fldCharType="begin"/>
      </w:r>
      <w:r>
        <w:rPr>
          <w:color w:val="auto"/>
          <w:highlight w:val="none"/>
        </w:rPr>
        <w:instrText xml:space="preserve"> HYPERLINK \l "_Toc74946800" </w:instrText>
      </w:r>
      <w:r>
        <w:rPr>
          <w:color w:val="auto"/>
          <w:highlight w:val="none"/>
        </w:rPr>
        <w:fldChar w:fldCharType="separate"/>
      </w:r>
      <w:r>
        <w:rPr>
          <w:rStyle w:val="25"/>
          <w:rFonts w:hint="eastAsia" w:cs="宋体"/>
          <w:color w:val="auto"/>
          <w:highlight w:val="none"/>
          <w:u w:val="none"/>
        </w:rPr>
        <w:t>第六章 发包人提供的资料</w:t>
      </w:r>
      <w:r>
        <w:rPr>
          <w:rFonts w:hint="eastAsia" w:cs="宋体"/>
          <w:color w:val="auto"/>
          <w:highlight w:val="none"/>
        </w:rPr>
        <w:tab/>
      </w:r>
      <w:r>
        <w:rPr>
          <w:rFonts w:hint="eastAsia" w:cs="宋体"/>
          <w:color w:val="auto"/>
          <w:highlight w:val="none"/>
        </w:rPr>
        <w:fldChar w:fldCharType="end"/>
      </w:r>
      <w:r>
        <w:rPr>
          <w:rFonts w:hint="eastAsia" w:cs="宋体"/>
          <w:color w:val="auto"/>
          <w:highlight w:val="none"/>
        </w:rPr>
        <w:t>139</w:t>
      </w:r>
    </w:p>
    <w:p w14:paraId="28EACAFA">
      <w:pPr>
        <w:pStyle w:val="17"/>
        <w:tabs>
          <w:tab w:val="right" w:leader="dot" w:pos="8835"/>
        </w:tabs>
        <w:rPr>
          <w:rFonts w:hint="eastAsia" w:cs="宋体"/>
          <w:color w:val="auto"/>
          <w:kern w:val="2"/>
          <w:highlight w:val="none"/>
        </w:rPr>
      </w:pPr>
      <w:r>
        <w:rPr>
          <w:color w:val="auto"/>
          <w:highlight w:val="none"/>
        </w:rPr>
        <w:fldChar w:fldCharType="begin"/>
      </w:r>
      <w:r>
        <w:rPr>
          <w:color w:val="auto"/>
          <w:highlight w:val="none"/>
        </w:rPr>
        <w:instrText xml:space="preserve"> HYPERLINK \l "_Toc74946801" </w:instrText>
      </w:r>
      <w:r>
        <w:rPr>
          <w:color w:val="auto"/>
          <w:highlight w:val="none"/>
        </w:rPr>
        <w:fldChar w:fldCharType="separate"/>
      </w:r>
      <w:r>
        <w:rPr>
          <w:rStyle w:val="25"/>
          <w:rFonts w:hint="eastAsia" w:cs="宋体"/>
          <w:color w:val="auto"/>
          <w:highlight w:val="none"/>
          <w:u w:val="none"/>
        </w:rPr>
        <w:t>第七章 投标文件格式</w:t>
      </w:r>
      <w:r>
        <w:rPr>
          <w:rFonts w:hint="eastAsia" w:cs="宋体"/>
          <w:color w:val="auto"/>
          <w:highlight w:val="none"/>
        </w:rPr>
        <w:tab/>
      </w:r>
      <w:r>
        <w:rPr>
          <w:rFonts w:hint="eastAsia" w:cs="宋体"/>
          <w:color w:val="auto"/>
          <w:highlight w:val="none"/>
        </w:rPr>
        <w:fldChar w:fldCharType="end"/>
      </w:r>
      <w:r>
        <w:rPr>
          <w:rFonts w:hint="eastAsia" w:cs="宋体"/>
          <w:color w:val="auto"/>
          <w:highlight w:val="none"/>
        </w:rPr>
        <w:t>140</w:t>
      </w:r>
    </w:p>
    <w:p w14:paraId="52799237">
      <w:pPr>
        <w:spacing w:line="360" w:lineRule="auto"/>
        <w:rPr>
          <w:rFonts w:hint="eastAsia" w:ascii="宋体" w:hAnsi="宋体" w:cs="宋体"/>
          <w:bCs/>
          <w:color w:val="auto"/>
          <w:kern w:val="44"/>
          <w:highlight w:val="none"/>
        </w:rPr>
      </w:pPr>
    </w:p>
    <w:p w14:paraId="1CEB2711">
      <w:pPr>
        <w:pStyle w:val="6"/>
        <w:ind w:firstLine="480"/>
        <w:rPr>
          <w:rFonts w:hint="eastAsia" w:ascii="宋体" w:hAnsi="宋体" w:cs="宋体"/>
          <w:bCs/>
          <w:color w:val="auto"/>
          <w:kern w:val="44"/>
          <w:highlight w:val="none"/>
        </w:rPr>
      </w:pPr>
    </w:p>
    <w:p w14:paraId="04467DE9">
      <w:pPr>
        <w:pStyle w:val="6"/>
        <w:ind w:firstLine="480"/>
        <w:rPr>
          <w:rFonts w:hint="eastAsia" w:ascii="宋体" w:hAnsi="宋体" w:cs="宋体"/>
          <w:bCs/>
          <w:color w:val="auto"/>
          <w:kern w:val="44"/>
          <w:highlight w:val="none"/>
        </w:rPr>
      </w:pPr>
    </w:p>
    <w:p w14:paraId="1F59191B">
      <w:pPr>
        <w:pStyle w:val="6"/>
        <w:ind w:firstLine="480"/>
        <w:rPr>
          <w:rFonts w:hint="eastAsia" w:ascii="宋体" w:hAnsi="宋体" w:cs="宋体"/>
          <w:bCs/>
          <w:color w:val="auto"/>
          <w:kern w:val="44"/>
          <w:highlight w:val="none"/>
        </w:rPr>
      </w:pPr>
    </w:p>
    <w:p w14:paraId="3824E2E5">
      <w:pPr>
        <w:pStyle w:val="6"/>
        <w:ind w:firstLine="480"/>
        <w:rPr>
          <w:rFonts w:hint="eastAsia" w:ascii="宋体" w:hAnsi="宋体" w:cs="宋体"/>
          <w:bCs/>
          <w:color w:val="auto"/>
          <w:kern w:val="44"/>
          <w:highlight w:val="none"/>
        </w:rPr>
      </w:pPr>
    </w:p>
    <w:p w14:paraId="7A214CF8">
      <w:pPr>
        <w:pStyle w:val="6"/>
        <w:ind w:firstLine="480"/>
        <w:rPr>
          <w:rFonts w:hint="eastAsia" w:ascii="宋体" w:hAnsi="宋体" w:cs="宋体"/>
          <w:bCs/>
          <w:color w:val="auto"/>
          <w:kern w:val="44"/>
          <w:highlight w:val="none"/>
        </w:rPr>
      </w:pPr>
    </w:p>
    <w:p w14:paraId="6A92C7DE">
      <w:pPr>
        <w:pStyle w:val="6"/>
        <w:ind w:firstLine="480"/>
        <w:rPr>
          <w:rFonts w:hint="eastAsia" w:ascii="宋体" w:hAnsi="宋体" w:cs="宋体"/>
          <w:bCs/>
          <w:color w:val="auto"/>
          <w:kern w:val="44"/>
          <w:highlight w:val="none"/>
        </w:rPr>
      </w:pPr>
    </w:p>
    <w:p w14:paraId="1C0A8091">
      <w:pPr>
        <w:pStyle w:val="6"/>
        <w:ind w:firstLine="480"/>
        <w:rPr>
          <w:rFonts w:hint="eastAsia" w:ascii="宋体" w:hAnsi="宋体" w:cs="宋体"/>
          <w:bCs/>
          <w:color w:val="auto"/>
          <w:kern w:val="44"/>
          <w:highlight w:val="none"/>
        </w:rPr>
      </w:pPr>
    </w:p>
    <w:p w14:paraId="59F30A40">
      <w:pPr>
        <w:pStyle w:val="6"/>
        <w:ind w:firstLine="480"/>
        <w:rPr>
          <w:rFonts w:hint="eastAsia" w:ascii="宋体" w:hAnsi="宋体" w:cs="宋体"/>
          <w:bCs/>
          <w:color w:val="auto"/>
          <w:kern w:val="44"/>
          <w:highlight w:val="none"/>
        </w:rPr>
      </w:pPr>
    </w:p>
    <w:p w14:paraId="5BDD0F57">
      <w:pPr>
        <w:pStyle w:val="6"/>
        <w:ind w:firstLine="480"/>
        <w:rPr>
          <w:rFonts w:hint="eastAsia" w:ascii="宋体" w:hAnsi="宋体" w:cs="宋体"/>
          <w:bCs/>
          <w:color w:val="auto"/>
          <w:kern w:val="44"/>
          <w:highlight w:val="none"/>
        </w:rPr>
      </w:pPr>
    </w:p>
    <w:p w14:paraId="4AA2717E">
      <w:pPr>
        <w:pStyle w:val="6"/>
        <w:ind w:firstLine="480"/>
        <w:rPr>
          <w:rFonts w:hint="eastAsia" w:ascii="宋体" w:hAnsi="宋体" w:cs="宋体"/>
          <w:bCs/>
          <w:color w:val="auto"/>
          <w:kern w:val="44"/>
          <w:highlight w:val="none"/>
        </w:rPr>
      </w:pPr>
    </w:p>
    <w:p w14:paraId="54E8D666">
      <w:pPr>
        <w:pStyle w:val="6"/>
        <w:ind w:firstLine="480"/>
        <w:rPr>
          <w:rFonts w:hint="eastAsia" w:ascii="宋体" w:hAnsi="宋体" w:cs="宋体"/>
          <w:bCs/>
          <w:color w:val="auto"/>
          <w:kern w:val="44"/>
          <w:highlight w:val="none"/>
        </w:rPr>
      </w:pPr>
    </w:p>
    <w:p w14:paraId="0375E8EA">
      <w:pPr>
        <w:pStyle w:val="6"/>
        <w:ind w:firstLine="480"/>
        <w:rPr>
          <w:rFonts w:hint="eastAsia" w:ascii="宋体" w:hAnsi="宋体" w:cs="宋体"/>
          <w:bCs/>
          <w:color w:val="auto"/>
          <w:kern w:val="44"/>
          <w:highlight w:val="none"/>
        </w:rPr>
      </w:pPr>
    </w:p>
    <w:p w14:paraId="5D751506">
      <w:pPr>
        <w:pStyle w:val="6"/>
        <w:ind w:firstLine="480"/>
        <w:rPr>
          <w:rFonts w:hint="eastAsia" w:ascii="宋体" w:hAnsi="宋体" w:cs="宋体"/>
          <w:bCs/>
          <w:color w:val="auto"/>
          <w:kern w:val="44"/>
          <w:highlight w:val="none"/>
        </w:rPr>
      </w:pPr>
    </w:p>
    <w:p w14:paraId="6FB473F9">
      <w:pPr>
        <w:pStyle w:val="6"/>
        <w:ind w:firstLine="480"/>
        <w:rPr>
          <w:rFonts w:hint="eastAsia" w:ascii="宋体" w:hAnsi="宋体" w:cs="宋体"/>
          <w:bCs/>
          <w:color w:val="auto"/>
          <w:kern w:val="44"/>
          <w:highlight w:val="none"/>
        </w:rPr>
      </w:pPr>
    </w:p>
    <w:p w14:paraId="78D20DC4">
      <w:pPr>
        <w:pStyle w:val="6"/>
        <w:ind w:firstLine="480"/>
        <w:rPr>
          <w:rFonts w:hint="eastAsia" w:ascii="宋体" w:hAnsi="宋体" w:cs="宋体"/>
          <w:bCs/>
          <w:color w:val="auto"/>
          <w:kern w:val="44"/>
          <w:highlight w:val="none"/>
        </w:rPr>
      </w:pPr>
    </w:p>
    <w:p w14:paraId="2D671137">
      <w:pPr>
        <w:pStyle w:val="6"/>
        <w:ind w:firstLine="480"/>
        <w:rPr>
          <w:rFonts w:hint="eastAsia" w:ascii="宋体" w:hAnsi="宋体" w:cs="宋体"/>
          <w:bCs/>
          <w:color w:val="auto"/>
          <w:kern w:val="44"/>
          <w:highlight w:val="none"/>
        </w:rPr>
      </w:pPr>
    </w:p>
    <w:p w14:paraId="660C2BF1">
      <w:pPr>
        <w:pStyle w:val="6"/>
        <w:ind w:firstLine="480"/>
        <w:rPr>
          <w:rFonts w:hint="eastAsia" w:ascii="宋体" w:hAnsi="宋体" w:cs="宋体"/>
          <w:bCs/>
          <w:color w:val="auto"/>
          <w:kern w:val="44"/>
          <w:highlight w:val="none"/>
        </w:rPr>
      </w:pPr>
    </w:p>
    <w:p w14:paraId="7BFEA8E5">
      <w:pPr>
        <w:pStyle w:val="6"/>
        <w:ind w:firstLine="480"/>
        <w:rPr>
          <w:rFonts w:hint="eastAsia" w:ascii="宋体" w:hAnsi="宋体" w:cs="宋体"/>
          <w:bCs/>
          <w:color w:val="auto"/>
          <w:kern w:val="44"/>
          <w:highlight w:val="none"/>
        </w:rPr>
      </w:pPr>
    </w:p>
    <w:p w14:paraId="73A24C0E">
      <w:pPr>
        <w:pStyle w:val="6"/>
        <w:ind w:firstLine="480"/>
        <w:rPr>
          <w:rFonts w:hint="eastAsia" w:ascii="宋体" w:hAnsi="宋体" w:cs="宋体"/>
          <w:bCs/>
          <w:color w:val="auto"/>
          <w:kern w:val="44"/>
          <w:highlight w:val="none"/>
        </w:rPr>
      </w:pPr>
    </w:p>
    <w:p w14:paraId="344CA076">
      <w:pPr>
        <w:pStyle w:val="6"/>
        <w:ind w:firstLine="480"/>
        <w:rPr>
          <w:rFonts w:hint="eastAsia" w:ascii="宋体" w:hAnsi="宋体" w:cs="宋体"/>
          <w:bCs/>
          <w:color w:val="auto"/>
          <w:kern w:val="44"/>
          <w:highlight w:val="none"/>
        </w:rPr>
      </w:pPr>
    </w:p>
    <w:p w14:paraId="7AB48D94">
      <w:pPr>
        <w:pStyle w:val="6"/>
        <w:ind w:firstLine="480"/>
        <w:rPr>
          <w:rFonts w:hint="eastAsia" w:ascii="宋体" w:hAnsi="宋体" w:cs="宋体"/>
          <w:bCs/>
          <w:color w:val="auto"/>
          <w:kern w:val="44"/>
          <w:highlight w:val="none"/>
        </w:rPr>
      </w:pPr>
    </w:p>
    <w:p w14:paraId="7BA8683D">
      <w:pPr>
        <w:pStyle w:val="6"/>
        <w:ind w:firstLine="480"/>
        <w:rPr>
          <w:rFonts w:hint="eastAsia" w:ascii="宋体" w:hAnsi="宋体" w:cs="宋体"/>
          <w:bCs/>
          <w:color w:val="auto"/>
          <w:kern w:val="44"/>
          <w:highlight w:val="none"/>
        </w:rPr>
      </w:pPr>
    </w:p>
    <w:p w14:paraId="06B3E792">
      <w:pPr>
        <w:pStyle w:val="6"/>
        <w:ind w:firstLine="480"/>
        <w:rPr>
          <w:rFonts w:hint="eastAsia" w:ascii="宋体" w:hAnsi="宋体" w:cs="宋体"/>
          <w:bCs/>
          <w:color w:val="auto"/>
          <w:kern w:val="44"/>
          <w:highlight w:val="none"/>
        </w:rPr>
      </w:pPr>
    </w:p>
    <w:p w14:paraId="3EC785CF">
      <w:pPr>
        <w:pStyle w:val="6"/>
        <w:ind w:firstLine="480"/>
        <w:rPr>
          <w:rFonts w:hint="eastAsia" w:ascii="宋体" w:hAnsi="宋体" w:cs="宋体"/>
          <w:bCs/>
          <w:color w:val="auto"/>
          <w:kern w:val="44"/>
          <w:highlight w:val="none"/>
        </w:rPr>
      </w:pPr>
    </w:p>
    <w:p w14:paraId="076531C4">
      <w:pPr>
        <w:pStyle w:val="6"/>
        <w:ind w:firstLine="480"/>
        <w:rPr>
          <w:rFonts w:hint="eastAsia" w:ascii="宋体" w:hAnsi="宋体" w:cs="宋体"/>
          <w:bCs/>
          <w:color w:val="auto"/>
          <w:kern w:val="44"/>
          <w:highlight w:val="none"/>
        </w:rPr>
      </w:pPr>
    </w:p>
    <w:p w14:paraId="5032DE54">
      <w:pPr>
        <w:pStyle w:val="6"/>
        <w:ind w:firstLine="480"/>
        <w:rPr>
          <w:rFonts w:hint="eastAsia" w:ascii="宋体" w:hAnsi="宋体" w:cs="宋体"/>
          <w:bCs/>
          <w:color w:val="auto"/>
          <w:kern w:val="44"/>
          <w:highlight w:val="none"/>
        </w:rPr>
      </w:pPr>
    </w:p>
    <w:p w14:paraId="4A882A36">
      <w:pPr>
        <w:spacing w:line="360" w:lineRule="auto"/>
        <w:ind w:firstLine="880" w:firstLineChars="200"/>
        <w:jc w:val="center"/>
        <w:outlineLvl w:val="0"/>
        <w:rPr>
          <w:rFonts w:ascii="Times New Roman" w:hAnsi="Times New Roman" w:eastAsia="黑体"/>
          <w:bCs/>
          <w:color w:val="auto"/>
          <w:kern w:val="44"/>
          <w:sz w:val="44"/>
          <w:szCs w:val="44"/>
          <w:highlight w:val="none"/>
        </w:rPr>
      </w:pPr>
      <w:r>
        <w:rPr>
          <w:rFonts w:hint="eastAsia" w:hAnsi="宋体"/>
          <w:color w:val="auto"/>
          <w:sz w:val="44"/>
          <w:szCs w:val="44"/>
          <w:highlight w:val="none"/>
        </w:rPr>
        <w:t>☑</w:t>
      </w:r>
      <w:r>
        <w:rPr>
          <w:rFonts w:hint="eastAsia" w:ascii="Times New Roman" w:hAnsi="Times New Roman" w:eastAsia="黑体"/>
          <w:bCs/>
          <w:color w:val="auto"/>
          <w:kern w:val="44"/>
          <w:sz w:val="44"/>
          <w:szCs w:val="44"/>
          <w:highlight w:val="none"/>
        </w:rPr>
        <w:t>第一章</w:t>
      </w:r>
      <w:r>
        <w:rPr>
          <w:rFonts w:ascii="Times New Roman" w:hAnsi="Times New Roman" w:eastAsia="黑体"/>
          <w:bCs/>
          <w:color w:val="auto"/>
          <w:kern w:val="44"/>
          <w:sz w:val="44"/>
          <w:szCs w:val="44"/>
          <w:highlight w:val="none"/>
        </w:rPr>
        <w:t xml:space="preserve"> </w:t>
      </w:r>
      <w:r>
        <w:rPr>
          <w:rFonts w:hint="eastAsia" w:ascii="Times New Roman" w:hAnsi="Times New Roman" w:eastAsia="黑体"/>
          <w:bCs/>
          <w:color w:val="auto"/>
          <w:kern w:val="44"/>
          <w:sz w:val="44"/>
          <w:szCs w:val="44"/>
          <w:highlight w:val="none"/>
        </w:rPr>
        <w:t>招标公告</w:t>
      </w:r>
    </w:p>
    <w:p w14:paraId="64C83075">
      <w:pPr>
        <w:ind w:firstLine="562" w:firstLineChars="200"/>
        <w:jc w:val="center"/>
        <w:rPr>
          <w:b/>
          <w:color w:val="auto"/>
          <w:sz w:val="28"/>
          <w:szCs w:val="28"/>
          <w:highlight w:val="none"/>
        </w:rPr>
      </w:pPr>
      <w:r>
        <w:rPr>
          <w:rFonts w:hint="eastAsia"/>
          <w:b/>
          <w:color w:val="auto"/>
          <w:sz w:val="28"/>
          <w:szCs w:val="28"/>
          <w:highlight w:val="none"/>
        </w:rPr>
        <w:t>越润集成电路（绍兴）有限公司下一代异构集成先进封装技术及DDIC项目工程总承包招标公告</w:t>
      </w:r>
    </w:p>
    <w:p w14:paraId="6EF7E659">
      <w:pPr>
        <w:spacing w:line="360" w:lineRule="auto"/>
        <w:ind w:firstLine="643" w:firstLineChars="200"/>
        <w:rPr>
          <w:rFonts w:hint="eastAsia" w:ascii="宋体" w:hAnsi="宋体"/>
          <w:b/>
          <w:color w:val="auto"/>
          <w:sz w:val="32"/>
          <w:szCs w:val="32"/>
          <w:highlight w:val="none"/>
        </w:rPr>
      </w:pPr>
      <w:bookmarkStart w:id="2" w:name="bookmark2"/>
      <w:bookmarkEnd w:id="2"/>
      <w:bookmarkStart w:id="3" w:name="_Toc45697220"/>
      <w:bookmarkStart w:id="4" w:name="_Toc26001996"/>
      <w:bookmarkStart w:id="5" w:name="_Toc29163"/>
      <w:bookmarkStart w:id="6" w:name="_Toc24050269"/>
      <w:bookmarkStart w:id="7" w:name="_Toc22828051"/>
      <w:bookmarkStart w:id="8" w:name="_Toc26002049"/>
      <w:bookmarkStart w:id="9" w:name="_Toc22827968"/>
      <w:r>
        <w:rPr>
          <w:rFonts w:ascii="宋体" w:hAnsi="宋体"/>
          <w:b/>
          <w:color w:val="auto"/>
          <w:sz w:val="32"/>
          <w:szCs w:val="32"/>
          <w:highlight w:val="none"/>
        </w:rPr>
        <w:t>1.招标条件</w:t>
      </w:r>
      <w:bookmarkEnd w:id="3"/>
      <w:bookmarkEnd w:id="4"/>
      <w:bookmarkEnd w:id="5"/>
      <w:bookmarkEnd w:id="6"/>
      <w:bookmarkEnd w:id="7"/>
      <w:bookmarkEnd w:id="8"/>
      <w:bookmarkEnd w:id="9"/>
    </w:p>
    <w:p w14:paraId="374CC91D">
      <w:pPr>
        <w:tabs>
          <w:tab w:val="left" w:pos="1343"/>
          <w:tab w:val="left" w:pos="2697"/>
          <w:tab w:val="left" w:pos="3264"/>
          <w:tab w:val="left" w:pos="4896"/>
          <w:tab w:val="left" w:pos="6005"/>
          <w:tab w:val="left" w:pos="7085"/>
          <w:tab w:val="left" w:pos="7498"/>
        </w:tabs>
        <w:kinsoku w:val="0"/>
        <w:spacing w:line="360" w:lineRule="auto"/>
        <w:ind w:firstLine="480" w:firstLineChars="200"/>
        <w:rPr>
          <w:color w:val="auto"/>
          <w:highlight w:val="none"/>
        </w:rPr>
      </w:pPr>
      <w:bookmarkStart w:id="10" w:name="_Hlk24015002"/>
      <w:r>
        <w:rPr>
          <w:rFonts w:hint="eastAsia"/>
          <w:color w:val="auto"/>
          <w:highlight w:val="none"/>
          <w:u w:val="single"/>
        </w:rPr>
        <w:t>越润集成电路（绍兴）有限公司下一代异构集成先进封装技术及DDIC项目</w:t>
      </w:r>
      <w:r>
        <w:rPr>
          <w:rFonts w:hint="eastAsia"/>
          <w:color w:val="auto"/>
          <w:spacing w:val="-1"/>
          <w:highlight w:val="none"/>
        </w:rPr>
        <w:t>已由</w:t>
      </w:r>
      <w:r>
        <w:rPr>
          <w:rFonts w:hint="eastAsia"/>
          <w:color w:val="auto"/>
          <w:spacing w:val="-1"/>
          <w:highlight w:val="none"/>
          <w:u w:val="single"/>
        </w:rPr>
        <w:t xml:space="preserve"> 越城区经济和信息化局 </w:t>
      </w:r>
      <w:r>
        <w:rPr>
          <w:rFonts w:hint="eastAsia"/>
          <w:color w:val="auto"/>
          <w:spacing w:val="-5"/>
          <w:highlight w:val="none"/>
        </w:rPr>
        <w:t>以</w:t>
      </w:r>
      <w:r>
        <w:rPr>
          <w:rFonts w:hint="eastAsia"/>
          <w:color w:val="auto"/>
          <w:spacing w:val="-5"/>
          <w:highlight w:val="none"/>
          <w:u w:val="single"/>
        </w:rPr>
        <w:t xml:space="preserve">2512-330602-07-02-713409  </w:t>
      </w:r>
      <w:r>
        <w:rPr>
          <w:rFonts w:hint="eastAsia"/>
          <w:color w:val="auto"/>
          <w:spacing w:val="-4"/>
          <w:highlight w:val="none"/>
        </w:rPr>
        <w:t>批准建设，建设资金来</w:t>
      </w:r>
      <w:r>
        <w:rPr>
          <w:color w:val="auto"/>
          <w:spacing w:val="-97"/>
          <w:highlight w:val="none"/>
        </w:rPr>
        <w:t xml:space="preserve"> </w:t>
      </w:r>
      <w:r>
        <w:rPr>
          <w:rFonts w:hint="eastAsia"/>
          <w:color w:val="auto"/>
          <w:spacing w:val="-1"/>
          <w:highlight w:val="none"/>
        </w:rPr>
        <w:t>自</w:t>
      </w:r>
      <w:r>
        <w:rPr>
          <w:rFonts w:hint="eastAsia"/>
          <w:color w:val="auto"/>
          <w:spacing w:val="-12"/>
          <w:highlight w:val="none"/>
          <w:u w:val="single"/>
        </w:rPr>
        <w:t>自筹</w:t>
      </w:r>
      <w:r>
        <w:rPr>
          <w:rFonts w:hint="eastAsia"/>
          <w:color w:val="auto"/>
          <w:spacing w:val="-12"/>
          <w:highlight w:val="none"/>
        </w:rPr>
        <w:t>，出资比例为</w:t>
      </w:r>
      <w:r>
        <w:rPr>
          <w:rFonts w:hint="eastAsia"/>
          <w:color w:val="auto"/>
          <w:spacing w:val="-12"/>
          <w:highlight w:val="none"/>
          <w:u w:val="single"/>
        </w:rPr>
        <w:t xml:space="preserve">100% </w:t>
      </w:r>
      <w:r>
        <w:rPr>
          <w:rFonts w:hint="eastAsia"/>
          <w:color w:val="auto"/>
          <w:spacing w:val="-6"/>
          <w:highlight w:val="none"/>
        </w:rPr>
        <w:t>，招标人为</w:t>
      </w:r>
      <w:r>
        <w:rPr>
          <w:rFonts w:hint="eastAsia"/>
          <w:color w:val="auto"/>
          <w:spacing w:val="-6"/>
          <w:highlight w:val="none"/>
          <w:u w:val="single"/>
        </w:rPr>
        <w:t>越润集成电路（绍兴）有限公司</w:t>
      </w:r>
      <w:r>
        <w:rPr>
          <w:rFonts w:hint="eastAsia"/>
          <w:color w:val="auto"/>
          <w:spacing w:val="-6"/>
          <w:highlight w:val="none"/>
        </w:rPr>
        <w:t>，委托代理机构为</w:t>
      </w:r>
      <w:r>
        <w:rPr>
          <w:rFonts w:hint="eastAsia"/>
          <w:color w:val="auto"/>
          <w:spacing w:val="-6"/>
          <w:highlight w:val="none"/>
          <w:u w:val="single"/>
        </w:rPr>
        <w:t>浙江天平投资咨询有限公司</w:t>
      </w:r>
      <w:r>
        <w:rPr>
          <w:rFonts w:hint="eastAsia"/>
          <w:color w:val="auto"/>
          <w:spacing w:val="-6"/>
          <w:highlight w:val="none"/>
        </w:rPr>
        <w:t>，</w:t>
      </w:r>
      <w:r>
        <w:rPr>
          <w:rFonts w:hint="eastAsia"/>
          <w:color w:val="auto"/>
          <w:highlight w:val="none"/>
        </w:rPr>
        <w:t>行政监督部门为</w:t>
      </w:r>
      <w:r>
        <w:rPr>
          <w:rFonts w:hint="eastAsia"/>
          <w:color w:val="auto"/>
          <w:spacing w:val="-1"/>
          <w:highlight w:val="none"/>
          <w:u w:val="single"/>
        </w:rPr>
        <w:t>越城区住房和城乡建设局</w:t>
      </w:r>
      <w:r>
        <w:rPr>
          <w:rFonts w:hint="eastAsia"/>
          <w:color w:val="auto"/>
          <w:spacing w:val="-4"/>
          <w:highlight w:val="none"/>
        </w:rPr>
        <w:t>。项目已具备招标</w:t>
      </w:r>
      <w:r>
        <w:rPr>
          <w:color w:val="auto"/>
          <w:spacing w:val="-95"/>
          <w:highlight w:val="none"/>
        </w:rPr>
        <w:t xml:space="preserve"> </w:t>
      </w:r>
      <w:r>
        <w:rPr>
          <w:rFonts w:hint="eastAsia"/>
          <w:color w:val="auto"/>
          <w:highlight w:val="none"/>
        </w:rPr>
        <w:t>条件</w:t>
      </w:r>
      <w:bookmarkEnd w:id="10"/>
      <w:r>
        <w:rPr>
          <w:rFonts w:hint="eastAsia"/>
          <w:color w:val="auto"/>
          <w:highlight w:val="none"/>
        </w:rPr>
        <w:t>，现对该项目的</w:t>
      </w:r>
      <w:r>
        <w:rPr>
          <w:color w:val="auto"/>
          <w:highlight w:val="none"/>
          <w:u w:val="single"/>
        </w:rPr>
        <w:t xml:space="preserve"> </w:t>
      </w:r>
      <w:r>
        <w:rPr>
          <w:rFonts w:hint="eastAsia"/>
          <w:color w:val="auto"/>
          <w:highlight w:val="none"/>
          <w:u w:val="single"/>
        </w:rPr>
        <w:t>越润集成电路（绍兴）有限公司下一代异构集成先进封装技术及DDIC项目工程</w:t>
      </w:r>
      <w:r>
        <w:rPr>
          <w:rFonts w:hint="eastAsia"/>
          <w:color w:val="auto"/>
          <w:highlight w:val="none"/>
        </w:rPr>
        <w:t>总承包进行公开招标。</w:t>
      </w:r>
    </w:p>
    <w:p w14:paraId="17CC1CDA">
      <w:pPr>
        <w:spacing w:line="360" w:lineRule="auto"/>
        <w:ind w:firstLine="643" w:firstLineChars="200"/>
        <w:rPr>
          <w:rFonts w:hint="eastAsia" w:ascii="宋体" w:hAnsi="宋体"/>
          <w:b/>
          <w:color w:val="auto"/>
          <w:sz w:val="32"/>
          <w:szCs w:val="32"/>
          <w:highlight w:val="none"/>
        </w:rPr>
      </w:pPr>
      <w:bookmarkStart w:id="11" w:name="bookmark3"/>
      <w:bookmarkEnd w:id="11"/>
      <w:bookmarkStart w:id="12" w:name="_Toc20011"/>
      <w:bookmarkStart w:id="13" w:name="_Toc22827969"/>
      <w:bookmarkStart w:id="14" w:name="_Toc24050270"/>
      <w:bookmarkStart w:id="15" w:name="_Toc26001997"/>
      <w:bookmarkStart w:id="16" w:name="_Toc26002050"/>
      <w:bookmarkStart w:id="17" w:name="_Toc45697221"/>
      <w:bookmarkStart w:id="18" w:name="_Toc22828052"/>
      <w:r>
        <w:rPr>
          <w:rFonts w:ascii="宋体" w:hAnsi="宋体"/>
          <w:b/>
          <w:color w:val="auto"/>
          <w:sz w:val="32"/>
          <w:szCs w:val="32"/>
          <w:highlight w:val="none"/>
        </w:rPr>
        <w:t>2.项目概况与招标范围</w:t>
      </w:r>
      <w:bookmarkEnd w:id="12"/>
      <w:bookmarkEnd w:id="13"/>
      <w:bookmarkEnd w:id="14"/>
      <w:bookmarkEnd w:id="15"/>
      <w:bookmarkEnd w:id="16"/>
      <w:bookmarkEnd w:id="17"/>
      <w:bookmarkEnd w:id="18"/>
      <w:bookmarkStart w:id="19" w:name="_Hlk24015039"/>
    </w:p>
    <w:p w14:paraId="0C7B9D55">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color w:val="auto"/>
          <w:spacing w:val="-1"/>
          <w:highlight w:val="none"/>
          <w:u w:val="single"/>
        </w:rPr>
      </w:pPr>
      <w:r>
        <w:rPr>
          <w:rFonts w:ascii="宋体" w:hAnsi="宋体"/>
          <w:color w:val="auto"/>
          <w:highlight w:val="none"/>
        </w:rPr>
        <w:t>2.1</w:t>
      </w:r>
      <w:r>
        <w:rPr>
          <w:rFonts w:hint="eastAsia" w:ascii="宋体" w:hAnsi="宋体"/>
          <w:color w:val="auto"/>
          <w:highlight w:val="none"/>
        </w:rPr>
        <w:t>项目概况：本项目投资估算</w:t>
      </w:r>
      <w:r>
        <w:rPr>
          <w:rFonts w:hint="eastAsia"/>
          <w:color w:val="auto"/>
          <w:spacing w:val="-1"/>
          <w:highlight w:val="none"/>
          <w:u w:val="single"/>
        </w:rPr>
        <w:t>约14000万</w:t>
      </w:r>
      <w:r>
        <w:rPr>
          <w:rFonts w:hint="eastAsia" w:ascii="宋体" w:hAnsi="宋体"/>
          <w:color w:val="auto"/>
          <w:highlight w:val="none"/>
        </w:rPr>
        <w:t>元，</w:t>
      </w:r>
      <w:r>
        <w:rPr>
          <w:rFonts w:hint="eastAsia" w:ascii="宋体" w:hAnsi="宋体"/>
          <w:color w:val="auto"/>
          <w:highlight w:val="none"/>
        </w:rPr>
        <w:t>工程概算</w:t>
      </w:r>
      <w:r>
        <w:rPr>
          <w:rFonts w:hint="eastAsia"/>
          <w:color w:val="auto"/>
          <w:spacing w:val="-1"/>
          <w:highlight w:val="none"/>
          <w:u w:val="single"/>
        </w:rPr>
        <w:t>约13000</w:t>
      </w:r>
      <w:r>
        <w:rPr>
          <w:rFonts w:hint="eastAsia" w:ascii="宋体" w:hAnsi="宋体"/>
          <w:color w:val="auto"/>
          <w:highlight w:val="none"/>
        </w:rPr>
        <w:t>万元，其中建安工程造价</w:t>
      </w:r>
      <w:r>
        <w:rPr>
          <w:rFonts w:hint="eastAsia"/>
          <w:color w:val="auto"/>
          <w:spacing w:val="-1"/>
          <w:highlight w:val="none"/>
          <w:u w:val="single"/>
        </w:rPr>
        <w:t>约</w:t>
      </w:r>
      <w:r>
        <w:rPr>
          <w:rFonts w:hint="eastAsia"/>
          <w:color w:val="auto"/>
          <w:spacing w:val="-1"/>
          <w:highlight w:val="none"/>
          <w:u w:val="single"/>
        </w:rPr>
        <w:t>11800</w:t>
      </w:r>
      <w:r>
        <w:rPr>
          <w:rFonts w:hint="eastAsia" w:ascii="宋体" w:hAnsi="宋体"/>
          <w:color w:val="auto"/>
          <w:highlight w:val="none"/>
        </w:rPr>
        <w:t>万元</w:t>
      </w:r>
      <w:r>
        <w:rPr>
          <w:rFonts w:hint="eastAsia" w:ascii="宋体" w:hAnsi="宋体"/>
          <w:color w:val="auto"/>
          <w:highlight w:val="none"/>
        </w:rPr>
        <w:t>，建设规模：</w:t>
      </w:r>
      <w:r>
        <w:rPr>
          <w:rFonts w:hint="eastAsia" w:ascii="宋体" w:hAnsi="宋体"/>
          <w:color w:val="auto"/>
          <w:highlight w:val="none"/>
          <w:u w:val="single"/>
        </w:rPr>
        <w:t>本项目建筑面积约14557㎡，</w:t>
      </w:r>
      <w:r>
        <w:rPr>
          <w:rFonts w:hint="eastAsia" w:ascii="宋体" w:hAnsi="宋体"/>
          <w:color w:val="auto"/>
          <w:highlight w:val="none"/>
          <w:u w:val="single"/>
        </w:rPr>
        <w:t>其中洁净室面积约7537㎡（洁净室等级6级面积约6550m²，洁净室等级5级面积约987m²），辅房及其他区域面积约7020㎡</w:t>
      </w:r>
      <w:r>
        <w:rPr>
          <w:rFonts w:hint="eastAsia"/>
          <w:color w:val="auto"/>
          <w:spacing w:val="-1"/>
          <w:highlight w:val="none"/>
          <w:u w:val="single"/>
        </w:rPr>
        <w:t>。</w:t>
      </w:r>
    </w:p>
    <w:p w14:paraId="7D4F79F3">
      <w:pPr>
        <w:tabs>
          <w:tab w:val="left" w:pos="1343"/>
          <w:tab w:val="left" w:pos="2697"/>
          <w:tab w:val="left" w:pos="3264"/>
          <w:tab w:val="left" w:pos="4896"/>
          <w:tab w:val="left" w:pos="6005"/>
          <w:tab w:val="left" w:pos="7085"/>
          <w:tab w:val="left" w:pos="7498"/>
        </w:tabs>
        <w:kinsoku w:val="0"/>
        <w:snapToGrid w:val="0"/>
        <w:spacing w:line="420" w:lineRule="exact"/>
        <w:ind w:firstLine="480" w:firstLineChars="200"/>
        <w:rPr>
          <w:rFonts w:hint="eastAsia" w:ascii="宋体" w:hAnsi="宋体" w:cs="宋体"/>
          <w:color w:val="auto"/>
          <w:kern w:val="2"/>
          <w:highlight w:val="none"/>
        </w:rPr>
      </w:pPr>
      <w:r>
        <w:rPr>
          <w:rFonts w:hint="eastAsia" w:ascii="宋体" w:hAnsi="宋体"/>
          <w:color w:val="auto"/>
          <w:highlight w:val="none"/>
        </w:rPr>
        <w:t>建设地点：</w:t>
      </w:r>
      <w:r>
        <w:rPr>
          <w:rFonts w:hint="eastAsia" w:ascii="宋体" w:hAnsi="宋体" w:cs="宋体"/>
          <w:color w:val="auto"/>
          <w:highlight w:val="none"/>
          <w:u w:val="single"/>
        </w:rPr>
        <w:t>绍兴市越城区临江路500号</w:t>
      </w:r>
      <w:r>
        <w:rPr>
          <w:rFonts w:hint="eastAsia" w:ascii="宋体" w:hAnsi="宋体"/>
          <w:color w:val="auto"/>
          <w:highlight w:val="none"/>
        </w:rPr>
        <w:t>，</w:t>
      </w:r>
      <w:r>
        <w:rPr>
          <w:rFonts w:hint="eastAsia" w:ascii="宋体" w:hAnsi="宋体" w:cs="宋体"/>
          <w:color w:val="auto"/>
          <w:kern w:val="2"/>
          <w:highlight w:val="none"/>
        </w:rPr>
        <w:t>□</w:t>
      </w:r>
      <w:r>
        <w:rPr>
          <w:rFonts w:hint="eastAsia" w:ascii="宋体" w:hAnsi="宋体" w:cs="宋体"/>
          <w:strike/>
          <w:color w:val="auto"/>
          <w:kern w:val="2"/>
          <w:highlight w:val="none"/>
          <w:u w:val="single"/>
        </w:rPr>
        <w:t>本工程按绿色建筑三星级标准实施</w:t>
      </w:r>
      <w:r>
        <w:rPr>
          <w:rFonts w:hint="eastAsia" w:ascii="宋体" w:hAnsi="宋体" w:cs="宋体"/>
          <w:strike/>
          <w:color w:val="auto"/>
          <w:kern w:val="2"/>
          <w:highlight w:val="none"/>
        </w:rPr>
        <w:t>。</w:t>
      </w:r>
    </w:p>
    <w:p w14:paraId="6D0668B2">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u w:val="single"/>
        </w:rPr>
      </w:pPr>
      <w:r>
        <w:rPr>
          <w:rFonts w:ascii="宋体" w:hAnsi="宋体"/>
          <w:color w:val="auto"/>
          <w:highlight w:val="none"/>
        </w:rPr>
        <w:t>2.2本次</w:t>
      </w:r>
      <w:r>
        <w:rPr>
          <w:rFonts w:hint="eastAsia" w:ascii="宋体" w:hAnsi="宋体"/>
          <w:color w:val="auto"/>
          <w:highlight w:val="none"/>
        </w:rPr>
        <w:t>招标范围：</w:t>
      </w:r>
      <w:r>
        <w:rPr>
          <w:rFonts w:hint="eastAsia" w:ascii="宋体" w:hAnsi="宋体"/>
          <w:color w:val="auto"/>
          <w:highlight w:val="none"/>
          <w:u w:val="single"/>
        </w:rPr>
        <w:t>主要涵盖A1厂房的洁净室装修及配套动力设施安装（洁净室新风处理系统、洁净室FFU系统、洁净室干式冷盘管系统、一般机电系统、工艺排气处理系统、工艺真空系统、清扫真空系统、工艺冷却水系统、冷热源供应系统、紧急冲淋和洗眼系统、中低压系统、自控系统（FMCS）、一般空调系统、纯废水/废液系统、给排水系统、集中供液系统、压缩空气系统、气体管道系统（4种）、消防系统、安防含监控网络系统、ESD系统等）。一切项目内容，直至验收检测合格交付至建设单位使用。</w:t>
      </w:r>
    </w:p>
    <w:p w14:paraId="29EB539A">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u w:val="single"/>
        </w:rPr>
      </w:pPr>
      <w:r>
        <w:rPr>
          <w:rFonts w:hint="eastAsia" w:ascii="宋体" w:hAnsi="宋体"/>
          <w:color w:val="auto"/>
          <w:highlight w:val="none"/>
          <w:u w:val="single"/>
        </w:rPr>
        <w:t>设计范围：完成本项目施工图设计、深化设计等所有项目设计内容。若项目实施过程中有新增加的相关设计内容，设计单位须无条件配合，设计费用也不再增加。</w:t>
      </w:r>
    </w:p>
    <w:p w14:paraId="43F2F3D1">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u w:val="single"/>
        </w:rPr>
      </w:pPr>
      <w:r>
        <w:rPr>
          <w:rFonts w:hint="eastAsia" w:ascii="宋体" w:hAnsi="宋体"/>
          <w:color w:val="auto"/>
          <w:highlight w:val="none"/>
          <w:u w:val="single"/>
        </w:rPr>
        <w:t>施工范围：施工图设计范围内的所有施工内容，具体包括但不限于：装饰工程、安装工程、设备工程、设备供应等项目所包含的专业和内容。</w:t>
      </w:r>
    </w:p>
    <w:p w14:paraId="5A806D98">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u w:val="single"/>
        </w:rPr>
      </w:pPr>
      <w:r>
        <w:rPr>
          <w:rFonts w:hint="eastAsia" w:ascii="宋体" w:hAnsi="宋体"/>
          <w:color w:val="auto"/>
          <w:highlight w:val="none"/>
          <w:u w:val="single"/>
        </w:rPr>
        <w:t>其他内容：完成施工图预算编制及审查配合、配合招标人完成各种报审工作、部门协调配合工作等相关内容。</w:t>
      </w:r>
    </w:p>
    <w:p w14:paraId="0BF943CD">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本次招标控制价</w:t>
      </w:r>
      <w:r>
        <w:rPr>
          <w:rFonts w:hint="eastAsia"/>
          <w:b/>
          <w:bCs/>
          <w:color w:val="auto"/>
          <w:spacing w:val="-1"/>
          <w:highlight w:val="none"/>
          <w:u w:val="single"/>
        </w:rPr>
        <w:t>约</w:t>
      </w:r>
      <w:r>
        <w:rPr>
          <w:rFonts w:hint="eastAsia"/>
          <w:color w:val="auto"/>
          <w:spacing w:val="-1"/>
          <w:highlight w:val="none"/>
          <w:u w:val="single"/>
        </w:rPr>
        <w:t>11800万元</w:t>
      </w:r>
      <w:r>
        <w:rPr>
          <w:rFonts w:hint="eastAsia" w:ascii="宋体" w:hAnsi="宋体"/>
          <w:color w:val="auto"/>
          <w:highlight w:val="none"/>
          <w:u w:val="single"/>
        </w:rPr>
        <w:t>【</w:t>
      </w:r>
      <w:r>
        <w:rPr>
          <w:rFonts w:hint="eastAsia"/>
          <w:color w:val="auto"/>
          <w:spacing w:val="-1"/>
          <w:highlight w:val="none"/>
          <w:u w:val="single"/>
        </w:rPr>
        <w:t>包括施工图设计、工程建设费用等相关内容，其中建安费：</w:t>
      </w:r>
      <w:r>
        <w:rPr>
          <w:rFonts w:hint="eastAsia"/>
          <w:b/>
          <w:bCs/>
          <w:color w:val="auto"/>
          <w:spacing w:val="-1"/>
          <w:highlight w:val="none"/>
          <w:u w:val="single"/>
        </w:rPr>
        <w:t>约</w:t>
      </w:r>
      <w:r>
        <w:rPr>
          <w:rFonts w:hint="eastAsia"/>
          <w:color w:val="auto"/>
          <w:spacing w:val="-1"/>
          <w:highlight w:val="none"/>
          <w:u w:val="single"/>
        </w:rPr>
        <w:t>11084万元；施工图设计费约116万元，暂列金额（预备费）约     600万元</w:t>
      </w:r>
      <w:r>
        <w:rPr>
          <w:rFonts w:hint="eastAsia"/>
          <w:color w:val="auto"/>
          <w:highlight w:val="none"/>
          <w:u w:val="single"/>
        </w:rPr>
        <w:t>（预备费不参与竞争）</w:t>
      </w:r>
      <w:r>
        <w:rPr>
          <w:rFonts w:hint="eastAsia" w:ascii="宋体" w:hAnsi="宋体"/>
          <w:color w:val="auto"/>
          <w:highlight w:val="none"/>
          <w:u w:val="single"/>
        </w:rPr>
        <w:t>】</w:t>
      </w:r>
      <w:r>
        <w:rPr>
          <w:rFonts w:hint="eastAsia"/>
          <w:color w:val="auto"/>
          <w:spacing w:val="-1"/>
          <w:highlight w:val="none"/>
          <w:u w:val="single"/>
        </w:rPr>
        <w:t>。</w:t>
      </w:r>
    </w:p>
    <w:p w14:paraId="74AAD24E">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b/>
          <w:bCs/>
          <w:color w:val="auto"/>
          <w:highlight w:val="none"/>
        </w:rPr>
      </w:pPr>
      <w:r>
        <w:rPr>
          <w:rFonts w:ascii="宋体" w:hAnsi="宋体"/>
          <w:color w:val="auto"/>
          <w:highlight w:val="none"/>
        </w:rPr>
        <w:t>2.3</w:t>
      </w:r>
      <w:r>
        <w:rPr>
          <w:rFonts w:hint="eastAsia" w:ascii="宋体" w:hAnsi="宋体"/>
          <w:color w:val="auto"/>
          <w:highlight w:val="none"/>
        </w:rPr>
        <w:t>计划工期：</w:t>
      </w:r>
      <w:r>
        <w:rPr>
          <w:rFonts w:hint="eastAsia" w:ascii="宋体" w:hAnsi="宋体"/>
          <w:b/>
          <w:bCs/>
          <w:color w:val="auto"/>
          <w:highlight w:val="none"/>
          <w:u w:val="single"/>
        </w:rPr>
        <w:t>90日历天（含施工图设计15日历天及施工等所有内容的完成时间）</w:t>
      </w:r>
      <w:r>
        <w:rPr>
          <w:rFonts w:hint="eastAsia" w:ascii="宋体" w:hAnsi="宋体"/>
          <w:b/>
          <w:bCs/>
          <w:color w:val="auto"/>
          <w:highlight w:val="none"/>
        </w:rPr>
        <w:t>。</w:t>
      </w:r>
    </w:p>
    <w:p w14:paraId="5852FB70">
      <w:pPr>
        <w:pStyle w:val="17"/>
        <w:ind w:firstLine="480" w:firstLineChars="200"/>
        <w:jc w:val="both"/>
        <w:rPr>
          <w:rFonts w:hint="eastAsia"/>
          <w:color w:val="auto"/>
          <w:highlight w:val="none"/>
        </w:rPr>
      </w:pPr>
      <w:r>
        <w:rPr>
          <w:rFonts w:hint="eastAsia"/>
          <w:color w:val="auto"/>
          <w:highlight w:val="none"/>
        </w:rPr>
        <w:t>2.4其他：</w:t>
      </w:r>
      <w:r>
        <w:rPr>
          <w:rFonts w:hint="eastAsia"/>
          <w:color w:val="auto"/>
          <w:highlight w:val="none"/>
          <w:u w:val="single"/>
        </w:rPr>
        <w:t>设计质量要求达到现行国家、行业及地方的设计标准、设计规范、设计规程及相关规定，如需进行施工图审查的项目必须通过施工图审查；施工质量要求符合验收规范合格标准；设备要求满足生产能力要求质量合格，安装工作需遵照国家有关安装工程施工技术规程、规范标准。</w:t>
      </w:r>
      <w:bookmarkEnd w:id="19"/>
    </w:p>
    <w:p w14:paraId="0284D055">
      <w:pPr>
        <w:spacing w:line="360" w:lineRule="auto"/>
        <w:ind w:firstLine="480" w:firstLineChars="200"/>
        <w:rPr>
          <w:rFonts w:hint="eastAsia" w:ascii="宋体" w:hAnsi="宋体"/>
          <w:color w:val="auto"/>
          <w:highlight w:val="none"/>
        </w:rPr>
      </w:pPr>
      <w:r>
        <w:rPr>
          <w:rFonts w:hint="eastAsia" w:ascii="宋体" w:hAnsi="宋体"/>
          <w:color w:val="auto"/>
          <w:highlight w:val="none"/>
        </w:rPr>
        <w:t>2.5 是否属于政府采购工程   □是  ☑否</w:t>
      </w:r>
    </w:p>
    <w:p w14:paraId="3C38FBC9">
      <w:pPr>
        <w:spacing w:line="360" w:lineRule="auto"/>
        <w:ind w:firstLine="480" w:firstLineChars="200"/>
        <w:rPr>
          <w:rFonts w:hint="eastAsia" w:ascii="宋体" w:hAnsi="宋体"/>
          <w:color w:val="auto"/>
          <w:highlight w:val="none"/>
        </w:rPr>
      </w:pPr>
      <w:r>
        <w:rPr>
          <w:rFonts w:hint="eastAsia" w:ascii="宋体" w:hAnsi="宋体"/>
          <w:color w:val="auto"/>
          <w:highlight w:val="none"/>
        </w:rPr>
        <w:t xml:space="preserve">2.6 是否专门面向中小企业预留  </w:t>
      </w:r>
    </w:p>
    <w:p w14:paraId="71201C9E">
      <w:pPr>
        <w:spacing w:line="360" w:lineRule="auto"/>
        <w:ind w:firstLine="480" w:firstLineChars="200"/>
        <w:rPr>
          <w:rFonts w:hint="eastAsia" w:ascii="宋体" w:hAnsi="宋体"/>
          <w:color w:val="auto"/>
          <w:highlight w:val="none"/>
        </w:rPr>
      </w:pPr>
      <w:r>
        <w:rPr>
          <w:rFonts w:hint="eastAsia" w:ascii="宋体" w:hAnsi="宋体"/>
          <w:color w:val="auto"/>
          <w:highlight w:val="none"/>
        </w:rPr>
        <w:t xml:space="preserve">□是  </w:t>
      </w:r>
    </w:p>
    <w:p w14:paraId="77F6DEFE">
      <w:pPr>
        <w:spacing w:line="360" w:lineRule="auto"/>
        <w:ind w:firstLine="480" w:firstLineChars="200"/>
        <w:rPr>
          <w:rFonts w:hint="eastAsia" w:ascii="宋体" w:hAnsi="宋体"/>
          <w:color w:val="auto"/>
          <w:highlight w:val="none"/>
        </w:rPr>
      </w:pPr>
      <w:r>
        <w:rPr>
          <w:rFonts w:hint="eastAsia" w:ascii="宋体" w:hAnsi="宋体"/>
          <w:color w:val="auto"/>
          <w:highlight w:val="none"/>
        </w:rPr>
        <w:t>☑否 （不专门面向中小企业采购的原因及适用条款）</w:t>
      </w:r>
    </w:p>
    <w:p w14:paraId="54D5B161">
      <w:pPr>
        <w:spacing w:line="360" w:lineRule="auto"/>
        <w:ind w:firstLine="480" w:firstLineChars="200"/>
        <w:rPr>
          <w:rFonts w:hint="eastAsia" w:ascii="宋体" w:hAnsi="宋体"/>
          <w:color w:val="auto"/>
          <w:highlight w:val="none"/>
        </w:rPr>
      </w:pPr>
      <w:r>
        <w:rPr>
          <w:rFonts w:hint="eastAsia" w:ascii="宋体" w:hAnsi="宋体"/>
          <w:color w:val="auto"/>
          <w:highlight w:val="none"/>
        </w:rPr>
        <w:t>2.7 专门面向中小企业预留的实施方式</w:t>
      </w:r>
    </w:p>
    <w:p w14:paraId="2502C0DD">
      <w:pPr>
        <w:spacing w:line="360" w:lineRule="auto"/>
        <w:ind w:firstLine="480" w:firstLineChars="200"/>
        <w:rPr>
          <w:rFonts w:hint="eastAsia" w:ascii="宋体" w:hAnsi="宋体"/>
          <w:color w:val="auto"/>
          <w:highlight w:val="none"/>
        </w:rPr>
      </w:pPr>
      <w:r>
        <w:rPr>
          <w:rFonts w:hint="eastAsia" w:ascii="宋体" w:hAnsi="宋体"/>
          <w:color w:val="auto"/>
          <w:highlight w:val="none"/>
        </w:rPr>
        <w:t>□2.7.1本标段整体面向中小企业；</w:t>
      </w:r>
    </w:p>
    <w:p w14:paraId="75ADA3F7">
      <w:pPr>
        <w:spacing w:line="360" w:lineRule="auto"/>
        <w:ind w:firstLine="480" w:firstLineChars="200"/>
        <w:rPr>
          <w:rFonts w:hint="eastAsia" w:ascii="宋体" w:hAnsi="宋体"/>
          <w:color w:val="auto"/>
          <w:highlight w:val="none"/>
        </w:rPr>
      </w:pPr>
      <w:r>
        <w:rPr>
          <w:rFonts w:hint="eastAsia" w:ascii="宋体" w:hAnsi="宋体"/>
          <w:color w:val="auto"/>
          <w:highlight w:val="none"/>
        </w:rPr>
        <w:t>□2.7.2本标段联合体形式面向中小企业，以联合体形式参加本次投标的，联合体中中小企业承担的合同份额需达到（不低于40%）以上。</w:t>
      </w:r>
    </w:p>
    <w:p w14:paraId="21783816">
      <w:pPr>
        <w:spacing w:line="360" w:lineRule="auto"/>
        <w:ind w:firstLine="643" w:firstLineChars="200"/>
        <w:rPr>
          <w:rFonts w:hint="eastAsia" w:ascii="宋体" w:hAnsi="宋体"/>
          <w:b/>
          <w:color w:val="auto"/>
          <w:sz w:val="32"/>
          <w:szCs w:val="32"/>
          <w:highlight w:val="none"/>
        </w:rPr>
      </w:pPr>
      <w:bookmarkStart w:id="20" w:name="bookmark4"/>
      <w:bookmarkEnd w:id="20"/>
      <w:bookmarkStart w:id="21" w:name="_Toc22828053"/>
      <w:bookmarkStart w:id="22" w:name="_Toc45697222"/>
      <w:bookmarkStart w:id="23" w:name="_Toc6739"/>
      <w:bookmarkStart w:id="24" w:name="_Toc22827970"/>
      <w:bookmarkStart w:id="25" w:name="_Toc24050271"/>
      <w:bookmarkStart w:id="26" w:name="_Toc26002051"/>
      <w:bookmarkStart w:id="27" w:name="_Toc26001998"/>
      <w:r>
        <w:rPr>
          <w:rFonts w:ascii="宋体" w:hAnsi="宋体"/>
          <w:b/>
          <w:color w:val="auto"/>
          <w:sz w:val="32"/>
          <w:szCs w:val="32"/>
          <w:highlight w:val="none"/>
        </w:rPr>
        <w:t>3.投标人资格要求</w:t>
      </w:r>
      <w:bookmarkEnd w:id="21"/>
      <w:bookmarkEnd w:id="22"/>
      <w:bookmarkEnd w:id="23"/>
      <w:bookmarkEnd w:id="24"/>
      <w:bookmarkEnd w:id="25"/>
      <w:bookmarkEnd w:id="26"/>
      <w:bookmarkEnd w:id="27"/>
    </w:p>
    <w:p w14:paraId="1C0C797D">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bookmarkStart w:id="28" w:name="_Hlk54099124"/>
      <w:r>
        <w:rPr>
          <w:rFonts w:hint="eastAsia" w:ascii="宋体" w:hAnsi="宋体"/>
          <w:color w:val="auto"/>
          <w:highlight w:val="none"/>
          <w:shd w:val="clear" w:color="auto" w:fill="FFFFFF"/>
        </w:rPr>
        <w:t>（一）投标人</w:t>
      </w:r>
      <w:r>
        <w:rPr>
          <w:rFonts w:hint="eastAsia" w:ascii="宋体" w:hAnsi="宋体"/>
          <w:color w:val="auto"/>
          <w:highlight w:val="none"/>
        </w:rPr>
        <w:t>：</w:t>
      </w:r>
    </w:p>
    <w:p w14:paraId="259D6D8E">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ascii="宋体" w:hAnsi="宋体"/>
          <w:color w:val="auto"/>
          <w:highlight w:val="none"/>
        </w:rPr>
        <w:t>3.1</w:t>
      </w:r>
      <w:r>
        <w:rPr>
          <w:rFonts w:hint="eastAsia" w:ascii="宋体" w:hAnsi="宋体"/>
          <w:color w:val="auto"/>
          <w:highlight w:val="none"/>
        </w:rPr>
        <w:t>具备</w:t>
      </w:r>
      <w:r>
        <w:rPr>
          <w:rFonts w:ascii="宋体" w:hAnsi="宋体"/>
          <w:color w:val="auto"/>
          <w:highlight w:val="none"/>
          <w:u w:val="single"/>
        </w:rPr>
        <w:tab/>
      </w:r>
      <w:r>
        <w:rPr>
          <w:rFonts w:hint="eastAsia" w:ascii="宋体" w:hAnsi="宋体"/>
          <w:color w:val="auto"/>
          <w:highlight w:val="none"/>
          <w:u w:val="single"/>
        </w:rPr>
        <w:t>以下3.1.1、3.1.2条件</w:t>
      </w:r>
      <w:r>
        <w:rPr>
          <w:rFonts w:ascii="宋体" w:hAnsi="宋体"/>
          <w:color w:val="auto"/>
          <w:highlight w:val="none"/>
          <w:u w:val="single"/>
        </w:rPr>
        <w:t xml:space="preserve"> </w:t>
      </w:r>
      <w:r>
        <w:rPr>
          <w:rFonts w:hint="eastAsia" w:ascii="宋体" w:hAnsi="宋体"/>
          <w:color w:val="auto"/>
          <w:highlight w:val="none"/>
        </w:rPr>
        <w:t>资质：</w:t>
      </w:r>
    </w:p>
    <w:p w14:paraId="23809C75">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u w:val="single"/>
        </w:rPr>
      </w:pPr>
      <w:bookmarkStart w:id="29" w:name="_Hlk218326080"/>
      <w:r>
        <w:rPr>
          <w:rFonts w:hint="eastAsia" w:ascii="宋体" w:hAnsi="宋体"/>
          <w:color w:val="auto"/>
          <w:highlight w:val="none"/>
          <w:u w:val="single"/>
        </w:rPr>
        <w:t>3.1.1设计资质条件：具</w:t>
      </w:r>
      <w:r>
        <w:rPr>
          <w:rFonts w:hint="eastAsia" w:ascii="宋体" w:hAnsi="宋体"/>
          <w:color w:val="auto"/>
          <w:highlight w:val="none"/>
          <w:u w:val="single"/>
        </w:rPr>
        <w:t>有工程设计综合甲级或工程设计建筑行业甲级或建筑行业（建筑工程）甲级</w:t>
      </w:r>
      <w:r>
        <w:rPr>
          <w:rFonts w:hint="eastAsia" w:ascii="宋体" w:hAnsi="宋体"/>
          <w:color w:val="auto"/>
          <w:highlight w:val="none"/>
          <w:u w:val="single"/>
        </w:rPr>
        <w:t>。</w:t>
      </w:r>
    </w:p>
    <w:p w14:paraId="17FEED01">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u w:val="single"/>
        </w:rPr>
      </w:pPr>
      <w:r>
        <w:rPr>
          <w:rFonts w:hint="eastAsia" w:ascii="宋体" w:hAnsi="宋体"/>
          <w:color w:val="auto"/>
          <w:highlight w:val="none"/>
          <w:u w:val="single"/>
        </w:rPr>
        <w:t>3.1.2施工资质条件：具有建设行政主管部门核发的建筑装修装饰工程专业承包</w:t>
      </w:r>
      <w:r>
        <w:rPr>
          <w:rFonts w:hint="eastAsia" w:ascii="宋体" w:hAnsi="宋体"/>
          <w:color w:val="auto"/>
          <w:highlight w:val="none"/>
          <w:u w:val="single"/>
        </w:rPr>
        <w:t>一级</w:t>
      </w:r>
      <w:r>
        <w:rPr>
          <w:rFonts w:hint="eastAsia" w:ascii="宋体" w:hAnsi="宋体"/>
          <w:color w:val="auto"/>
          <w:highlight w:val="none"/>
          <w:u w:val="single"/>
        </w:rPr>
        <w:t>和建筑机电安装工程专业承包</w:t>
      </w:r>
      <w:r>
        <w:rPr>
          <w:rFonts w:hint="eastAsia" w:ascii="宋体" w:hAnsi="宋体"/>
          <w:color w:val="auto"/>
          <w:highlight w:val="none"/>
          <w:u w:val="single"/>
        </w:rPr>
        <w:t>一级。</w:t>
      </w:r>
      <w:r>
        <w:rPr>
          <w:rFonts w:hint="eastAsia" w:ascii="宋体" w:hAnsi="宋体"/>
          <w:color w:val="auto"/>
          <w:highlight w:val="none"/>
          <w:u w:val="single"/>
        </w:rPr>
        <w:t>（对应资质应在“浙江省建筑市场监管公共服务系统”上资质动态核查结果处于“合格”状态）。</w:t>
      </w:r>
      <w:bookmarkEnd w:id="29"/>
    </w:p>
    <w:p w14:paraId="29D6F131">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ascii="宋体" w:hAnsi="宋体"/>
          <w:color w:val="auto"/>
          <w:highlight w:val="none"/>
        </w:rPr>
        <w:t>3.2</w:t>
      </w:r>
      <w:r>
        <w:rPr>
          <w:rFonts w:hint="eastAsia" w:ascii="宋体" w:hAnsi="宋体"/>
          <w:color w:val="auto"/>
          <w:highlight w:val="none"/>
        </w:rPr>
        <w:t>本次招标（☑接受/□不接受</w:t>
      </w:r>
      <w:r>
        <w:rPr>
          <w:rFonts w:ascii="宋体" w:hAnsi="宋体"/>
          <w:color w:val="auto"/>
          <w:highlight w:val="none"/>
        </w:rPr>
        <w:t>）</w:t>
      </w:r>
      <w:r>
        <w:rPr>
          <w:rFonts w:hint="eastAsia" w:ascii="宋体" w:hAnsi="宋体"/>
          <w:color w:val="auto"/>
          <w:highlight w:val="none"/>
        </w:rPr>
        <w:t>联合体投标。☑联合体投标的，应满足下列要求：</w:t>
      </w:r>
    </w:p>
    <w:p w14:paraId="35EFB6A0">
      <w:pPr>
        <w:tabs>
          <w:tab w:val="left" w:pos="1343"/>
          <w:tab w:val="left" w:pos="2697"/>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3.2.</w:t>
      </w:r>
      <w:r>
        <w:rPr>
          <w:rFonts w:ascii="宋体" w:hAnsi="宋体"/>
          <w:color w:val="auto"/>
          <w:highlight w:val="none"/>
        </w:rPr>
        <w:t>1</w:t>
      </w:r>
      <w:r>
        <w:rPr>
          <w:rFonts w:hint="eastAsia" w:ascii="宋体" w:hAnsi="宋体"/>
          <w:color w:val="auto"/>
          <w:highlight w:val="none"/>
        </w:rPr>
        <w:t>项目负责人由牵头单位人员委派</w:t>
      </w:r>
      <w:r>
        <w:rPr>
          <w:rFonts w:ascii="宋体" w:hAnsi="宋体"/>
          <w:color w:val="auto"/>
          <w:highlight w:val="none"/>
        </w:rPr>
        <w:t>；</w:t>
      </w:r>
    </w:p>
    <w:p w14:paraId="483DD916">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color w:val="auto"/>
          <w:highlight w:val="none"/>
        </w:rPr>
        <w:t>☑</w:t>
      </w:r>
      <w:r>
        <w:rPr>
          <w:rFonts w:hint="eastAsia" w:ascii="宋体" w:hAnsi="宋体"/>
          <w:color w:val="auto"/>
          <w:highlight w:val="none"/>
        </w:rPr>
        <w:t>3.2.2联合体数量不超过</w:t>
      </w:r>
      <w:r>
        <w:rPr>
          <w:rFonts w:hint="eastAsia" w:ascii="宋体" w:hAnsi="宋体"/>
          <w:color w:val="auto"/>
          <w:highlight w:val="none"/>
          <w:u w:val="single"/>
        </w:rPr>
        <w:t xml:space="preserve"> 2 </w:t>
      </w:r>
      <w:r>
        <w:rPr>
          <w:rFonts w:ascii="宋体" w:hAnsi="宋体"/>
          <w:color w:val="auto"/>
          <w:highlight w:val="none"/>
        </w:rPr>
        <w:t>个</w:t>
      </w:r>
      <w:r>
        <w:rPr>
          <w:rFonts w:hint="eastAsia" w:ascii="宋体" w:hAnsi="宋体"/>
          <w:color w:val="auto"/>
          <w:highlight w:val="none"/>
        </w:rPr>
        <w:t>；</w:t>
      </w:r>
    </w:p>
    <w:p w14:paraId="07BE0D58">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3.2.3联合体的各专业资质等级，根据联合体协议书约定的专业分工认定，相同专业单位组成的联合体，按照承担相应专业工作的资质等级较低的单位确定；不同专业单位组成的联合体，按照联合体协议分工所承担的专业工作对应各自的专业资质认定；</w:t>
      </w:r>
    </w:p>
    <w:p w14:paraId="21128F1C">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color w:val="auto"/>
          <w:highlight w:val="none"/>
        </w:rPr>
        <w:t>☑</w:t>
      </w:r>
      <w:r>
        <w:rPr>
          <w:rFonts w:hint="eastAsia" w:ascii="宋体" w:hAnsi="宋体"/>
          <w:color w:val="auto"/>
          <w:highlight w:val="none"/>
        </w:rPr>
        <w:t>3.2.4其他：</w:t>
      </w:r>
      <w:r>
        <w:rPr>
          <w:rFonts w:ascii="宋体" w:hAnsi="宋体"/>
          <w:color w:val="auto"/>
          <w:highlight w:val="none"/>
          <w:u w:val="single"/>
        </w:rPr>
        <w:t xml:space="preserve"> </w:t>
      </w:r>
      <w:r>
        <w:rPr>
          <w:rFonts w:hint="eastAsia" w:ascii="宋体" w:hAnsi="宋体"/>
          <w:color w:val="auto"/>
          <w:highlight w:val="none"/>
          <w:u w:val="single"/>
        </w:rPr>
        <w:t>（1）联合体牵头人须具有3.1.2资质，联合体牵头人负责项目实施全过程的统筹策划、协调、建设管理和工程施工等工作；</w:t>
      </w:r>
      <w:r>
        <w:rPr>
          <w:rFonts w:hint="eastAsia" w:ascii="宋体" w:hAnsi="宋体"/>
          <w:color w:val="auto"/>
          <w:highlight w:val="none"/>
          <w:u w:val="single"/>
        </w:rPr>
        <w:t>联合体其他成员至少应具备3.1规定的资质中的一小项资质；</w:t>
      </w:r>
      <w:r>
        <w:rPr>
          <w:rFonts w:hint="eastAsia" w:ascii="宋体" w:hAnsi="宋体"/>
          <w:color w:val="auto"/>
          <w:highlight w:val="none"/>
          <w:u w:val="single"/>
        </w:rPr>
        <w:t>（2）联合体各方不得再以自己名义单独或参加其他联合体在同一标段中投标；（3）联合体牵头人出具联合体协议，授权其代表所有联合体成员负责投标和合同实施阶段的主办、协调工作。</w:t>
      </w:r>
    </w:p>
    <w:p w14:paraId="6008EA1B">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color w:val="auto"/>
          <w:highlight w:val="none"/>
        </w:rPr>
        <w:t>☑</w:t>
      </w:r>
      <w:r>
        <w:rPr>
          <w:rFonts w:ascii="宋体" w:hAnsi="宋体"/>
          <w:color w:val="auto"/>
          <w:highlight w:val="none"/>
        </w:rPr>
        <w:t>3.3</w:t>
      </w:r>
      <w:r>
        <w:rPr>
          <w:rFonts w:hint="eastAsia" w:ascii="宋体" w:hAnsi="宋体"/>
          <w:color w:val="auto"/>
          <w:highlight w:val="none"/>
        </w:rPr>
        <w:t>具备有效的企业安全生产许可证（联合体投标的，承担施工工作的联合体成员均应提供）；</w:t>
      </w:r>
    </w:p>
    <w:p w14:paraId="5109EBD8">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color w:val="auto"/>
          <w:highlight w:val="none"/>
        </w:rPr>
        <w:t>☑</w:t>
      </w:r>
      <w:r>
        <w:rPr>
          <w:rFonts w:ascii="宋体" w:hAnsi="宋体"/>
          <w:color w:val="auto"/>
          <w:highlight w:val="none"/>
        </w:rPr>
        <w:t>3.4</w:t>
      </w:r>
      <w:r>
        <w:rPr>
          <w:rFonts w:hint="eastAsia" w:ascii="宋体" w:hAnsi="宋体"/>
          <w:color w:val="auto"/>
          <w:highlight w:val="none"/>
        </w:rPr>
        <w:t>自</w:t>
      </w:r>
      <w:r>
        <w:rPr>
          <w:rFonts w:hint="eastAsia" w:ascii="宋体" w:hAnsi="宋体"/>
          <w:color w:val="auto"/>
          <w:highlight w:val="none"/>
          <w:u w:val="single"/>
        </w:rPr>
        <w:t>2021</w:t>
      </w:r>
      <w:r>
        <w:rPr>
          <w:rFonts w:hint="eastAsia" w:ascii="宋体" w:hAnsi="宋体"/>
          <w:color w:val="auto"/>
          <w:highlight w:val="none"/>
        </w:rPr>
        <w:t>年</w:t>
      </w:r>
      <w:r>
        <w:rPr>
          <w:rFonts w:hint="eastAsia" w:ascii="宋体" w:hAnsi="宋体"/>
          <w:color w:val="auto"/>
          <w:highlight w:val="none"/>
          <w:u w:val="single"/>
        </w:rPr>
        <w:t>1</w:t>
      </w:r>
      <w:r>
        <w:rPr>
          <w:rFonts w:hint="eastAsia" w:ascii="宋体" w:hAnsi="宋体"/>
          <w:color w:val="auto"/>
          <w:highlight w:val="none"/>
        </w:rPr>
        <w:t>月</w:t>
      </w:r>
      <w:r>
        <w:rPr>
          <w:rFonts w:hint="eastAsia" w:ascii="宋体" w:hAnsi="宋体"/>
          <w:color w:val="auto"/>
          <w:highlight w:val="none"/>
          <w:u w:val="single"/>
        </w:rPr>
        <w:t>1</w:t>
      </w:r>
      <w:r>
        <w:rPr>
          <w:rFonts w:hint="eastAsia" w:ascii="宋体" w:hAnsi="宋体"/>
          <w:color w:val="auto"/>
          <w:highlight w:val="none"/>
        </w:rPr>
        <w:t>日以来完成过</w:t>
      </w:r>
      <w:r>
        <w:rPr>
          <w:rFonts w:hint="eastAsia" w:ascii="宋体" w:hAnsi="宋体"/>
          <w:color w:val="auto"/>
          <w:highlight w:val="none"/>
        </w:rPr>
        <w:t>单项洁净室等级6级（等同于洁净室千级）</w:t>
      </w:r>
      <w:r>
        <w:rPr>
          <w:rFonts w:hint="eastAsia" w:ascii="宋体" w:hAnsi="宋体"/>
          <w:color w:val="auto"/>
          <w:highlight w:val="none"/>
          <w:lang w:val="en-US" w:eastAsia="zh-CN"/>
        </w:rPr>
        <w:t>及</w:t>
      </w:r>
      <w:r>
        <w:rPr>
          <w:rFonts w:hint="eastAsia" w:ascii="宋体" w:hAnsi="宋体"/>
          <w:color w:val="auto"/>
          <w:highlight w:val="none"/>
        </w:rPr>
        <w:t>以</w:t>
      </w:r>
      <w:r>
        <w:rPr>
          <w:rFonts w:hint="eastAsia" w:ascii="宋体" w:hAnsi="宋体"/>
          <w:color w:val="auto"/>
          <w:highlight w:val="none"/>
        </w:rPr>
        <w:t>上的装修业绩。</w:t>
      </w:r>
    </w:p>
    <w:p w14:paraId="04A995BD">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注：（1）时间以竣工验收证明上的时间为准；投标人须以实际施工人身份完成工程业绩。</w:t>
      </w:r>
    </w:p>
    <w:p w14:paraId="78E22615">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（2）投标人（联合体投标的，则指联合体牵头人）业绩证明材料:</w:t>
      </w:r>
    </w:p>
    <w:p w14:paraId="16DBFD33">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①须同时提供合同、竣工验收证明【证明材料包括：竣工验收证书或竣工验收报告或竣工验收备案表】的复印件并加盖投标人公章，若缺其中任何一项则该业绩不予认可；</w:t>
      </w:r>
    </w:p>
    <w:p w14:paraId="108D53E3">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ascii="宋体" w:hAnsi="宋体" w:cs="宋体"/>
          <w:color w:val="auto"/>
          <w:highlight w:val="none"/>
        </w:rPr>
        <w:t>②</w:t>
      </w:r>
      <w:r>
        <w:rPr>
          <w:rFonts w:hint="eastAsia" w:ascii="宋体" w:hAnsi="宋体"/>
          <w:color w:val="auto"/>
          <w:highlight w:val="none"/>
        </w:rPr>
        <w:t>如上述证明资料所能承载的证明内容不能完全体现业绩要求的具体表述，需提供其他相关的竣工验收资料或业主证明（加盖业主公章）或项目所在地行业主管部门出具的证明材料并加盖公章。其他相关的竣工验收资料，仅指竣工验收阶段及之后签署的工程资料（如竣工图等）。如出现载明信息不一致时，以时间在后的资料为准。上述业绩证明材料所能承载的证明内容应符合业绩要求的具体表述，否则不予认可。</w:t>
      </w:r>
    </w:p>
    <w:p w14:paraId="74ABE47C">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③“洁净室等级”按照《</w:t>
      </w:r>
      <w:r>
        <w:rPr>
          <w:rFonts w:hint="default" w:ascii="宋体" w:hAnsi="宋体" w:eastAsia="宋体" w:cs="Times New Roman"/>
          <w:color w:val="auto"/>
          <w:highlight w:val="none"/>
        </w:rPr>
        <w:t>洁净室及相关受控环境 第1部分：按粒子浓度划分空气洁净度等级GBT 25915.1-2021</w:t>
      </w:r>
      <w:r>
        <w:rPr>
          <w:rFonts w:hint="eastAsia" w:ascii="宋体" w:hAnsi="宋体" w:eastAsia="宋体" w:cs="Times New Roman"/>
          <w:color w:val="auto"/>
          <w:highlight w:val="none"/>
          <w:lang w:val="en-US" w:eastAsia="zh-CN"/>
        </w:rPr>
        <w:t>》，</w:t>
      </w:r>
      <w:r>
        <w:rPr>
          <w:rFonts w:hint="eastAsia" w:ascii="宋体" w:hAnsi="宋体" w:cs="Times New Roman"/>
          <w:color w:val="auto"/>
          <w:highlight w:val="none"/>
          <w:lang w:val="en-US" w:eastAsia="zh-CN"/>
        </w:rPr>
        <w:t>空气粒子数/m²的数量越少等级越高，</w:t>
      </w:r>
      <w:r>
        <w:rPr>
          <w:rFonts w:hint="eastAsia" w:ascii="宋体" w:hAnsi="宋体" w:eastAsia="宋体" w:cs="Times New Roman"/>
          <w:color w:val="auto"/>
          <w:highlight w:val="none"/>
          <w:lang w:val="en-US" w:eastAsia="zh-CN"/>
        </w:rPr>
        <w:t>详见表格。下同。</w:t>
      </w:r>
    </w:p>
    <w:p w14:paraId="5118FCCC">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drawing>
          <wp:inline distT="0" distB="0" distL="114300" distR="114300">
            <wp:extent cx="5267960" cy="5490210"/>
            <wp:effectExtent l="0" t="0" r="8890" b="15240"/>
            <wp:docPr id="6" name="图片 6" descr="84de1859639f79518f6e44c656407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4de1859639f79518f6e44c656407d79"/>
                    <pic:cNvPicPr>
                      <a:picLocks noChangeAspect="1"/>
                    </pic:cNvPicPr>
                  </pic:nvPicPr>
                  <pic:blipFill>
                    <a:blip r:embed="rId7"/>
                    <a:stretch>
                      <a:fillRect/>
                    </a:stretch>
                  </pic:blipFill>
                  <pic:spPr>
                    <a:xfrm>
                      <a:off x="0" y="0"/>
                      <a:ext cx="5267960" cy="5490210"/>
                    </a:xfrm>
                    <a:prstGeom prst="rect">
                      <a:avLst/>
                    </a:prstGeom>
                  </pic:spPr>
                </pic:pic>
              </a:graphicData>
            </a:graphic>
          </wp:inline>
        </w:drawing>
      </w:r>
    </w:p>
    <w:p w14:paraId="18D7F473">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w:t>
      </w:r>
      <w:r>
        <w:rPr>
          <w:rFonts w:ascii="宋体" w:hAnsi="宋体"/>
          <w:color w:val="auto"/>
          <w:highlight w:val="none"/>
        </w:rPr>
        <w:t>3.5</w:t>
      </w:r>
      <w:r>
        <w:rPr>
          <w:rFonts w:hint="eastAsia" w:ascii="宋体" w:hAnsi="宋体"/>
          <w:color w:val="auto"/>
          <w:highlight w:val="none"/>
        </w:rPr>
        <w:t>企业主要负责人（法定代表人、企业经理、企业分管安全生产的副经理、企业技术负责人）具有对应有效的安全生产考核合格证书（联合体投标的，承担施工工作的联合体成员均应提供）；</w:t>
      </w:r>
    </w:p>
    <w:p w14:paraId="2FC9901B">
      <w:pPr>
        <w:kinsoku w:val="0"/>
        <w:snapToGrid w:val="0"/>
        <w:spacing w:line="360" w:lineRule="auto"/>
        <w:ind w:firstLine="480" w:firstLineChars="200"/>
        <w:rPr>
          <w:rFonts w:hint="eastAsia" w:ascii="宋体" w:hAnsi="宋体"/>
          <w:strike/>
          <w:color w:val="auto"/>
          <w:highlight w:val="none"/>
        </w:rPr>
      </w:pPr>
      <w:r>
        <w:rPr>
          <w:rFonts w:hint="eastAsia" w:ascii="宋体" w:hAnsi="宋体"/>
          <w:strike/>
          <w:color w:val="auto"/>
          <w:highlight w:val="none"/>
        </w:rPr>
        <w:t>□3.6面向中小企业招标的，投标人（或联合体中的中小企业）须为中小企业，并提供《中小企业声明函》。</w:t>
      </w:r>
    </w:p>
    <w:p w14:paraId="62AA3BB7">
      <w:pPr>
        <w:widowControl/>
        <w:snapToGrid w:val="0"/>
        <w:spacing w:line="360" w:lineRule="auto"/>
        <w:ind w:firstLine="480" w:firstLineChars="200"/>
        <w:textAlignment w:val="bottom"/>
        <w:rPr>
          <w:rFonts w:hint="eastAsia" w:ascii="宋体" w:hAnsi="宋体"/>
          <w:color w:val="auto"/>
          <w:highlight w:val="none"/>
        </w:rPr>
      </w:pPr>
      <w:r>
        <w:rPr>
          <w:rFonts w:hint="eastAsia" w:ascii="宋体" w:hAnsi="宋体"/>
          <w:color w:val="auto"/>
          <w:highlight w:val="none"/>
        </w:rPr>
        <w:t>（二）拟派项目负责人、设计负责人、施工负责人（建造师）：</w:t>
      </w:r>
    </w:p>
    <w:p w14:paraId="37C1C881">
      <w:pPr>
        <w:tabs>
          <w:tab w:val="left" w:pos="1343"/>
          <w:tab w:val="left" w:pos="2697"/>
          <w:tab w:val="left" w:pos="3264"/>
          <w:tab w:val="left" w:pos="4896"/>
          <w:tab w:val="left" w:pos="6600"/>
          <w:tab w:val="left" w:pos="7498"/>
        </w:tabs>
        <w:kinsoku w:val="0"/>
        <w:snapToGrid w:val="0"/>
        <w:spacing w:line="360" w:lineRule="auto"/>
        <w:ind w:firstLine="480" w:firstLineChars="200"/>
        <w:rPr>
          <w:rFonts w:hint="eastAsia" w:ascii="宋体" w:hAnsi="宋体" w:cs="宋体"/>
          <w:color w:val="auto"/>
          <w:highlight w:val="none"/>
          <w:u w:val="single"/>
        </w:rPr>
      </w:pPr>
      <w:r>
        <w:rPr>
          <w:rFonts w:ascii="宋体" w:hAnsi="宋体"/>
          <w:color w:val="auto"/>
          <w:highlight w:val="none"/>
        </w:rPr>
        <w:t>3.</w:t>
      </w:r>
      <w:bookmarkStart w:id="30" w:name="_Hlk24015190"/>
      <w:r>
        <w:rPr>
          <w:rFonts w:hint="eastAsia" w:ascii="宋体" w:hAnsi="宋体"/>
          <w:color w:val="auto"/>
          <w:highlight w:val="none"/>
        </w:rPr>
        <w:t>7拟派项目负责人具有注册在投标人单位的☑</w:t>
      </w:r>
      <w:r>
        <w:rPr>
          <w:rFonts w:hint="eastAsia" w:ascii="宋体" w:hAnsi="宋体"/>
          <w:color w:val="auto"/>
          <w:highlight w:val="none"/>
          <w:u w:val="single"/>
        </w:rPr>
        <w:t xml:space="preserve"> </w:t>
      </w:r>
      <w:r>
        <w:rPr>
          <w:rFonts w:hint="eastAsia" w:ascii="宋体" w:hAnsi="宋体"/>
          <w:color w:val="auto"/>
          <w:highlight w:val="none"/>
          <w:u w:val="single"/>
        </w:rPr>
        <w:t>机电工程一级</w:t>
      </w:r>
      <w:r>
        <w:rPr>
          <w:rFonts w:hint="eastAsia" w:ascii="宋体" w:hAnsi="宋体"/>
          <w:color w:val="auto"/>
          <w:highlight w:val="none"/>
          <w:u w:val="single"/>
        </w:rPr>
        <w:t xml:space="preserve">注册建造师 </w:t>
      </w:r>
      <w:r>
        <w:rPr>
          <w:rFonts w:hint="eastAsia" w:ascii="宋体" w:hAnsi="宋体"/>
          <w:color w:val="auto"/>
          <w:highlight w:val="none"/>
        </w:rPr>
        <w:t>执业资格；</w:t>
      </w:r>
      <w:r>
        <w:rPr>
          <w:rFonts w:hint="eastAsia" w:ascii="宋体" w:hAnsi="宋体"/>
          <w:strike/>
          <w:color w:val="auto"/>
          <w:highlight w:val="none"/>
        </w:rPr>
        <w:t>□</w:t>
      </w:r>
      <w:r>
        <w:rPr>
          <w:rFonts w:ascii="宋体" w:hAnsi="宋体"/>
          <w:strike/>
          <w:color w:val="auto"/>
          <w:highlight w:val="none"/>
          <w:u w:val="single"/>
        </w:rPr>
        <w:t xml:space="preserve"> </w:t>
      </w:r>
      <w:r>
        <w:rPr>
          <w:rFonts w:hint="eastAsia" w:ascii="宋体" w:hAnsi="宋体"/>
          <w:strike/>
          <w:color w:val="auto"/>
          <w:highlight w:val="none"/>
          <w:u w:val="single"/>
        </w:rPr>
        <w:t>（专业名称）</w:t>
      </w:r>
      <w:r>
        <w:rPr>
          <w:rFonts w:ascii="宋体" w:hAnsi="宋体"/>
          <w:strike/>
          <w:color w:val="auto"/>
          <w:highlight w:val="none"/>
          <w:u w:val="single"/>
        </w:rPr>
        <w:t xml:space="preserve">  </w:t>
      </w:r>
      <w:r>
        <w:rPr>
          <w:rFonts w:hint="eastAsia" w:ascii="宋体" w:hAnsi="宋体"/>
          <w:strike/>
          <w:color w:val="auto"/>
          <w:highlight w:val="none"/>
        </w:rPr>
        <w:t>高级专业技术职称</w:t>
      </w:r>
      <w:bookmarkEnd w:id="30"/>
      <w:r>
        <w:rPr>
          <w:rFonts w:hint="eastAsia" w:ascii="宋体" w:hAnsi="宋体"/>
          <w:color w:val="auto"/>
          <w:highlight w:val="none"/>
        </w:rPr>
        <w:t>，☑</w:t>
      </w:r>
      <w:r>
        <w:rPr>
          <w:rFonts w:hint="eastAsia" w:ascii="宋体" w:hAnsi="宋体" w:cs="宋体"/>
          <w:color w:val="auto"/>
          <w:highlight w:val="none"/>
          <w:u w:val="single"/>
        </w:rPr>
        <w:t>投标人拟派的项目负责人和施工负责人</w:t>
      </w:r>
      <w:r>
        <w:rPr>
          <w:rFonts w:hint="eastAsia" w:ascii="宋体" w:hAnsi="宋体" w:cs="宋体"/>
          <w:color w:val="auto"/>
          <w:highlight w:val="none"/>
          <w:u w:val="single"/>
          <w:lang w:val="en-US" w:eastAsia="zh-CN"/>
        </w:rPr>
        <w:t>不</w:t>
      </w:r>
      <w:r>
        <w:rPr>
          <w:rFonts w:hint="eastAsia" w:ascii="宋体" w:hAnsi="宋体" w:cs="宋体"/>
          <w:color w:val="auto"/>
          <w:highlight w:val="none"/>
          <w:u w:val="single"/>
        </w:rPr>
        <w:t>可以兼任</w:t>
      </w:r>
      <w:r>
        <w:rPr>
          <w:rFonts w:hint="eastAsia" w:ascii="宋体" w:hAnsi="宋体" w:cs="宋体"/>
          <w:color w:val="auto"/>
          <w:highlight w:val="none"/>
        </w:rPr>
        <w:t>，</w:t>
      </w:r>
      <w:r>
        <w:rPr>
          <w:rFonts w:hint="eastAsia" w:ascii="宋体" w:hAnsi="宋体"/>
          <w:color w:val="auto"/>
          <w:highlight w:val="none"/>
        </w:rPr>
        <w:t>☑同时具有对应有效的安全生产考核合格证书（联合体投标的，承担施工工作联合体成员拟派项目负责人的须提供）；</w:t>
      </w:r>
    </w:p>
    <w:p w14:paraId="2035BB5B">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8拟派设计负责人具有</w:t>
      </w:r>
      <w:r>
        <w:rPr>
          <w:rFonts w:hint="eastAsia" w:ascii="宋体" w:hAnsi="宋体"/>
          <w:color w:val="auto"/>
          <w:highlight w:val="none"/>
          <w:u w:val="single"/>
        </w:rPr>
        <w:t xml:space="preserve"> </w:t>
      </w:r>
      <w:r>
        <w:rPr>
          <w:rFonts w:hint="eastAsia" w:ascii="宋体" w:hAnsi="宋体" w:cs="宋体"/>
          <w:color w:val="auto"/>
          <w:highlight w:val="none"/>
          <w:u w:val="single"/>
        </w:rPr>
        <w:t>一级注册建筑师</w:t>
      </w:r>
      <w:r>
        <w:rPr>
          <w:rFonts w:hint="eastAsia" w:ascii="宋体" w:hAnsi="宋体"/>
          <w:color w:val="auto"/>
          <w:highlight w:val="none"/>
          <w:u w:val="single"/>
        </w:rPr>
        <w:t xml:space="preserve"> </w:t>
      </w:r>
      <w:r>
        <w:rPr>
          <w:rFonts w:hint="eastAsia" w:ascii="宋体" w:hAnsi="宋体"/>
          <w:color w:val="auto"/>
          <w:highlight w:val="none"/>
        </w:rPr>
        <w:t>资格。联合体投标的，设计负责人须由承担设计工作的联合体成员委派；</w:t>
      </w:r>
    </w:p>
    <w:p w14:paraId="48615844">
      <w:pPr>
        <w:tabs>
          <w:tab w:val="left" w:pos="1343"/>
          <w:tab w:val="left" w:pos="2697"/>
          <w:tab w:val="left" w:pos="3264"/>
          <w:tab w:val="left" w:pos="4896"/>
          <w:tab w:val="left" w:pos="6600"/>
          <w:tab w:val="left" w:pos="7498"/>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9拟派施工负责人（建造师）具有</w:t>
      </w:r>
      <w:r>
        <w:rPr>
          <w:rFonts w:hint="eastAsia" w:ascii="宋体" w:hAnsi="宋体"/>
          <w:color w:val="auto"/>
          <w:highlight w:val="none"/>
          <w:u w:val="single"/>
        </w:rPr>
        <w:t>机电工程一级注册建造师</w:t>
      </w:r>
      <w:r>
        <w:rPr>
          <w:rFonts w:hint="eastAsia" w:ascii="宋体" w:hAnsi="宋体"/>
          <w:color w:val="auto"/>
          <w:highlight w:val="none"/>
          <w:u w:val="single"/>
        </w:rPr>
        <w:t xml:space="preserve"> </w:t>
      </w:r>
      <w:r>
        <w:rPr>
          <w:rFonts w:hint="eastAsia" w:ascii="宋体" w:hAnsi="宋体"/>
          <w:color w:val="auto"/>
          <w:highlight w:val="none"/>
        </w:rPr>
        <w:t>资格，同时具有对应有效的安全生产考核合格证书（联合体投标的，施工负责人须由承担施工工作的联合体成员委派）；</w:t>
      </w:r>
    </w:p>
    <w:p w14:paraId="59840A1C">
      <w:pPr>
        <w:tabs>
          <w:tab w:val="left" w:pos="1343"/>
          <w:tab w:val="left" w:pos="2697"/>
          <w:tab w:val="left" w:pos="3264"/>
          <w:tab w:val="left" w:pos="4896"/>
          <w:tab w:val="left" w:pos="6600"/>
          <w:tab w:val="left" w:pos="7498"/>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10如拟派项目负责人或施工负责人在投标截止日存在在其他任何在建合同工程（在建合同工程的开始时间为合同工程中标通知书发出日期，或者不通过招标方式的则以合同签订日期为开始时间，结束时间为该合同工程验收合格或合同解除日期）担任工程总承包项目负责人、施工负责人（含工程总承包项目中担任施工负责人）的，不得以拟派项目负责人或施工负责人的身份参加本次投标；</w:t>
      </w:r>
    </w:p>
    <w:p w14:paraId="3984B31B">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u w:val="single"/>
        </w:rPr>
      </w:pPr>
      <w:r>
        <w:rPr>
          <w:rFonts w:hint="eastAsia"/>
          <w:color w:val="auto"/>
          <w:highlight w:val="none"/>
        </w:rPr>
        <w:t>☑</w:t>
      </w:r>
      <w:r>
        <w:rPr>
          <w:rFonts w:ascii="宋体" w:hAnsi="宋体"/>
          <w:color w:val="auto"/>
          <w:highlight w:val="none"/>
        </w:rPr>
        <w:t>3.1</w:t>
      </w:r>
      <w:r>
        <w:rPr>
          <w:rFonts w:hint="eastAsia" w:ascii="宋体" w:hAnsi="宋体"/>
          <w:color w:val="auto"/>
          <w:highlight w:val="none"/>
        </w:rPr>
        <w:t>1</w:t>
      </w:r>
      <w:r>
        <w:rPr>
          <w:rFonts w:hint="eastAsia" w:ascii="宋体" w:hAnsi="宋体"/>
          <w:color w:val="auto"/>
          <w:highlight w:val="none"/>
          <w:u w:val="single"/>
        </w:rPr>
        <w:t>拟派项目负责人、设计负责人和施工负责人须为企业的在职职工（在职职工不包括离、退休返聘人员），需提供缴费期限包含2025年10月至2025年12月的投标人所属社保机构养老保险缴纳清单或证明（缴费单位和投标人名称必须一致，并加盖社保缴费证明专用章,非独立法人的分公司社保证明有效），以投标人所属社保机构出具的盖有社保部门专用章（或电子专用章）的社保证明件为准。若上述负责人为事业编制的，以提供缴费期限包含2025年10月至2025年12月由人事代理中心或类似证明机构出具的社保证明（需加盖人事代理中心证明专用章）。</w:t>
      </w:r>
    </w:p>
    <w:p w14:paraId="32D7F1F8">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u w:val="single"/>
        </w:rPr>
      </w:pPr>
      <w:r>
        <w:rPr>
          <w:rFonts w:hint="eastAsia" w:ascii="宋体" w:hAnsi="宋体"/>
          <w:color w:val="auto"/>
          <w:highlight w:val="none"/>
          <w:u w:val="single"/>
        </w:rPr>
        <w:t>注：一级注册建造师需提供电子注册证书的应符合《住房和城乡建设部办公厅关于全面实行一级建造师电子注册证书的通知》（建办市【2021】40号）文，须在个人签名处手写本人签名，未手写签名或与签名图像笔迹不一致的，该电子证书无效。下同。</w:t>
      </w:r>
    </w:p>
    <w:p w14:paraId="216A84CC">
      <w:pPr>
        <w:widowControl/>
        <w:snapToGrid w:val="0"/>
        <w:spacing w:line="360" w:lineRule="auto"/>
        <w:ind w:firstLine="480" w:firstLineChars="200"/>
        <w:textAlignment w:val="bottom"/>
        <w:rPr>
          <w:rFonts w:hint="eastAsia" w:ascii="宋体" w:hAnsi="宋体"/>
          <w:color w:val="auto"/>
          <w:highlight w:val="none"/>
          <w:u w:val="single"/>
        </w:rPr>
      </w:pPr>
      <w:r>
        <w:rPr>
          <w:rFonts w:hint="eastAsia" w:ascii="宋体" w:hAnsi="宋体"/>
          <w:color w:val="auto"/>
          <w:highlight w:val="none"/>
          <w:u w:val="single"/>
        </w:rPr>
        <w:t>注：拟派项目负责人为一级注册建筑师的，需提供电子注册证书，并应符合《全国注册建筑师管理委员会关于开展使用一级注册建筑师电子注册证书工作的通知》（注建〔2021〕2号）文，须在个人签名处手写本人签名,未手写签名的，资格审查不予通过。</w:t>
      </w:r>
    </w:p>
    <w:p w14:paraId="0E754773">
      <w:pPr>
        <w:widowControl/>
        <w:snapToGrid w:val="0"/>
        <w:spacing w:line="360" w:lineRule="auto"/>
        <w:ind w:firstLine="480" w:firstLineChars="200"/>
        <w:textAlignment w:val="bottom"/>
        <w:rPr>
          <w:rFonts w:hint="eastAsia" w:ascii="宋体" w:hAnsi="宋体"/>
          <w:color w:val="auto"/>
          <w:highlight w:val="none"/>
        </w:rPr>
      </w:pPr>
      <w:r>
        <w:rPr>
          <w:rFonts w:ascii="宋体" w:hAnsi="宋体"/>
          <w:color w:val="auto"/>
          <w:highlight w:val="none"/>
        </w:rPr>
        <w:t>（</w:t>
      </w:r>
      <w:r>
        <w:rPr>
          <w:rFonts w:hint="eastAsia" w:ascii="宋体" w:hAnsi="宋体"/>
          <w:color w:val="auto"/>
          <w:highlight w:val="none"/>
        </w:rPr>
        <w:t>三</w:t>
      </w:r>
      <w:r>
        <w:rPr>
          <w:rFonts w:ascii="宋体" w:hAnsi="宋体"/>
          <w:color w:val="auto"/>
          <w:highlight w:val="none"/>
        </w:rPr>
        <w:t>）其他：</w:t>
      </w:r>
    </w:p>
    <w:p w14:paraId="4442C93D">
      <w:pPr>
        <w:widowControl/>
        <w:snapToGrid w:val="0"/>
        <w:spacing w:line="360" w:lineRule="auto"/>
        <w:ind w:firstLine="480" w:firstLineChars="200"/>
        <w:textAlignment w:val="bottom"/>
        <w:rPr>
          <w:rFonts w:hint="eastAsia" w:ascii="宋体" w:hAnsi="宋体"/>
          <w:color w:val="auto"/>
          <w:highlight w:val="none"/>
        </w:rPr>
      </w:pPr>
      <w:r>
        <w:rPr>
          <w:rFonts w:hint="eastAsia"/>
          <w:color w:val="auto"/>
          <w:highlight w:val="none"/>
        </w:rPr>
        <w:t>☑</w:t>
      </w:r>
      <w:r>
        <w:rPr>
          <w:rFonts w:ascii="宋体" w:hAnsi="宋体"/>
          <w:color w:val="auto"/>
          <w:highlight w:val="none"/>
        </w:rPr>
        <w:t>3.1</w:t>
      </w:r>
      <w:r>
        <w:rPr>
          <w:rFonts w:hint="eastAsia" w:ascii="宋体" w:hAnsi="宋体"/>
          <w:color w:val="auto"/>
          <w:highlight w:val="none"/>
        </w:rPr>
        <w:t>2专职安全生产管理人员具有对应有效的安全生产考核合格证书，配备人数</w:t>
      </w:r>
      <w:r>
        <w:rPr>
          <w:rFonts w:hint="eastAsia" w:ascii="宋体" w:hAnsi="宋体"/>
          <w:color w:val="auto"/>
          <w:highlight w:val="none"/>
          <w:u w:val="single"/>
        </w:rPr>
        <w:t xml:space="preserve"> 2 </w:t>
      </w:r>
      <w:r>
        <w:rPr>
          <w:rFonts w:hint="eastAsia" w:ascii="宋体" w:hAnsi="宋体"/>
          <w:color w:val="auto"/>
          <w:highlight w:val="none"/>
        </w:rPr>
        <w:t>个。联合体投标的，专职安全生产管理人员须由承担施工工作的联合体成员委派；</w:t>
      </w:r>
    </w:p>
    <w:p w14:paraId="512F076B">
      <w:pPr>
        <w:widowControl/>
        <w:snapToGrid w:val="0"/>
        <w:spacing w:line="360" w:lineRule="auto"/>
        <w:ind w:firstLine="480" w:firstLineChars="200"/>
        <w:textAlignment w:val="bottom"/>
        <w:rPr>
          <w:rFonts w:hint="eastAsia" w:ascii="宋体" w:hAnsi="宋体"/>
          <w:color w:val="auto"/>
          <w:szCs w:val="28"/>
          <w:highlight w:val="none"/>
        </w:rPr>
      </w:pPr>
      <w:r>
        <w:rPr>
          <w:rFonts w:hint="eastAsia" w:ascii="宋体" w:hAnsi="宋体"/>
          <w:color w:val="auto"/>
          <w:szCs w:val="28"/>
          <w:highlight w:val="none"/>
        </w:rPr>
        <w:t>3</w:t>
      </w:r>
      <w:r>
        <w:rPr>
          <w:rFonts w:ascii="宋体" w:hAnsi="宋体"/>
          <w:color w:val="auto"/>
          <w:szCs w:val="28"/>
          <w:highlight w:val="none"/>
        </w:rPr>
        <w:t>.1</w:t>
      </w:r>
      <w:r>
        <w:rPr>
          <w:rFonts w:hint="eastAsia" w:ascii="宋体" w:hAnsi="宋体"/>
          <w:color w:val="auto"/>
          <w:szCs w:val="28"/>
          <w:highlight w:val="none"/>
        </w:rPr>
        <w:t>3</w:t>
      </w:r>
      <w:r>
        <w:rPr>
          <w:rFonts w:ascii="宋体" w:hAnsi="宋体"/>
          <w:color w:val="auto"/>
          <w:szCs w:val="28"/>
          <w:highlight w:val="none"/>
        </w:rPr>
        <w:t>投标人及其拟派</w:t>
      </w:r>
      <w:r>
        <w:rPr>
          <w:rFonts w:hint="eastAsia" w:ascii="宋体" w:hAnsi="宋体"/>
          <w:color w:val="auto"/>
          <w:szCs w:val="28"/>
          <w:highlight w:val="none"/>
        </w:rPr>
        <w:t>项目负责人、施工负责人、设计负责人未被列入建筑市场</w:t>
      </w:r>
      <w:r>
        <w:rPr>
          <w:rFonts w:ascii="宋体" w:hAnsi="宋体"/>
          <w:color w:val="auto"/>
          <w:szCs w:val="28"/>
          <w:highlight w:val="none"/>
        </w:rPr>
        <w:t>失信</w:t>
      </w:r>
      <w:r>
        <w:rPr>
          <w:rFonts w:hint="eastAsia" w:ascii="宋体" w:hAnsi="宋体"/>
          <w:color w:val="auto"/>
          <w:szCs w:val="28"/>
          <w:highlight w:val="none"/>
        </w:rPr>
        <w:t>黑</w:t>
      </w:r>
      <w:r>
        <w:rPr>
          <w:rFonts w:ascii="宋体" w:hAnsi="宋体"/>
          <w:color w:val="auto"/>
          <w:szCs w:val="28"/>
          <w:highlight w:val="none"/>
        </w:rPr>
        <w:t>名单</w:t>
      </w:r>
      <w:r>
        <w:rPr>
          <w:rFonts w:hint="eastAsia" w:ascii="宋体" w:hAnsi="宋体"/>
          <w:color w:val="auto"/>
          <w:szCs w:val="28"/>
          <w:highlight w:val="none"/>
        </w:rPr>
        <w:t>（以全国建筑市场监管公共服务平台黑名单记录、</w:t>
      </w:r>
      <w:r>
        <w:rPr>
          <w:rFonts w:ascii="宋体" w:hAnsi="宋体"/>
          <w:color w:val="auto"/>
          <w:szCs w:val="28"/>
          <w:highlight w:val="none"/>
        </w:rPr>
        <w:t>失信</w:t>
      </w:r>
      <w:r>
        <w:rPr>
          <w:rFonts w:hint="eastAsia" w:ascii="宋体" w:hAnsi="宋体"/>
          <w:color w:val="auto"/>
          <w:szCs w:val="28"/>
          <w:highlight w:val="none"/>
        </w:rPr>
        <w:t>联合惩戒记录和浙江省建筑市场监管公共服务系统严重</w:t>
      </w:r>
      <w:r>
        <w:rPr>
          <w:rFonts w:ascii="宋体" w:hAnsi="宋体"/>
          <w:color w:val="auto"/>
          <w:szCs w:val="28"/>
          <w:highlight w:val="none"/>
        </w:rPr>
        <w:t>失信</w:t>
      </w:r>
      <w:r>
        <w:rPr>
          <w:rFonts w:hint="eastAsia" w:ascii="宋体" w:hAnsi="宋体"/>
          <w:color w:val="auto"/>
          <w:szCs w:val="28"/>
          <w:highlight w:val="none"/>
        </w:rPr>
        <w:t>名单的信息为准）；</w:t>
      </w:r>
    </w:p>
    <w:p w14:paraId="143C810B">
      <w:pPr>
        <w:widowControl/>
        <w:snapToGrid w:val="0"/>
        <w:spacing w:line="360" w:lineRule="auto"/>
        <w:ind w:firstLine="480" w:firstLineChars="200"/>
        <w:textAlignment w:val="bottom"/>
        <w:rPr>
          <w:rFonts w:hint="eastAsia" w:ascii="宋体" w:hAnsi="宋体"/>
          <w:color w:val="auto"/>
          <w:szCs w:val="28"/>
          <w:highlight w:val="none"/>
        </w:rPr>
      </w:pPr>
      <w:r>
        <w:rPr>
          <w:rFonts w:ascii="宋体" w:hAnsi="宋体"/>
          <w:color w:val="auto"/>
          <w:szCs w:val="28"/>
          <w:highlight w:val="none"/>
        </w:rPr>
        <w:t>3.1</w:t>
      </w:r>
      <w:r>
        <w:rPr>
          <w:rFonts w:hint="eastAsia" w:ascii="宋体" w:hAnsi="宋体"/>
          <w:color w:val="auto"/>
          <w:szCs w:val="28"/>
          <w:highlight w:val="none"/>
        </w:rPr>
        <w:t>4投标人及其拟派项目负责人、施工负责人、设计负责人</w:t>
      </w:r>
      <w:r>
        <w:rPr>
          <w:rFonts w:ascii="宋体" w:hAnsi="宋体"/>
          <w:color w:val="auto"/>
          <w:szCs w:val="28"/>
          <w:highlight w:val="none"/>
        </w:rPr>
        <w:t>自</w:t>
      </w:r>
      <w:r>
        <w:rPr>
          <w:rFonts w:hint="eastAsia" w:ascii="宋体" w:hAnsi="宋体"/>
          <w:color w:val="auto"/>
          <w:szCs w:val="28"/>
          <w:highlight w:val="none"/>
          <w:u w:val="single"/>
        </w:rPr>
        <w:t>2023</w:t>
      </w:r>
      <w:r>
        <w:rPr>
          <w:rFonts w:ascii="宋体" w:hAnsi="宋体"/>
          <w:color w:val="auto"/>
          <w:szCs w:val="28"/>
          <w:highlight w:val="none"/>
        </w:rPr>
        <w:t>年</w:t>
      </w:r>
      <w:r>
        <w:rPr>
          <w:rFonts w:hint="eastAsia" w:ascii="宋体" w:hAnsi="宋体"/>
          <w:color w:val="auto"/>
          <w:szCs w:val="28"/>
          <w:highlight w:val="none"/>
          <w:u w:val="single"/>
        </w:rPr>
        <w:t>1</w:t>
      </w:r>
      <w:r>
        <w:rPr>
          <w:rFonts w:ascii="宋体" w:hAnsi="宋体"/>
          <w:color w:val="auto"/>
          <w:szCs w:val="28"/>
          <w:highlight w:val="none"/>
        </w:rPr>
        <w:t>月</w:t>
      </w:r>
      <w:r>
        <w:rPr>
          <w:rFonts w:hint="eastAsia" w:ascii="宋体" w:hAnsi="宋体"/>
          <w:color w:val="auto"/>
          <w:szCs w:val="28"/>
          <w:highlight w:val="none"/>
          <w:u w:val="single"/>
        </w:rPr>
        <w:t>1</w:t>
      </w:r>
      <w:r>
        <w:rPr>
          <w:rFonts w:ascii="宋体" w:hAnsi="宋体"/>
          <w:color w:val="auto"/>
          <w:szCs w:val="28"/>
          <w:highlight w:val="none"/>
        </w:rPr>
        <w:t>日起</w:t>
      </w:r>
      <w:r>
        <w:rPr>
          <w:rFonts w:hint="eastAsia" w:ascii="宋体" w:hAnsi="宋体"/>
          <w:color w:val="auto"/>
          <w:szCs w:val="28"/>
          <w:highlight w:val="none"/>
        </w:rPr>
        <w:t>至投标截止</w:t>
      </w:r>
      <w:r>
        <w:rPr>
          <w:rFonts w:ascii="宋体" w:hAnsi="宋体"/>
          <w:color w:val="auto"/>
          <w:szCs w:val="28"/>
          <w:highlight w:val="none"/>
        </w:rPr>
        <w:t>日</w:t>
      </w:r>
      <w:r>
        <w:rPr>
          <w:rFonts w:hint="eastAsia" w:ascii="宋体" w:hAnsi="宋体"/>
          <w:color w:val="auto"/>
          <w:szCs w:val="28"/>
          <w:highlight w:val="none"/>
        </w:rPr>
        <w:t>止</w:t>
      </w:r>
      <w:r>
        <w:rPr>
          <w:rFonts w:ascii="宋体" w:hAnsi="宋体"/>
          <w:color w:val="auto"/>
          <w:szCs w:val="28"/>
          <w:highlight w:val="none"/>
        </w:rPr>
        <w:t>无行贿犯罪记录</w:t>
      </w:r>
      <w:r>
        <w:rPr>
          <w:rFonts w:hint="eastAsia" w:ascii="宋体" w:hAnsi="宋体"/>
          <w:color w:val="auto"/>
          <w:szCs w:val="28"/>
          <w:highlight w:val="none"/>
        </w:rPr>
        <w:t>；</w:t>
      </w:r>
    </w:p>
    <w:p w14:paraId="702F4F6C">
      <w:pPr>
        <w:widowControl/>
        <w:snapToGrid w:val="0"/>
        <w:spacing w:line="360" w:lineRule="auto"/>
        <w:ind w:firstLine="480" w:firstLineChars="200"/>
        <w:textAlignment w:val="bottom"/>
        <w:rPr>
          <w:rFonts w:hint="eastAsia" w:ascii="宋体" w:hAnsi="宋体"/>
          <w:color w:val="auto"/>
          <w:szCs w:val="28"/>
          <w:highlight w:val="none"/>
        </w:rPr>
      </w:pPr>
      <w:r>
        <w:rPr>
          <w:rFonts w:ascii="宋体" w:hAnsi="宋体"/>
          <w:color w:val="auto"/>
          <w:szCs w:val="28"/>
          <w:highlight w:val="none"/>
        </w:rPr>
        <w:t>3.1</w:t>
      </w:r>
      <w:r>
        <w:rPr>
          <w:rFonts w:hint="eastAsia" w:ascii="宋体" w:hAnsi="宋体"/>
          <w:color w:val="auto"/>
          <w:szCs w:val="28"/>
          <w:highlight w:val="none"/>
        </w:rPr>
        <w:t>5投标人及其拟派项目负责人、施工负责人、设计负责人</w:t>
      </w:r>
      <w:r>
        <w:rPr>
          <w:rFonts w:ascii="宋体" w:hAnsi="宋体"/>
          <w:color w:val="auto"/>
          <w:szCs w:val="28"/>
          <w:highlight w:val="none"/>
        </w:rPr>
        <w:t>自</w:t>
      </w:r>
      <w:r>
        <w:rPr>
          <w:rFonts w:hint="eastAsia" w:ascii="宋体" w:hAnsi="宋体"/>
          <w:color w:val="auto"/>
          <w:szCs w:val="28"/>
          <w:highlight w:val="none"/>
          <w:u w:val="single"/>
        </w:rPr>
        <w:t>2023</w:t>
      </w:r>
      <w:r>
        <w:rPr>
          <w:rFonts w:ascii="宋体" w:hAnsi="宋体"/>
          <w:color w:val="auto"/>
          <w:szCs w:val="28"/>
          <w:highlight w:val="none"/>
        </w:rPr>
        <w:t>年</w:t>
      </w:r>
      <w:r>
        <w:rPr>
          <w:rFonts w:hint="eastAsia" w:ascii="宋体" w:hAnsi="宋体"/>
          <w:color w:val="auto"/>
          <w:szCs w:val="28"/>
          <w:highlight w:val="none"/>
          <w:u w:val="single"/>
        </w:rPr>
        <w:t>1</w:t>
      </w:r>
      <w:r>
        <w:rPr>
          <w:rFonts w:ascii="宋体" w:hAnsi="宋体"/>
          <w:color w:val="auto"/>
          <w:szCs w:val="28"/>
          <w:highlight w:val="none"/>
        </w:rPr>
        <w:t>月</w:t>
      </w:r>
      <w:r>
        <w:rPr>
          <w:rFonts w:hint="eastAsia" w:ascii="宋体" w:hAnsi="宋体"/>
          <w:color w:val="auto"/>
          <w:szCs w:val="28"/>
          <w:highlight w:val="none"/>
          <w:u w:val="single"/>
        </w:rPr>
        <w:t>1</w:t>
      </w:r>
      <w:r>
        <w:rPr>
          <w:rFonts w:ascii="宋体" w:hAnsi="宋体"/>
          <w:color w:val="auto"/>
          <w:szCs w:val="28"/>
          <w:highlight w:val="none"/>
        </w:rPr>
        <w:t>日起</w:t>
      </w:r>
      <w:r>
        <w:rPr>
          <w:rFonts w:hint="eastAsia" w:ascii="宋体" w:hAnsi="宋体"/>
          <w:color w:val="auto"/>
          <w:szCs w:val="28"/>
          <w:highlight w:val="none"/>
        </w:rPr>
        <w:t>至投标截止</w:t>
      </w:r>
      <w:r>
        <w:rPr>
          <w:rFonts w:ascii="宋体" w:hAnsi="宋体"/>
          <w:color w:val="auto"/>
          <w:szCs w:val="28"/>
          <w:highlight w:val="none"/>
        </w:rPr>
        <w:t>日</w:t>
      </w:r>
      <w:r>
        <w:rPr>
          <w:rFonts w:hint="eastAsia" w:ascii="宋体" w:hAnsi="宋体"/>
          <w:color w:val="auto"/>
          <w:szCs w:val="28"/>
          <w:highlight w:val="none"/>
        </w:rPr>
        <w:t>止未被列入失信被执行人名单；</w:t>
      </w:r>
    </w:p>
    <w:p w14:paraId="6206C690">
      <w:pPr>
        <w:widowControl/>
        <w:snapToGrid w:val="0"/>
        <w:spacing w:line="360" w:lineRule="auto"/>
        <w:ind w:firstLine="480" w:firstLineChars="200"/>
        <w:textAlignment w:val="bottom"/>
        <w:rPr>
          <w:rFonts w:hint="eastAsia" w:ascii="宋体" w:hAnsi="宋体"/>
          <w:color w:val="auto"/>
          <w:szCs w:val="28"/>
          <w:highlight w:val="none"/>
        </w:rPr>
      </w:pPr>
      <w:r>
        <w:rPr>
          <w:rFonts w:hint="eastAsia" w:ascii="宋体" w:hAnsi="宋体"/>
          <w:color w:val="auto"/>
          <w:szCs w:val="28"/>
          <w:highlight w:val="none"/>
        </w:rPr>
        <w:t>3.16投标人及其拟派项目负责人未被市场监督管理机关在全国企业信用信息公示系统中列入严重违法失信企业名单；</w:t>
      </w:r>
    </w:p>
    <w:p w14:paraId="38FC648B">
      <w:pPr>
        <w:widowControl/>
        <w:snapToGrid w:val="0"/>
        <w:spacing w:line="360" w:lineRule="auto"/>
        <w:ind w:firstLine="480" w:firstLineChars="200"/>
        <w:textAlignment w:val="bottom"/>
        <w:rPr>
          <w:rFonts w:hint="eastAsia" w:ascii="宋体" w:hAnsi="宋体"/>
          <w:color w:val="auto"/>
          <w:szCs w:val="28"/>
          <w:highlight w:val="none"/>
        </w:rPr>
      </w:pPr>
      <w:r>
        <w:rPr>
          <w:rFonts w:hint="eastAsia" w:ascii="宋体" w:hAnsi="宋体"/>
          <w:color w:val="auto"/>
          <w:szCs w:val="28"/>
          <w:highlight w:val="none"/>
        </w:rPr>
        <w:t>3.17投标人及其拟派项目负责人未被人力资源社会保障行政部门列入失信联合惩戒名单（有效期内）并共享至信用信息共享平台；</w:t>
      </w:r>
    </w:p>
    <w:p w14:paraId="45AA075B">
      <w:pPr>
        <w:widowControl/>
        <w:snapToGrid w:val="0"/>
        <w:spacing w:line="360" w:lineRule="auto"/>
        <w:ind w:firstLine="480" w:firstLineChars="200"/>
        <w:textAlignment w:val="bottom"/>
        <w:rPr>
          <w:rFonts w:hint="eastAsia" w:ascii="宋体" w:hAnsi="宋体"/>
          <w:color w:val="auto"/>
          <w:szCs w:val="28"/>
          <w:highlight w:val="none"/>
        </w:rPr>
      </w:pPr>
      <w:r>
        <w:rPr>
          <w:rFonts w:hint="eastAsia" w:ascii="宋体" w:hAnsi="宋体"/>
          <w:color w:val="auto"/>
          <w:szCs w:val="28"/>
          <w:highlight w:val="none"/>
        </w:rPr>
        <w:t>3.18省外企业应按规定办理“省外建设工程企业进浙备案”手续；</w:t>
      </w:r>
    </w:p>
    <w:p w14:paraId="26E90640">
      <w:pPr>
        <w:tabs>
          <w:tab w:val="left" w:pos="1343"/>
          <w:tab w:val="left" w:pos="2697"/>
          <w:tab w:val="left" w:pos="3264"/>
          <w:tab w:val="left" w:pos="4896"/>
          <w:tab w:val="left" w:pos="6005"/>
          <w:tab w:val="left" w:pos="7085"/>
          <w:tab w:val="left" w:pos="7498"/>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w:t>
      </w:r>
      <w:r>
        <w:rPr>
          <w:rFonts w:ascii="宋体" w:hAnsi="宋体"/>
          <w:color w:val="auto"/>
          <w:highlight w:val="none"/>
        </w:rPr>
        <w:t>3.1</w:t>
      </w:r>
      <w:r>
        <w:rPr>
          <w:rFonts w:hint="eastAsia" w:ascii="宋体" w:hAnsi="宋体"/>
          <w:color w:val="auto"/>
          <w:highlight w:val="none"/>
        </w:rPr>
        <w:t>9</w:t>
      </w:r>
      <w:r>
        <w:rPr>
          <w:rFonts w:ascii="宋体" w:hAnsi="宋体"/>
          <w:color w:val="auto"/>
          <w:highlight w:val="none"/>
          <w:u w:val="single"/>
        </w:rPr>
        <w:t xml:space="preserve">  </w:t>
      </w:r>
      <w:r>
        <w:rPr>
          <w:rFonts w:hint="eastAsia"/>
          <w:color w:val="auto"/>
          <w:spacing w:val="-6"/>
          <w:highlight w:val="none"/>
          <w:u w:val="single"/>
        </w:rPr>
        <w:t xml:space="preserve">   /   </w:t>
      </w:r>
      <w:r>
        <w:rPr>
          <w:rFonts w:hint="eastAsia" w:ascii="宋体" w:hAnsi="宋体"/>
          <w:color w:val="auto"/>
          <w:highlight w:val="none"/>
          <w:u w:val="single"/>
        </w:rPr>
        <w:t xml:space="preserve">  </w:t>
      </w:r>
      <w:r>
        <w:rPr>
          <w:rFonts w:hint="eastAsia" w:ascii="宋体" w:hAnsi="宋体"/>
          <w:color w:val="auto"/>
          <w:highlight w:val="none"/>
        </w:rPr>
        <w:t>。</w:t>
      </w:r>
      <w:bookmarkEnd w:id="28"/>
    </w:p>
    <w:p w14:paraId="54A19712">
      <w:pPr>
        <w:spacing w:line="360" w:lineRule="auto"/>
        <w:ind w:firstLine="643" w:firstLineChars="200"/>
        <w:rPr>
          <w:rFonts w:hint="eastAsia" w:ascii="宋体" w:hAnsi="宋体"/>
          <w:b/>
          <w:color w:val="auto"/>
          <w:sz w:val="32"/>
          <w:szCs w:val="32"/>
          <w:highlight w:val="none"/>
        </w:rPr>
      </w:pPr>
      <w:bookmarkStart w:id="31" w:name="_Toc26002052"/>
      <w:bookmarkStart w:id="32" w:name="_Toc30484"/>
      <w:bookmarkStart w:id="33" w:name="_Toc22828054"/>
      <w:bookmarkStart w:id="34" w:name="_Toc22827971"/>
      <w:bookmarkStart w:id="35" w:name="_Toc26001999"/>
      <w:bookmarkStart w:id="36" w:name="_Toc45697223"/>
      <w:bookmarkStart w:id="37" w:name="_Hlk24015219"/>
      <w:bookmarkStart w:id="38" w:name="_Toc24050272"/>
      <w:r>
        <w:rPr>
          <w:rFonts w:ascii="宋体" w:hAnsi="宋体"/>
          <w:b/>
          <w:color w:val="auto"/>
          <w:sz w:val="32"/>
          <w:szCs w:val="32"/>
          <w:highlight w:val="none"/>
        </w:rPr>
        <w:t>4.</w:t>
      </w:r>
      <w:bookmarkEnd w:id="31"/>
      <w:bookmarkEnd w:id="32"/>
      <w:bookmarkEnd w:id="33"/>
      <w:bookmarkEnd w:id="34"/>
      <w:bookmarkEnd w:id="35"/>
      <w:bookmarkEnd w:id="36"/>
      <w:bookmarkEnd w:id="37"/>
      <w:bookmarkEnd w:id="38"/>
      <w:bookmarkStart w:id="39" w:name="bookmark6"/>
      <w:bookmarkEnd w:id="39"/>
      <w:bookmarkStart w:id="40" w:name="_Toc26002054"/>
      <w:bookmarkStart w:id="41" w:name="_Toc24050273"/>
      <w:bookmarkStart w:id="42" w:name="_Toc22828055"/>
      <w:bookmarkStart w:id="43" w:name="_Toc45697224"/>
      <w:bookmarkStart w:id="44" w:name="_Toc26002001"/>
      <w:bookmarkStart w:id="45" w:name="_Toc22827972"/>
      <w:bookmarkStart w:id="46" w:name="_Toc12635"/>
      <w:r>
        <w:rPr>
          <w:rFonts w:ascii="宋体" w:hAnsi="宋体"/>
          <w:b/>
          <w:color w:val="auto"/>
          <w:sz w:val="32"/>
          <w:szCs w:val="32"/>
          <w:highlight w:val="none"/>
        </w:rPr>
        <w:t>招标文件的获取</w:t>
      </w:r>
      <w:bookmarkEnd w:id="40"/>
      <w:bookmarkEnd w:id="41"/>
      <w:bookmarkEnd w:id="42"/>
      <w:bookmarkEnd w:id="43"/>
      <w:bookmarkEnd w:id="44"/>
      <w:bookmarkEnd w:id="45"/>
      <w:bookmarkEnd w:id="46"/>
    </w:p>
    <w:p w14:paraId="562D74DD">
      <w:pPr>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4.1本项目招标文件（含图纸）和补充（答疑、澄清）、修改文件以网上下载方式发放绍兴市越城区公共资源交易中心电子招投标交易平台（https://ztb.sxyc.gov.cn/TPBidder)，请各潜在投标人使用CA锁登录越城区公共资源交易中心电子招投标交易平台（https://ztb.sxyc.gov.cn/TPBidder)获取,未使用CA锁登录并获取招标文件的投标将被拒收。</w:t>
      </w:r>
    </w:p>
    <w:p w14:paraId="28E92EA2">
      <w:pPr>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4.2招标文件获取（下载）网址：潜在投标人登录绍兴市越城区公共资源交易中心电子招投标交易平台（https://ztb.sxyc.gov.cn/TPBidder)，自行获取（下载）招标文件。</w:t>
      </w:r>
    </w:p>
    <w:p w14:paraId="14AEC95B">
      <w:pPr>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4.3招标文件网上下载时间：（公告发布之日起至投标文件递交截止时间）。</w:t>
      </w:r>
    </w:p>
    <w:p w14:paraId="106F6CFF">
      <w:pPr>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注：请各投标人在缴纳投标保证金前自行核对统一主体库内填写的基本账户信息，避免出现保证金缴纳后无法匹配的现象。</w:t>
      </w:r>
    </w:p>
    <w:p w14:paraId="1DB52A50">
      <w:pPr>
        <w:spacing w:line="360" w:lineRule="auto"/>
        <w:ind w:firstLine="643" w:firstLineChars="200"/>
        <w:rPr>
          <w:rFonts w:hint="eastAsia" w:ascii="宋体" w:hAnsi="宋体"/>
          <w:b/>
          <w:color w:val="auto"/>
          <w:sz w:val="32"/>
          <w:szCs w:val="32"/>
          <w:highlight w:val="none"/>
        </w:rPr>
      </w:pPr>
      <w:bookmarkStart w:id="47" w:name="_Toc26002002"/>
      <w:bookmarkStart w:id="48" w:name="_Toc22827973"/>
      <w:bookmarkStart w:id="49" w:name="_Toc45697225"/>
      <w:bookmarkStart w:id="50" w:name="_Toc24050274"/>
      <w:bookmarkStart w:id="51" w:name="_Toc22828056"/>
      <w:bookmarkStart w:id="52" w:name="_Toc5207"/>
      <w:bookmarkStart w:id="53" w:name="_Toc26002055"/>
      <w:r>
        <w:rPr>
          <w:rFonts w:hint="eastAsia" w:ascii="宋体" w:hAnsi="宋体"/>
          <w:b/>
          <w:color w:val="auto"/>
          <w:sz w:val="32"/>
          <w:szCs w:val="32"/>
          <w:highlight w:val="none"/>
        </w:rPr>
        <w:t>5</w:t>
      </w:r>
      <w:r>
        <w:rPr>
          <w:rFonts w:ascii="宋体" w:hAnsi="宋体"/>
          <w:b/>
          <w:color w:val="auto"/>
          <w:sz w:val="32"/>
          <w:szCs w:val="32"/>
          <w:highlight w:val="none"/>
        </w:rPr>
        <w:t>.投标文件的递交</w:t>
      </w:r>
      <w:bookmarkEnd w:id="47"/>
      <w:bookmarkEnd w:id="48"/>
      <w:bookmarkEnd w:id="49"/>
      <w:bookmarkEnd w:id="50"/>
      <w:bookmarkEnd w:id="51"/>
      <w:bookmarkEnd w:id="52"/>
      <w:bookmarkEnd w:id="53"/>
    </w:p>
    <w:p w14:paraId="4A24F0F7">
      <w:pPr>
        <w:tabs>
          <w:tab w:val="left" w:pos="8381"/>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5</w:t>
      </w:r>
      <w:r>
        <w:rPr>
          <w:rFonts w:ascii="宋体" w:hAnsi="宋体"/>
          <w:color w:val="auto"/>
          <w:highlight w:val="none"/>
        </w:rPr>
        <w:t>.1</w:t>
      </w:r>
      <w:r>
        <w:rPr>
          <w:rFonts w:hint="eastAsia" w:ascii="宋体" w:hAnsi="宋体"/>
          <w:color w:val="auto"/>
          <w:highlight w:val="none"/>
        </w:rPr>
        <w:t>投标文件递交的截止时间（投标截止时间，下同）为</w:t>
      </w:r>
      <w:r>
        <w:rPr>
          <w:rFonts w:hint="eastAsia" w:ascii="宋体" w:hAnsi="宋体"/>
          <w:color w:val="auto"/>
          <w:highlight w:val="none"/>
          <w:u w:val="single"/>
        </w:rPr>
        <w:t>2025</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r>
        <w:rPr>
          <w:rFonts w:ascii="宋体" w:hAnsi="宋体"/>
          <w:color w:val="auto"/>
          <w:highlight w:val="none"/>
          <w:u w:val="single"/>
        </w:rPr>
        <w:t xml:space="preserve">   </w:t>
      </w:r>
      <w:r>
        <w:rPr>
          <w:rFonts w:hint="eastAsia" w:ascii="宋体" w:hAnsi="宋体"/>
          <w:color w:val="auto"/>
          <w:highlight w:val="none"/>
        </w:rPr>
        <w:t>时</w:t>
      </w:r>
      <w:r>
        <w:rPr>
          <w:rFonts w:ascii="宋体" w:hAnsi="宋体"/>
          <w:color w:val="auto"/>
          <w:highlight w:val="none"/>
          <w:u w:val="single"/>
        </w:rPr>
        <w:t xml:space="preserve">   </w:t>
      </w:r>
      <w:r>
        <w:rPr>
          <w:rFonts w:hint="eastAsia" w:ascii="宋体" w:hAnsi="宋体"/>
          <w:color w:val="auto"/>
          <w:highlight w:val="none"/>
        </w:rPr>
        <w:t>分</w:t>
      </w:r>
      <w:r>
        <w:rPr>
          <w:rFonts w:hint="eastAsia" w:ascii="宋体" w:hAnsi="宋体"/>
          <w:color w:val="auto"/>
          <w:spacing w:val="-1"/>
          <w:highlight w:val="none"/>
        </w:rPr>
        <w:t>，</w:t>
      </w:r>
      <w:r>
        <w:rPr>
          <w:rFonts w:hint="eastAsia" w:ascii="宋体" w:hAnsi="宋体"/>
          <w:color w:val="auto"/>
          <w:highlight w:val="none"/>
        </w:rPr>
        <w:t>电子招标投标交易平台：</w:t>
      </w:r>
      <w:r>
        <w:rPr>
          <w:rFonts w:hint="eastAsia" w:ascii="宋体" w:hAnsi="宋体"/>
          <w:color w:val="auto"/>
          <w:highlight w:val="none"/>
          <w:u w:val="single"/>
        </w:rPr>
        <w:t>绍兴市越城区公共资源交易中心电子招投标交易平台（https://ztb.sxyc.gov.cn/TPBidder)</w:t>
      </w:r>
      <w:r>
        <w:rPr>
          <w:rFonts w:hint="eastAsia" w:ascii="宋体" w:hAnsi="宋体"/>
          <w:color w:val="auto"/>
          <w:highlight w:val="none"/>
        </w:rPr>
        <w:t>，其他</w:t>
      </w:r>
      <w:r>
        <w:rPr>
          <w:rFonts w:hint="eastAsia" w:ascii="宋体" w:hAnsi="宋体"/>
          <w:color w:val="auto"/>
          <w:highlight w:val="none"/>
          <w:u w:val="single"/>
        </w:rPr>
        <w:t xml:space="preserve">：/  </w:t>
      </w:r>
      <w:r>
        <w:rPr>
          <w:rFonts w:hint="eastAsia" w:ascii="宋体" w:hAnsi="宋体"/>
          <w:color w:val="auto"/>
          <w:highlight w:val="none"/>
        </w:rPr>
        <w:t>。</w:t>
      </w:r>
    </w:p>
    <w:p w14:paraId="063D0C86">
      <w:pPr>
        <w:spacing w:line="360" w:lineRule="auto"/>
        <w:ind w:firstLine="643" w:firstLineChars="200"/>
        <w:rPr>
          <w:rFonts w:hint="eastAsia" w:ascii="宋体" w:hAnsi="宋体"/>
          <w:b/>
          <w:color w:val="auto"/>
          <w:sz w:val="32"/>
          <w:szCs w:val="32"/>
          <w:highlight w:val="none"/>
        </w:rPr>
      </w:pPr>
      <w:r>
        <w:rPr>
          <w:rFonts w:hint="eastAsia" w:ascii="宋体" w:hAnsi="宋体"/>
          <w:b/>
          <w:color w:val="auto"/>
          <w:sz w:val="32"/>
          <w:szCs w:val="32"/>
          <w:highlight w:val="none"/>
        </w:rPr>
        <w:t>6.</w:t>
      </w:r>
      <w:r>
        <w:rPr>
          <w:rFonts w:ascii="Times New Roman" w:hAnsi="Times New Roman"/>
          <w:b/>
          <w:color w:val="auto"/>
          <w:sz w:val="32"/>
          <w:szCs w:val="32"/>
          <w:highlight w:val="none"/>
        </w:rPr>
        <w:t>招投标方式</w:t>
      </w:r>
    </w:p>
    <w:p w14:paraId="6F162D85">
      <w:pPr>
        <w:tabs>
          <w:tab w:val="left" w:pos="8381"/>
        </w:tabs>
        <w:kinsoku w:val="0"/>
        <w:snapToGrid w:val="0"/>
        <w:spacing w:line="360" w:lineRule="auto"/>
        <w:ind w:firstLine="480" w:firstLineChars="200"/>
        <w:rPr>
          <w:rFonts w:hint="eastAsia" w:ascii="宋体" w:hAnsi="宋体"/>
          <w:color w:val="auto"/>
          <w:highlight w:val="none"/>
        </w:rPr>
      </w:pPr>
      <w:bookmarkStart w:id="54" w:name="_Toc26002000"/>
      <w:bookmarkStart w:id="55" w:name="_Toc26002053"/>
      <w:r>
        <w:rPr>
          <w:rFonts w:hint="eastAsia" w:ascii="宋体" w:hAnsi="宋体"/>
          <w:color w:val="auto"/>
          <w:highlight w:val="none"/>
        </w:rPr>
        <w:t>6.1公开招标</w:t>
      </w:r>
      <w:bookmarkEnd w:id="54"/>
      <w:bookmarkEnd w:id="55"/>
      <w:bookmarkStart w:id="56" w:name="bookmark5"/>
      <w:bookmarkEnd w:id="56"/>
      <w:r>
        <w:rPr>
          <w:rFonts w:hint="eastAsia" w:ascii="宋体" w:hAnsi="宋体"/>
          <w:color w:val="auto"/>
          <w:highlight w:val="none"/>
        </w:rPr>
        <w:t>。</w:t>
      </w:r>
    </w:p>
    <w:p w14:paraId="40DD340A">
      <w:pPr>
        <w:tabs>
          <w:tab w:val="left" w:pos="8381"/>
        </w:tabs>
        <w:kinsoku w:val="0"/>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6.2</w:t>
      </w:r>
      <w:r>
        <w:rPr>
          <w:rFonts w:hint="eastAsia"/>
          <w:color w:val="auto"/>
          <w:highlight w:val="none"/>
        </w:rPr>
        <w:t>☑</w:t>
      </w:r>
      <w:r>
        <w:rPr>
          <w:rFonts w:ascii="宋体" w:hAnsi="宋体"/>
          <w:color w:val="auto"/>
          <w:highlight w:val="none"/>
        </w:rPr>
        <w:t>采用评定分离，</w:t>
      </w:r>
      <w:r>
        <w:rPr>
          <w:rFonts w:hint="eastAsia"/>
          <w:color w:val="auto"/>
          <w:highlight w:val="none"/>
        </w:rPr>
        <w:t>□</w:t>
      </w:r>
      <w:r>
        <w:rPr>
          <w:rFonts w:ascii="宋体" w:hAnsi="宋体"/>
          <w:color w:val="auto"/>
          <w:highlight w:val="none"/>
        </w:rPr>
        <w:t>不采用评定分离。</w:t>
      </w:r>
    </w:p>
    <w:p w14:paraId="01222CB1">
      <w:pPr>
        <w:spacing w:line="360" w:lineRule="auto"/>
        <w:ind w:left="480" w:leftChars="200"/>
        <w:rPr>
          <w:color w:val="auto"/>
          <w:spacing w:val="-1"/>
          <w:highlight w:val="none"/>
          <w:u w:val="single"/>
        </w:rPr>
      </w:pPr>
      <w:r>
        <w:rPr>
          <w:rFonts w:hint="eastAsia" w:ascii="宋体" w:hAnsi="宋体"/>
          <w:b/>
          <w:color w:val="auto"/>
          <w:sz w:val="32"/>
          <w:szCs w:val="32"/>
          <w:highlight w:val="none"/>
        </w:rPr>
        <w:t>7.监管机构：</w:t>
      </w:r>
      <w:bookmarkStart w:id="57" w:name="_Toc27549"/>
      <w:bookmarkStart w:id="58" w:name="_Toc26002003"/>
      <w:bookmarkStart w:id="59" w:name="_Toc24050275"/>
      <w:bookmarkStart w:id="60" w:name="_Toc45697226"/>
      <w:bookmarkStart w:id="61" w:name="_Toc22828057"/>
      <w:bookmarkStart w:id="62" w:name="_Toc26002056"/>
      <w:bookmarkStart w:id="63" w:name="_Toc22827974"/>
      <w:r>
        <w:rPr>
          <w:rFonts w:hint="eastAsia"/>
          <w:color w:val="auto"/>
          <w:spacing w:val="-1"/>
          <w:highlight w:val="none"/>
          <w:u w:val="single"/>
        </w:rPr>
        <w:t>越城区住房和城乡建设局</w:t>
      </w:r>
    </w:p>
    <w:p w14:paraId="1719399A">
      <w:pPr>
        <w:spacing w:line="360" w:lineRule="auto"/>
        <w:ind w:left="480" w:leftChars="200"/>
        <w:rPr>
          <w:rFonts w:hint="eastAsia" w:ascii="宋体" w:hAnsi="宋体"/>
          <w:b/>
          <w:color w:val="auto"/>
          <w:sz w:val="32"/>
          <w:szCs w:val="32"/>
          <w:highlight w:val="none"/>
        </w:rPr>
      </w:pPr>
      <w:r>
        <w:rPr>
          <w:rFonts w:hint="eastAsia" w:ascii="宋体" w:hAnsi="宋体"/>
          <w:b/>
          <w:color w:val="auto"/>
          <w:sz w:val="32"/>
          <w:szCs w:val="32"/>
          <w:highlight w:val="none"/>
        </w:rPr>
        <w:t>8</w:t>
      </w:r>
      <w:r>
        <w:rPr>
          <w:rFonts w:ascii="宋体" w:hAnsi="宋体"/>
          <w:b/>
          <w:color w:val="auto"/>
          <w:sz w:val="32"/>
          <w:szCs w:val="32"/>
          <w:highlight w:val="none"/>
        </w:rPr>
        <w:t>.联系方式</w:t>
      </w:r>
      <w:bookmarkEnd w:id="57"/>
      <w:bookmarkEnd w:id="58"/>
      <w:bookmarkEnd w:id="59"/>
      <w:bookmarkEnd w:id="60"/>
      <w:bookmarkEnd w:id="61"/>
      <w:bookmarkEnd w:id="62"/>
      <w:bookmarkEnd w:id="63"/>
    </w:p>
    <w:p w14:paraId="3DC37E5F">
      <w:pPr>
        <w:pStyle w:val="9"/>
        <w:kinsoku w:val="0"/>
        <w:spacing w:after="0"/>
        <w:ind w:firstLine="480" w:firstLineChars="200"/>
        <w:jc w:val="both"/>
        <w:rPr>
          <w:rFonts w:hint="eastAsia" w:ascii="宋体" w:hAnsi="宋体"/>
          <w:color w:val="auto"/>
          <w:highlight w:val="none"/>
        </w:rPr>
      </w:pPr>
      <w:bookmarkStart w:id="64" w:name="bookmark10"/>
      <w:bookmarkEnd w:id="64"/>
      <w:r>
        <w:rPr>
          <w:rFonts w:hint="eastAsia" w:ascii="宋体" w:hAnsi="宋体"/>
          <w:color w:val="auto"/>
          <w:highlight w:val="none"/>
        </w:rPr>
        <w:t xml:space="preserve">招  标  人：越润集成电路（绍兴）有限公司 </w:t>
      </w:r>
    </w:p>
    <w:p w14:paraId="0FD3D50C">
      <w:pPr>
        <w:pStyle w:val="9"/>
        <w:kinsoku w:val="0"/>
        <w:spacing w:after="0"/>
        <w:ind w:firstLine="480" w:firstLineChars="200"/>
        <w:jc w:val="both"/>
        <w:rPr>
          <w:rFonts w:hint="eastAsia" w:ascii="宋体" w:hAnsi="宋体"/>
          <w:color w:val="auto"/>
          <w:highlight w:val="none"/>
        </w:rPr>
      </w:pPr>
      <w:r>
        <w:rPr>
          <w:rFonts w:hint="eastAsia" w:ascii="宋体" w:hAnsi="宋体"/>
          <w:color w:val="auto"/>
          <w:highlight w:val="none"/>
        </w:rPr>
        <w:t>地      址：浙江省绍兴市越城区临江路500号</w:t>
      </w:r>
    </w:p>
    <w:p w14:paraId="4CA0F6F0">
      <w:pPr>
        <w:pStyle w:val="9"/>
        <w:kinsoku w:val="0"/>
        <w:spacing w:after="0"/>
        <w:ind w:firstLine="480" w:firstLineChars="200"/>
        <w:jc w:val="both"/>
        <w:rPr>
          <w:rFonts w:hint="eastAsia" w:ascii="宋体" w:hAnsi="宋体"/>
          <w:color w:val="auto"/>
          <w:highlight w:val="none"/>
        </w:rPr>
      </w:pPr>
      <w:r>
        <w:rPr>
          <w:rFonts w:hint="eastAsia" w:ascii="宋体" w:hAnsi="宋体"/>
          <w:color w:val="auto"/>
          <w:highlight w:val="none"/>
        </w:rPr>
        <w:t>联  系  人： 游工</w:t>
      </w:r>
    </w:p>
    <w:p w14:paraId="562E3D43">
      <w:pPr>
        <w:pStyle w:val="9"/>
        <w:kinsoku w:val="0"/>
        <w:spacing w:after="0"/>
        <w:ind w:firstLine="480" w:firstLineChars="200"/>
        <w:jc w:val="both"/>
        <w:rPr>
          <w:rFonts w:hint="eastAsia" w:ascii="宋体" w:hAnsi="宋体"/>
          <w:color w:val="auto"/>
          <w:highlight w:val="none"/>
        </w:rPr>
      </w:pPr>
      <w:r>
        <w:rPr>
          <w:rFonts w:hint="eastAsia" w:ascii="宋体" w:hAnsi="宋体"/>
          <w:color w:val="auto"/>
          <w:highlight w:val="none"/>
        </w:rPr>
        <w:t>电      话：13585054159</w:t>
      </w:r>
    </w:p>
    <w:p w14:paraId="46F118A5">
      <w:pPr>
        <w:pStyle w:val="9"/>
        <w:kinsoku w:val="0"/>
        <w:spacing w:after="0"/>
        <w:ind w:firstLine="480" w:firstLineChars="200"/>
        <w:jc w:val="both"/>
        <w:rPr>
          <w:rFonts w:hint="eastAsia" w:ascii="宋体" w:hAnsi="宋体"/>
          <w:color w:val="auto"/>
          <w:highlight w:val="none"/>
        </w:rPr>
      </w:pPr>
      <w:r>
        <w:rPr>
          <w:rFonts w:hint="eastAsia" w:ascii="宋体" w:hAnsi="宋体"/>
          <w:color w:val="auto"/>
          <w:highlight w:val="none"/>
        </w:rPr>
        <w:t>邮      箱：/</w:t>
      </w:r>
    </w:p>
    <w:p w14:paraId="2A4B3B99">
      <w:pPr>
        <w:pStyle w:val="9"/>
        <w:kinsoku w:val="0"/>
        <w:spacing w:after="0"/>
        <w:ind w:firstLine="480" w:firstLineChars="200"/>
        <w:jc w:val="both"/>
        <w:rPr>
          <w:rFonts w:hint="eastAsia" w:ascii="宋体" w:hAnsi="宋体"/>
          <w:color w:val="auto"/>
          <w:highlight w:val="none"/>
        </w:rPr>
      </w:pPr>
    </w:p>
    <w:p w14:paraId="233A2544">
      <w:pPr>
        <w:pStyle w:val="9"/>
        <w:kinsoku w:val="0"/>
        <w:spacing w:after="0"/>
        <w:ind w:firstLine="480" w:firstLineChars="200"/>
        <w:jc w:val="both"/>
        <w:rPr>
          <w:rFonts w:hint="eastAsia" w:ascii="宋体" w:hAnsi="宋体"/>
          <w:color w:val="auto"/>
          <w:highlight w:val="none"/>
        </w:rPr>
      </w:pPr>
      <w:r>
        <w:rPr>
          <w:rFonts w:hint="eastAsia" w:ascii="宋体" w:hAnsi="宋体"/>
          <w:color w:val="auto"/>
          <w:highlight w:val="none"/>
        </w:rPr>
        <w:t>招标代理机构：浙江天平投资咨询有限公司</w:t>
      </w:r>
    </w:p>
    <w:p w14:paraId="08B45C87">
      <w:pPr>
        <w:pStyle w:val="9"/>
        <w:kinsoku w:val="0"/>
        <w:spacing w:after="0"/>
        <w:ind w:firstLine="480" w:firstLineChars="200"/>
        <w:jc w:val="both"/>
        <w:rPr>
          <w:rFonts w:hint="eastAsia" w:ascii="宋体" w:hAnsi="宋体"/>
          <w:color w:val="auto"/>
          <w:highlight w:val="none"/>
        </w:rPr>
      </w:pPr>
      <w:r>
        <w:rPr>
          <w:rFonts w:hint="eastAsia" w:ascii="宋体" w:hAnsi="宋体"/>
          <w:color w:val="auto"/>
          <w:highlight w:val="none"/>
        </w:rPr>
        <w:t>地      址：浙江省杭州市祥园路33号</w:t>
      </w:r>
    </w:p>
    <w:p w14:paraId="0A4E4AB6">
      <w:pPr>
        <w:pStyle w:val="9"/>
        <w:kinsoku w:val="0"/>
        <w:spacing w:after="0"/>
        <w:ind w:firstLine="480" w:firstLineChars="200"/>
        <w:jc w:val="both"/>
        <w:rPr>
          <w:rFonts w:hint="eastAsia" w:ascii="宋体" w:hAnsi="宋体"/>
          <w:color w:val="auto"/>
          <w:highlight w:val="none"/>
        </w:rPr>
      </w:pPr>
      <w:r>
        <w:rPr>
          <w:rFonts w:hint="eastAsia" w:ascii="宋体" w:hAnsi="宋体"/>
          <w:color w:val="auto"/>
          <w:highlight w:val="none"/>
        </w:rPr>
        <w:t xml:space="preserve">联  系  人：曾工 </w:t>
      </w:r>
    </w:p>
    <w:p w14:paraId="7894ED46">
      <w:pPr>
        <w:pStyle w:val="9"/>
        <w:kinsoku w:val="0"/>
        <w:spacing w:after="0"/>
        <w:ind w:firstLine="480" w:firstLineChars="200"/>
        <w:jc w:val="both"/>
        <w:rPr>
          <w:rFonts w:hint="eastAsia" w:ascii="宋体" w:hAnsi="宋体"/>
          <w:color w:val="auto"/>
          <w:highlight w:val="none"/>
        </w:rPr>
      </w:pPr>
      <w:r>
        <w:rPr>
          <w:rFonts w:hint="eastAsia" w:ascii="宋体" w:hAnsi="宋体"/>
          <w:color w:val="auto"/>
          <w:highlight w:val="none"/>
        </w:rPr>
        <w:t xml:space="preserve">电      话：15268558883 </w:t>
      </w:r>
    </w:p>
    <w:p w14:paraId="045F8960">
      <w:pPr>
        <w:tabs>
          <w:tab w:val="left" w:pos="4228"/>
          <w:tab w:val="left" w:pos="7975"/>
        </w:tabs>
        <w:kinsoku w:val="0"/>
        <w:spacing w:line="360" w:lineRule="auto"/>
        <w:ind w:firstLine="480" w:firstLineChars="200"/>
        <w:rPr>
          <w:rFonts w:hint="eastAsia" w:ascii="宋体" w:hAnsi="宋体"/>
          <w:color w:val="auto"/>
          <w:highlight w:val="none"/>
        </w:rPr>
      </w:pPr>
      <w:r>
        <w:rPr>
          <w:rFonts w:hint="eastAsia" w:ascii="宋体" w:hAnsi="宋体"/>
          <w:color w:val="auto"/>
          <w:highlight w:val="none"/>
        </w:rPr>
        <w:t xml:space="preserve">邮      箱：248452213@qq.com </w:t>
      </w:r>
    </w:p>
    <w:p w14:paraId="6025CD90">
      <w:pPr>
        <w:tabs>
          <w:tab w:val="left" w:pos="4228"/>
          <w:tab w:val="left" w:pos="7975"/>
        </w:tabs>
        <w:kinsoku w:val="0"/>
        <w:spacing w:line="360" w:lineRule="auto"/>
        <w:ind w:firstLine="480" w:firstLineChars="200"/>
        <w:rPr>
          <w:color w:val="auto"/>
          <w:highlight w:val="none"/>
        </w:rPr>
      </w:pPr>
    </w:p>
    <w:p w14:paraId="254BF52A">
      <w:pPr>
        <w:tabs>
          <w:tab w:val="left" w:pos="4228"/>
          <w:tab w:val="left" w:pos="7975"/>
        </w:tabs>
        <w:kinsoku w:val="0"/>
        <w:spacing w:line="360" w:lineRule="auto"/>
        <w:ind w:firstLine="6000" w:firstLineChars="2500"/>
        <w:rPr>
          <w:color w:val="auto"/>
          <w:highlight w:val="none"/>
        </w:rPr>
      </w:pPr>
      <w:r>
        <w:rPr>
          <w:rFonts w:hint="eastAsia"/>
          <w:color w:val="auto"/>
          <w:highlight w:val="none"/>
        </w:rPr>
        <w:t xml:space="preserve">2025年   </w:t>
      </w:r>
      <w:r>
        <w:rPr>
          <w:rFonts w:hint="eastAsia"/>
          <w:color w:val="auto"/>
          <w:spacing w:val="-3"/>
          <w:highlight w:val="none"/>
        </w:rPr>
        <w:t>月</w:t>
      </w:r>
      <w:r>
        <w:rPr>
          <w:color w:val="auto"/>
          <w:spacing w:val="-3"/>
          <w:highlight w:val="none"/>
        </w:rPr>
        <w:t xml:space="preserve">   </w:t>
      </w:r>
      <w:r>
        <w:rPr>
          <w:rFonts w:hint="eastAsia"/>
          <w:color w:val="auto"/>
          <w:highlight w:val="none"/>
        </w:rPr>
        <w:t>日</w:t>
      </w:r>
      <w:r>
        <w:rPr>
          <w:color w:val="auto"/>
          <w:highlight w:val="none"/>
        </w:rPr>
        <w:t xml:space="preserve">  </w:t>
      </w:r>
    </w:p>
    <w:p w14:paraId="6E091CA7">
      <w:pPr>
        <w:pStyle w:val="2"/>
        <w:kinsoku w:val="0"/>
        <w:spacing w:before="120" w:after="120" w:line="572" w:lineRule="exact"/>
        <w:ind w:right="117"/>
        <w:rPr>
          <w:rFonts w:hint="eastAsia" w:ascii="宋体" w:hAnsi="宋体" w:eastAsia="宋体" w:cs="宋体"/>
          <w:color w:val="auto"/>
          <w:highlight w:val="none"/>
        </w:rPr>
      </w:pPr>
      <w:bookmarkStart w:id="65" w:name="_Toc45697228"/>
      <w:r>
        <w:rPr>
          <w:bCs w:val="0"/>
          <w:color w:val="auto"/>
          <w:highlight w:val="none"/>
        </w:rPr>
        <w:br w:type="page"/>
      </w:r>
      <w:bookmarkEnd w:id="65"/>
      <w:bookmarkStart w:id="66" w:name="bookmark181"/>
      <w:bookmarkEnd w:id="66"/>
      <w:bookmarkStart w:id="67" w:name="_Toc24050297"/>
      <w:bookmarkStart w:id="68" w:name="_Toc22828079"/>
      <w:bookmarkStart w:id="69" w:name="_Toc25289"/>
      <w:r>
        <w:rPr>
          <w:rFonts w:hint="eastAsia" w:ascii="宋体" w:hAnsi="宋体" w:eastAsia="宋体" w:cs="宋体"/>
          <w:color w:val="auto"/>
          <w:highlight w:val="none"/>
        </w:rPr>
        <w:t>第二章 投标人须知</w:t>
      </w:r>
    </w:p>
    <w:p w14:paraId="6E9D2F0C">
      <w:pPr>
        <w:pStyle w:val="3"/>
        <w:jc w:val="center"/>
        <w:rPr>
          <w:color w:val="auto"/>
          <w:highlight w:val="none"/>
        </w:rPr>
      </w:pPr>
      <w:bookmarkStart w:id="70" w:name="第一节投标人须知前附表"/>
      <w:bookmarkEnd w:id="70"/>
      <w:r>
        <w:rPr>
          <w:rFonts w:hint="eastAsia"/>
          <w:color w:val="auto"/>
          <w:highlight w:val="none"/>
        </w:rPr>
        <w:t>投标人须知前附表</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988"/>
        <w:gridCol w:w="1701"/>
        <w:gridCol w:w="6168"/>
      </w:tblGrid>
      <w:tr w14:paraId="7DBE1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vAlign w:val="center"/>
          </w:tcPr>
          <w:p w14:paraId="1F22CD48">
            <w:pPr>
              <w:pStyle w:val="44"/>
              <w:adjustRightInd/>
              <w:ind w:right="220"/>
              <w:jc w:val="both"/>
              <w:rPr>
                <w:rFonts w:hint="eastAsia"/>
                <w:b/>
                <w:color w:val="auto"/>
                <w:highlight w:val="none"/>
              </w:rPr>
            </w:pPr>
            <w:r>
              <w:rPr>
                <w:rFonts w:hint="eastAsia"/>
                <w:b/>
                <w:color w:val="auto"/>
                <w:highlight w:val="none"/>
              </w:rPr>
              <w:t>条款</w:t>
            </w:r>
            <w:r>
              <w:rPr>
                <w:rFonts w:hint="eastAsia"/>
                <w:b/>
                <w:color w:val="auto"/>
                <w:highlight w:val="none"/>
                <w:lang w:val="en-US"/>
              </w:rPr>
              <w:t>号</w:t>
            </w:r>
          </w:p>
        </w:tc>
        <w:tc>
          <w:tcPr>
            <w:tcW w:w="1701" w:type="dxa"/>
            <w:vAlign w:val="center"/>
          </w:tcPr>
          <w:p w14:paraId="152A089E">
            <w:pPr>
              <w:pStyle w:val="44"/>
              <w:adjustRightInd/>
              <w:ind w:left="185" w:right="175"/>
              <w:jc w:val="center"/>
              <w:rPr>
                <w:rFonts w:hint="eastAsia"/>
                <w:b/>
                <w:color w:val="auto"/>
                <w:highlight w:val="none"/>
              </w:rPr>
            </w:pPr>
            <w:r>
              <w:rPr>
                <w:rFonts w:hint="eastAsia"/>
                <w:b/>
                <w:color w:val="auto"/>
                <w:highlight w:val="none"/>
              </w:rPr>
              <w:t>条款名称</w:t>
            </w:r>
          </w:p>
        </w:tc>
        <w:tc>
          <w:tcPr>
            <w:tcW w:w="6168" w:type="dxa"/>
            <w:vAlign w:val="center"/>
          </w:tcPr>
          <w:p w14:paraId="0899577D">
            <w:pPr>
              <w:pStyle w:val="44"/>
              <w:tabs>
                <w:tab w:val="left" w:pos="494"/>
                <w:tab w:val="left" w:pos="976"/>
                <w:tab w:val="left" w:pos="1458"/>
              </w:tabs>
              <w:adjustRightInd/>
              <w:ind w:left="14"/>
              <w:jc w:val="center"/>
              <w:rPr>
                <w:rFonts w:hint="eastAsia"/>
                <w:b/>
                <w:color w:val="auto"/>
                <w:highlight w:val="none"/>
              </w:rPr>
            </w:pPr>
            <w:bookmarkStart w:id="71" w:name="_bookmark2"/>
            <w:bookmarkEnd w:id="71"/>
            <w:r>
              <w:rPr>
                <w:rFonts w:hint="eastAsia"/>
                <w:b/>
                <w:color w:val="auto"/>
                <w:highlight w:val="none"/>
              </w:rPr>
              <w:t>编列内容</w:t>
            </w:r>
          </w:p>
        </w:tc>
      </w:tr>
      <w:tr w14:paraId="37355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370" w:hRule="atLeast"/>
          <w:jc w:val="center"/>
        </w:trPr>
        <w:tc>
          <w:tcPr>
            <w:tcW w:w="988" w:type="dxa"/>
            <w:vAlign w:val="center"/>
          </w:tcPr>
          <w:p w14:paraId="7FBECD6D">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1.1.2</w:t>
            </w:r>
          </w:p>
        </w:tc>
        <w:tc>
          <w:tcPr>
            <w:tcW w:w="1701" w:type="dxa"/>
            <w:vAlign w:val="center"/>
          </w:tcPr>
          <w:p w14:paraId="55DBBF83">
            <w:pPr>
              <w:pStyle w:val="44"/>
              <w:adjustRightInd/>
              <w:ind w:right="178" w:rightChars="74" w:firstLine="31" w:firstLineChars="13"/>
              <w:jc w:val="center"/>
              <w:rPr>
                <w:rFonts w:hint="eastAsia"/>
                <w:color w:val="auto"/>
                <w:highlight w:val="none"/>
              </w:rPr>
            </w:pPr>
            <w:r>
              <w:rPr>
                <w:rFonts w:hint="eastAsia"/>
                <w:color w:val="auto"/>
                <w:highlight w:val="none"/>
              </w:rPr>
              <w:t>招标人</w:t>
            </w:r>
          </w:p>
        </w:tc>
        <w:tc>
          <w:tcPr>
            <w:tcW w:w="6168" w:type="dxa"/>
            <w:vAlign w:val="center"/>
          </w:tcPr>
          <w:p w14:paraId="6A4EFA9A">
            <w:pPr>
              <w:pStyle w:val="44"/>
              <w:tabs>
                <w:tab w:val="left" w:pos="3080"/>
              </w:tabs>
              <w:adjustRightInd/>
              <w:ind w:right="-8"/>
              <w:jc w:val="both"/>
              <w:rPr>
                <w:rFonts w:hint="eastAsia"/>
                <w:color w:val="auto"/>
                <w:highlight w:val="none"/>
                <w:u w:val="single"/>
              </w:rPr>
            </w:pPr>
            <w:r>
              <w:rPr>
                <w:rFonts w:hint="eastAsia"/>
                <w:color w:val="auto"/>
                <w:highlight w:val="none"/>
              </w:rPr>
              <w:t>名</w:t>
            </w:r>
            <w:r>
              <w:rPr>
                <w:rFonts w:hint="eastAsia"/>
                <w:color w:val="auto"/>
                <w:highlight w:val="none"/>
                <w:lang w:val="en-US"/>
              </w:rPr>
              <w:t xml:space="preserve">  </w:t>
            </w:r>
            <w:r>
              <w:rPr>
                <w:rFonts w:hint="eastAsia"/>
                <w:color w:val="auto"/>
                <w:highlight w:val="none"/>
              </w:rPr>
              <w:t>称：</w:t>
            </w:r>
            <w:r>
              <w:rPr>
                <w:rFonts w:hint="eastAsia"/>
                <w:color w:val="auto"/>
                <w:highlight w:val="none"/>
                <w:u w:val="single"/>
              </w:rPr>
              <w:t>越润集成电路（绍兴）有限公司</w:t>
            </w:r>
          </w:p>
          <w:p w14:paraId="72F0C301">
            <w:pPr>
              <w:pStyle w:val="44"/>
              <w:tabs>
                <w:tab w:val="left" w:pos="3080"/>
              </w:tabs>
              <w:adjustRightInd/>
              <w:ind w:right="-8"/>
              <w:jc w:val="both"/>
              <w:rPr>
                <w:rFonts w:hint="eastAsia"/>
                <w:color w:val="auto"/>
                <w:highlight w:val="none"/>
              </w:rPr>
            </w:pPr>
            <w:r>
              <w:rPr>
                <w:rFonts w:hint="eastAsia"/>
                <w:color w:val="auto"/>
                <w:highlight w:val="none"/>
              </w:rPr>
              <w:t>地</w:t>
            </w:r>
            <w:r>
              <w:rPr>
                <w:rFonts w:hint="eastAsia"/>
                <w:color w:val="auto"/>
                <w:highlight w:val="none"/>
                <w:lang w:val="en-US"/>
              </w:rPr>
              <w:t xml:space="preserve">  </w:t>
            </w:r>
            <w:r>
              <w:rPr>
                <w:rFonts w:hint="eastAsia"/>
                <w:color w:val="auto"/>
                <w:highlight w:val="none"/>
              </w:rPr>
              <w:t>址：</w:t>
            </w:r>
            <w:r>
              <w:rPr>
                <w:rFonts w:hint="eastAsia"/>
                <w:color w:val="auto"/>
                <w:highlight w:val="none"/>
                <w:u w:val="single"/>
              </w:rPr>
              <w:t>浙江省绍兴市越城区临江路500号</w:t>
            </w:r>
          </w:p>
          <w:p w14:paraId="1975EE22">
            <w:pPr>
              <w:pStyle w:val="44"/>
              <w:tabs>
                <w:tab w:val="left" w:pos="3080"/>
                <w:tab w:val="left" w:pos="4248"/>
              </w:tabs>
              <w:adjustRightInd/>
              <w:ind w:right="-8"/>
              <w:jc w:val="both"/>
              <w:rPr>
                <w:rFonts w:hint="eastAsia"/>
                <w:color w:val="auto"/>
                <w:highlight w:val="none"/>
              </w:rPr>
            </w:pPr>
            <w:r>
              <w:rPr>
                <w:rFonts w:hint="eastAsia"/>
                <w:color w:val="auto"/>
                <w:highlight w:val="none"/>
              </w:rPr>
              <w:t>联系人：游工</w:t>
            </w:r>
          </w:p>
          <w:p w14:paraId="5C3D5010">
            <w:pPr>
              <w:pStyle w:val="44"/>
              <w:tabs>
                <w:tab w:val="left" w:pos="3080"/>
                <w:tab w:val="left" w:pos="4248"/>
              </w:tabs>
              <w:adjustRightInd/>
              <w:ind w:right="-8"/>
              <w:jc w:val="both"/>
              <w:rPr>
                <w:rFonts w:hint="eastAsia"/>
                <w:color w:val="auto"/>
                <w:highlight w:val="none"/>
              </w:rPr>
            </w:pPr>
            <w:r>
              <w:rPr>
                <w:rFonts w:hint="eastAsia"/>
                <w:color w:val="auto"/>
                <w:highlight w:val="none"/>
              </w:rPr>
              <w:t>电</w:t>
            </w:r>
            <w:r>
              <w:rPr>
                <w:rFonts w:hint="eastAsia"/>
                <w:color w:val="auto"/>
                <w:highlight w:val="none"/>
                <w:lang w:val="en-US"/>
              </w:rPr>
              <w:t xml:space="preserve">  </w:t>
            </w:r>
            <w:r>
              <w:rPr>
                <w:rFonts w:hint="eastAsia"/>
                <w:color w:val="auto"/>
                <w:highlight w:val="none"/>
              </w:rPr>
              <w:t>话：</w:t>
            </w:r>
            <w:r>
              <w:rPr>
                <w:rFonts w:hint="eastAsia"/>
                <w:color w:val="auto"/>
                <w:highlight w:val="none"/>
                <w:u w:val="single"/>
              </w:rPr>
              <w:t xml:space="preserve"> 13585054159</w:t>
            </w:r>
          </w:p>
        </w:tc>
      </w:tr>
      <w:tr w14:paraId="6DC86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4F5578E">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1.1.3</w:t>
            </w:r>
          </w:p>
        </w:tc>
        <w:tc>
          <w:tcPr>
            <w:tcW w:w="1701" w:type="dxa"/>
            <w:vAlign w:val="center"/>
          </w:tcPr>
          <w:p w14:paraId="232CAB45">
            <w:pPr>
              <w:pStyle w:val="44"/>
              <w:adjustRightInd/>
              <w:ind w:right="178" w:rightChars="74" w:firstLine="31" w:firstLineChars="13"/>
              <w:jc w:val="center"/>
              <w:rPr>
                <w:rFonts w:hint="eastAsia"/>
                <w:color w:val="auto"/>
                <w:highlight w:val="none"/>
              </w:rPr>
            </w:pPr>
            <w:r>
              <w:rPr>
                <w:rFonts w:hint="eastAsia"/>
                <w:color w:val="auto"/>
                <w:highlight w:val="none"/>
              </w:rPr>
              <w:t>招标代理机构</w:t>
            </w:r>
          </w:p>
        </w:tc>
        <w:tc>
          <w:tcPr>
            <w:tcW w:w="6168" w:type="dxa"/>
            <w:vAlign w:val="center"/>
          </w:tcPr>
          <w:p w14:paraId="03B330E4">
            <w:pPr>
              <w:pStyle w:val="44"/>
              <w:tabs>
                <w:tab w:val="left" w:pos="3080"/>
              </w:tabs>
              <w:adjustRightInd/>
              <w:ind w:right="-8"/>
              <w:jc w:val="both"/>
              <w:rPr>
                <w:rFonts w:hint="eastAsia"/>
                <w:color w:val="auto"/>
                <w:highlight w:val="none"/>
              </w:rPr>
            </w:pPr>
            <w:r>
              <w:rPr>
                <w:rFonts w:hint="eastAsia"/>
                <w:color w:val="auto"/>
                <w:highlight w:val="none"/>
              </w:rPr>
              <w:t>名</w:t>
            </w:r>
            <w:r>
              <w:rPr>
                <w:rFonts w:hint="eastAsia"/>
                <w:color w:val="auto"/>
                <w:highlight w:val="none"/>
                <w:lang w:val="en-US"/>
              </w:rPr>
              <w:t xml:space="preserve">  </w:t>
            </w:r>
            <w:r>
              <w:rPr>
                <w:rFonts w:hint="eastAsia"/>
                <w:color w:val="auto"/>
                <w:highlight w:val="none"/>
              </w:rPr>
              <w:t>称：</w:t>
            </w:r>
            <w:r>
              <w:rPr>
                <w:rFonts w:hint="eastAsia"/>
                <w:color w:val="auto"/>
                <w:highlight w:val="none"/>
                <w:u w:val="single"/>
              </w:rPr>
              <w:t>浙江天平投资咨询有限公司</w:t>
            </w:r>
          </w:p>
          <w:p w14:paraId="0C673E7F">
            <w:pPr>
              <w:pStyle w:val="44"/>
              <w:tabs>
                <w:tab w:val="left" w:pos="3080"/>
              </w:tabs>
              <w:adjustRightInd/>
              <w:ind w:right="-8"/>
              <w:jc w:val="both"/>
              <w:rPr>
                <w:rFonts w:hint="eastAsia"/>
                <w:color w:val="auto"/>
                <w:highlight w:val="none"/>
                <w:u w:val="single"/>
                <w:lang w:val="en-US"/>
              </w:rPr>
            </w:pPr>
            <w:r>
              <w:rPr>
                <w:rFonts w:hint="eastAsia" w:ascii="Times New Roman" w:cs="Times New Roman"/>
                <w:color w:val="auto"/>
                <w:highlight w:val="none"/>
                <w:lang w:val="en-US"/>
              </w:rPr>
              <w:t>信用评价等级：</w:t>
            </w:r>
            <w:r>
              <w:rPr>
                <w:rFonts w:hint="eastAsia" w:ascii="Times New Roman" w:cs="Times New Roman"/>
                <w:color w:val="auto"/>
                <w:highlight w:val="none"/>
                <w:u w:val="single"/>
                <w:lang w:val="en-US"/>
              </w:rPr>
              <w:t xml:space="preserve"> 5A </w:t>
            </w:r>
          </w:p>
          <w:p w14:paraId="6FD5534B">
            <w:pPr>
              <w:pStyle w:val="44"/>
              <w:tabs>
                <w:tab w:val="left" w:pos="3080"/>
              </w:tabs>
              <w:adjustRightInd/>
              <w:ind w:right="-8"/>
              <w:jc w:val="both"/>
              <w:rPr>
                <w:rFonts w:hint="eastAsia"/>
                <w:color w:val="auto"/>
                <w:highlight w:val="none"/>
                <w:lang w:val="en-US"/>
              </w:rPr>
            </w:pPr>
            <w:r>
              <w:rPr>
                <w:rFonts w:hint="eastAsia"/>
                <w:color w:val="auto"/>
                <w:highlight w:val="none"/>
              </w:rPr>
              <w:t>地</w:t>
            </w:r>
            <w:r>
              <w:rPr>
                <w:rFonts w:hint="eastAsia"/>
                <w:color w:val="auto"/>
                <w:highlight w:val="none"/>
                <w:lang w:val="en-US"/>
              </w:rPr>
              <w:t xml:space="preserve">  </w:t>
            </w:r>
            <w:r>
              <w:rPr>
                <w:rFonts w:hint="eastAsia"/>
                <w:color w:val="auto"/>
                <w:highlight w:val="none"/>
              </w:rPr>
              <w:t>址：</w:t>
            </w:r>
          </w:p>
          <w:p w14:paraId="65E9572F">
            <w:pPr>
              <w:pStyle w:val="44"/>
              <w:tabs>
                <w:tab w:val="left" w:pos="3080"/>
                <w:tab w:val="left" w:pos="4248"/>
              </w:tabs>
              <w:adjustRightInd/>
              <w:ind w:right="-8"/>
              <w:jc w:val="both"/>
              <w:rPr>
                <w:rFonts w:hint="eastAsia"/>
                <w:color w:val="auto"/>
                <w:highlight w:val="none"/>
                <w:u w:val="single"/>
                <w:lang w:val="en-US"/>
              </w:rPr>
            </w:pPr>
            <w:r>
              <w:rPr>
                <w:rFonts w:hint="eastAsia"/>
                <w:color w:val="auto"/>
                <w:highlight w:val="none"/>
                <w:lang w:val="en-US"/>
              </w:rPr>
              <w:t>项目负责</w:t>
            </w:r>
            <w:r>
              <w:rPr>
                <w:rFonts w:hint="eastAsia"/>
                <w:color w:val="auto"/>
                <w:highlight w:val="none"/>
              </w:rPr>
              <w:t>人：</w:t>
            </w:r>
            <w:r>
              <w:rPr>
                <w:rFonts w:hint="eastAsia"/>
                <w:color w:val="auto"/>
                <w:highlight w:val="none"/>
                <w:u w:val="single"/>
                <w:lang w:val="en-US"/>
              </w:rPr>
              <w:t xml:space="preserve">   /   </w:t>
            </w:r>
            <w:r>
              <w:rPr>
                <w:rFonts w:hint="eastAsia" w:ascii="Times New Roman" w:cs="Times New Roman"/>
                <w:color w:val="auto"/>
                <w:highlight w:val="none"/>
                <w:lang w:val="en-US"/>
              </w:rPr>
              <w:t>信用评价等级：</w:t>
            </w:r>
            <w:r>
              <w:rPr>
                <w:rFonts w:hint="eastAsia" w:ascii="Times New Roman" w:cs="Times New Roman"/>
                <w:color w:val="auto"/>
                <w:highlight w:val="none"/>
                <w:u w:val="single"/>
                <w:lang w:val="en-US"/>
              </w:rPr>
              <w:t xml:space="preserve">  /  </w:t>
            </w:r>
          </w:p>
          <w:p w14:paraId="43C2987D">
            <w:pPr>
              <w:pStyle w:val="44"/>
              <w:tabs>
                <w:tab w:val="left" w:pos="3080"/>
                <w:tab w:val="left" w:pos="4248"/>
              </w:tabs>
              <w:adjustRightInd/>
              <w:ind w:right="-8"/>
              <w:jc w:val="both"/>
              <w:rPr>
                <w:rFonts w:hint="eastAsia"/>
                <w:color w:val="auto"/>
                <w:highlight w:val="none"/>
                <w:lang w:val="en-US"/>
              </w:rPr>
            </w:pPr>
            <w:r>
              <w:rPr>
                <w:rFonts w:hint="eastAsia"/>
                <w:color w:val="auto"/>
                <w:highlight w:val="none"/>
              </w:rPr>
              <w:t>联系人：曾工</w:t>
            </w:r>
          </w:p>
          <w:p w14:paraId="1B60DB43">
            <w:pPr>
              <w:pStyle w:val="44"/>
              <w:tabs>
                <w:tab w:val="left" w:pos="3080"/>
              </w:tabs>
              <w:adjustRightInd/>
              <w:ind w:right="-8"/>
              <w:jc w:val="both"/>
              <w:rPr>
                <w:rFonts w:hint="eastAsia"/>
                <w:color w:val="auto"/>
                <w:highlight w:val="none"/>
                <w:lang w:val="en-US"/>
              </w:rPr>
            </w:pPr>
            <w:r>
              <w:rPr>
                <w:rFonts w:hint="eastAsia"/>
                <w:color w:val="auto"/>
                <w:highlight w:val="none"/>
              </w:rPr>
              <w:t>电</w:t>
            </w:r>
            <w:r>
              <w:rPr>
                <w:rFonts w:hint="eastAsia"/>
                <w:color w:val="auto"/>
                <w:highlight w:val="none"/>
                <w:lang w:val="en-US"/>
              </w:rPr>
              <w:t xml:space="preserve">  </w:t>
            </w:r>
            <w:r>
              <w:rPr>
                <w:rFonts w:hint="eastAsia"/>
                <w:color w:val="auto"/>
                <w:highlight w:val="none"/>
              </w:rPr>
              <w:t>话：15268558883</w:t>
            </w:r>
          </w:p>
        </w:tc>
      </w:tr>
      <w:tr w14:paraId="70E7D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vAlign w:val="center"/>
          </w:tcPr>
          <w:p w14:paraId="3C8D4DAE">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1.1.4</w:t>
            </w:r>
          </w:p>
        </w:tc>
        <w:tc>
          <w:tcPr>
            <w:tcW w:w="1701" w:type="dxa"/>
            <w:vAlign w:val="center"/>
          </w:tcPr>
          <w:p w14:paraId="13E9D3C5">
            <w:pPr>
              <w:pStyle w:val="44"/>
              <w:adjustRightInd/>
              <w:ind w:right="178" w:rightChars="74" w:firstLine="31" w:firstLineChars="13"/>
              <w:jc w:val="center"/>
              <w:rPr>
                <w:rFonts w:hint="eastAsia"/>
                <w:color w:val="auto"/>
                <w:highlight w:val="none"/>
              </w:rPr>
            </w:pPr>
            <w:r>
              <w:rPr>
                <w:rFonts w:hint="eastAsia"/>
                <w:color w:val="auto"/>
                <w:highlight w:val="none"/>
              </w:rPr>
              <w:t>项目名称</w:t>
            </w:r>
          </w:p>
        </w:tc>
        <w:tc>
          <w:tcPr>
            <w:tcW w:w="6168" w:type="dxa"/>
            <w:vAlign w:val="center"/>
          </w:tcPr>
          <w:p w14:paraId="0C6DF1F4">
            <w:pPr>
              <w:pStyle w:val="44"/>
              <w:adjustRightInd/>
              <w:ind w:right="-8"/>
              <w:jc w:val="both"/>
              <w:rPr>
                <w:rFonts w:hint="eastAsia"/>
                <w:color w:val="auto"/>
                <w:highlight w:val="none"/>
              </w:rPr>
            </w:pPr>
            <w:r>
              <w:rPr>
                <w:rFonts w:hint="eastAsia"/>
                <w:color w:val="auto"/>
                <w:highlight w:val="none"/>
              </w:rPr>
              <w:t>越润集成电路（绍兴）有限公司下一代异构集成先进封装技术及DDIC项目工程总承包</w:t>
            </w:r>
          </w:p>
        </w:tc>
      </w:tr>
      <w:tr w14:paraId="398EE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vAlign w:val="center"/>
          </w:tcPr>
          <w:p w14:paraId="09737062">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1.1.5</w:t>
            </w:r>
          </w:p>
        </w:tc>
        <w:tc>
          <w:tcPr>
            <w:tcW w:w="1701" w:type="dxa"/>
            <w:vAlign w:val="center"/>
          </w:tcPr>
          <w:p w14:paraId="2CAB1447">
            <w:pPr>
              <w:pStyle w:val="44"/>
              <w:adjustRightInd/>
              <w:ind w:right="178" w:rightChars="74" w:firstLine="31" w:firstLineChars="13"/>
              <w:jc w:val="center"/>
              <w:rPr>
                <w:rFonts w:hint="eastAsia"/>
                <w:color w:val="auto"/>
                <w:highlight w:val="none"/>
              </w:rPr>
            </w:pPr>
            <w:r>
              <w:rPr>
                <w:rFonts w:hint="eastAsia"/>
                <w:color w:val="auto"/>
                <w:highlight w:val="none"/>
              </w:rPr>
              <w:t>建设地点</w:t>
            </w:r>
          </w:p>
        </w:tc>
        <w:tc>
          <w:tcPr>
            <w:tcW w:w="6168" w:type="dxa"/>
            <w:vAlign w:val="center"/>
          </w:tcPr>
          <w:p w14:paraId="3A35B5DE">
            <w:pPr>
              <w:pStyle w:val="44"/>
              <w:adjustRightInd/>
              <w:ind w:right="-8"/>
              <w:jc w:val="both"/>
              <w:rPr>
                <w:rFonts w:hint="eastAsia"/>
                <w:color w:val="auto"/>
                <w:highlight w:val="none"/>
              </w:rPr>
            </w:pPr>
            <w:r>
              <w:rPr>
                <w:rFonts w:hint="eastAsia"/>
                <w:color w:val="auto"/>
                <w:highlight w:val="none"/>
              </w:rPr>
              <w:t>绍兴市越城区临江路500号</w:t>
            </w:r>
          </w:p>
        </w:tc>
      </w:tr>
      <w:tr w14:paraId="12B82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3AAD3E3C">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1.2.1</w:t>
            </w:r>
          </w:p>
        </w:tc>
        <w:tc>
          <w:tcPr>
            <w:tcW w:w="1701" w:type="dxa"/>
            <w:vAlign w:val="center"/>
          </w:tcPr>
          <w:p w14:paraId="233963EF">
            <w:pPr>
              <w:pStyle w:val="44"/>
              <w:adjustRightInd/>
              <w:ind w:right="178" w:rightChars="74" w:firstLine="31" w:firstLineChars="13"/>
              <w:jc w:val="center"/>
              <w:rPr>
                <w:rFonts w:hint="eastAsia"/>
                <w:color w:val="auto"/>
                <w:highlight w:val="none"/>
              </w:rPr>
            </w:pPr>
            <w:r>
              <w:rPr>
                <w:rFonts w:hint="eastAsia"/>
                <w:color w:val="auto"/>
                <w:highlight w:val="none"/>
              </w:rPr>
              <w:t>资金来源及比例</w:t>
            </w:r>
          </w:p>
        </w:tc>
        <w:tc>
          <w:tcPr>
            <w:tcW w:w="6168" w:type="dxa"/>
            <w:vAlign w:val="center"/>
          </w:tcPr>
          <w:p w14:paraId="6BBB7D05">
            <w:pPr>
              <w:pStyle w:val="44"/>
              <w:adjustRightInd/>
              <w:ind w:right="-8"/>
              <w:jc w:val="both"/>
              <w:rPr>
                <w:rFonts w:hint="eastAsia"/>
                <w:color w:val="auto"/>
                <w:highlight w:val="none"/>
              </w:rPr>
            </w:pPr>
            <w:r>
              <w:rPr>
                <w:rFonts w:hint="eastAsia"/>
                <w:color w:val="auto"/>
                <w:highlight w:val="none"/>
                <w:lang w:val="en-US"/>
              </w:rPr>
              <w:t>自筹100%</w:t>
            </w:r>
          </w:p>
        </w:tc>
      </w:tr>
      <w:tr w14:paraId="284BF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vAlign w:val="center"/>
          </w:tcPr>
          <w:p w14:paraId="3DD6B8E4">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1.2.2</w:t>
            </w:r>
          </w:p>
        </w:tc>
        <w:tc>
          <w:tcPr>
            <w:tcW w:w="1701" w:type="dxa"/>
            <w:vAlign w:val="center"/>
          </w:tcPr>
          <w:p w14:paraId="717FE0A3">
            <w:pPr>
              <w:pStyle w:val="44"/>
              <w:adjustRightInd/>
              <w:ind w:right="178" w:rightChars="74" w:firstLine="31" w:firstLineChars="13"/>
              <w:jc w:val="center"/>
              <w:rPr>
                <w:rFonts w:hint="eastAsia"/>
                <w:color w:val="auto"/>
                <w:highlight w:val="none"/>
              </w:rPr>
            </w:pPr>
            <w:r>
              <w:rPr>
                <w:rFonts w:hint="eastAsia"/>
                <w:color w:val="auto"/>
                <w:highlight w:val="none"/>
              </w:rPr>
              <w:t>资金落实情况</w:t>
            </w:r>
          </w:p>
        </w:tc>
        <w:tc>
          <w:tcPr>
            <w:tcW w:w="6168" w:type="dxa"/>
            <w:vAlign w:val="center"/>
          </w:tcPr>
          <w:p w14:paraId="51D9B6F0">
            <w:pPr>
              <w:pStyle w:val="44"/>
              <w:adjustRightInd/>
              <w:ind w:right="-8"/>
              <w:jc w:val="both"/>
              <w:rPr>
                <w:rFonts w:hint="eastAsia"/>
                <w:color w:val="auto"/>
                <w:highlight w:val="none"/>
              </w:rPr>
            </w:pPr>
            <w:r>
              <w:rPr>
                <w:rFonts w:hint="eastAsia"/>
                <w:color w:val="auto"/>
                <w:highlight w:val="none"/>
                <w:lang w:val="en-US"/>
              </w:rPr>
              <w:t>已落实</w:t>
            </w:r>
          </w:p>
        </w:tc>
      </w:tr>
      <w:tr w14:paraId="0F5E2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02" w:hRule="atLeast"/>
          <w:jc w:val="center"/>
        </w:trPr>
        <w:tc>
          <w:tcPr>
            <w:tcW w:w="988" w:type="dxa"/>
            <w:vAlign w:val="center"/>
          </w:tcPr>
          <w:p w14:paraId="05D29D90">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1.3.1</w:t>
            </w:r>
          </w:p>
        </w:tc>
        <w:tc>
          <w:tcPr>
            <w:tcW w:w="1701" w:type="dxa"/>
            <w:vAlign w:val="center"/>
          </w:tcPr>
          <w:p w14:paraId="7BF343BF">
            <w:pPr>
              <w:pStyle w:val="44"/>
              <w:adjustRightInd/>
              <w:ind w:right="178" w:rightChars="74" w:firstLine="31" w:firstLineChars="13"/>
              <w:jc w:val="center"/>
              <w:rPr>
                <w:rFonts w:hint="eastAsia"/>
                <w:color w:val="auto"/>
                <w:highlight w:val="none"/>
              </w:rPr>
            </w:pPr>
            <w:r>
              <w:rPr>
                <w:rFonts w:hint="eastAsia"/>
                <w:color w:val="auto"/>
                <w:highlight w:val="none"/>
              </w:rPr>
              <w:t>招标范围</w:t>
            </w:r>
          </w:p>
        </w:tc>
        <w:tc>
          <w:tcPr>
            <w:tcW w:w="6168" w:type="dxa"/>
            <w:vAlign w:val="center"/>
          </w:tcPr>
          <w:p w14:paraId="3E7AFD8F">
            <w:pPr>
              <w:pStyle w:val="44"/>
              <w:adjustRightInd/>
              <w:ind w:right="-8"/>
              <w:jc w:val="both"/>
              <w:rPr>
                <w:rFonts w:hint="eastAsia"/>
                <w:color w:val="auto"/>
                <w:highlight w:val="none"/>
              </w:rPr>
            </w:pPr>
            <w:r>
              <w:rPr>
                <w:rFonts w:hint="eastAsia"/>
                <w:color w:val="auto"/>
                <w:highlight w:val="none"/>
              </w:rPr>
              <w:t>详见招标公告</w:t>
            </w:r>
          </w:p>
        </w:tc>
      </w:tr>
      <w:tr w14:paraId="6228A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29AB1C44">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1.3.2</w:t>
            </w:r>
          </w:p>
        </w:tc>
        <w:tc>
          <w:tcPr>
            <w:tcW w:w="1701" w:type="dxa"/>
            <w:vAlign w:val="center"/>
          </w:tcPr>
          <w:p w14:paraId="24682769">
            <w:pPr>
              <w:pStyle w:val="44"/>
              <w:adjustRightInd/>
              <w:ind w:right="178" w:rightChars="74" w:firstLine="31" w:firstLineChars="13"/>
              <w:jc w:val="center"/>
              <w:rPr>
                <w:rFonts w:hint="eastAsia"/>
                <w:color w:val="auto"/>
                <w:highlight w:val="none"/>
              </w:rPr>
            </w:pPr>
            <w:r>
              <w:rPr>
                <w:rFonts w:hint="eastAsia"/>
                <w:color w:val="auto"/>
                <w:highlight w:val="none"/>
              </w:rPr>
              <w:t>工期要求</w:t>
            </w:r>
          </w:p>
        </w:tc>
        <w:tc>
          <w:tcPr>
            <w:tcW w:w="6168" w:type="dxa"/>
            <w:vAlign w:val="center"/>
          </w:tcPr>
          <w:p w14:paraId="4ABC9E4B">
            <w:pPr>
              <w:pStyle w:val="44"/>
              <w:tabs>
                <w:tab w:val="left" w:pos="1690"/>
              </w:tabs>
              <w:adjustRightInd/>
              <w:ind w:right="-8"/>
              <w:jc w:val="both"/>
              <w:rPr>
                <w:rFonts w:hint="eastAsia"/>
                <w:color w:val="auto"/>
                <w:highlight w:val="none"/>
              </w:rPr>
            </w:pPr>
            <w:r>
              <w:rPr>
                <w:rFonts w:hint="eastAsia"/>
                <w:color w:val="auto"/>
                <w:highlight w:val="none"/>
              </w:rPr>
              <w:t>计划</w:t>
            </w:r>
            <w:r>
              <w:rPr>
                <w:rFonts w:hint="eastAsia"/>
                <w:color w:val="auto"/>
                <w:spacing w:val="4"/>
                <w:highlight w:val="none"/>
              </w:rPr>
              <w:t>工</w:t>
            </w:r>
            <w:r>
              <w:rPr>
                <w:rFonts w:hint="eastAsia"/>
                <w:color w:val="auto"/>
                <w:highlight w:val="none"/>
              </w:rPr>
              <w:t>期：</w:t>
            </w:r>
            <w:r>
              <w:rPr>
                <w:rFonts w:hint="eastAsia"/>
                <w:b/>
                <w:bCs/>
                <w:color w:val="auto"/>
                <w:highlight w:val="none"/>
                <w:u w:val="single"/>
                <w:lang w:val="en-US"/>
              </w:rPr>
              <w:t>90日历天（含施工图设计15日历天及施工等所有内容的完成时间）。</w:t>
            </w:r>
            <w:r>
              <w:rPr>
                <w:rFonts w:hint="eastAsia"/>
                <w:color w:val="auto"/>
                <w:spacing w:val="4"/>
                <w:highlight w:val="none"/>
              </w:rPr>
              <w:t>投标</w:t>
            </w:r>
            <w:r>
              <w:rPr>
                <w:rFonts w:hint="eastAsia"/>
                <w:color w:val="auto"/>
                <w:highlight w:val="none"/>
              </w:rPr>
              <w:t>承诺工期不</w:t>
            </w:r>
            <w:r>
              <w:rPr>
                <w:rFonts w:hint="eastAsia"/>
                <w:color w:val="auto"/>
                <w:spacing w:val="4"/>
                <w:highlight w:val="none"/>
              </w:rPr>
              <w:t>得</w:t>
            </w:r>
            <w:r>
              <w:rPr>
                <w:rFonts w:hint="eastAsia"/>
                <w:color w:val="auto"/>
                <w:highlight w:val="none"/>
              </w:rPr>
              <w:t>超过该计划工期。</w:t>
            </w:r>
          </w:p>
          <w:p w14:paraId="41117119">
            <w:pPr>
              <w:pStyle w:val="44"/>
              <w:tabs>
                <w:tab w:val="left" w:pos="2628"/>
                <w:tab w:val="left" w:pos="3228"/>
                <w:tab w:val="left" w:pos="3831"/>
              </w:tabs>
              <w:adjustRightInd/>
              <w:ind w:right="-8"/>
              <w:jc w:val="both"/>
              <w:rPr>
                <w:rFonts w:hint="eastAsia"/>
                <w:color w:val="auto"/>
                <w:highlight w:val="none"/>
              </w:rPr>
            </w:pPr>
            <w:r>
              <w:rPr>
                <w:rFonts w:hint="eastAsia"/>
                <w:color w:val="auto"/>
                <w:highlight w:val="none"/>
              </w:rPr>
              <w:t>计划开始工作日期：</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年</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月</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日</w:t>
            </w:r>
          </w:p>
          <w:p w14:paraId="552C9B5B">
            <w:pPr>
              <w:pStyle w:val="44"/>
              <w:tabs>
                <w:tab w:val="left" w:pos="2628"/>
                <w:tab w:val="left" w:pos="3228"/>
                <w:tab w:val="left" w:pos="3831"/>
              </w:tabs>
              <w:adjustRightInd/>
              <w:ind w:right="-8"/>
              <w:jc w:val="both"/>
              <w:rPr>
                <w:rFonts w:hint="eastAsia"/>
                <w:color w:val="auto"/>
                <w:highlight w:val="none"/>
              </w:rPr>
            </w:pPr>
            <w:r>
              <w:rPr>
                <w:rFonts w:hint="eastAsia"/>
                <w:color w:val="auto"/>
                <w:highlight w:val="none"/>
              </w:rPr>
              <w:t>计划开始现场施工日期：</w:t>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rPr>
              <w:t>月</w:t>
            </w:r>
            <w:r>
              <w:rPr>
                <w:rFonts w:hint="eastAsia"/>
                <w:color w:val="auto"/>
                <w:highlight w:val="none"/>
                <w:u w:val="single"/>
                <w:lang w:val="en-US"/>
              </w:rPr>
              <w:t xml:space="preserve"> </w:t>
            </w:r>
            <w:r>
              <w:rPr>
                <w:rFonts w:hint="eastAsia"/>
                <w:color w:val="auto"/>
                <w:highlight w:val="none"/>
                <w:u w:val="single"/>
              </w:rPr>
              <w:tab/>
            </w:r>
            <w:r>
              <w:rPr>
                <w:rFonts w:hint="eastAsia"/>
                <w:color w:val="auto"/>
                <w:highlight w:val="none"/>
              </w:rPr>
              <w:t>日</w:t>
            </w:r>
          </w:p>
          <w:p w14:paraId="2B50D2A5">
            <w:pPr>
              <w:pStyle w:val="44"/>
              <w:tabs>
                <w:tab w:val="left" w:pos="2148"/>
                <w:tab w:val="left" w:pos="2748"/>
                <w:tab w:val="left" w:pos="3351"/>
              </w:tabs>
              <w:adjustRightInd/>
              <w:ind w:right="-8"/>
              <w:jc w:val="both"/>
              <w:rPr>
                <w:rFonts w:hint="eastAsia"/>
                <w:color w:val="auto"/>
                <w:highlight w:val="none"/>
              </w:rPr>
            </w:pPr>
            <w:r>
              <w:rPr>
                <w:rFonts w:hint="eastAsia"/>
                <w:color w:val="auto"/>
                <w:highlight w:val="none"/>
              </w:rPr>
              <w:t>计划竣工日期：</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年</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月</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日</w:t>
            </w:r>
          </w:p>
          <w:p w14:paraId="56ADBC96">
            <w:pPr>
              <w:pStyle w:val="44"/>
              <w:tabs>
                <w:tab w:val="left" w:pos="2148"/>
                <w:tab w:val="left" w:pos="2748"/>
                <w:tab w:val="left" w:pos="3351"/>
              </w:tabs>
              <w:adjustRightInd/>
              <w:ind w:right="-8"/>
              <w:jc w:val="both"/>
              <w:rPr>
                <w:rFonts w:hint="eastAsia"/>
                <w:color w:val="auto"/>
                <w:highlight w:val="none"/>
                <w:u w:val="single"/>
                <w:lang w:val="en-US"/>
              </w:rPr>
            </w:pPr>
            <w:r>
              <w:rPr>
                <w:rFonts w:hint="eastAsia"/>
                <w:color w:val="auto"/>
                <w:highlight w:val="none"/>
              </w:rPr>
              <w:t>其他：</w:t>
            </w:r>
            <w:r>
              <w:rPr>
                <w:rFonts w:hint="eastAsia"/>
                <w:color w:val="auto"/>
                <w:highlight w:val="none"/>
                <w:u w:val="single"/>
                <w:lang w:val="en-US"/>
              </w:rPr>
              <w:t xml:space="preserve">                       </w:t>
            </w:r>
            <w:r>
              <w:rPr>
                <w:rFonts w:hint="eastAsia"/>
                <w:color w:val="auto"/>
                <w:highlight w:val="none"/>
                <w:lang w:val="en-US"/>
              </w:rPr>
              <w:t>。</w:t>
            </w:r>
          </w:p>
        </w:tc>
      </w:tr>
      <w:tr w14:paraId="02FFA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vAlign w:val="center"/>
          </w:tcPr>
          <w:p w14:paraId="4D731957">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1.3.3</w:t>
            </w:r>
          </w:p>
        </w:tc>
        <w:tc>
          <w:tcPr>
            <w:tcW w:w="1701" w:type="dxa"/>
            <w:vAlign w:val="center"/>
          </w:tcPr>
          <w:p w14:paraId="53A006AE">
            <w:pPr>
              <w:pStyle w:val="44"/>
              <w:adjustRightInd/>
              <w:ind w:right="178" w:rightChars="74" w:firstLine="31" w:firstLineChars="13"/>
              <w:jc w:val="center"/>
              <w:rPr>
                <w:rFonts w:hint="eastAsia"/>
                <w:color w:val="auto"/>
                <w:highlight w:val="none"/>
              </w:rPr>
            </w:pPr>
            <w:r>
              <w:rPr>
                <w:rFonts w:hint="eastAsia"/>
                <w:color w:val="auto"/>
                <w:highlight w:val="none"/>
              </w:rPr>
              <w:t>质量标准</w:t>
            </w:r>
          </w:p>
        </w:tc>
        <w:tc>
          <w:tcPr>
            <w:tcW w:w="6168" w:type="dxa"/>
            <w:vAlign w:val="center"/>
          </w:tcPr>
          <w:p w14:paraId="3D2D2684">
            <w:pPr>
              <w:pStyle w:val="44"/>
              <w:tabs>
                <w:tab w:val="left" w:pos="3048"/>
              </w:tabs>
              <w:adjustRightInd/>
              <w:jc w:val="both"/>
              <w:rPr>
                <w:rFonts w:hint="eastAsia"/>
                <w:color w:val="auto"/>
                <w:highlight w:val="none"/>
                <w:lang w:val="en-US"/>
              </w:rPr>
            </w:pPr>
            <w:r>
              <w:rPr>
                <w:rFonts w:hint="eastAsia"/>
                <w:color w:val="auto"/>
                <w:highlight w:val="none"/>
                <w:lang w:val="en-US"/>
              </w:rPr>
              <w:t>设计质量要求达到现行国家、行业及地方的设计标准、设计规范、设计规程及相关规定，如需进行施工图审查的项目必须通过施工图审查；施工质量要求符合验收规范合格标准；设备要求满足生产能力要求质量合格，安装工作需遵照国家有关安装工程施工技术规程、规范标准。</w:t>
            </w:r>
          </w:p>
          <w:p w14:paraId="082B5F9D">
            <w:pPr>
              <w:pStyle w:val="44"/>
              <w:tabs>
                <w:tab w:val="left" w:pos="3048"/>
              </w:tabs>
              <w:adjustRightInd/>
              <w:jc w:val="both"/>
              <w:rPr>
                <w:rFonts w:hint="eastAsia"/>
                <w:color w:val="auto"/>
                <w:highlight w:val="none"/>
                <w:lang w:val="en-US"/>
              </w:rPr>
            </w:pPr>
            <w:r>
              <w:rPr>
                <w:rFonts w:hint="eastAsia"/>
                <w:color w:val="auto"/>
                <w:highlight w:val="none"/>
              </w:rPr>
              <w:t>□</w:t>
            </w:r>
            <w:r>
              <w:rPr>
                <w:rFonts w:hint="eastAsia"/>
                <w:color w:val="auto"/>
                <w:highlight w:val="none"/>
                <w:lang w:val="en-US"/>
              </w:rPr>
              <w:t>涉及相关绿色建材应符合绍兴市绿色建材采购政策和面向中小企业采购预留份额政策执行要求。</w:t>
            </w:r>
          </w:p>
        </w:tc>
      </w:tr>
      <w:tr w14:paraId="004BB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2583D9E1">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1.4.1</w:t>
            </w:r>
          </w:p>
        </w:tc>
        <w:tc>
          <w:tcPr>
            <w:tcW w:w="1701" w:type="dxa"/>
            <w:vAlign w:val="center"/>
          </w:tcPr>
          <w:p w14:paraId="4E4A56C5">
            <w:pPr>
              <w:pStyle w:val="44"/>
              <w:adjustRightInd/>
              <w:ind w:right="178" w:rightChars="74" w:firstLine="31" w:firstLineChars="13"/>
              <w:jc w:val="center"/>
              <w:rPr>
                <w:rFonts w:hint="eastAsia"/>
                <w:color w:val="auto"/>
                <w:highlight w:val="none"/>
              </w:rPr>
            </w:pPr>
            <w:r>
              <w:rPr>
                <w:rFonts w:hint="eastAsia"/>
                <w:color w:val="auto"/>
                <w:highlight w:val="none"/>
              </w:rPr>
              <w:t>投标人资质条</w:t>
            </w:r>
            <w:r>
              <w:rPr>
                <w:rFonts w:hint="eastAsia"/>
                <w:color w:val="auto"/>
                <w:spacing w:val="-7"/>
                <w:highlight w:val="none"/>
              </w:rPr>
              <w:t>件、能力和信誉</w:t>
            </w:r>
          </w:p>
        </w:tc>
        <w:tc>
          <w:tcPr>
            <w:tcW w:w="6168" w:type="dxa"/>
            <w:vAlign w:val="center"/>
          </w:tcPr>
          <w:p w14:paraId="14EF9FBB">
            <w:pPr>
              <w:pStyle w:val="44"/>
              <w:adjustRightInd/>
              <w:ind w:right="-8"/>
              <w:jc w:val="both"/>
              <w:rPr>
                <w:rFonts w:hint="eastAsia"/>
                <w:color w:val="auto"/>
                <w:highlight w:val="none"/>
              </w:rPr>
            </w:pPr>
            <w:r>
              <w:rPr>
                <w:rFonts w:hint="eastAsia"/>
                <w:color w:val="auto"/>
                <w:highlight w:val="none"/>
              </w:rPr>
              <w:t>☑见招标公告内容</w:t>
            </w:r>
          </w:p>
          <w:p w14:paraId="47CF8C72">
            <w:pPr>
              <w:pStyle w:val="44"/>
              <w:adjustRightInd/>
              <w:ind w:right="-8"/>
              <w:jc w:val="both"/>
              <w:rPr>
                <w:rFonts w:hint="eastAsia"/>
                <w:color w:val="auto"/>
                <w:highlight w:val="none"/>
              </w:rPr>
            </w:pPr>
            <w:r>
              <w:rPr>
                <w:rFonts w:hint="eastAsia"/>
                <w:color w:val="auto"/>
                <w:highlight w:val="none"/>
              </w:rPr>
              <w:t>□见</w:t>
            </w:r>
            <w:r>
              <w:rPr>
                <w:rFonts w:hint="eastAsia"/>
                <w:color w:val="auto"/>
                <w:highlight w:val="none"/>
                <w:lang w:val="en-US"/>
              </w:rPr>
              <w:t>投标邀请书</w:t>
            </w:r>
            <w:r>
              <w:rPr>
                <w:rFonts w:hint="eastAsia"/>
                <w:color w:val="auto"/>
                <w:highlight w:val="none"/>
              </w:rPr>
              <w:t>内容</w:t>
            </w:r>
          </w:p>
        </w:tc>
      </w:tr>
      <w:tr w14:paraId="2AE08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74CA44EA">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1.4.2</w:t>
            </w:r>
          </w:p>
        </w:tc>
        <w:tc>
          <w:tcPr>
            <w:tcW w:w="1701" w:type="dxa"/>
            <w:vAlign w:val="center"/>
          </w:tcPr>
          <w:p w14:paraId="0EC2BD0C">
            <w:pPr>
              <w:pStyle w:val="44"/>
              <w:adjustRightInd/>
              <w:ind w:right="178" w:rightChars="74" w:firstLine="31" w:firstLineChars="13"/>
              <w:jc w:val="center"/>
              <w:rPr>
                <w:rFonts w:hint="eastAsia"/>
                <w:color w:val="auto"/>
                <w:highlight w:val="none"/>
              </w:rPr>
            </w:pPr>
            <w:r>
              <w:rPr>
                <w:rFonts w:hint="eastAsia"/>
                <w:color w:val="auto"/>
                <w:highlight w:val="none"/>
              </w:rPr>
              <w:t>是否接受联合体投标</w:t>
            </w:r>
          </w:p>
        </w:tc>
        <w:tc>
          <w:tcPr>
            <w:tcW w:w="6168" w:type="dxa"/>
            <w:vAlign w:val="center"/>
          </w:tcPr>
          <w:p w14:paraId="5FDB36C5">
            <w:pPr>
              <w:pStyle w:val="8"/>
              <w:adjustRightInd/>
              <w:spacing w:after="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□不接受。</w:t>
            </w:r>
          </w:p>
          <w:p w14:paraId="77D1135B">
            <w:pPr>
              <w:pStyle w:val="44"/>
              <w:adjustRightInd/>
              <w:ind w:right="-8"/>
              <w:jc w:val="both"/>
              <w:rPr>
                <w:rFonts w:hint="eastAsia"/>
                <w:color w:val="auto"/>
                <w:highlight w:val="none"/>
                <w:lang w:val="en-US"/>
              </w:rPr>
            </w:pPr>
            <w:r>
              <w:rPr>
                <w:rFonts w:hint="eastAsia"/>
                <w:color w:val="auto"/>
                <w:highlight w:val="none"/>
              </w:rPr>
              <w:t>☑接受。应满足下列要求：见☑招标公告□投标邀请书及投标人须知相应条款内容要求。</w:t>
            </w:r>
          </w:p>
        </w:tc>
      </w:tr>
      <w:tr w14:paraId="7868F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03307D93">
            <w:pPr>
              <w:pStyle w:val="44"/>
              <w:snapToGrid w:val="0"/>
              <w:jc w:val="center"/>
              <w:rPr>
                <w:rFonts w:hint="eastAsia"/>
                <w:color w:val="auto"/>
                <w:highlight w:val="none"/>
              </w:rPr>
            </w:pPr>
            <w:r>
              <w:rPr>
                <w:rFonts w:hint="eastAsia" w:ascii="Times New Roman" w:hAnsi="Times New Roman"/>
                <w:color w:val="auto"/>
                <w:highlight w:val="none"/>
                <w:lang w:val="en-US"/>
              </w:rPr>
              <w:t>1.4.2（3）</w:t>
            </w:r>
          </w:p>
        </w:tc>
        <w:tc>
          <w:tcPr>
            <w:tcW w:w="1701" w:type="dxa"/>
            <w:vAlign w:val="center"/>
          </w:tcPr>
          <w:p w14:paraId="764E19E9">
            <w:pPr>
              <w:pStyle w:val="44"/>
              <w:snapToGrid w:val="0"/>
              <w:jc w:val="center"/>
              <w:rPr>
                <w:rFonts w:hint="eastAsia"/>
                <w:color w:val="auto"/>
                <w:highlight w:val="none"/>
              </w:rPr>
            </w:pPr>
            <w:r>
              <w:rPr>
                <w:rFonts w:ascii="Times New Roman" w:cs="Times New Roman"/>
                <w:color w:val="auto"/>
                <w:highlight w:val="none"/>
              </w:rPr>
              <w:t>联合体投标</w:t>
            </w:r>
            <w:r>
              <w:rPr>
                <w:rFonts w:hint="eastAsia" w:ascii="Times New Roman" w:cs="Times New Roman"/>
                <w:color w:val="auto"/>
                <w:highlight w:val="none"/>
              </w:rPr>
              <w:t>其他要求</w:t>
            </w:r>
          </w:p>
        </w:tc>
        <w:tc>
          <w:tcPr>
            <w:tcW w:w="6168" w:type="dxa"/>
            <w:vAlign w:val="center"/>
          </w:tcPr>
          <w:p w14:paraId="2D44F19D">
            <w:pPr>
              <w:pStyle w:val="44"/>
              <w:snapToGrid w:val="0"/>
              <w:jc w:val="both"/>
              <w:rPr>
                <w:rFonts w:hint="eastAsia" w:cs="Times New Roman"/>
                <w:color w:val="auto"/>
                <w:highlight w:val="none"/>
              </w:rPr>
            </w:pPr>
            <w:r>
              <w:rPr>
                <w:rFonts w:hint="eastAsia" w:cs="Times New Roman"/>
                <w:color w:val="auto"/>
                <w:highlight w:val="none"/>
                <w:lang w:val="en-US"/>
              </w:rPr>
              <w:t>1.</w:t>
            </w:r>
            <w:r>
              <w:rPr>
                <w:rFonts w:cs="Times New Roman"/>
                <w:color w:val="auto"/>
                <w:highlight w:val="none"/>
              </w:rPr>
              <w:t>招标人支付项目各项费用的</w:t>
            </w:r>
            <w:r>
              <w:rPr>
                <w:rFonts w:hint="eastAsia" w:cs="Times New Roman"/>
                <w:color w:val="auto"/>
                <w:highlight w:val="none"/>
              </w:rPr>
              <w:t>对象</w:t>
            </w:r>
            <w:r>
              <w:rPr>
                <w:rFonts w:cs="Times New Roman"/>
                <w:color w:val="auto"/>
                <w:highlight w:val="none"/>
              </w:rPr>
              <w:t>约定：</w:t>
            </w:r>
          </w:p>
          <w:p w14:paraId="48F5E914">
            <w:pPr>
              <w:pStyle w:val="44"/>
              <w:snapToGrid w:val="0"/>
              <w:jc w:val="both"/>
              <w:rPr>
                <w:rFonts w:hint="eastAsia" w:cs="Times New Roman"/>
                <w:color w:val="auto"/>
                <w:highlight w:val="none"/>
                <w:lang w:val="en-US"/>
              </w:rPr>
            </w:pPr>
            <w:r>
              <w:rPr>
                <w:rFonts w:hint="eastAsia"/>
                <w:color w:val="auto"/>
                <w:kern w:val="2"/>
                <w:highlight w:val="none"/>
              </w:rPr>
              <w:t>☑（</w:t>
            </w:r>
            <w:r>
              <w:rPr>
                <w:rFonts w:hint="eastAsia"/>
                <w:color w:val="auto"/>
                <w:kern w:val="2"/>
                <w:highlight w:val="none"/>
                <w:lang w:val="en-US"/>
              </w:rPr>
              <w:t>1）</w:t>
            </w:r>
            <w:r>
              <w:rPr>
                <w:rFonts w:cs="Times New Roman"/>
                <w:color w:val="auto"/>
                <w:highlight w:val="none"/>
                <w:lang w:val="en-US"/>
              </w:rPr>
              <w:t>各项费用由招标人直接支付给牵头人，再由牵头人按工作内容分配；</w:t>
            </w:r>
          </w:p>
          <w:p w14:paraId="1CFB8453">
            <w:pPr>
              <w:pStyle w:val="44"/>
              <w:snapToGrid w:val="0"/>
              <w:jc w:val="both"/>
              <w:rPr>
                <w:rFonts w:hint="eastAsia" w:cs="Times New Roman"/>
                <w:color w:val="auto"/>
                <w:highlight w:val="none"/>
              </w:rPr>
            </w:pPr>
            <w:r>
              <w:rPr>
                <w:color w:val="auto"/>
                <w:kern w:val="2"/>
                <w:highlight w:val="none"/>
              </w:rPr>
              <w:t>□</w:t>
            </w:r>
            <w:r>
              <w:rPr>
                <w:rFonts w:hint="eastAsia"/>
                <w:color w:val="auto"/>
                <w:kern w:val="2"/>
                <w:highlight w:val="none"/>
              </w:rPr>
              <w:t>（</w:t>
            </w:r>
            <w:r>
              <w:rPr>
                <w:rFonts w:hint="eastAsia"/>
                <w:color w:val="auto"/>
                <w:kern w:val="2"/>
                <w:highlight w:val="none"/>
                <w:lang w:val="en-US"/>
              </w:rPr>
              <w:t>2）</w:t>
            </w:r>
            <w:r>
              <w:rPr>
                <w:rFonts w:cs="Times New Roman"/>
                <w:color w:val="auto"/>
                <w:highlight w:val="none"/>
                <w:lang w:val="en-US"/>
              </w:rPr>
              <w:t>各项费用由招标人按联合体成员职责分工，分别支付给联合体各成员</w:t>
            </w:r>
            <w:r>
              <w:rPr>
                <w:rFonts w:hint="eastAsia" w:cs="Times New Roman"/>
                <w:color w:val="auto"/>
                <w:highlight w:val="none"/>
              </w:rPr>
              <w:t>；</w:t>
            </w:r>
          </w:p>
          <w:p w14:paraId="781038BE">
            <w:pPr>
              <w:pStyle w:val="44"/>
              <w:snapToGrid w:val="0"/>
              <w:jc w:val="both"/>
              <w:rPr>
                <w:rFonts w:hint="eastAsia" w:cs="Times New Roman"/>
                <w:color w:val="auto"/>
                <w:highlight w:val="none"/>
              </w:rPr>
            </w:pPr>
            <w:r>
              <w:rPr>
                <w:color w:val="auto"/>
                <w:kern w:val="2"/>
                <w:highlight w:val="none"/>
              </w:rPr>
              <w:t>□</w:t>
            </w:r>
            <w:r>
              <w:rPr>
                <w:rFonts w:hint="eastAsia"/>
                <w:color w:val="auto"/>
                <w:kern w:val="2"/>
                <w:highlight w:val="none"/>
              </w:rPr>
              <w:t>（</w:t>
            </w:r>
            <w:r>
              <w:rPr>
                <w:rFonts w:hint="eastAsia"/>
                <w:color w:val="auto"/>
                <w:kern w:val="2"/>
                <w:highlight w:val="none"/>
                <w:lang w:val="en-US"/>
              </w:rPr>
              <w:t>3）</w:t>
            </w:r>
            <w:r>
              <w:rPr>
                <w:rFonts w:hint="eastAsia"/>
                <w:color w:val="auto"/>
                <w:kern w:val="2"/>
                <w:highlight w:val="none"/>
              </w:rPr>
              <w:t>中标后由发承包双方另行约定；</w:t>
            </w:r>
          </w:p>
          <w:p w14:paraId="215DD400">
            <w:pPr>
              <w:pStyle w:val="44"/>
              <w:snapToGrid w:val="0"/>
              <w:jc w:val="both"/>
              <w:rPr>
                <w:rFonts w:hint="eastAsia"/>
                <w:color w:val="auto"/>
                <w:kern w:val="2"/>
                <w:highlight w:val="none"/>
                <w:lang w:val="en-US"/>
              </w:rPr>
            </w:pPr>
            <w:r>
              <w:rPr>
                <w:color w:val="auto"/>
                <w:kern w:val="2"/>
                <w:highlight w:val="none"/>
              </w:rPr>
              <w:t>□</w:t>
            </w:r>
            <w:r>
              <w:rPr>
                <w:rFonts w:hint="eastAsia"/>
                <w:color w:val="auto"/>
                <w:kern w:val="2"/>
                <w:highlight w:val="none"/>
              </w:rPr>
              <w:t>（</w:t>
            </w:r>
            <w:r>
              <w:rPr>
                <w:rFonts w:hint="eastAsia"/>
                <w:color w:val="auto"/>
                <w:kern w:val="2"/>
                <w:highlight w:val="none"/>
                <w:lang w:val="en-US"/>
              </w:rPr>
              <w:t>4）</w:t>
            </w:r>
            <w:r>
              <w:rPr>
                <w:rFonts w:hint="eastAsia"/>
                <w:color w:val="auto"/>
                <w:kern w:val="2"/>
                <w:highlight w:val="none"/>
              </w:rPr>
              <w:t>其他约定：</w:t>
            </w:r>
            <w:r>
              <w:rPr>
                <w:rFonts w:hint="eastAsia"/>
                <w:color w:val="auto"/>
                <w:kern w:val="2"/>
                <w:highlight w:val="none"/>
                <w:u w:val="single"/>
                <w:lang w:val="en-US"/>
              </w:rPr>
              <w:t xml:space="preserve">            </w:t>
            </w:r>
            <w:r>
              <w:rPr>
                <w:rFonts w:hint="eastAsia"/>
                <w:color w:val="auto"/>
                <w:kern w:val="2"/>
                <w:highlight w:val="none"/>
                <w:lang w:val="en-US"/>
              </w:rPr>
              <w:t>。</w:t>
            </w:r>
          </w:p>
          <w:p w14:paraId="279ACAF5">
            <w:pPr>
              <w:pStyle w:val="44"/>
              <w:snapToGrid w:val="0"/>
              <w:jc w:val="both"/>
              <w:rPr>
                <w:rFonts w:hint="eastAsia"/>
                <w:color w:val="auto"/>
                <w:highlight w:val="none"/>
              </w:rPr>
            </w:pPr>
            <w:r>
              <w:rPr>
                <w:rFonts w:hint="eastAsia"/>
                <w:color w:val="auto"/>
                <w:kern w:val="2"/>
                <w:highlight w:val="none"/>
                <w:lang w:val="en-US"/>
              </w:rPr>
              <w:t>2.</w:t>
            </w:r>
            <w:r>
              <w:rPr>
                <w:rFonts w:hint="eastAsia"/>
                <w:color w:val="auto"/>
                <w:kern w:val="2"/>
                <w:highlight w:val="none"/>
              </w:rPr>
              <w:t>其他：</w:t>
            </w:r>
            <w:r>
              <w:rPr>
                <w:rFonts w:hint="eastAsia"/>
                <w:color w:val="auto"/>
                <w:kern w:val="2"/>
                <w:highlight w:val="none"/>
                <w:u w:val="single"/>
                <w:lang w:val="en-US"/>
              </w:rPr>
              <w:t xml:space="preserve">            </w:t>
            </w:r>
            <w:r>
              <w:rPr>
                <w:rFonts w:hint="eastAsia"/>
                <w:color w:val="auto"/>
                <w:kern w:val="2"/>
                <w:highlight w:val="none"/>
                <w:lang w:val="en-US"/>
              </w:rPr>
              <w:t>。</w:t>
            </w:r>
          </w:p>
        </w:tc>
      </w:tr>
      <w:tr w14:paraId="3C09F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6D4D393C">
            <w:pPr>
              <w:pStyle w:val="44"/>
              <w:tabs>
                <w:tab w:val="left" w:pos="1100"/>
              </w:tabs>
              <w:adjustRightInd/>
              <w:ind w:left="10" w:right="125" w:rightChars="52" w:hanging="10"/>
              <w:jc w:val="center"/>
              <w:rPr>
                <w:rFonts w:hint="eastAsia"/>
                <w:color w:val="auto"/>
                <w:highlight w:val="none"/>
                <w:lang w:val="en-US"/>
              </w:rPr>
            </w:pPr>
            <w:r>
              <w:rPr>
                <w:rFonts w:hint="eastAsia"/>
                <w:color w:val="auto"/>
                <w:highlight w:val="none"/>
              </w:rPr>
              <w:t>1.5</w:t>
            </w:r>
            <w:r>
              <w:rPr>
                <w:color w:val="auto"/>
                <w:highlight w:val="none"/>
                <w:lang w:val="en"/>
              </w:rPr>
              <w:t>.</w:t>
            </w:r>
            <w:r>
              <w:rPr>
                <w:rFonts w:hint="eastAsia"/>
                <w:color w:val="auto"/>
                <w:highlight w:val="none"/>
                <w:lang w:val="en-US"/>
              </w:rPr>
              <w:t>2</w:t>
            </w:r>
          </w:p>
        </w:tc>
        <w:tc>
          <w:tcPr>
            <w:tcW w:w="1701" w:type="dxa"/>
            <w:vAlign w:val="center"/>
          </w:tcPr>
          <w:p w14:paraId="469995C7">
            <w:pPr>
              <w:pStyle w:val="44"/>
              <w:adjustRightInd/>
              <w:ind w:right="178" w:rightChars="74" w:firstLine="31" w:firstLineChars="13"/>
              <w:jc w:val="center"/>
              <w:rPr>
                <w:rFonts w:hint="eastAsia"/>
                <w:color w:val="auto"/>
                <w:highlight w:val="none"/>
              </w:rPr>
            </w:pPr>
            <w:r>
              <w:rPr>
                <w:rFonts w:hint="eastAsia"/>
                <w:color w:val="auto"/>
                <w:highlight w:val="none"/>
              </w:rPr>
              <w:t>设计成果补偿</w:t>
            </w:r>
          </w:p>
        </w:tc>
        <w:tc>
          <w:tcPr>
            <w:tcW w:w="6168" w:type="dxa"/>
            <w:vAlign w:val="center"/>
          </w:tcPr>
          <w:p w14:paraId="0D13CB30">
            <w:pPr>
              <w:pStyle w:val="44"/>
              <w:adjustRightInd/>
              <w:ind w:right="-8"/>
              <w:jc w:val="both"/>
              <w:rPr>
                <w:rFonts w:hint="eastAsia"/>
                <w:color w:val="auto"/>
                <w:highlight w:val="none"/>
              </w:rPr>
            </w:pPr>
            <w:r>
              <w:rPr>
                <w:rFonts w:hint="eastAsia"/>
                <w:color w:val="auto"/>
                <w:highlight w:val="none"/>
              </w:rPr>
              <w:t>☑不补偿</w:t>
            </w:r>
          </w:p>
          <w:p w14:paraId="4B66A663">
            <w:pPr>
              <w:pStyle w:val="44"/>
              <w:adjustRightInd/>
              <w:ind w:right="-8"/>
              <w:jc w:val="both"/>
              <w:rPr>
                <w:rFonts w:hint="eastAsia"/>
                <w:color w:val="auto"/>
                <w:highlight w:val="none"/>
              </w:rPr>
            </w:pPr>
            <w:r>
              <w:rPr>
                <w:rFonts w:hint="eastAsia"/>
                <w:color w:val="auto"/>
                <w:highlight w:val="none"/>
              </w:rPr>
              <w:t>□补偿，补偿标准：</w:t>
            </w:r>
            <w:r>
              <w:rPr>
                <w:rFonts w:hint="eastAsia"/>
                <w:color w:val="auto"/>
                <w:highlight w:val="none"/>
                <w:u w:val="single"/>
              </w:rPr>
              <w:tab/>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rPr>
              <w:t>。</w:t>
            </w:r>
          </w:p>
        </w:tc>
      </w:tr>
      <w:tr w14:paraId="51F62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6518A7FE">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1.9.1</w:t>
            </w:r>
          </w:p>
        </w:tc>
        <w:tc>
          <w:tcPr>
            <w:tcW w:w="1701" w:type="dxa"/>
            <w:vAlign w:val="center"/>
          </w:tcPr>
          <w:p w14:paraId="7DF195DC">
            <w:pPr>
              <w:pStyle w:val="44"/>
              <w:adjustRightInd/>
              <w:ind w:right="178" w:rightChars="74" w:firstLine="31" w:firstLineChars="13"/>
              <w:jc w:val="center"/>
              <w:rPr>
                <w:rFonts w:hint="eastAsia"/>
                <w:color w:val="auto"/>
                <w:highlight w:val="none"/>
              </w:rPr>
            </w:pPr>
            <w:r>
              <w:rPr>
                <w:rFonts w:hint="eastAsia"/>
                <w:color w:val="auto"/>
                <w:highlight w:val="none"/>
              </w:rPr>
              <w:t>踏勘现场</w:t>
            </w:r>
          </w:p>
        </w:tc>
        <w:tc>
          <w:tcPr>
            <w:tcW w:w="6168" w:type="dxa"/>
            <w:vAlign w:val="center"/>
          </w:tcPr>
          <w:p w14:paraId="380F09EA">
            <w:pPr>
              <w:pStyle w:val="44"/>
              <w:adjustRightInd/>
              <w:jc w:val="both"/>
              <w:rPr>
                <w:rFonts w:hint="eastAsia"/>
                <w:color w:val="auto"/>
                <w:highlight w:val="none"/>
              </w:rPr>
            </w:pPr>
            <w:r>
              <w:rPr>
                <w:rFonts w:hint="eastAsia"/>
                <w:color w:val="auto"/>
                <w:highlight w:val="none"/>
              </w:rPr>
              <w:t>☑投标人自行踏勘。</w:t>
            </w:r>
          </w:p>
          <w:p w14:paraId="33FC2C8D">
            <w:pPr>
              <w:pStyle w:val="44"/>
              <w:tabs>
                <w:tab w:val="left" w:pos="2860"/>
                <w:tab w:val="left" w:pos="5088"/>
              </w:tabs>
              <w:adjustRightInd/>
              <w:ind w:right="-8"/>
              <w:jc w:val="both"/>
              <w:rPr>
                <w:rFonts w:hint="eastAsia"/>
                <w:color w:val="auto"/>
                <w:highlight w:val="none"/>
                <w:lang w:val="en-US"/>
              </w:rPr>
            </w:pPr>
            <w:r>
              <w:rPr>
                <w:rFonts w:hint="eastAsia"/>
                <w:color w:val="auto"/>
                <w:highlight w:val="none"/>
              </w:rPr>
              <w:t>□由招标人组织，时间和地点：</w:t>
            </w:r>
            <w:r>
              <w:rPr>
                <w:rFonts w:hint="eastAsia"/>
                <w:color w:val="auto"/>
                <w:highlight w:val="none"/>
                <w:u w:val="single"/>
              </w:rPr>
              <w:t xml:space="preserve">                   </w:t>
            </w:r>
            <w:r>
              <w:rPr>
                <w:rFonts w:hint="eastAsia"/>
                <w:color w:val="auto"/>
                <w:highlight w:val="none"/>
              </w:rPr>
              <w:t>。</w:t>
            </w:r>
            <w:r>
              <w:rPr>
                <w:rFonts w:hint="eastAsia"/>
                <w:color w:val="auto"/>
                <w:highlight w:val="none"/>
                <w:lang w:val="en-US"/>
              </w:rPr>
              <w:t xml:space="preserve"> </w:t>
            </w:r>
          </w:p>
          <w:p w14:paraId="6C45EF31">
            <w:pPr>
              <w:pStyle w:val="44"/>
              <w:tabs>
                <w:tab w:val="left" w:pos="2860"/>
                <w:tab w:val="left" w:pos="5088"/>
              </w:tabs>
              <w:adjustRightInd/>
              <w:ind w:right="-8"/>
              <w:jc w:val="both"/>
              <w:rPr>
                <w:rFonts w:hint="eastAsia"/>
                <w:color w:val="auto"/>
                <w:highlight w:val="none"/>
                <w:lang w:val="en-US"/>
              </w:rPr>
            </w:pPr>
            <w:r>
              <w:rPr>
                <w:rFonts w:hint="eastAsia"/>
                <w:color w:val="auto"/>
                <w:highlight w:val="none"/>
              </w:rPr>
              <w:t>联系人和联系电话：</w:t>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lang w:val="en-US"/>
              </w:rPr>
              <w:t>。</w:t>
            </w:r>
          </w:p>
        </w:tc>
      </w:tr>
      <w:tr w14:paraId="3DD32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6A38E9FD">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1.10.1</w:t>
            </w:r>
          </w:p>
        </w:tc>
        <w:tc>
          <w:tcPr>
            <w:tcW w:w="1701" w:type="dxa"/>
            <w:vAlign w:val="center"/>
          </w:tcPr>
          <w:p w14:paraId="2475897F">
            <w:pPr>
              <w:pStyle w:val="44"/>
              <w:adjustRightInd/>
              <w:ind w:right="178" w:rightChars="74" w:firstLine="31" w:firstLineChars="13"/>
              <w:jc w:val="center"/>
              <w:rPr>
                <w:rFonts w:hint="eastAsia"/>
                <w:color w:val="auto"/>
                <w:highlight w:val="none"/>
              </w:rPr>
            </w:pPr>
            <w:r>
              <w:rPr>
                <w:rFonts w:hint="eastAsia"/>
                <w:color w:val="auto"/>
                <w:highlight w:val="none"/>
              </w:rPr>
              <w:t>投标预备会</w:t>
            </w:r>
          </w:p>
        </w:tc>
        <w:tc>
          <w:tcPr>
            <w:tcW w:w="6168" w:type="dxa"/>
            <w:vAlign w:val="center"/>
          </w:tcPr>
          <w:p w14:paraId="4C2886E8">
            <w:pPr>
              <w:pStyle w:val="44"/>
              <w:adjustRightInd/>
              <w:ind w:right="-8"/>
              <w:jc w:val="both"/>
              <w:rPr>
                <w:rFonts w:hint="eastAsia"/>
                <w:color w:val="auto"/>
                <w:highlight w:val="none"/>
              </w:rPr>
            </w:pPr>
            <w:r>
              <w:rPr>
                <w:rFonts w:hint="eastAsia"/>
                <w:color w:val="auto"/>
                <w:highlight w:val="none"/>
              </w:rPr>
              <w:t>☑不召开。</w:t>
            </w:r>
          </w:p>
          <w:p w14:paraId="49CC4DD8">
            <w:pPr>
              <w:pStyle w:val="44"/>
              <w:tabs>
                <w:tab w:val="left" w:pos="3168"/>
                <w:tab w:val="left" w:pos="3468"/>
                <w:tab w:val="left" w:pos="5568"/>
              </w:tabs>
              <w:adjustRightInd/>
              <w:ind w:right="-8"/>
              <w:jc w:val="both"/>
              <w:rPr>
                <w:rFonts w:hint="eastAsia"/>
                <w:color w:val="auto"/>
                <w:highlight w:val="none"/>
              </w:rPr>
            </w:pPr>
            <w:r>
              <w:rPr>
                <w:rFonts w:hint="eastAsia"/>
                <w:color w:val="auto"/>
                <w:highlight w:val="none"/>
              </w:rPr>
              <w:t>□召开。召开时间：</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；召开地点：</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w:t>
            </w:r>
          </w:p>
        </w:tc>
      </w:tr>
      <w:tr w14:paraId="38188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69E3B7B2">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1.10.2</w:t>
            </w:r>
          </w:p>
        </w:tc>
        <w:tc>
          <w:tcPr>
            <w:tcW w:w="1701" w:type="dxa"/>
            <w:vAlign w:val="center"/>
          </w:tcPr>
          <w:p w14:paraId="600B24DE">
            <w:pPr>
              <w:pStyle w:val="44"/>
              <w:adjustRightInd/>
              <w:ind w:right="178" w:rightChars="74" w:firstLine="31" w:firstLineChars="13"/>
              <w:jc w:val="center"/>
              <w:rPr>
                <w:rFonts w:hint="eastAsia"/>
                <w:color w:val="auto"/>
                <w:highlight w:val="none"/>
              </w:rPr>
            </w:pPr>
            <w:r>
              <w:rPr>
                <w:rFonts w:hint="eastAsia"/>
                <w:color w:val="auto"/>
                <w:highlight w:val="none"/>
              </w:rPr>
              <w:t>投标人提出问</w:t>
            </w:r>
            <w:r>
              <w:rPr>
                <w:rFonts w:hint="eastAsia"/>
                <w:color w:val="auto"/>
                <w:spacing w:val="-3"/>
                <w:highlight w:val="none"/>
              </w:rPr>
              <w:t>题的截止时间、</w:t>
            </w:r>
            <w:r>
              <w:rPr>
                <w:rFonts w:hint="eastAsia"/>
                <w:color w:val="auto"/>
                <w:highlight w:val="none"/>
              </w:rPr>
              <w:t>上传疑问方式</w:t>
            </w:r>
          </w:p>
        </w:tc>
        <w:tc>
          <w:tcPr>
            <w:tcW w:w="6168" w:type="dxa"/>
            <w:vAlign w:val="center"/>
          </w:tcPr>
          <w:p w14:paraId="2692467F">
            <w:pPr>
              <w:adjustRightInd/>
              <w:jc w:val="both"/>
              <w:rPr>
                <w:rFonts w:hint="eastAsia" w:ascii="宋体" w:hAnsi="宋体" w:cs="宋体"/>
                <w:color w:val="auto"/>
                <w:highlight w:val="none"/>
              </w:rPr>
            </w:pPr>
            <w:r>
              <w:rPr>
                <w:rFonts w:hint="eastAsia" w:ascii="宋体" w:hAnsi="宋体" w:cs="宋体"/>
                <w:color w:val="auto"/>
                <w:highlight w:val="none"/>
              </w:rPr>
              <w:t>截止时间：</w:t>
            </w:r>
            <w:r>
              <w:rPr>
                <w:rFonts w:hint="eastAsia" w:ascii="宋体" w:hAnsi="宋体" w:cs="宋体"/>
                <w:color w:val="auto"/>
                <w:highlight w:val="none"/>
                <w:u w:val="single"/>
              </w:rPr>
              <w:t xml:space="preserve">2025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r>
              <w:rPr>
                <w:rFonts w:hint="eastAsia" w:ascii="宋体" w:hAnsi="宋体" w:cs="宋体"/>
                <w:color w:val="auto"/>
                <w:highlight w:val="none"/>
                <w:u w:val="single"/>
              </w:rPr>
              <w:t xml:space="preserve"> 17:00 </w:t>
            </w:r>
            <w:r>
              <w:rPr>
                <w:rFonts w:hint="eastAsia" w:ascii="宋体" w:hAnsi="宋体" w:cs="宋体"/>
                <w:color w:val="auto"/>
                <w:highlight w:val="none"/>
              </w:rPr>
              <w:t>时（投标人在截止时间以后提出的澄清招标文件的要求，招标人可以拒绝受理）</w:t>
            </w:r>
          </w:p>
          <w:p w14:paraId="54A7348D">
            <w:pPr>
              <w:adjustRightInd/>
              <w:jc w:val="both"/>
              <w:rPr>
                <w:rFonts w:hint="eastAsia" w:ascii="宋体" w:hAnsi="宋体" w:cs="宋体"/>
                <w:color w:val="auto"/>
                <w:highlight w:val="none"/>
                <w:u w:val="single"/>
              </w:rPr>
            </w:pPr>
            <w:r>
              <w:rPr>
                <w:rFonts w:hint="eastAsia" w:ascii="宋体" w:hAnsi="宋体" w:cs="宋体"/>
                <w:color w:val="auto"/>
                <w:highlight w:val="none"/>
              </w:rPr>
              <w:t>提交方式：</w:t>
            </w:r>
            <w:r>
              <w:rPr>
                <w:rFonts w:hint="eastAsia" w:ascii="宋体" w:hAnsi="宋体" w:cs="宋体"/>
                <w:color w:val="auto"/>
                <w:highlight w:val="none"/>
                <w:u w:val="single"/>
              </w:rPr>
              <w:t xml:space="preserve"> 请在上述时间前将加盖电子公章的PDF格式的投标提问书发送至248452213@qq.com邮箱中 </w:t>
            </w:r>
          </w:p>
          <w:p w14:paraId="2D97EAD4">
            <w:pPr>
              <w:pStyle w:val="44"/>
              <w:tabs>
                <w:tab w:val="left" w:pos="3168"/>
                <w:tab w:val="left" w:pos="3468"/>
                <w:tab w:val="left" w:pos="5500"/>
              </w:tabs>
              <w:adjustRightInd/>
              <w:ind w:right="-8"/>
              <w:jc w:val="both"/>
              <w:rPr>
                <w:rFonts w:hint="eastAsia"/>
                <w:color w:val="auto"/>
                <w:highlight w:val="none"/>
                <w:lang w:val="en-US"/>
              </w:rPr>
            </w:pPr>
            <w:r>
              <w:rPr>
                <w:rFonts w:hint="eastAsia"/>
                <w:color w:val="auto"/>
                <w:highlight w:val="none"/>
              </w:rPr>
              <w:t>联系方式：</w:t>
            </w:r>
            <w:r>
              <w:rPr>
                <w:rFonts w:hint="eastAsia"/>
                <w:color w:val="auto"/>
                <w:highlight w:val="none"/>
                <w:u w:val="single"/>
                <w:lang w:val="en-US"/>
              </w:rPr>
              <w:t>15268558883</w:t>
            </w:r>
            <w:r>
              <w:rPr>
                <w:rFonts w:hint="eastAsia"/>
                <w:color w:val="auto"/>
                <w:highlight w:val="none"/>
                <w:u w:val="single"/>
              </w:rPr>
              <w:t xml:space="preserve"> </w:t>
            </w:r>
            <w:r>
              <w:rPr>
                <w:rFonts w:hint="eastAsia"/>
                <w:color w:val="auto"/>
                <w:highlight w:val="none"/>
              </w:rPr>
              <w:t>；</w:t>
            </w:r>
            <w:r>
              <w:rPr>
                <w:rFonts w:hint="eastAsia"/>
                <w:color w:val="auto"/>
                <w:highlight w:val="none"/>
                <w:lang w:val="en-US"/>
              </w:rPr>
              <w:t xml:space="preserve">  </w:t>
            </w:r>
            <w:r>
              <w:rPr>
                <w:rFonts w:hint="eastAsia"/>
                <w:color w:val="auto"/>
                <w:highlight w:val="none"/>
              </w:rPr>
              <w:t>联系人：</w:t>
            </w:r>
            <w:r>
              <w:rPr>
                <w:rFonts w:hint="eastAsia"/>
                <w:color w:val="auto"/>
                <w:highlight w:val="none"/>
                <w:u w:val="single"/>
                <w:lang w:val="en-US"/>
              </w:rPr>
              <w:t xml:space="preserve"> 曾工  </w:t>
            </w:r>
            <w:r>
              <w:rPr>
                <w:rFonts w:hint="eastAsia"/>
                <w:color w:val="auto"/>
                <w:highlight w:val="none"/>
                <w:lang w:val="en-US"/>
              </w:rPr>
              <w:t>。</w:t>
            </w:r>
          </w:p>
        </w:tc>
      </w:tr>
      <w:tr w14:paraId="4F625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FE07146">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1.10.3</w:t>
            </w:r>
          </w:p>
        </w:tc>
        <w:tc>
          <w:tcPr>
            <w:tcW w:w="1701" w:type="dxa"/>
            <w:vAlign w:val="center"/>
          </w:tcPr>
          <w:p w14:paraId="006646C0">
            <w:pPr>
              <w:pStyle w:val="44"/>
              <w:adjustRightInd/>
              <w:ind w:right="178" w:rightChars="74" w:firstLine="31" w:firstLineChars="13"/>
              <w:jc w:val="center"/>
              <w:rPr>
                <w:rFonts w:hint="eastAsia"/>
                <w:color w:val="auto"/>
                <w:highlight w:val="none"/>
              </w:rPr>
            </w:pPr>
            <w:r>
              <w:rPr>
                <w:rFonts w:hint="eastAsia"/>
                <w:color w:val="auto"/>
                <w:highlight w:val="none"/>
              </w:rPr>
              <w:t>招标文件的</w:t>
            </w:r>
            <w:r>
              <w:rPr>
                <w:rFonts w:hint="eastAsia"/>
                <w:color w:val="auto"/>
                <w:spacing w:val="-10"/>
                <w:highlight w:val="none"/>
              </w:rPr>
              <w:t>澄清、补充、修</w:t>
            </w:r>
            <w:r>
              <w:rPr>
                <w:rFonts w:hint="eastAsia"/>
                <w:color w:val="auto"/>
                <w:highlight w:val="none"/>
              </w:rPr>
              <w:t>改的时间</w:t>
            </w:r>
          </w:p>
        </w:tc>
        <w:tc>
          <w:tcPr>
            <w:tcW w:w="6168" w:type="dxa"/>
            <w:vAlign w:val="center"/>
          </w:tcPr>
          <w:p w14:paraId="6EB4EFB1">
            <w:pPr>
              <w:pStyle w:val="44"/>
              <w:tabs>
                <w:tab w:val="left" w:pos="3168"/>
                <w:tab w:val="left" w:pos="3468"/>
                <w:tab w:val="left" w:pos="5568"/>
              </w:tabs>
              <w:adjustRightInd/>
              <w:ind w:right="32"/>
              <w:jc w:val="both"/>
              <w:rPr>
                <w:rFonts w:hint="eastAsia"/>
                <w:color w:val="auto"/>
                <w:highlight w:val="none"/>
              </w:rPr>
            </w:pPr>
            <w:r>
              <w:rPr>
                <w:rFonts w:hint="eastAsia"/>
                <w:color w:val="auto"/>
                <w:highlight w:val="none"/>
              </w:rPr>
              <w:t>澄清、补充、修改的内容影响投标文件编制的，招标人将在投标截止时间15日前，在</w:t>
            </w:r>
            <w:r>
              <w:rPr>
                <w:rFonts w:hint="eastAsia"/>
                <w:color w:val="auto"/>
                <w:highlight w:val="none"/>
                <w:u w:val="single"/>
              </w:rPr>
              <w:t>交易中心电子招投标交易平台（http://www.sxyc.gov.cn/col/col1229671312/index.html)</w:t>
            </w:r>
            <w:r>
              <w:rPr>
                <w:rFonts w:hint="eastAsia"/>
                <w:color w:val="auto"/>
                <w:highlight w:val="none"/>
              </w:rPr>
              <w:t>公布，并以电子文件形式上传至交易中心电子招投标交易平台供投标人下载，不足15日的，招标人将顺延递交投标文件的截止时间。</w:t>
            </w:r>
          </w:p>
          <w:p w14:paraId="2E5C3F22">
            <w:pPr>
              <w:pStyle w:val="44"/>
              <w:tabs>
                <w:tab w:val="left" w:pos="3168"/>
                <w:tab w:val="left" w:pos="3468"/>
                <w:tab w:val="left" w:pos="5568"/>
              </w:tabs>
              <w:adjustRightInd/>
              <w:ind w:right="32"/>
              <w:jc w:val="both"/>
              <w:rPr>
                <w:rFonts w:hint="eastAsia"/>
                <w:color w:val="auto"/>
                <w:highlight w:val="none"/>
              </w:rPr>
            </w:pPr>
            <w:r>
              <w:rPr>
                <w:rFonts w:hint="eastAsia"/>
                <w:color w:val="auto"/>
                <w:highlight w:val="none"/>
              </w:rPr>
              <w:t>澄清、补充、修改的内容不影响投标文件编制的，将在投标文件递交截止时间</w:t>
            </w:r>
            <w:r>
              <w:rPr>
                <w:rFonts w:hint="eastAsia"/>
                <w:color w:val="auto"/>
                <w:highlight w:val="none"/>
                <w:u w:val="single"/>
                <w:lang w:val="en-US"/>
              </w:rPr>
              <w:t xml:space="preserve"> 15 </w:t>
            </w:r>
            <w:r>
              <w:rPr>
                <w:rFonts w:hint="eastAsia"/>
                <w:color w:val="auto"/>
                <w:highlight w:val="none"/>
              </w:rPr>
              <w:t>日前，以上款相同的形式发布。</w:t>
            </w:r>
          </w:p>
          <w:p w14:paraId="23EEB785">
            <w:pPr>
              <w:pStyle w:val="44"/>
              <w:tabs>
                <w:tab w:val="left" w:pos="3168"/>
                <w:tab w:val="left" w:pos="3468"/>
                <w:tab w:val="left" w:pos="5568"/>
              </w:tabs>
              <w:adjustRightInd/>
              <w:ind w:right="32"/>
              <w:jc w:val="both"/>
              <w:rPr>
                <w:rFonts w:hint="eastAsia"/>
                <w:color w:val="auto"/>
                <w:highlight w:val="none"/>
              </w:rPr>
            </w:pPr>
            <w:r>
              <w:rPr>
                <w:rFonts w:hint="eastAsia"/>
                <w:color w:val="auto"/>
                <w:highlight w:val="none"/>
              </w:rPr>
              <w:t>公布网址：</w:t>
            </w:r>
            <w:r>
              <w:rPr>
                <w:rFonts w:hint="eastAsia"/>
                <w:color w:val="auto"/>
                <w:highlight w:val="none"/>
                <w:u w:val="single"/>
              </w:rPr>
              <w:t>交易中心电子招投标交易平台（http://www.sxyc.gov.cn/col/col1229671312/index.html)</w:t>
            </w:r>
          </w:p>
          <w:p w14:paraId="18033DB0">
            <w:pPr>
              <w:pStyle w:val="44"/>
              <w:tabs>
                <w:tab w:val="left" w:pos="3168"/>
                <w:tab w:val="left" w:pos="3468"/>
                <w:tab w:val="left" w:pos="5568"/>
              </w:tabs>
              <w:adjustRightInd/>
              <w:ind w:right="32"/>
              <w:jc w:val="both"/>
              <w:rPr>
                <w:rFonts w:hint="eastAsia"/>
                <w:color w:val="auto"/>
                <w:highlight w:val="none"/>
                <w:u w:val="single"/>
                <w:lang w:val="en-US"/>
              </w:rPr>
            </w:pPr>
            <w:r>
              <w:rPr>
                <w:rFonts w:hint="eastAsia"/>
                <w:color w:val="auto"/>
                <w:highlight w:val="none"/>
                <w:lang w:val="en-US"/>
              </w:rPr>
              <w:t>注：</w:t>
            </w:r>
            <w:r>
              <w:rPr>
                <w:rFonts w:hint="eastAsia"/>
                <w:color w:val="auto"/>
                <w:highlight w:val="none"/>
                <w:u w:val="single"/>
                <w:lang w:val="en-US"/>
              </w:rPr>
              <w:t xml:space="preserve">   / </w:t>
            </w:r>
            <w:r>
              <w:rPr>
                <w:rFonts w:hint="eastAsia"/>
                <w:color w:val="auto"/>
                <w:highlight w:val="none"/>
                <w:lang w:val="en-US"/>
              </w:rPr>
              <w:t>。</w:t>
            </w:r>
          </w:p>
        </w:tc>
      </w:tr>
      <w:tr w14:paraId="46A09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vAlign w:val="center"/>
          </w:tcPr>
          <w:p w14:paraId="09BC9D44">
            <w:pPr>
              <w:pStyle w:val="44"/>
              <w:tabs>
                <w:tab w:val="left" w:pos="1100"/>
              </w:tabs>
              <w:adjustRightInd/>
              <w:ind w:left="10" w:right="125" w:rightChars="52" w:hanging="10"/>
              <w:jc w:val="center"/>
              <w:rPr>
                <w:rFonts w:hint="eastAsia"/>
                <w:color w:val="auto"/>
                <w:highlight w:val="none"/>
                <w:lang w:val="en-US"/>
              </w:rPr>
            </w:pPr>
            <w:r>
              <w:rPr>
                <w:rFonts w:hint="eastAsia"/>
                <w:color w:val="auto"/>
                <w:highlight w:val="none"/>
              </w:rPr>
              <w:t>1.11</w:t>
            </w:r>
          </w:p>
        </w:tc>
        <w:tc>
          <w:tcPr>
            <w:tcW w:w="1701" w:type="dxa"/>
            <w:vAlign w:val="center"/>
          </w:tcPr>
          <w:p w14:paraId="23E9EC95">
            <w:pPr>
              <w:pStyle w:val="44"/>
              <w:adjustRightInd/>
              <w:ind w:right="178" w:rightChars="74" w:firstLine="31" w:firstLineChars="13"/>
              <w:jc w:val="center"/>
              <w:rPr>
                <w:rFonts w:hint="eastAsia"/>
                <w:color w:val="auto"/>
                <w:highlight w:val="none"/>
              </w:rPr>
            </w:pPr>
            <w:r>
              <w:rPr>
                <w:rFonts w:hint="eastAsia"/>
                <w:color w:val="auto"/>
                <w:highlight w:val="none"/>
              </w:rPr>
              <w:t>投标人拟分包的工作</w:t>
            </w:r>
          </w:p>
        </w:tc>
        <w:tc>
          <w:tcPr>
            <w:tcW w:w="6168" w:type="dxa"/>
            <w:vAlign w:val="center"/>
          </w:tcPr>
          <w:p w14:paraId="6025D06A">
            <w:pPr>
              <w:pStyle w:val="44"/>
              <w:adjustRightInd/>
              <w:ind w:right="-8"/>
              <w:jc w:val="both"/>
              <w:rPr>
                <w:rFonts w:hint="eastAsia"/>
                <w:color w:val="auto"/>
                <w:highlight w:val="none"/>
              </w:rPr>
            </w:pPr>
            <w:r>
              <w:rPr>
                <w:rFonts w:hint="eastAsia"/>
                <w:color w:val="auto"/>
                <w:highlight w:val="none"/>
              </w:rPr>
              <w:t>□不允许。</w:t>
            </w:r>
          </w:p>
          <w:p w14:paraId="25B96CDE">
            <w:pPr>
              <w:pStyle w:val="44"/>
              <w:tabs>
                <w:tab w:val="left" w:pos="3648"/>
                <w:tab w:val="left" w:pos="3888"/>
              </w:tabs>
              <w:adjustRightInd/>
              <w:ind w:right="-8"/>
              <w:jc w:val="both"/>
              <w:rPr>
                <w:rFonts w:hint="eastAsia"/>
                <w:color w:val="auto"/>
                <w:highlight w:val="none"/>
              </w:rPr>
            </w:pPr>
            <w:r>
              <w:rPr>
                <w:rFonts w:hint="eastAsia"/>
                <w:color w:val="auto"/>
                <w:highlight w:val="none"/>
              </w:rPr>
              <w:t>☑允许。分包的工程内容：</w:t>
            </w:r>
          </w:p>
          <w:p w14:paraId="55924BE0">
            <w:pPr>
              <w:pStyle w:val="44"/>
              <w:tabs>
                <w:tab w:val="left" w:pos="3648"/>
                <w:tab w:val="left" w:pos="3888"/>
              </w:tabs>
              <w:adjustRightInd/>
              <w:ind w:right="-8" w:firstLine="960" w:firstLineChars="400"/>
              <w:jc w:val="both"/>
              <w:rPr>
                <w:rFonts w:hint="eastAsia"/>
                <w:color w:val="auto"/>
                <w:highlight w:val="none"/>
              </w:rPr>
            </w:pPr>
            <w:r>
              <w:rPr>
                <w:rFonts w:hint="eastAsia"/>
                <w:color w:val="auto"/>
                <w:highlight w:val="none"/>
                <w:lang w:val="en-US"/>
              </w:rPr>
              <w:t>分包内容要求：</w:t>
            </w:r>
            <w:r>
              <w:rPr>
                <w:rFonts w:hint="eastAsia"/>
                <w:color w:val="auto"/>
                <w:highlight w:val="none"/>
                <w:lang w:val="en-US"/>
              </w:rPr>
              <w:t>非主体结构、非关键工作承包人可以根据自身实际按照《房屋建筑和市政基础设施工程施工分包管理办法》（建设部令124号）的要求选择分包人且分包单位需征得发包人同意，但发包人不支付专业发包工程管理费</w:t>
            </w:r>
            <w:r>
              <w:rPr>
                <w:rFonts w:hint="eastAsia"/>
                <w:color w:val="auto"/>
                <w:highlight w:val="none"/>
              </w:rPr>
              <w:t>。</w:t>
            </w:r>
          </w:p>
          <w:p w14:paraId="6875B84C">
            <w:pPr>
              <w:pStyle w:val="44"/>
              <w:tabs>
                <w:tab w:val="left" w:pos="3648"/>
                <w:tab w:val="left" w:pos="3888"/>
              </w:tabs>
              <w:adjustRightInd/>
              <w:ind w:right="-8" w:firstLine="960" w:firstLineChars="400"/>
              <w:jc w:val="both"/>
              <w:rPr>
                <w:rFonts w:hint="eastAsia"/>
                <w:color w:val="auto"/>
                <w:highlight w:val="none"/>
                <w:lang w:val="en-US"/>
              </w:rPr>
            </w:pPr>
            <w:r>
              <w:rPr>
                <w:rFonts w:hint="eastAsia"/>
                <w:color w:val="auto"/>
                <w:highlight w:val="none"/>
                <w:lang w:val="en-US"/>
              </w:rPr>
              <w:t>分包金额的要求：签订合同时明确，并符合国家规定和招标人要求。</w:t>
            </w:r>
          </w:p>
          <w:p w14:paraId="072C3958">
            <w:pPr>
              <w:pStyle w:val="44"/>
              <w:tabs>
                <w:tab w:val="left" w:pos="3648"/>
                <w:tab w:val="left" w:pos="3888"/>
              </w:tabs>
              <w:adjustRightInd/>
              <w:ind w:right="-8" w:firstLine="960" w:firstLineChars="400"/>
              <w:jc w:val="both"/>
              <w:rPr>
                <w:rFonts w:hint="eastAsia"/>
                <w:color w:val="auto"/>
                <w:highlight w:val="none"/>
                <w:lang w:val="en-US"/>
              </w:rPr>
            </w:pPr>
            <w:r>
              <w:rPr>
                <w:rFonts w:hint="eastAsia"/>
                <w:color w:val="auto"/>
                <w:highlight w:val="none"/>
                <w:lang w:val="en-US"/>
              </w:rPr>
              <w:t>接受分包的第三人资质要求：签订合同时明确。</w:t>
            </w:r>
          </w:p>
        </w:tc>
      </w:tr>
      <w:tr w14:paraId="45211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8D46CCC">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1.12</w:t>
            </w:r>
          </w:p>
        </w:tc>
        <w:tc>
          <w:tcPr>
            <w:tcW w:w="1701" w:type="dxa"/>
            <w:vAlign w:val="center"/>
          </w:tcPr>
          <w:p w14:paraId="285E8FF9">
            <w:pPr>
              <w:pStyle w:val="44"/>
              <w:adjustRightInd/>
              <w:ind w:right="178" w:rightChars="74" w:firstLine="31" w:firstLineChars="13"/>
              <w:jc w:val="center"/>
              <w:rPr>
                <w:rFonts w:hint="eastAsia"/>
                <w:color w:val="auto"/>
                <w:highlight w:val="none"/>
              </w:rPr>
            </w:pPr>
            <w:r>
              <w:rPr>
                <w:rFonts w:hint="eastAsia"/>
                <w:color w:val="auto"/>
                <w:highlight w:val="none"/>
              </w:rPr>
              <w:t>偏差</w:t>
            </w:r>
          </w:p>
        </w:tc>
        <w:tc>
          <w:tcPr>
            <w:tcW w:w="6168" w:type="dxa"/>
            <w:vAlign w:val="center"/>
          </w:tcPr>
          <w:p w14:paraId="4EC61055">
            <w:pPr>
              <w:pStyle w:val="44"/>
              <w:adjustRightInd/>
              <w:ind w:right="-8"/>
              <w:jc w:val="both"/>
              <w:rPr>
                <w:rFonts w:hint="eastAsia"/>
                <w:color w:val="auto"/>
                <w:highlight w:val="none"/>
              </w:rPr>
            </w:pPr>
            <w:r>
              <w:rPr>
                <w:rFonts w:hint="eastAsia"/>
                <w:color w:val="auto"/>
                <w:highlight w:val="none"/>
              </w:rPr>
              <w:t>☑不允许</w:t>
            </w:r>
          </w:p>
          <w:p w14:paraId="1F6D74A8">
            <w:pPr>
              <w:pStyle w:val="44"/>
              <w:adjustRightInd/>
              <w:ind w:right="-8"/>
              <w:jc w:val="both"/>
              <w:rPr>
                <w:rFonts w:hint="eastAsia"/>
                <w:color w:val="auto"/>
                <w:highlight w:val="none"/>
                <w:lang w:val="en-US"/>
              </w:rPr>
            </w:pPr>
            <w:r>
              <w:rPr>
                <w:rFonts w:hint="eastAsia"/>
                <w:color w:val="auto"/>
                <w:highlight w:val="none"/>
              </w:rPr>
              <w:t>□允许</w:t>
            </w:r>
            <w:r>
              <w:rPr>
                <w:rFonts w:hint="eastAsia"/>
                <w:color w:val="auto"/>
                <w:highlight w:val="none"/>
                <w:lang w:val="en-US"/>
              </w:rPr>
              <w:t xml:space="preserve">  </w:t>
            </w:r>
            <w:r>
              <w:rPr>
                <w:rFonts w:hint="eastAsia"/>
                <w:color w:val="auto"/>
                <w:highlight w:val="none"/>
              </w:rPr>
              <w:t>允许偏差的内容、偏差范围和幅度：</w:t>
            </w:r>
            <w:r>
              <w:rPr>
                <w:rFonts w:hint="eastAsia"/>
                <w:color w:val="auto"/>
                <w:highlight w:val="none"/>
                <w:u w:val="single"/>
              </w:rPr>
              <w:tab/>
            </w:r>
            <w:r>
              <w:rPr>
                <w:rFonts w:hint="eastAsia"/>
                <w:color w:val="auto"/>
                <w:highlight w:val="none"/>
                <w:u w:val="single"/>
                <w:lang w:val="en-US"/>
              </w:rPr>
              <w:t xml:space="preserve">     </w:t>
            </w:r>
            <w:r>
              <w:rPr>
                <w:rFonts w:hint="eastAsia"/>
                <w:color w:val="auto"/>
                <w:highlight w:val="none"/>
                <w:lang w:val="en-US"/>
              </w:rPr>
              <w:t>。</w:t>
            </w:r>
          </w:p>
        </w:tc>
      </w:tr>
      <w:tr w14:paraId="6367B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2200FB02">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2.1</w:t>
            </w:r>
          </w:p>
        </w:tc>
        <w:tc>
          <w:tcPr>
            <w:tcW w:w="1701" w:type="dxa"/>
            <w:vAlign w:val="center"/>
          </w:tcPr>
          <w:p w14:paraId="1AAA42E9">
            <w:pPr>
              <w:pStyle w:val="44"/>
              <w:adjustRightInd/>
              <w:ind w:right="178" w:rightChars="74" w:firstLine="31" w:firstLineChars="13"/>
              <w:jc w:val="center"/>
              <w:rPr>
                <w:rFonts w:hint="eastAsia"/>
                <w:color w:val="auto"/>
                <w:highlight w:val="none"/>
              </w:rPr>
            </w:pPr>
            <w:r>
              <w:rPr>
                <w:rFonts w:hint="eastAsia"/>
                <w:color w:val="auto"/>
                <w:highlight w:val="none"/>
              </w:rPr>
              <w:t>构成招标文件的其他资料</w:t>
            </w:r>
          </w:p>
        </w:tc>
        <w:tc>
          <w:tcPr>
            <w:tcW w:w="6168" w:type="dxa"/>
            <w:vAlign w:val="center"/>
          </w:tcPr>
          <w:p w14:paraId="10D5AD8E">
            <w:pPr>
              <w:pStyle w:val="44"/>
              <w:numPr>
                <w:ilvl w:val="0"/>
                <w:numId w:val="3"/>
              </w:numPr>
              <w:adjustRightInd/>
              <w:ind w:right="-8"/>
              <w:jc w:val="both"/>
              <w:rPr>
                <w:rFonts w:hint="eastAsia"/>
                <w:color w:val="auto"/>
                <w:highlight w:val="none"/>
                <w:lang w:val="en-US"/>
              </w:rPr>
            </w:pPr>
            <w:r>
              <w:rPr>
                <w:rFonts w:hint="eastAsia"/>
                <w:color w:val="auto"/>
                <w:highlight w:val="none"/>
              </w:rPr>
              <w:t>招标控制价及明细（招标控制价所列数量不视为要求承包人实施的实际或准确的工程量，仅作为投标报价参考）</w:t>
            </w:r>
            <w:r>
              <w:rPr>
                <w:rFonts w:hint="eastAsia"/>
                <w:color w:val="auto"/>
                <w:highlight w:val="none"/>
                <w:lang w:val="en-US"/>
              </w:rPr>
              <w:t>；</w:t>
            </w:r>
          </w:p>
          <w:p w14:paraId="706FC9F2">
            <w:pPr>
              <w:pStyle w:val="44"/>
              <w:adjustRightInd/>
              <w:ind w:right="-8"/>
              <w:jc w:val="both"/>
              <w:rPr>
                <w:rFonts w:hint="eastAsia"/>
                <w:color w:val="auto"/>
                <w:highlight w:val="none"/>
                <w:lang w:val="en-US"/>
              </w:rPr>
            </w:pPr>
            <w:r>
              <w:rPr>
                <w:rFonts w:hint="eastAsia"/>
                <w:color w:val="auto"/>
                <w:highlight w:val="none"/>
                <w:lang w:val="en-US"/>
              </w:rPr>
              <w:t>□2.（1）本项目不具备公开完整项目建议书、可行性研究报告、初步设计文件的条件，故前期项目建议书、可行性研究报告、初步设计文件的编制单位及其评估单位不允许参与本工程总承包项目的投标。（适用</w:t>
            </w:r>
            <w:r>
              <w:rPr>
                <w:rFonts w:hint="eastAsia"/>
                <w:color w:val="auto"/>
                <w:highlight w:val="none"/>
              </w:rPr>
              <w:t>政府投资项目</w:t>
            </w:r>
            <w:r>
              <w:rPr>
                <w:rFonts w:hint="eastAsia"/>
                <w:color w:val="auto"/>
                <w:highlight w:val="none"/>
                <w:lang w:val="en-US"/>
              </w:rPr>
              <w:t>）</w:t>
            </w:r>
          </w:p>
          <w:p w14:paraId="0BA32CF2">
            <w:pPr>
              <w:pStyle w:val="44"/>
              <w:adjustRightInd/>
              <w:ind w:right="-8"/>
              <w:jc w:val="both"/>
              <w:rPr>
                <w:rFonts w:hint="eastAsia"/>
                <w:color w:val="auto"/>
                <w:highlight w:val="none"/>
                <w:lang w:val="en-US"/>
              </w:rPr>
            </w:pPr>
            <w:r>
              <w:rPr>
                <w:rFonts w:hint="eastAsia"/>
                <w:color w:val="auto"/>
                <w:highlight w:val="none"/>
                <w:lang w:val="en-US"/>
              </w:rPr>
              <w:t>□（2）本项目已公开完整的项目建议书、可行性研究报告、初步设计文件,允许上述前期项目建议书、可行性研究报告、初步设计文件的编制单位及其评估单位参与本工程总承包项目的投标。（适用</w:t>
            </w:r>
            <w:r>
              <w:rPr>
                <w:rFonts w:hint="eastAsia"/>
                <w:color w:val="auto"/>
                <w:highlight w:val="none"/>
              </w:rPr>
              <w:t>政府投资项目</w:t>
            </w:r>
            <w:r>
              <w:rPr>
                <w:rFonts w:hint="eastAsia"/>
                <w:color w:val="auto"/>
                <w:highlight w:val="none"/>
                <w:lang w:val="en-US"/>
              </w:rPr>
              <w:t>）</w:t>
            </w:r>
          </w:p>
          <w:p w14:paraId="0E000646">
            <w:pPr>
              <w:pStyle w:val="44"/>
              <w:adjustRightInd/>
              <w:ind w:right="-8"/>
              <w:jc w:val="both"/>
              <w:rPr>
                <w:rFonts w:hint="eastAsia"/>
                <w:color w:val="auto"/>
                <w:highlight w:val="none"/>
                <w:lang w:val="en-US"/>
              </w:rPr>
            </w:pPr>
            <w:r>
              <w:rPr>
                <w:rFonts w:hint="eastAsia"/>
                <w:color w:val="auto"/>
                <w:highlight w:val="none"/>
                <w:lang w:val="en-US"/>
              </w:rPr>
              <w:t>☑（3）其他：</w:t>
            </w:r>
            <w:r>
              <w:rPr>
                <w:rFonts w:hint="eastAsia"/>
                <w:color w:val="auto"/>
                <w:highlight w:val="none"/>
                <w:u w:val="single"/>
                <w:lang w:val="en-US"/>
              </w:rPr>
              <w:t>本项目已公开完整的初步设计文本,允许上述前期初步设计文本的编制单位及其评估单位参与本工程总承包项目的投标</w:t>
            </w:r>
            <w:r>
              <w:rPr>
                <w:rFonts w:hint="eastAsia"/>
                <w:color w:val="auto"/>
                <w:highlight w:val="none"/>
                <w:lang w:val="en-US"/>
              </w:rPr>
              <w:t>。</w:t>
            </w:r>
          </w:p>
          <w:p w14:paraId="31FD7469">
            <w:pPr>
              <w:pStyle w:val="44"/>
              <w:numPr>
                <w:ilvl w:val="0"/>
                <w:numId w:val="3"/>
              </w:numPr>
              <w:adjustRightInd/>
              <w:ind w:right="-8"/>
              <w:jc w:val="both"/>
              <w:rPr>
                <w:rFonts w:hint="eastAsia"/>
                <w:color w:val="auto"/>
                <w:highlight w:val="none"/>
                <w:lang w:val="en"/>
              </w:rPr>
            </w:pPr>
            <w:r>
              <w:rPr>
                <w:rFonts w:hint="eastAsia"/>
                <w:color w:val="auto"/>
                <w:highlight w:val="none"/>
                <w:lang w:val="en"/>
              </w:rPr>
              <w:t>其他：</w:t>
            </w:r>
            <w:r>
              <w:rPr>
                <w:rFonts w:hint="eastAsia"/>
                <w:color w:val="auto"/>
                <w:highlight w:val="none"/>
                <w:u w:val="single"/>
              </w:rPr>
              <w:t xml:space="preserve"> </w:t>
            </w:r>
            <w:r>
              <w:rPr>
                <w:rFonts w:hint="eastAsia"/>
                <w:color w:val="auto"/>
                <w:highlight w:val="none"/>
                <w:u w:val="single"/>
              </w:rPr>
              <w:tab/>
            </w:r>
            <w:r>
              <w:rPr>
                <w:rFonts w:hint="eastAsia"/>
                <w:color w:val="auto"/>
                <w:highlight w:val="none"/>
                <w:u w:val="single"/>
                <w:lang w:val="en-US"/>
              </w:rPr>
              <w:t xml:space="preserve">/ </w:t>
            </w:r>
            <w:r>
              <w:rPr>
                <w:rFonts w:hint="eastAsia"/>
                <w:color w:val="auto"/>
                <w:highlight w:val="none"/>
                <w:u w:val="single"/>
              </w:rPr>
              <w:t xml:space="preserve"> </w:t>
            </w:r>
            <w:r>
              <w:rPr>
                <w:rFonts w:hint="eastAsia"/>
                <w:color w:val="auto"/>
                <w:highlight w:val="none"/>
                <w:lang w:val="en-US"/>
              </w:rPr>
              <w:t>。</w:t>
            </w:r>
          </w:p>
        </w:tc>
      </w:tr>
      <w:tr w14:paraId="4AF43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CDE0FA7">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2.2.1</w:t>
            </w:r>
          </w:p>
        </w:tc>
        <w:tc>
          <w:tcPr>
            <w:tcW w:w="1701" w:type="dxa"/>
            <w:vAlign w:val="center"/>
          </w:tcPr>
          <w:p w14:paraId="0E0B4054">
            <w:pPr>
              <w:pStyle w:val="44"/>
              <w:adjustRightInd/>
              <w:ind w:right="178" w:rightChars="74" w:firstLine="31" w:firstLineChars="13"/>
              <w:jc w:val="center"/>
              <w:rPr>
                <w:rFonts w:hint="eastAsia"/>
                <w:color w:val="auto"/>
                <w:highlight w:val="none"/>
              </w:rPr>
            </w:pPr>
            <w:r>
              <w:rPr>
                <w:rFonts w:hint="eastAsia"/>
                <w:color w:val="auto"/>
                <w:highlight w:val="none"/>
              </w:rPr>
              <w:t>投标人要求澄清招标文件的截止时间</w:t>
            </w:r>
          </w:p>
        </w:tc>
        <w:tc>
          <w:tcPr>
            <w:tcW w:w="6168" w:type="dxa"/>
            <w:vAlign w:val="center"/>
          </w:tcPr>
          <w:p w14:paraId="60AF9501">
            <w:pPr>
              <w:pStyle w:val="44"/>
              <w:adjustRightInd/>
              <w:ind w:right="-8"/>
              <w:jc w:val="both"/>
              <w:rPr>
                <w:rFonts w:hint="eastAsia"/>
                <w:color w:val="auto"/>
                <w:highlight w:val="none"/>
              </w:rPr>
            </w:pPr>
            <w:r>
              <w:rPr>
                <w:rFonts w:hint="eastAsia"/>
                <w:color w:val="auto"/>
                <w:highlight w:val="none"/>
              </w:rPr>
              <w:t>同投标人须知前附表第1.10.2项</w:t>
            </w:r>
          </w:p>
        </w:tc>
      </w:tr>
      <w:tr w14:paraId="2491A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579393C">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2.2.2</w:t>
            </w:r>
          </w:p>
        </w:tc>
        <w:tc>
          <w:tcPr>
            <w:tcW w:w="1701" w:type="dxa"/>
            <w:vAlign w:val="center"/>
          </w:tcPr>
          <w:p w14:paraId="66956B5E">
            <w:pPr>
              <w:pStyle w:val="44"/>
              <w:adjustRightInd/>
              <w:ind w:right="178" w:rightChars="74" w:firstLine="31" w:firstLineChars="13"/>
              <w:jc w:val="center"/>
              <w:rPr>
                <w:rFonts w:hint="eastAsia"/>
                <w:color w:val="auto"/>
                <w:highlight w:val="none"/>
                <w:lang w:val="en-US"/>
              </w:rPr>
            </w:pPr>
            <w:r>
              <w:rPr>
                <w:rFonts w:hint="eastAsia"/>
                <w:color w:val="auto"/>
                <w:highlight w:val="none"/>
              </w:rPr>
              <w:t>投标截止时间</w:t>
            </w:r>
            <w:r>
              <w:rPr>
                <w:rFonts w:hint="eastAsia"/>
                <w:color w:val="auto"/>
                <w:highlight w:val="none"/>
                <w:lang w:val="en-US"/>
              </w:rPr>
              <w:t>/电子投标文件上传截止时间</w:t>
            </w:r>
          </w:p>
        </w:tc>
        <w:tc>
          <w:tcPr>
            <w:tcW w:w="6168" w:type="dxa"/>
            <w:vAlign w:val="center"/>
          </w:tcPr>
          <w:p w14:paraId="0D44D450">
            <w:pPr>
              <w:pStyle w:val="44"/>
              <w:adjustRightInd/>
              <w:ind w:right="-8"/>
              <w:jc w:val="both"/>
              <w:rPr>
                <w:rFonts w:hint="eastAsia"/>
                <w:color w:val="auto"/>
                <w:highlight w:val="none"/>
              </w:rPr>
            </w:pPr>
            <w:r>
              <w:rPr>
                <w:rFonts w:hint="eastAsia"/>
                <w:color w:val="auto"/>
                <w:highlight w:val="none"/>
                <w:u w:val="single"/>
              </w:rPr>
              <w:t xml:space="preserve"> </w:t>
            </w:r>
            <w:r>
              <w:rPr>
                <w:rFonts w:hint="eastAsia"/>
                <w:color w:val="auto"/>
                <w:highlight w:val="none"/>
                <w:u w:val="single"/>
                <w:lang w:val="en-US"/>
              </w:rPr>
              <w:t xml:space="preserve">2025 </w:t>
            </w:r>
            <w:r>
              <w:rPr>
                <w:rFonts w:hint="eastAsia"/>
                <w:color w:val="auto"/>
                <w:highlight w:val="none"/>
              </w:rPr>
              <w:t>年</w:t>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u w:val="single"/>
              </w:rPr>
              <w:tab/>
            </w:r>
            <w:r>
              <w:rPr>
                <w:rFonts w:hint="eastAsia"/>
                <w:color w:val="auto"/>
                <w:highlight w:val="none"/>
              </w:rPr>
              <w:t>月</w:t>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u w:val="single"/>
              </w:rPr>
              <w:tab/>
            </w:r>
            <w:r>
              <w:rPr>
                <w:rFonts w:hint="eastAsia"/>
                <w:color w:val="auto"/>
                <w:highlight w:val="none"/>
              </w:rPr>
              <w:t>日</w:t>
            </w:r>
            <w:r>
              <w:rPr>
                <w:rFonts w:hint="eastAsia"/>
                <w:color w:val="auto"/>
                <w:highlight w:val="none"/>
                <w:lang w:val="en-US"/>
              </w:rPr>
              <w:t xml:space="preserve"> </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时</w:t>
            </w:r>
            <w:r>
              <w:rPr>
                <w:rFonts w:hint="eastAsia"/>
                <w:color w:val="auto"/>
                <w:highlight w:val="none"/>
                <w:lang w:val="en-US"/>
              </w:rPr>
              <w:t xml:space="preserve"> </w:t>
            </w:r>
            <w:r>
              <w:rPr>
                <w:rFonts w:hint="eastAsia"/>
                <w:color w:val="auto"/>
                <w:highlight w:val="none"/>
                <w:u w:val="single"/>
              </w:rPr>
              <w:t xml:space="preserve"> </w:t>
            </w:r>
            <w:r>
              <w:rPr>
                <w:rFonts w:hint="eastAsia"/>
                <w:color w:val="auto"/>
                <w:highlight w:val="none"/>
                <w:u w:val="single"/>
              </w:rPr>
              <w:tab/>
            </w:r>
            <w:r>
              <w:rPr>
                <w:rFonts w:hint="eastAsia"/>
                <w:color w:val="auto"/>
                <w:highlight w:val="none"/>
              </w:rPr>
              <w:t>分</w:t>
            </w:r>
          </w:p>
        </w:tc>
      </w:tr>
      <w:tr w14:paraId="2F640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02F638C2">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2.2.3</w:t>
            </w:r>
          </w:p>
        </w:tc>
        <w:tc>
          <w:tcPr>
            <w:tcW w:w="1701" w:type="dxa"/>
            <w:vAlign w:val="center"/>
          </w:tcPr>
          <w:p w14:paraId="3AEC2CF0">
            <w:pPr>
              <w:pStyle w:val="44"/>
              <w:adjustRightInd/>
              <w:ind w:right="178" w:rightChars="74" w:firstLine="31" w:firstLineChars="13"/>
              <w:jc w:val="center"/>
              <w:rPr>
                <w:rFonts w:hint="eastAsia"/>
                <w:color w:val="auto"/>
                <w:highlight w:val="none"/>
              </w:rPr>
            </w:pPr>
            <w:r>
              <w:rPr>
                <w:rFonts w:hint="eastAsia"/>
                <w:color w:val="auto"/>
                <w:highlight w:val="none"/>
              </w:rPr>
              <w:t>投标人确认收到招标文件澄清的时间</w:t>
            </w:r>
          </w:p>
        </w:tc>
        <w:tc>
          <w:tcPr>
            <w:tcW w:w="6168" w:type="dxa"/>
            <w:vAlign w:val="center"/>
          </w:tcPr>
          <w:p w14:paraId="1184D174">
            <w:pPr>
              <w:pStyle w:val="44"/>
              <w:adjustRightInd/>
              <w:ind w:right="34" w:rightChars="14"/>
              <w:jc w:val="both"/>
              <w:rPr>
                <w:rFonts w:hint="eastAsia"/>
                <w:color w:val="auto"/>
                <w:highlight w:val="none"/>
              </w:rPr>
            </w:pPr>
            <w:r>
              <w:rPr>
                <w:rFonts w:hint="eastAsia"/>
                <w:color w:val="auto"/>
                <w:highlight w:val="none"/>
              </w:rPr>
              <w:t>在投标人应自行关注当地招投标交易平台发布的补充文件信息，招标人不再逐一通知。投标人因自身贻误行为导致投标失败的，责任自负。</w:t>
            </w:r>
          </w:p>
        </w:tc>
      </w:tr>
      <w:tr w14:paraId="07D36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2B5D9238">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3.1</w:t>
            </w:r>
          </w:p>
        </w:tc>
        <w:tc>
          <w:tcPr>
            <w:tcW w:w="1701" w:type="dxa"/>
            <w:vAlign w:val="center"/>
          </w:tcPr>
          <w:p w14:paraId="3FBF2D22">
            <w:pPr>
              <w:pStyle w:val="44"/>
              <w:adjustRightInd/>
              <w:ind w:right="178" w:rightChars="74" w:firstLine="31" w:firstLineChars="13"/>
              <w:jc w:val="center"/>
              <w:rPr>
                <w:rFonts w:hint="eastAsia"/>
                <w:color w:val="auto"/>
                <w:highlight w:val="none"/>
              </w:rPr>
            </w:pPr>
            <w:r>
              <w:rPr>
                <w:rFonts w:hint="eastAsia"/>
                <w:color w:val="auto"/>
                <w:highlight w:val="none"/>
              </w:rPr>
              <w:t>投标文件的组成</w:t>
            </w:r>
          </w:p>
        </w:tc>
        <w:tc>
          <w:tcPr>
            <w:tcW w:w="6168" w:type="dxa"/>
            <w:vAlign w:val="center"/>
          </w:tcPr>
          <w:p w14:paraId="2433536F">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3.1.1资格审查资料</w:t>
            </w:r>
          </w:p>
          <w:p w14:paraId="60149A3F">
            <w:pPr>
              <w:pStyle w:val="35"/>
              <w:numPr>
                <w:ilvl w:val="0"/>
                <w:numId w:val="4"/>
              </w:numPr>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资质资格证明材料；</w:t>
            </w:r>
          </w:p>
          <w:p w14:paraId="116E4353">
            <w:pPr>
              <w:pStyle w:val="35"/>
              <w:tabs>
                <w:tab w:val="left" w:pos="1100"/>
                <w:tab w:val="left" w:pos="1989"/>
              </w:tabs>
              <w:adjustRightInd/>
              <w:ind w:right="-53" w:rightChars="-22" w:firstLine="0" w:firstLineChars="0"/>
              <w:rPr>
                <w:rFonts w:hint="eastAsia" w:ascii="宋体" w:hAnsi="宋体" w:cs="宋体"/>
                <w:strike/>
                <w:color w:val="auto"/>
                <w:spacing w:val="-3"/>
                <w:highlight w:val="none"/>
              </w:rPr>
            </w:pPr>
            <w:r>
              <w:rPr>
                <w:rFonts w:hint="eastAsia" w:ascii="宋体" w:hAnsi="宋体" w:cs="宋体"/>
                <w:strike/>
                <w:color w:val="auto"/>
                <w:spacing w:val="-3"/>
                <w:highlight w:val="none"/>
              </w:rPr>
              <w:t>□</w:t>
            </w:r>
            <w:r>
              <w:rPr>
                <w:rFonts w:hint="eastAsia" w:ascii="宋体" w:hAnsi="宋体" w:cs="宋体"/>
                <w:strike/>
                <w:color w:val="auto"/>
                <w:spacing w:val="-3"/>
                <w:highlight w:val="none"/>
              </w:rPr>
              <w:fldChar w:fldCharType="begin"/>
            </w:r>
            <w:r>
              <w:rPr>
                <w:rFonts w:hint="eastAsia" w:ascii="宋体" w:hAnsi="宋体" w:cs="宋体"/>
                <w:strike/>
                <w:color w:val="auto"/>
                <w:spacing w:val="-3"/>
                <w:highlight w:val="none"/>
              </w:rPr>
              <w:instrText xml:space="preserve"> = 1 \* GB3 \* MERGEFORMAT </w:instrText>
            </w:r>
            <w:r>
              <w:rPr>
                <w:rFonts w:hint="eastAsia" w:ascii="宋体" w:hAnsi="宋体" w:cs="宋体"/>
                <w:strike/>
                <w:color w:val="auto"/>
                <w:spacing w:val="-3"/>
                <w:highlight w:val="none"/>
              </w:rPr>
              <w:fldChar w:fldCharType="separate"/>
            </w:r>
            <w:r>
              <w:rPr>
                <w:rFonts w:hint="eastAsia" w:ascii="宋体" w:hAnsi="宋体" w:cs="宋体"/>
                <w:strike/>
                <w:color w:val="auto"/>
                <w:spacing w:val="-3"/>
                <w:highlight w:val="none"/>
              </w:rPr>
              <w:t>①</w:t>
            </w:r>
            <w:r>
              <w:rPr>
                <w:rFonts w:hint="eastAsia" w:ascii="宋体" w:hAnsi="宋体" w:cs="宋体"/>
                <w:strike/>
                <w:color w:val="auto"/>
                <w:spacing w:val="-3"/>
                <w:highlight w:val="none"/>
              </w:rPr>
              <w:fldChar w:fldCharType="end"/>
            </w:r>
            <w:r>
              <w:rPr>
                <w:rFonts w:hint="eastAsia" w:ascii="宋体" w:hAnsi="宋体"/>
                <w:strike/>
                <w:color w:val="auto"/>
                <w:highlight w:val="none"/>
                <w:lang w:bidi="ar"/>
              </w:rPr>
              <w:t>中小企业声明函；</w:t>
            </w:r>
          </w:p>
          <w:p w14:paraId="4E1971DC">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（2）项目管理班子配备；</w:t>
            </w:r>
          </w:p>
          <w:p w14:paraId="4131F34B">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1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①</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项目管理班子配备情况表；</w:t>
            </w:r>
          </w:p>
          <w:p w14:paraId="344F4D14">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2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②</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项目负责人简历表；</w:t>
            </w:r>
          </w:p>
          <w:p w14:paraId="614CC105">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3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③</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施工负责人简历表；</w:t>
            </w:r>
          </w:p>
          <w:p w14:paraId="5895C4F7">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4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④</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设计负责人简历表；</w:t>
            </w:r>
          </w:p>
          <w:p w14:paraId="04B22401">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⑤项目技术负责人简历表；</w:t>
            </w:r>
          </w:p>
          <w:p w14:paraId="411BFFE6">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⑥项目管理班子配备情况其它辅助说明资料。</w:t>
            </w:r>
          </w:p>
          <w:p w14:paraId="6A34E39C">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（3）资格业绩材料（若有），含业绩汇总表及相关附件；</w:t>
            </w:r>
          </w:p>
          <w:p w14:paraId="0A0CB556">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（4）投标保证金；</w:t>
            </w:r>
          </w:p>
          <w:p w14:paraId="249559AB">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（5）联合体协议书（如有）；</w:t>
            </w:r>
          </w:p>
          <w:p w14:paraId="109DBC28">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（6）省外企业在“浙江省建筑市场监管公共服务系统”备案信息截图复制件。</w:t>
            </w:r>
          </w:p>
          <w:p w14:paraId="0E480581">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（7）招标人要求提交的其他资料(详见投标人须知前附表)：满足投标人须知第3.5条款要求的其他相关资料。</w:t>
            </w:r>
          </w:p>
          <w:p w14:paraId="7C07D776">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3.1.2技术标主要包括下列内容（具体按评标办法评审要求编制）:</w:t>
            </w:r>
          </w:p>
          <w:p w14:paraId="53E1D382">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3.1.2.1总体项目管理方案</w:t>
            </w:r>
          </w:p>
          <w:p w14:paraId="197C15FE">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（1）项目概述</w:t>
            </w:r>
          </w:p>
          <w:p w14:paraId="48647D1A">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（2）项目组织设计、组织机构</w:t>
            </w:r>
          </w:p>
          <w:p w14:paraId="52202164">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（3）项目目标分解、项目情况分析</w:t>
            </w:r>
          </w:p>
          <w:p w14:paraId="35ADD617">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（4）工程总承包项目管理，具体包括专项管理、综合集成、采购和试运行等</w:t>
            </w:r>
          </w:p>
          <w:p w14:paraId="68FB053F">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3.1.2.2设计方案</w:t>
            </w:r>
          </w:p>
          <w:p w14:paraId="01053A60">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（1）初步设计优化或施工图设计</w:t>
            </w:r>
          </w:p>
          <w:p w14:paraId="409D2B59">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（2）工程经济的合理性分析、评价</w:t>
            </w:r>
          </w:p>
          <w:p w14:paraId="6894D131">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（3）设计管理机构的构成和设计力量的配备</w:t>
            </w:r>
          </w:p>
          <w:p w14:paraId="302A44A1">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（4）设计组织方案及各阶段计划进度安排</w:t>
            </w:r>
          </w:p>
          <w:p w14:paraId="6097A9AE">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（5）设计优化深化、施工图设计质量控制措施</w:t>
            </w:r>
          </w:p>
          <w:p w14:paraId="35556635">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3.1.2.3采购方案</w:t>
            </w:r>
          </w:p>
          <w:p w14:paraId="283ECB9C">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（1）设备采购、分包工作的总体安排与资源配置</w:t>
            </w:r>
          </w:p>
          <w:p w14:paraId="0C15D6AC">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（2）设备采购进度、质量控制措施</w:t>
            </w:r>
          </w:p>
          <w:p w14:paraId="3CD94466">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（3）分包商进度、质量和安全文明的管理措施及违约处理</w:t>
            </w:r>
          </w:p>
          <w:p w14:paraId="7621D491">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3.1.2.4施工方案</w:t>
            </w:r>
          </w:p>
          <w:p w14:paraId="0AE4C4E0">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（1）项目重点难点分析</w:t>
            </w:r>
          </w:p>
          <w:p w14:paraId="05618525">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（2）工程施工管理</w:t>
            </w:r>
          </w:p>
          <w:p w14:paraId="093D7FA9">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1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①</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工程施工进度控制和管理(工程投入的施工机械设备情况，主要施工机械进场计划，劳动力安排计划，施工进度计划网络图）</w:t>
            </w:r>
          </w:p>
          <w:p w14:paraId="1757381C">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2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②</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工程施工质量管理；</w:t>
            </w:r>
          </w:p>
          <w:p w14:paraId="0810491E">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3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③</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工程施工安全文明管理；</w:t>
            </w:r>
          </w:p>
          <w:p w14:paraId="73D1A730">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4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④</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关键技术方案；</w:t>
            </w:r>
          </w:p>
          <w:p w14:paraId="4D07CB7B">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5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⑤</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外部协调管理；</w:t>
            </w:r>
          </w:p>
          <w:p w14:paraId="3F160F04">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fldChar w:fldCharType="begin"/>
            </w:r>
            <w:r>
              <w:rPr>
                <w:rFonts w:hint="eastAsia" w:ascii="宋体" w:hAnsi="宋体" w:cs="宋体"/>
                <w:color w:val="auto"/>
                <w:spacing w:val="-3"/>
                <w:highlight w:val="none"/>
              </w:rPr>
              <w:instrText xml:space="preserve"> = 6 \* GB3 \* MERGEFORMAT </w:instrText>
            </w:r>
            <w:r>
              <w:rPr>
                <w:rFonts w:hint="eastAsia" w:ascii="宋体" w:hAnsi="宋体" w:cs="宋体"/>
                <w:color w:val="auto"/>
                <w:spacing w:val="-3"/>
                <w:highlight w:val="none"/>
              </w:rPr>
              <w:fldChar w:fldCharType="separate"/>
            </w:r>
            <w:r>
              <w:rPr>
                <w:rFonts w:hint="eastAsia" w:ascii="宋体" w:hAnsi="宋体" w:cs="宋体"/>
                <w:color w:val="auto"/>
                <w:spacing w:val="-3"/>
                <w:highlight w:val="none"/>
              </w:rPr>
              <w:t>⑥</w:t>
            </w:r>
            <w:r>
              <w:rPr>
                <w:rFonts w:hint="eastAsia" w:ascii="宋体" w:hAnsi="宋体" w:cs="宋体"/>
                <w:color w:val="auto"/>
                <w:spacing w:val="-3"/>
                <w:highlight w:val="none"/>
              </w:rPr>
              <w:fldChar w:fldCharType="end"/>
            </w:r>
            <w:r>
              <w:rPr>
                <w:rFonts w:hint="eastAsia" w:ascii="宋体" w:hAnsi="宋体" w:cs="宋体"/>
                <w:color w:val="auto"/>
                <w:spacing w:val="-3"/>
                <w:highlight w:val="none"/>
              </w:rPr>
              <w:t>工程竣工验收、结算、移交。</w:t>
            </w:r>
          </w:p>
          <w:p w14:paraId="4C4AE46B">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3.1.2.5拟分包项目名称和分包商情况。</w:t>
            </w:r>
          </w:p>
          <w:p w14:paraId="7029C026">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 xml:space="preserve">3.1.2.6 </w:t>
            </w:r>
            <w:r>
              <w:rPr>
                <w:rFonts w:hint="eastAsia"/>
                <w:color w:val="auto"/>
                <w:highlight w:val="none"/>
              </w:rPr>
              <w:t>☑</w:t>
            </w:r>
            <w:r>
              <w:rPr>
                <w:rFonts w:hint="eastAsia" w:ascii="宋体" w:hAnsi="宋体" w:cs="宋体"/>
                <w:color w:val="auto"/>
                <w:spacing w:val="-3"/>
                <w:highlight w:val="none"/>
              </w:rPr>
              <w:t>项目管理班子配备情况</w:t>
            </w:r>
          </w:p>
          <w:p w14:paraId="0CBD657F">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3.1.2.7招标人要求提交的其他资料(详见投标人须知前附表)：根据技术标评分内容提供，格式自拟。</w:t>
            </w:r>
          </w:p>
          <w:p w14:paraId="58EB7DFF">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3.1.3投标人资信标主要包括下列内容（具体按评标办法评审要求编制）:</w:t>
            </w:r>
          </w:p>
          <w:p w14:paraId="5D4D76B4">
            <w:pPr>
              <w:snapToGrid w:val="0"/>
              <w:jc w:val="both"/>
              <w:rPr>
                <w:rFonts w:hint="eastAsia" w:ascii="宋体" w:hAnsi="宋体"/>
                <w:color w:val="auto"/>
                <w:highlight w:val="none"/>
              </w:rPr>
            </w:pPr>
            <w:r>
              <w:rPr>
                <w:rFonts w:hint="eastAsia" w:ascii="宋体" w:hAnsi="宋体" w:cs="宋体"/>
                <w:color w:val="auto"/>
                <w:spacing w:val="-3"/>
                <w:highlight w:val="none"/>
              </w:rPr>
              <w:t>(1)投标人一般情况；</w:t>
            </w:r>
          </w:p>
          <w:p w14:paraId="7FCFB3C6">
            <w:pPr>
              <w:pStyle w:val="35"/>
              <w:tabs>
                <w:tab w:val="left" w:pos="1100"/>
                <w:tab w:val="left" w:pos="1989"/>
              </w:tabs>
              <w:adjustRightInd/>
              <w:ind w:right="-53" w:rightChars="-22" w:firstLine="0" w:firstLineChars="0"/>
              <w:rPr>
                <w:rFonts w:hint="eastAsia" w:ascii="宋体" w:hAnsi="宋体" w:cs="宋体"/>
                <w:strike/>
                <w:dstrike w:val="0"/>
                <w:color w:val="auto"/>
                <w:spacing w:val="-3"/>
                <w:highlight w:val="none"/>
              </w:rPr>
            </w:pPr>
            <w:r>
              <w:rPr>
                <w:rFonts w:hint="eastAsia" w:ascii="宋体" w:hAnsi="宋体" w:cs="宋体"/>
                <w:strike/>
                <w:dstrike w:val="0"/>
                <w:color w:val="auto"/>
                <w:spacing w:val="-3"/>
                <w:highlight w:val="none"/>
              </w:rPr>
              <w:t>(2)近年财务状况表；</w:t>
            </w:r>
          </w:p>
          <w:p w14:paraId="5E30B1B5">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(3)业绩汇总表（评分业绩条件的汇总）；</w:t>
            </w:r>
          </w:p>
          <w:p w14:paraId="0D1E537C">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(4)项目管理班子配备</w:t>
            </w:r>
          </w:p>
          <w:p w14:paraId="5F7570A5">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（5）招标人要求提交的其他资料(详见投标人须知前附表)。</w:t>
            </w:r>
          </w:p>
          <w:p w14:paraId="376F576A">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3.1.4商务标主要内容包括下列内容：</w:t>
            </w:r>
          </w:p>
          <w:p w14:paraId="45793F72">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3.1.4.1投标函</w:t>
            </w:r>
            <w:r>
              <w:rPr>
                <w:rFonts w:ascii="宋体" w:hAnsi="宋体" w:cs="宋体"/>
                <w:color w:val="auto"/>
                <w:spacing w:val="-3"/>
                <w:highlight w:val="none"/>
              </w:rPr>
              <w:t>及商务标相关附件</w:t>
            </w:r>
            <w:r>
              <w:rPr>
                <w:rFonts w:hint="eastAsia" w:ascii="宋体" w:hAnsi="宋体" w:cs="宋体"/>
                <w:color w:val="auto"/>
                <w:spacing w:val="-3"/>
                <w:highlight w:val="none"/>
              </w:rPr>
              <w:t>:</w:t>
            </w:r>
          </w:p>
          <w:p w14:paraId="5783CC42">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（1）法定代表人身份证明书；</w:t>
            </w:r>
          </w:p>
          <w:p w14:paraId="763FE3A1">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（2）法定代表人授权委托书、参加开标会议委托书参考格式；</w:t>
            </w:r>
          </w:p>
          <w:p w14:paraId="0C0C87A9">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（3）投标函；</w:t>
            </w:r>
          </w:p>
          <w:p w14:paraId="57BD0EB9">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（4）投标函附录；</w:t>
            </w:r>
          </w:p>
          <w:p w14:paraId="0AEAAF1E">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（5）投标承诺书；</w:t>
            </w:r>
          </w:p>
          <w:p w14:paraId="684CD88E">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（6）招标文件要求投标人提交的其它投标资料(详见投标人须知前附表)</w:t>
            </w:r>
          </w:p>
          <w:p w14:paraId="671CA470">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3.1.4.2工程总承包项目清单及计价表</w:t>
            </w:r>
          </w:p>
          <w:p w14:paraId="50DD4942">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（1）工程总承包费用汇总表；</w:t>
            </w:r>
          </w:p>
          <w:p w14:paraId="54504A62">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（2）工程总承包项目工程设计费清单及计价表；</w:t>
            </w:r>
          </w:p>
          <w:p w14:paraId="2742708A">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（3）工程总承包项目设备购置费清单及计价表；</w:t>
            </w:r>
          </w:p>
          <w:p w14:paraId="3AE416EE">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（4）工程总承包项目建筑安装工程费清单及计价表；</w:t>
            </w:r>
          </w:p>
          <w:p w14:paraId="5B507629">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（5）工程总承包其他费清单及计价表；</w:t>
            </w:r>
          </w:p>
          <w:p w14:paraId="38D1EA99">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（6）工程总承包项目建筑安装工程费项目清单及计价表。</w:t>
            </w:r>
          </w:p>
          <w:p w14:paraId="6821B20B">
            <w:pPr>
              <w:pStyle w:val="35"/>
              <w:tabs>
                <w:tab w:val="left" w:pos="1100"/>
                <w:tab w:val="left" w:pos="1989"/>
              </w:tabs>
              <w:adjustRightInd/>
              <w:ind w:right="-53" w:rightChars="-22" w:firstLine="0" w:firstLineChars="0"/>
              <w:rPr>
                <w:rFonts w:hint="eastAsia" w:ascii="宋体" w:hAnsi="宋体" w:cs="宋体"/>
                <w:color w:val="auto"/>
                <w:spacing w:val="-3"/>
                <w:highlight w:val="none"/>
              </w:rPr>
            </w:pPr>
            <w:r>
              <w:rPr>
                <w:rFonts w:hint="eastAsia" w:ascii="宋体" w:hAnsi="宋体" w:cs="宋体"/>
                <w:color w:val="auto"/>
                <w:spacing w:val="-3"/>
                <w:highlight w:val="none"/>
              </w:rPr>
              <w:t>3.1.5招标公告（或投标邀请书）规定不接受联合体投标的，或投标人没有组成联合体的，投标文件不包括联合体协议书。</w:t>
            </w:r>
          </w:p>
          <w:p w14:paraId="6FB82E41">
            <w:pPr>
              <w:snapToGrid w:val="0"/>
              <w:jc w:val="both"/>
              <w:rPr>
                <w:rFonts w:hint="eastAsia" w:ascii="宋体" w:hAnsi="宋体" w:cs="宋体"/>
                <w:color w:val="auto"/>
                <w:highlight w:val="none"/>
              </w:rPr>
            </w:pPr>
            <w:r>
              <w:rPr>
                <w:rFonts w:hint="eastAsia" w:ascii="宋体" w:hAnsi="宋体" w:cs="宋体"/>
                <w:color w:val="auto"/>
                <w:spacing w:val="-3"/>
                <w:highlight w:val="none"/>
              </w:rPr>
              <w:t>3.1.6招标文件要求投标人提交的其它投标资料(见投标人须知前附表）</w:t>
            </w:r>
          </w:p>
        </w:tc>
      </w:tr>
      <w:tr w14:paraId="01E59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5334CB85">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3.1.</w:t>
            </w:r>
            <w:r>
              <w:rPr>
                <w:rFonts w:hint="eastAsia"/>
                <w:color w:val="auto"/>
                <w:highlight w:val="none"/>
                <w:lang w:val="en-US"/>
              </w:rPr>
              <w:t>6</w:t>
            </w:r>
          </w:p>
        </w:tc>
        <w:tc>
          <w:tcPr>
            <w:tcW w:w="1701" w:type="dxa"/>
            <w:vAlign w:val="center"/>
          </w:tcPr>
          <w:p w14:paraId="2B70989E">
            <w:pPr>
              <w:pStyle w:val="44"/>
              <w:adjustRightInd/>
              <w:ind w:right="178" w:rightChars="74" w:firstLine="31" w:firstLineChars="13"/>
              <w:jc w:val="center"/>
              <w:rPr>
                <w:rFonts w:hint="eastAsia"/>
                <w:color w:val="auto"/>
                <w:highlight w:val="none"/>
              </w:rPr>
            </w:pPr>
            <w:r>
              <w:rPr>
                <w:rFonts w:hint="eastAsia"/>
                <w:color w:val="auto"/>
                <w:highlight w:val="none"/>
              </w:rPr>
              <w:t>构成投标文件的其他资料</w:t>
            </w:r>
          </w:p>
        </w:tc>
        <w:tc>
          <w:tcPr>
            <w:tcW w:w="6168" w:type="dxa"/>
            <w:vAlign w:val="center"/>
          </w:tcPr>
          <w:p w14:paraId="199B9D13">
            <w:pPr>
              <w:pStyle w:val="44"/>
              <w:adjustRightInd/>
              <w:ind w:right="34" w:rightChars="14"/>
              <w:jc w:val="both"/>
              <w:rPr>
                <w:rFonts w:hint="eastAsia"/>
                <w:color w:val="auto"/>
                <w:highlight w:val="none"/>
                <w:u w:val="single"/>
                <w:lang w:val="en-US"/>
              </w:rPr>
            </w:pPr>
            <w:r>
              <w:rPr>
                <w:rFonts w:hint="eastAsia"/>
                <w:color w:val="auto"/>
                <w:highlight w:val="none"/>
                <w:u w:val="single"/>
                <w:lang w:val="en-US"/>
              </w:rPr>
              <w:t>/</w:t>
            </w:r>
          </w:p>
        </w:tc>
      </w:tr>
      <w:tr w14:paraId="5633F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5F641EA0">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3.2.</w:t>
            </w:r>
            <w:r>
              <w:rPr>
                <w:rFonts w:hint="eastAsia"/>
                <w:color w:val="auto"/>
                <w:highlight w:val="none"/>
                <w:lang w:val="en-US"/>
              </w:rPr>
              <w:t>4</w:t>
            </w:r>
          </w:p>
        </w:tc>
        <w:tc>
          <w:tcPr>
            <w:tcW w:w="1701" w:type="dxa"/>
            <w:vAlign w:val="center"/>
          </w:tcPr>
          <w:p w14:paraId="1EF7C356">
            <w:pPr>
              <w:pStyle w:val="44"/>
              <w:adjustRightInd/>
              <w:ind w:right="178" w:rightChars="74" w:firstLine="31" w:firstLineChars="13"/>
              <w:jc w:val="center"/>
              <w:rPr>
                <w:rFonts w:hint="eastAsia"/>
                <w:color w:val="auto"/>
                <w:highlight w:val="none"/>
              </w:rPr>
            </w:pPr>
            <w:r>
              <w:rPr>
                <w:rFonts w:hint="eastAsia"/>
                <w:color w:val="auto"/>
                <w:highlight w:val="none"/>
              </w:rPr>
              <w:t>最高投标限价或其计算方法</w:t>
            </w:r>
          </w:p>
        </w:tc>
        <w:tc>
          <w:tcPr>
            <w:tcW w:w="6168" w:type="dxa"/>
            <w:vAlign w:val="center"/>
          </w:tcPr>
          <w:p w14:paraId="220D713E">
            <w:pPr>
              <w:pStyle w:val="44"/>
              <w:tabs>
                <w:tab w:val="left" w:pos="312"/>
              </w:tabs>
              <w:adjustRightInd/>
              <w:jc w:val="both"/>
              <w:rPr>
                <w:rFonts w:hint="eastAsia"/>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最高投标限价</w:t>
            </w:r>
            <w:r>
              <w:rPr>
                <w:rFonts w:hint="eastAsia"/>
                <w:color w:val="auto"/>
                <w:highlight w:val="none"/>
                <w:u w:val="single"/>
                <w:lang w:val="en-US"/>
              </w:rPr>
              <w:t xml:space="preserve"> </w:t>
            </w:r>
            <w:r>
              <w:rPr>
                <w:rFonts w:hint="eastAsia"/>
                <w:b/>
                <w:bCs/>
                <w:color w:val="auto"/>
                <w:highlight w:val="none"/>
                <w:u w:val="single"/>
                <w:lang w:val="en-US"/>
              </w:rPr>
              <w:t>约11800万</w:t>
            </w:r>
            <w:r>
              <w:rPr>
                <w:rFonts w:hint="eastAsia"/>
                <w:color w:val="auto"/>
                <w:highlight w:val="none"/>
              </w:rPr>
              <w:t>元，其中</w:t>
            </w:r>
            <w:r>
              <w:rPr>
                <w:rFonts w:hint="eastAsia"/>
                <w:color w:val="auto"/>
                <w:spacing w:val="-1"/>
                <w:highlight w:val="none"/>
              </w:rPr>
              <w:t>施工图设计费</w:t>
            </w:r>
            <w:r>
              <w:rPr>
                <w:rFonts w:hint="eastAsia"/>
                <w:b/>
                <w:bCs/>
                <w:color w:val="auto"/>
                <w:spacing w:val="-1"/>
                <w:highlight w:val="none"/>
                <w:u w:val="single"/>
                <w:lang w:val="en-US"/>
              </w:rPr>
              <w:t>约116</w:t>
            </w:r>
            <w:r>
              <w:rPr>
                <w:rFonts w:hint="eastAsia"/>
                <w:color w:val="auto"/>
                <w:spacing w:val="-1"/>
                <w:highlight w:val="none"/>
                <w:u w:val="single"/>
              </w:rPr>
              <w:t>万元</w:t>
            </w:r>
            <w:r>
              <w:rPr>
                <w:rFonts w:hint="eastAsia"/>
                <w:color w:val="auto"/>
                <w:highlight w:val="none"/>
                <w:lang w:val="en-US"/>
              </w:rPr>
              <w:t>，建安工程费</w:t>
            </w:r>
            <w:r>
              <w:rPr>
                <w:rFonts w:hint="eastAsia"/>
                <w:color w:val="auto"/>
                <w:highlight w:val="none"/>
              </w:rPr>
              <w:t>限价</w:t>
            </w:r>
            <w:r>
              <w:rPr>
                <w:rFonts w:hint="eastAsia"/>
                <w:b/>
                <w:bCs/>
                <w:color w:val="auto"/>
                <w:highlight w:val="none"/>
                <w:u w:val="single"/>
                <w:lang w:val="en-US"/>
              </w:rPr>
              <w:t>约</w:t>
            </w:r>
            <w:r>
              <w:rPr>
                <w:rFonts w:hint="eastAsia"/>
                <w:color w:val="auto"/>
                <w:spacing w:val="-1"/>
                <w:highlight w:val="none"/>
                <w:u w:val="single"/>
              </w:rPr>
              <w:t>11084</w:t>
            </w:r>
            <w:r>
              <w:rPr>
                <w:rFonts w:hint="eastAsia"/>
                <w:color w:val="auto"/>
                <w:highlight w:val="none"/>
                <w:lang w:val="en-US"/>
              </w:rPr>
              <w:t>万元，设备购置费限价</w:t>
            </w:r>
            <w:r>
              <w:rPr>
                <w:rFonts w:hint="eastAsia"/>
                <w:color w:val="auto"/>
                <w:highlight w:val="none"/>
                <w:u w:val="single"/>
                <w:lang w:val="en-US"/>
              </w:rPr>
              <w:t xml:space="preserve"> </w:t>
            </w:r>
            <w:r>
              <w:rPr>
                <w:rFonts w:hint="eastAsia"/>
                <w:b/>
                <w:bCs/>
                <w:color w:val="auto"/>
                <w:highlight w:val="none"/>
                <w:u w:val="single"/>
                <w:lang w:val="en-US"/>
              </w:rPr>
              <w:t xml:space="preserve"> /</w:t>
            </w:r>
            <w:r>
              <w:rPr>
                <w:rFonts w:hint="eastAsia"/>
                <w:color w:val="auto"/>
                <w:highlight w:val="none"/>
                <w:u w:val="single"/>
                <w:lang w:val="en-US"/>
              </w:rPr>
              <w:t xml:space="preserve">  </w:t>
            </w:r>
            <w:r>
              <w:rPr>
                <w:rFonts w:hint="eastAsia"/>
                <w:color w:val="auto"/>
                <w:highlight w:val="none"/>
                <w:lang w:val="en-US"/>
              </w:rPr>
              <w:t>万元，工程总承包其他费限价</w:t>
            </w:r>
            <w:r>
              <w:rPr>
                <w:rFonts w:hint="eastAsia"/>
                <w:color w:val="auto"/>
                <w:highlight w:val="none"/>
                <w:u w:val="single"/>
                <w:lang w:val="en-US"/>
              </w:rPr>
              <w:t xml:space="preserve"> </w:t>
            </w:r>
            <w:r>
              <w:rPr>
                <w:rFonts w:hint="eastAsia"/>
                <w:b/>
                <w:bCs/>
                <w:color w:val="auto"/>
                <w:highlight w:val="none"/>
                <w:u w:val="single"/>
                <w:lang w:val="en-US"/>
              </w:rPr>
              <w:t xml:space="preserve"> / </w:t>
            </w:r>
            <w:r>
              <w:rPr>
                <w:rFonts w:hint="eastAsia"/>
                <w:color w:val="auto"/>
                <w:highlight w:val="none"/>
                <w:u w:val="single"/>
                <w:lang w:val="en-US"/>
              </w:rPr>
              <w:t xml:space="preserve"> </w:t>
            </w:r>
            <w:r>
              <w:rPr>
                <w:rFonts w:hint="eastAsia"/>
                <w:color w:val="auto"/>
                <w:highlight w:val="none"/>
                <w:lang w:val="en-US"/>
              </w:rPr>
              <w:t>万元，</w:t>
            </w:r>
            <w:r>
              <w:rPr>
                <w:rFonts w:hint="eastAsia"/>
                <w:color w:val="auto"/>
                <w:highlight w:val="none"/>
                <w:lang w:val="en-US"/>
              </w:rPr>
              <w:t>暂列金额（预备费）</w:t>
            </w:r>
            <w:r>
              <w:rPr>
                <w:rFonts w:hint="eastAsia"/>
                <w:color w:val="auto"/>
                <w:highlight w:val="none"/>
                <w:u w:val="single"/>
                <w:lang w:val="en-US"/>
              </w:rPr>
              <w:t>600</w:t>
            </w:r>
            <w:r>
              <w:rPr>
                <w:rFonts w:hint="eastAsia"/>
                <w:color w:val="auto"/>
                <w:highlight w:val="none"/>
                <w:lang w:val="en-US"/>
              </w:rPr>
              <w:t>万元</w:t>
            </w:r>
            <w:r>
              <w:rPr>
                <w:rFonts w:hint="eastAsia"/>
                <w:b/>
                <w:bCs/>
                <w:color w:val="auto"/>
                <w:highlight w:val="none"/>
                <w:lang w:val="en-US"/>
              </w:rPr>
              <w:t>（暂列金额不参与竞争）</w:t>
            </w:r>
            <w:r>
              <w:rPr>
                <w:rFonts w:hint="eastAsia"/>
                <w:color w:val="auto"/>
                <w:highlight w:val="none"/>
              </w:rPr>
              <w:t>；</w:t>
            </w:r>
          </w:p>
          <w:p w14:paraId="78BE176F">
            <w:pPr>
              <w:pStyle w:val="44"/>
              <w:adjustRightInd/>
              <w:jc w:val="both"/>
              <w:rPr>
                <w:rFonts w:hint="eastAsia"/>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最高投标限价在招标文件澄清或修改文件中发布；</w:t>
            </w:r>
          </w:p>
          <w:p w14:paraId="2F95FB34">
            <w:pPr>
              <w:pStyle w:val="44"/>
              <w:adjustRightInd/>
              <w:jc w:val="both"/>
              <w:rPr>
                <w:rFonts w:hint="eastAsia"/>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招标控制价人民币（大写）：</w:t>
            </w:r>
            <w:r>
              <w:rPr>
                <w:rFonts w:hint="eastAsia"/>
                <w:color w:val="auto"/>
                <w:highlight w:val="none"/>
                <w:u w:val="single"/>
              </w:rPr>
              <w:t xml:space="preserve">          </w:t>
            </w:r>
            <w:r>
              <w:rPr>
                <w:rFonts w:hint="eastAsia"/>
                <w:color w:val="auto"/>
                <w:highlight w:val="none"/>
              </w:rPr>
              <w:t>（￥</w:t>
            </w:r>
            <w:r>
              <w:rPr>
                <w:rFonts w:hint="eastAsia"/>
                <w:color w:val="auto"/>
                <w:highlight w:val="none"/>
                <w:u w:val="single"/>
              </w:rPr>
              <w:t xml:space="preserve">       </w:t>
            </w:r>
            <w:r>
              <w:rPr>
                <w:rFonts w:hint="eastAsia"/>
                <w:color w:val="auto"/>
                <w:highlight w:val="none"/>
              </w:rPr>
              <w:t>）</w:t>
            </w:r>
            <w:r>
              <w:rPr>
                <w:rFonts w:hint="eastAsia"/>
                <w:color w:val="auto"/>
                <w:highlight w:val="none"/>
                <w:lang w:val="en-US"/>
              </w:rPr>
              <w:t>暂列金额</w:t>
            </w:r>
            <w:r>
              <w:rPr>
                <w:rFonts w:hint="eastAsia"/>
                <w:color w:val="auto"/>
                <w:highlight w:val="none"/>
              </w:rPr>
              <w:t>人民币（大写）：</w:t>
            </w:r>
            <w:r>
              <w:rPr>
                <w:rFonts w:hint="eastAsia"/>
                <w:color w:val="auto"/>
                <w:highlight w:val="none"/>
                <w:u w:val="single"/>
              </w:rPr>
              <w:t xml:space="preserve">         </w:t>
            </w:r>
            <w:r>
              <w:rPr>
                <w:rFonts w:hint="eastAsia"/>
                <w:color w:val="auto"/>
                <w:highlight w:val="none"/>
              </w:rPr>
              <w:t xml:space="preserve"> （￥ </w:t>
            </w:r>
            <w:r>
              <w:rPr>
                <w:rFonts w:hint="eastAsia"/>
                <w:color w:val="auto"/>
                <w:highlight w:val="none"/>
                <w:u w:val="single"/>
              </w:rPr>
              <w:t xml:space="preserve">      </w:t>
            </w:r>
            <w:r>
              <w:rPr>
                <w:rFonts w:hint="eastAsia"/>
                <w:color w:val="auto"/>
                <w:highlight w:val="none"/>
              </w:rPr>
              <w:t xml:space="preserve">）暂估价人民币（大写）： </w:t>
            </w:r>
            <w:r>
              <w:rPr>
                <w:rFonts w:hint="eastAsia"/>
                <w:color w:val="auto"/>
                <w:highlight w:val="none"/>
                <w:u w:val="single"/>
              </w:rPr>
              <w:t xml:space="preserve">         </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）。最高投标限价的计算方法：最高投标限价=（</w:t>
            </w:r>
            <w:r>
              <w:rPr>
                <w:rFonts w:hint="eastAsia"/>
                <w:color w:val="auto"/>
                <w:highlight w:val="none"/>
                <w:lang w:val="en-US"/>
              </w:rPr>
              <w:t>招标控制价</w:t>
            </w:r>
            <w:r>
              <w:rPr>
                <w:rFonts w:hint="eastAsia"/>
                <w:color w:val="auto"/>
                <w:highlight w:val="none"/>
              </w:rPr>
              <w:t>-</w:t>
            </w:r>
            <w:r>
              <w:rPr>
                <w:rFonts w:hint="eastAsia"/>
                <w:color w:val="auto"/>
                <w:highlight w:val="none"/>
                <w:lang w:val="en-US"/>
              </w:rPr>
              <w:t>暂列金额</w:t>
            </w:r>
            <w:r>
              <w:rPr>
                <w:rFonts w:hint="eastAsia"/>
                <w:color w:val="auto"/>
                <w:highlight w:val="none"/>
              </w:rPr>
              <w:t>-暂估价）×（1-下浮值）+</w:t>
            </w:r>
            <w:r>
              <w:rPr>
                <w:rFonts w:hint="eastAsia"/>
                <w:color w:val="auto"/>
                <w:highlight w:val="none"/>
                <w:lang w:val="en-US"/>
              </w:rPr>
              <w:t>暂列金额</w:t>
            </w:r>
            <w:r>
              <w:rPr>
                <w:rFonts w:hint="eastAsia"/>
                <w:color w:val="auto"/>
                <w:highlight w:val="none"/>
              </w:rPr>
              <w:t>+暂估价，下浮值由招标人在开标时（</w:t>
            </w:r>
            <w:r>
              <w:rPr>
                <w:rFonts w:hint="eastAsia"/>
                <w:color w:val="auto"/>
                <w:highlight w:val="none"/>
                <w:lang w:val="en-US"/>
              </w:rPr>
              <w:t>与评标基准价同时抽取</w:t>
            </w:r>
            <w:r>
              <w:rPr>
                <w:rFonts w:hint="eastAsia"/>
                <w:color w:val="auto"/>
                <w:highlight w:val="none"/>
              </w:rPr>
              <w:t>）从</w:t>
            </w:r>
            <w:r>
              <w:rPr>
                <w:rFonts w:hint="eastAsia"/>
                <w:color w:val="auto"/>
                <w:highlight w:val="none"/>
                <w:u w:val="single"/>
              </w:rPr>
              <w:t xml:space="preserve">  </w:t>
            </w: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w:t>
            </w:r>
            <w:r>
              <w:rPr>
                <w:rFonts w:hint="eastAsia"/>
                <w:color w:val="auto"/>
                <w:highlight w:val="none"/>
                <w:u w:val="single"/>
              </w:rPr>
              <w:t xml:space="preserve">  </w:t>
            </w:r>
            <w:r>
              <w:rPr>
                <w:rFonts w:hint="eastAsia"/>
                <w:color w:val="auto"/>
                <w:highlight w:val="none"/>
              </w:rPr>
              <w:t>、</w:t>
            </w:r>
            <w:r>
              <w:rPr>
                <w:rFonts w:hint="eastAsia"/>
                <w:color w:val="auto"/>
                <w:highlight w:val="none"/>
                <w:u w:val="single"/>
              </w:rPr>
              <w:t xml:space="preserve">  </w:t>
            </w:r>
            <w:r>
              <w:rPr>
                <w:rFonts w:hint="eastAsia"/>
                <w:color w:val="auto"/>
                <w:highlight w:val="none"/>
              </w:rPr>
              <w:t>、</w:t>
            </w:r>
            <w:r>
              <w:rPr>
                <w:rFonts w:hint="eastAsia"/>
                <w:color w:val="auto"/>
                <w:highlight w:val="none"/>
                <w:u w:val="single"/>
              </w:rPr>
              <w:t xml:space="preserve">  </w:t>
            </w:r>
            <w:r>
              <w:rPr>
                <w:rFonts w:hint="eastAsia"/>
                <w:color w:val="auto"/>
                <w:highlight w:val="none"/>
              </w:rPr>
              <w:t>等</w:t>
            </w:r>
            <w:r>
              <w:rPr>
                <w:rFonts w:hint="eastAsia"/>
                <w:color w:val="auto"/>
                <w:highlight w:val="none"/>
                <w:u w:val="single"/>
                <w:lang w:val="en-US"/>
              </w:rPr>
              <w:t xml:space="preserve">     </w:t>
            </w:r>
            <w:r>
              <w:rPr>
                <w:rFonts w:hint="eastAsia"/>
                <w:color w:val="auto"/>
                <w:highlight w:val="none"/>
              </w:rPr>
              <w:t>个数组成的等差数列中随机抽取其中一值作为下浮值”的方式确定，投标报价不得超过最高限价。（招标人在编制招标文件时从</w:t>
            </w:r>
            <w:r>
              <w:rPr>
                <w:rFonts w:hint="eastAsia"/>
                <w:color w:val="auto"/>
                <w:highlight w:val="none"/>
                <w:u w:val="single"/>
                <w:lang w:val="en-US"/>
              </w:rPr>
              <w:t xml:space="preserve">    </w:t>
            </w:r>
            <w:r>
              <w:rPr>
                <w:rFonts w:hint="eastAsia"/>
                <w:color w:val="auto"/>
                <w:highlight w:val="none"/>
                <w:lang w:val="en-US"/>
              </w:rPr>
              <w:t xml:space="preserve"> </w:t>
            </w:r>
            <w:r>
              <w:rPr>
                <w:rFonts w:hint="eastAsia"/>
                <w:color w:val="auto"/>
                <w:highlight w:val="none"/>
              </w:rPr>
              <w:t>%……</w:t>
            </w:r>
            <w:r>
              <w:rPr>
                <w:rFonts w:hint="eastAsia"/>
                <w:color w:val="auto"/>
                <w:highlight w:val="none"/>
                <w:u w:val="single"/>
                <w:lang w:val="en-US"/>
              </w:rPr>
              <w:t xml:space="preserve">    </w:t>
            </w:r>
            <w:r>
              <w:rPr>
                <w:rFonts w:hint="eastAsia"/>
                <w:color w:val="auto"/>
                <w:highlight w:val="none"/>
              </w:rPr>
              <w:t>%等</w:t>
            </w:r>
            <w:r>
              <w:rPr>
                <w:rFonts w:hint="eastAsia"/>
                <w:color w:val="auto"/>
                <w:highlight w:val="none"/>
                <w:u w:val="single"/>
                <w:lang w:val="en-US"/>
              </w:rPr>
              <w:t xml:space="preserve">    </w:t>
            </w:r>
            <w:r>
              <w:rPr>
                <w:rFonts w:hint="eastAsia"/>
                <w:color w:val="auto"/>
                <w:highlight w:val="none"/>
              </w:rPr>
              <w:t>个数中确定一组其中</w:t>
            </w:r>
            <w:r>
              <w:rPr>
                <w:rFonts w:hint="eastAsia"/>
                <w:color w:val="auto"/>
                <w:highlight w:val="none"/>
                <w:u w:val="single"/>
                <w:lang w:val="en-US"/>
              </w:rPr>
              <w:t xml:space="preserve">    </w:t>
            </w:r>
            <w:r>
              <w:rPr>
                <w:rFonts w:hint="eastAsia"/>
                <w:color w:val="auto"/>
                <w:highlight w:val="none"/>
              </w:rPr>
              <w:t>个数组成的等差数列）。</w:t>
            </w:r>
          </w:p>
          <w:p w14:paraId="27D2D9BA">
            <w:pPr>
              <w:pStyle w:val="44"/>
              <w:adjustRightInd/>
              <w:jc w:val="both"/>
              <w:rPr>
                <w:rFonts w:hint="eastAsia"/>
                <w:color w:val="auto"/>
                <w:highlight w:val="none"/>
              </w:rPr>
            </w:pPr>
            <w:r>
              <w:rPr>
                <w:rFonts w:hint="eastAsia"/>
                <w:color w:val="auto"/>
                <w:highlight w:val="none"/>
              </w:rPr>
              <w:t>☑</w:t>
            </w:r>
            <w:r>
              <w:rPr>
                <w:rFonts w:hint="eastAsia"/>
                <w:color w:val="auto"/>
                <w:highlight w:val="none"/>
                <w:lang w:val="en-US"/>
              </w:rPr>
              <w:t>4.</w:t>
            </w:r>
            <w:r>
              <w:rPr>
                <w:rFonts w:hint="eastAsia"/>
                <w:color w:val="auto"/>
                <w:highlight w:val="none"/>
              </w:rPr>
              <w:t>风险控制价；为防止投标人恶意低价竞标，最高投标限价的</w:t>
            </w:r>
            <w:r>
              <w:rPr>
                <w:rFonts w:hint="eastAsia"/>
                <w:color w:val="auto"/>
                <w:highlight w:val="none"/>
                <w:u w:val="single"/>
                <w:lang w:val="en-US"/>
              </w:rPr>
              <w:t xml:space="preserve"> 85 </w:t>
            </w:r>
            <w:r>
              <w:rPr>
                <w:rFonts w:hint="eastAsia"/>
                <w:color w:val="auto"/>
                <w:highlight w:val="none"/>
              </w:rPr>
              <w:t>%作为风险控制价（</w:t>
            </w:r>
            <w:r>
              <w:rPr>
                <w:rFonts w:hint="eastAsia"/>
                <w:color w:val="auto"/>
                <w:highlight w:val="none"/>
                <w:u w:val="single"/>
                <w:lang w:val="en-US"/>
              </w:rPr>
              <w:t xml:space="preserve">         </w:t>
            </w:r>
            <w:r>
              <w:rPr>
                <w:rFonts w:hint="eastAsia"/>
                <w:color w:val="auto"/>
                <w:highlight w:val="none"/>
              </w:rPr>
              <w:t>万元）。注：报价低于风险控制价的投标人需作出书面说明并提供相关证明材料。投标人不能合理说明或者不能提供相关证明材料的，由评标委员会认定该投标人以低于成本报价竞标，应当否决其投标。</w:t>
            </w:r>
          </w:p>
          <w:p w14:paraId="5EF77442">
            <w:pPr>
              <w:pStyle w:val="44"/>
              <w:adjustRightInd/>
              <w:jc w:val="both"/>
              <w:rPr>
                <w:rFonts w:hint="eastAsia"/>
                <w:color w:val="auto"/>
                <w:highlight w:val="none"/>
                <w:lang w:val="en-US"/>
              </w:rPr>
            </w:pPr>
            <w:r>
              <w:rPr>
                <w:rFonts w:hint="eastAsia"/>
                <w:color w:val="auto"/>
                <w:highlight w:val="none"/>
              </w:rPr>
              <w:t>□</w:t>
            </w:r>
            <w:r>
              <w:rPr>
                <w:rFonts w:hint="eastAsia"/>
                <w:color w:val="auto"/>
                <w:highlight w:val="none"/>
                <w:lang w:val="en-US"/>
              </w:rPr>
              <w:t>5.其他：</w:t>
            </w:r>
            <w:r>
              <w:rPr>
                <w:rFonts w:hint="eastAsia"/>
                <w:color w:val="auto"/>
                <w:highlight w:val="none"/>
                <w:u w:val="single"/>
              </w:rPr>
              <w:t>招标控制价</w:t>
            </w:r>
            <w:r>
              <w:rPr>
                <w:rFonts w:hint="eastAsia"/>
                <w:color w:val="auto"/>
                <w:highlight w:val="none"/>
                <w:u w:val="single"/>
                <w:lang w:val="en-US"/>
              </w:rPr>
              <w:t xml:space="preserve">     </w:t>
            </w:r>
            <w:r>
              <w:rPr>
                <w:rFonts w:hint="eastAsia"/>
                <w:color w:val="auto"/>
                <w:highlight w:val="none"/>
                <w:u w:val="single"/>
              </w:rPr>
              <w:t>万元</w:t>
            </w:r>
            <w:r>
              <w:rPr>
                <w:rFonts w:hint="eastAsia"/>
                <w:color w:val="auto"/>
                <w:highlight w:val="none"/>
                <w:u w:val="single"/>
                <w:lang w:val="en-US"/>
              </w:rPr>
              <w:t>。</w:t>
            </w:r>
          </w:p>
        </w:tc>
      </w:tr>
      <w:tr w14:paraId="72F84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21AF867A">
            <w:pPr>
              <w:pStyle w:val="44"/>
              <w:tabs>
                <w:tab w:val="left" w:pos="1100"/>
              </w:tabs>
              <w:adjustRightInd/>
              <w:ind w:left="10" w:right="125" w:rightChars="52" w:hanging="10"/>
              <w:jc w:val="center"/>
              <w:rPr>
                <w:rFonts w:hint="eastAsia"/>
                <w:color w:val="auto"/>
                <w:highlight w:val="none"/>
                <w:lang w:val="en-US"/>
              </w:rPr>
            </w:pPr>
            <w:r>
              <w:rPr>
                <w:rFonts w:hint="eastAsia"/>
                <w:color w:val="auto"/>
                <w:highlight w:val="none"/>
              </w:rPr>
              <w:t>3.2.</w:t>
            </w:r>
            <w:r>
              <w:rPr>
                <w:rFonts w:hint="eastAsia"/>
                <w:color w:val="auto"/>
                <w:highlight w:val="none"/>
                <w:lang w:val="en-US"/>
              </w:rPr>
              <w:t>5</w:t>
            </w:r>
          </w:p>
        </w:tc>
        <w:tc>
          <w:tcPr>
            <w:tcW w:w="1701" w:type="dxa"/>
            <w:vAlign w:val="center"/>
          </w:tcPr>
          <w:p w14:paraId="65C6B4E2">
            <w:pPr>
              <w:pStyle w:val="44"/>
              <w:adjustRightInd/>
              <w:ind w:right="178" w:rightChars="74" w:firstLine="31" w:firstLineChars="13"/>
              <w:jc w:val="center"/>
              <w:rPr>
                <w:rFonts w:hint="eastAsia"/>
                <w:color w:val="auto"/>
                <w:highlight w:val="none"/>
              </w:rPr>
            </w:pPr>
            <w:r>
              <w:rPr>
                <w:rFonts w:hint="eastAsia"/>
                <w:color w:val="auto"/>
                <w:highlight w:val="none"/>
              </w:rPr>
              <w:t>投标报价的其他要求</w:t>
            </w:r>
          </w:p>
        </w:tc>
        <w:tc>
          <w:tcPr>
            <w:tcW w:w="6168" w:type="dxa"/>
            <w:vAlign w:val="center"/>
          </w:tcPr>
          <w:p w14:paraId="131635A5">
            <w:pPr>
              <w:pStyle w:val="35"/>
              <w:ind w:firstLine="0" w:firstLineChars="0"/>
              <w:jc w:val="both"/>
              <w:rPr>
                <w:color w:val="auto"/>
                <w:highlight w:val="none"/>
              </w:rPr>
            </w:pPr>
            <w:r>
              <w:rPr>
                <w:rFonts w:hint="eastAsia" w:ascii="宋体" w:hAnsi="宋体" w:cs="宋体"/>
                <w:color w:val="auto"/>
                <w:highlight w:val="none"/>
                <w:lang w:bidi="zh-CN"/>
              </w:rPr>
              <w:t>1.投标人</w:t>
            </w:r>
            <w:r>
              <w:rPr>
                <w:rFonts w:hint="eastAsia"/>
                <w:color w:val="auto"/>
                <w:highlight w:val="none"/>
              </w:rPr>
              <w:t>可依据项目清单及招标文件中总承包所承担的工作范围和工作界面明确报价费用。</w:t>
            </w:r>
          </w:p>
          <w:p w14:paraId="5614B1DD">
            <w:pPr>
              <w:pStyle w:val="44"/>
              <w:adjustRightInd/>
              <w:ind w:right="34" w:rightChars="14"/>
              <w:jc w:val="both"/>
              <w:rPr>
                <w:rFonts w:hint="eastAsia"/>
                <w:color w:val="auto"/>
                <w:highlight w:val="none"/>
              </w:rPr>
            </w:pPr>
            <w:r>
              <w:rPr>
                <w:rFonts w:hint="eastAsia"/>
                <w:color w:val="auto"/>
                <w:highlight w:val="none"/>
                <w:lang w:val="en-US"/>
              </w:rPr>
              <w:t>2.其他：</w:t>
            </w:r>
            <w:r>
              <w:rPr>
                <w:rFonts w:hint="eastAsia"/>
                <w:b/>
                <w:bCs/>
                <w:color w:val="auto"/>
                <w:highlight w:val="none"/>
                <w:u w:val="single"/>
                <w:lang w:val="en-US"/>
              </w:rPr>
              <w:t>本工程为限额设计，总承包单位编制的施工图预算不得突破投标报价中建安工程费项目清单的报价总和。预算项目清单单价不得超过投标报价中相同项目清单单价，投标清单没有的预算清单按招标预算口径组价并下浮。若预算突破投标报价时建安工程清单报价的总价，发包人将视为承包人未做好限额设计工作，超过部分不予支付</w:t>
            </w:r>
            <w:r>
              <w:rPr>
                <w:rFonts w:hint="eastAsia"/>
                <w:color w:val="auto"/>
                <w:highlight w:val="none"/>
              </w:rPr>
              <w:t>。</w:t>
            </w:r>
          </w:p>
        </w:tc>
      </w:tr>
      <w:tr w14:paraId="66F87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vAlign w:val="center"/>
          </w:tcPr>
          <w:p w14:paraId="3A5284DB">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3.3.1</w:t>
            </w:r>
          </w:p>
        </w:tc>
        <w:tc>
          <w:tcPr>
            <w:tcW w:w="1701" w:type="dxa"/>
            <w:vAlign w:val="center"/>
          </w:tcPr>
          <w:p w14:paraId="0ABFA519">
            <w:pPr>
              <w:pStyle w:val="44"/>
              <w:adjustRightInd/>
              <w:ind w:right="178" w:rightChars="74" w:firstLine="31" w:firstLineChars="13"/>
              <w:jc w:val="center"/>
              <w:rPr>
                <w:rFonts w:hint="eastAsia"/>
                <w:color w:val="auto"/>
                <w:highlight w:val="none"/>
              </w:rPr>
            </w:pPr>
            <w:r>
              <w:rPr>
                <w:rFonts w:hint="eastAsia"/>
                <w:color w:val="auto"/>
                <w:highlight w:val="none"/>
              </w:rPr>
              <w:t>投标有效期</w:t>
            </w:r>
          </w:p>
        </w:tc>
        <w:tc>
          <w:tcPr>
            <w:tcW w:w="6168" w:type="dxa"/>
            <w:vAlign w:val="center"/>
          </w:tcPr>
          <w:p w14:paraId="752D53E5">
            <w:pPr>
              <w:pStyle w:val="44"/>
              <w:tabs>
                <w:tab w:val="left" w:pos="1188"/>
              </w:tabs>
              <w:adjustRightInd/>
              <w:ind w:left="108" w:right="34" w:rightChars="14"/>
              <w:jc w:val="both"/>
              <w:rPr>
                <w:rFonts w:hint="eastAsia"/>
                <w:color w:val="auto"/>
                <w:highlight w:val="none"/>
              </w:rPr>
            </w:pPr>
            <w:r>
              <w:rPr>
                <w:rFonts w:hint="eastAsia"/>
                <w:color w:val="auto"/>
                <w:highlight w:val="none"/>
                <w:u w:val="single"/>
                <w:lang w:val="en-US"/>
              </w:rPr>
              <w:t xml:space="preserve"> 90 </w:t>
            </w:r>
            <w:r>
              <w:rPr>
                <w:rFonts w:hint="eastAsia"/>
                <w:color w:val="auto"/>
                <w:highlight w:val="none"/>
              </w:rPr>
              <w:t>个日历天（从投标截止之日起算）。</w:t>
            </w:r>
          </w:p>
        </w:tc>
      </w:tr>
      <w:tr w14:paraId="3742A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642CD813">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3.4.1</w:t>
            </w:r>
          </w:p>
        </w:tc>
        <w:tc>
          <w:tcPr>
            <w:tcW w:w="1701" w:type="dxa"/>
            <w:vAlign w:val="center"/>
          </w:tcPr>
          <w:p w14:paraId="276A4AE3">
            <w:pPr>
              <w:pStyle w:val="44"/>
              <w:adjustRightInd/>
              <w:ind w:right="178" w:rightChars="74" w:firstLine="31" w:firstLineChars="13"/>
              <w:jc w:val="center"/>
              <w:rPr>
                <w:rFonts w:hint="eastAsia"/>
                <w:color w:val="auto"/>
                <w:highlight w:val="none"/>
              </w:rPr>
            </w:pPr>
            <w:r>
              <w:rPr>
                <w:rFonts w:hint="eastAsia"/>
                <w:color w:val="auto"/>
                <w:highlight w:val="none"/>
              </w:rPr>
              <w:t>投标保证金</w:t>
            </w:r>
          </w:p>
        </w:tc>
        <w:tc>
          <w:tcPr>
            <w:tcW w:w="6168" w:type="dxa"/>
            <w:vAlign w:val="center"/>
          </w:tcPr>
          <w:p w14:paraId="33C7B537">
            <w:pPr>
              <w:pStyle w:val="44"/>
              <w:snapToGrid w:val="0"/>
              <w:jc w:val="both"/>
              <w:rPr>
                <w:rFonts w:hint="eastAsia"/>
                <w:color w:val="auto"/>
                <w:highlight w:val="none"/>
              </w:rPr>
            </w:pPr>
            <w:r>
              <w:rPr>
                <w:rFonts w:hint="eastAsia"/>
                <w:color w:val="auto"/>
                <w:highlight w:val="none"/>
              </w:rPr>
              <w:t>1.金额：人民币</w:t>
            </w:r>
            <w:r>
              <w:rPr>
                <w:rFonts w:hint="eastAsia"/>
                <w:color w:val="auto"/>
                <w:highlight w:val="none"/>
                <w:u w:val="single"/>
                <w:lang w:val="en-US"/>
              </w:rPr>
              <w:t>50</w:t>
            </w:r>
            <w:r>
              <w:rPr>
                <w:rFonts w:hint="eastAsia"/>
                <w:color w:val="auto"/>
                <w:highlight w:val="none"/>
              </w:rPr>
              <w:t>万元（不得超过项目估算价的2%，且最高不得超过50万元。）</w:t>
            </w:r>
          </w:p>
          <w:p w14:paraId="0F7FD527">
            <w:pPr>
              <w:pStyle w:val="44"/>
              <w:snapToGrid w:val="0"/>
              <w:jc w:val="both"/>
              <w:rPr>
                <w:rStyle w:val="26"/>
                <w:rFonts w:hint="eastAsia"/>
                <w:color w:val="auto"/>
                <w:sz w:val="24"/>
                <w:szCs w:val="24"/>
                <w:highlight w:val="none"/>
              </w:rPr>
            </w:pPr>
            <w:r>
              <w:rPr>
                <w:rFonts w:hint="eastAsia"/>
                <w:color w:val="auto"/>
                <w:highlight w:val="none"/>
              </w:rPr>
              <w:t>2.缴纳方式：银行保函/保证保险/担保公司担保/转账</w:t>
            </w:r>
            <w:r>
              <w:rPr>
                <w:rFonts w:hint="eastAsia" w:ascii="Times New Roman"/>
                <w:color w:val="auto"/>
                <w:highlight w:val="none"/>
                <w:lang w:val="en-US"/>
              </w:rPr>
              <w:t>/数字保函</w:t>
            </w:r>
            <w:r>
              <w:rPr>
                <w:rFonts w:hint="eastAsia"/>
                <w:color w:val="auto"/>
                <w:highlight w:val="none"/>
              </w:rPr>
              <w:t>（购买保险、保函、担保的费用及转账资金应从基本账户支出）</w:t>
            </w:r>
          </w:p>
          <w:p w14:paraId="3620E84C">
            <w:pPr>
              <w:pStyle w:val="44"/>
              <w:snapToGrid w:val="0"/>
              <w:jc w:val="both"/>
              <w:rPr>
                <w:rFonts w:hint="eastAsia"/>
                <w:color w:val="auto"/>
                <w:highlight w:val="none"/>
              </w:rPr>
            </w:pPr>
            <w:r>
              <w:rPr>
                <w:rStyle w:val="26"/>
                <w:rFonts w:hint="eastAsia"/>
                <w:color w:val="auto"/>
                <w:sz w:val="24"/>
                <w:szCs w:val="24"/>
                <w:highlight w:val="none"/>
              </w:rPr>
              <w:t>（1）缴纳要求（转账）：</w:t>
            </w:r>
          </w:p>
          <w:p w14:paraId="277C8F1E">
            <w:pPr>
              <w:pStyle w:val="20"/>
              <w:kinsoku w:val="0"/>
              <w:wordWrap w:val="0"/>
              <w:snapToGrid w:val="0"/>
              <w:spacing w:beforeAutospacing="0" w:afterAutospacing="0"/>
              <w:ind w:firstLine="240" w:firstLineChars="100"/>
              <w:rPr>
                <w:rFonts w:hint="eastAsia" w:ascii="宋体" w:hAnsi="宋体" w:cs="宋体"/>
                <w:color w:val="auto"/>
                <w:highlight w:val="none"/>
                <w:u w:val="single"/>
                <w:lang w:bidi="ar"/>
              </w:rPr>
            </w:pPr>
            <w:r>
              <w:rPr>
                <w:rFonts w:hint="eastAsia" w:ascii="宋体" w:hAnsi="宋体" w:cs="宋体"/>
                <w:color w:val="auto"/>
                <w:highlight w:val="none"/>
                <w:u w:val="single"/>
                <w:lang w:bidi="ar"/>
              </w:rPr>
              <w:t>账户一：</w:t>
            </w:r>
          </w:p>
          <w:p w14:paraId="708B2DC3">
            <w:pPr>
              <w:pStyle w:val="20"/>
              <w:kinsoku w:val="0"/>
              <w:wordWrap w:val="0"/>
              <w:snapToGrid w:val="0"/>
              <w:spacing w:beforeAutospacing="0" w:afterAutospacing="0"/>
              <w:ind w:left="240" w:leftChars="100"/>
              <w:rPr>
                <w:rFonts w:hint="eastAsia" w:ascii="宋体" w:hAnsi="宋体" w:cs="宋体"/>
                <w:color w:val="auto"/>
                <w:highlight w:val="none"/>
                <w:u w:val="single"/>
                <w:lang w:bidi="ar"/>
              </w:rPr>
            </w:pPr>
            <w:r>
              <w:rPr>
                <w:rFonts w:hint="eastAsia" w:ascii="宋体" w:hAnsi="宋体" w:cs="宋体"/>
                <w:color w:val="auto"/>
                <w:highlight w:val="none"/>
                <w:lang w:bidi="ar"/>
              </w:rPr>
              <w:t>开户单位名称：</w:t>
            </w:r>
            <w:r>
              <w:rPr>
                <w:rFonts w:hint="eastAsia" w:ascii="宋体" w:hAnsi="宋体" w:cs="宋体"/>
                <w:color w:val="auto"/>
                <w:highlight w:val="none"/>
                <w:u w:val="single"/>
                <w:lang w:bidi="ar"/>
              </w:rPr>
              <w:t>绍兴市公共资源交易中心越城区分中心保证金专户，</w:t>
            </w:r>
          </w:p>
          <w:p w14:paraId="26679710">
            <w:pPr>
              <w:pStyle w:val="20"/>
              <w:kinsoku w:val="0"/>
              <w:wordWrap w:val="0"/>
              <w:snapToGrid w:val="0"/>
              <w:spacing w:beforeAutospacing="0" w:afterAutospacing="0"/>
              <w:ind w:left="240" w:leftChars="100"/>
              <w:rPr>
                <w:rFonts w:hint="eastAsia" w:ascii="宋体" w:hAnsi="宋体" w:cs="宋体"/>
                <w:color w:val="auto"/>
                <w:highlight w:val="none"/>
                <w:u w:val="single"/>
                <w:lang w:bidi="ar"/>
              </w:rPr>
            </w:pPr>
            <w:r>
              <w:rPr>
                <w:rFonts w:hint="eastAsia" w:ascii="宋体" w:hAnsi="宋体" w:cs="宋体"/>
                <w:color w:val="auto"/>
                <w:highlight w:val="none"/>
                <w:lang w:bidi="ar"/>
              </w:rPr>
              <w:t>开户行:</w:t>
            </w:r>
            <w:r>
              <w:rPr>
                <w:rFonts w:hint="eastAsia" w:ascii="宋体" w:hAnsi="宋体" w:cs="宋体"/>
                <w:color w:val="auto"/>
                <w:highlight w:val="none"/>
                <w:u w:val="single"/>
                <w:lang w:bidi="ar"/>
              </w:rPr>
              <w:t>中国农业银行股份有限公司绍兴越城支行，</w:t>
            </w:r>
          </w:p>
          <w:p w14:paraId="6F1B1927">
            <w:pPr>
              <w:pStyle w:val="20"/>
              <w:kinsoku w:val="0"/>
              <w:wordWrap w:val="0"/>
              <w:snapToGrid w:val="0"/>
              <w:spacing w:beforeAutospacing="0" w:afterAutospacing="0"/>
              <w:ind w:firstLine="240" w:firstLineChars="100"/>
              <w:rPr>
                <w:rFonts w:hint="eastAsia" w:ascii="宋体" w:hAnsi="宋体" w:cs="宋体"/>
                <w:color w:val="auto"/>
                <w:highlight w:val="none"/>
                <w:u w:val="single"/>
              </w:rPr>
            </w:pPr>
            <w:r>
              <w:rPr>
                <w:rFonts w:hint="eastAsia" w:ascii="宋体" w:hAnsi="宋体" w:cs="宋体"/>
                <w:color w:val="auto"/>
                <w:highlight w:val="none"/>
                <w:lang w:bidi="ar"/>
              </w:rPr>
              <w:t>账号：</w:t>
            </w:r>
            <w:r>
              <w:rPr>
                <w:rFonts w:hint="eastAsia" w:cs="宋体"/>
                <w:color w:val="auto"/>
                <w:highlight w:val="none"/>
                <w:u w:val="single"/>
                <w:lang w:bidi="ar"/>
              </w:rPr>
              <w:t xml:space="preserve">                 </w:t>
            </w:r>
          </w:p>
          <w:p w14:paraId="7DA0CCEC">
            <w:pPr>
              <w:pStyle w:val="20"/>
              <w:kinsoku w:val="0"/>
              <w:wordWrap w:val="0"/>
              <w:snapToGrid w:val="0"/>
              <w:spacing w:beforeAutospacing="0" w:afterAutospacing="0"/>
              <w:ind w:firstLine="240" w:firstLineChars="100"/>
              <w:rPr>
                <w:rFonts w:hint="eastAsia" w:ascii="宋体" w:hAnsi="宋体" w:cs="宋体"/>
                <w:color w:val="auto"/>
                <w:highlight w:val="none"/>
                <w:u w:val="single"/>
                <w:lang w:bidi="ar"/>
              </w:rPr>
            </w:pPr>
            <w:r>
              <w:rPr>
                <w:rFonts w:hint="eastAsia" w:ascii="宋体" w:hAnsi="宋体" w:cs="宋体"/>
                <w:color w:val="auto"/>
                <w:highlight w:val="none"/>
                <w:u w:val="single"/>
                <w:lang w:bidi="ar"/>
              </w:rPr>
              <w:t>账户二：</w:t>
            </w:r>
          </w:p>
          <w:p w14:paraId="1CE27F56">
            <w:pPr>
              <w:pStyle w:val="20"/>
              <w:kinsoku w:val="0"/>
              <w:wordWrap w:val="0"/>
              <w:snapToGrid w:val="0"/>
              <w:spacing w:beforeAutospacing="0" w:afterAutospacing="0"/>
              <w:ind w:left="240" w:leftChars="100"/>
              <w:rPr>
                <w:rFonts w:hint="eastAsia" w:ascii="宋体" w:hAnsi="宋体" w:cs="宋体"/>
                <w:color w:val="auto"/>
                <w:highlight w:val="none"/>
                <w:u w:val="single"/>
              </w:rPr>
            </w:pPr>
            <w:r>
              <w:rPr>
                <w:rFonts w:hint="eastAsia" w:ascii="宋体" w:hAnsi="宋体" w:cs="宋体"/>
                <w:color w:val="auto"/>
                <w:highlight w:val="none"/>
                <w:lang w:bidi="ar"/>
              </w:rPr>
              <w:t>开户单位名称：</w:t>
            </w:r>
            <w:r>
              <w:rPr>
                <w:rFonts w:hint="eastAsia" w:ascii="宋体" w:hAnsi="宋体" w:cs="宋体"/>
                <w:color w:val="auto"/>
                <w:highlight w:val="none"/>
                <w:u w:val="single"/>
              </w:rPr>
              <w:t>绍兴市公共资源交易中心越城区分中心保证金专户，</w:t>
            </w:r>
          </w:p>
          <w:p w14:paraId="383BB4A0">
            <w:pPr>
              <w:pStyle w:val="20"/>
              <w:kinsoku w:val="0"/>
              <w:wordWrap w:val="0"/>
              <w:snapToGrid w:val="0"/>
              <w:spacing w:beforeAutospacing="0" w:afterAutospacing="0"/>
              <w:ind w:left="240" w:leftChars="100"/>
              <w:rPr>
                <w:rFonts w:hint="eastAsia" w:ascii="宋体" w:hAnsi="宋体" w:cs="宋体"/>
                <w:color w:val="auto"/>
                <w:highlight w:val="none"/>
                <w:u w:val="single"/>
                <w:lang w:bidi="ar"/>
              </w:rPr>
            </w:pPr>
            <w:r>
              <w:rPr>
                <w:rFonts w:hint="eastAsia" w:ascii="宋体" w:hAnsi="宋体" w:cs="宋体"/>
                <w:color w:val="auto"/>
                <w:highlight w:val="none"/>
              </w:rPr>
              <w:t>开户行:</w:t>
            </w:r>
            <w:r>
              <w:rPr>
                <w:rFonts w:hint="eastAsia" w:ascii="宋体" w:hAnsi="宋体" w:cs="宋体"/>
                <w:color w:val="auto"/>
                <w:highlight w:val="none"/>
                <w:u w:val="single"/>
              </w:rPr>
              <w:t>恒信农商银行城东支行，</w:t>
            </w:r>
          </w:p>
          <w:p w14:paraId="658D224F">
            <w:pPr>
              <w:pStyle w:val="20"/>
              <w:kinsoku w:val="0"/>
              <w:wordWrap w:val="0"/>
              <w:snapToGrid w:val="0"/>
              <w:spacing w:beforeAutospacing="0" w:afterAutospacing="0"/>
              <w:ind w:firstLine="240" w:firstLineChars="100"/>
              <w:rPr>
                <w:rFonts w:hint="eastAsia" w:ascii="宋体" w:hAnsi="宋体" w:cs="宋体"/>
                <w:color w:val="auto"/>
                <w:highlight w:val="none"/>
                <w:u w:val="single"/>
              </w:rPr>
            </w:pPr>
            <w:r>
              <w:rPr>
                <w:rFonts w:hint="eastAsia" w:ascii="宋体" w:hAnsi="宋体" w:cs="宋体"/>
                <w:color w:val="auto"/>
                <w:highlight w:val="none"/>
                <w:lang w:bidi="ar"/>
              </w:rPr>
              <w:t>账号：</w:t>
            </w:r>
            <w:r>
              <w:rPr>
                <w:rFonts w:hint="eastAsia" w:cs="宋体"/>
                <w:color w:val="auto"/>
                <w:highlight w:val="none"/>
                <w:u w:val="single"/>
                <w:lang w:bidi="ar"/>
              </w:rPr>
              <w:t xml:space="preserve">                               </w:t>
            </w:r>
          </w:p>
          <w:p w14:paraId="726A15C6">
            <w:pPr>
              <w:pStyle w:val="44"/>
              <w:snapToGrid w:val="0"/>
              <w:ind w:firstLine="240" w:firstLineChars="100"/>
              <w:jc w:val="both"/>
              <w:rPr>
                <w:rFonts w:hint="eastAsia"/>
                <w:color w:val="auto"/>
                <w:highlight w:val="none"/>
                <w:u w:val="single"/>
              </w:rPr>
            </w:pPr>
            <w:r>
              <w:rPr>
                <w:rFonts w:hint="eastAsia" w:cs="Times New Roman"/>
                <w:color w:val="auto"/>
                <w:highlight w:val="none"/>
                <w:u w:val="single"/>
                <w:lang w:val="en-US" w:bidi="ar"/>
              </w:rPr>
              <w:t xml:space="preserve">投标人可自主选择以上账户之一缴纳投标保证金 </w:t>
            </w:r>
            <w:r>
              <w:rPr>
                <w:rFonts w:hint="eastAsia" w:cs="Times New Roman"/>
                <w:color w:val="auto"/>
                <w:highlight w:val="none"/>
                <w:lang w:val="en-US" w:bidi="ar"/>
              </w:rPr>
              <w:t>。</w:t>
            </w:r>
          </w:p>
          <w:p w14:paraId="6AD24E67">
            <w:pPr>
              <w:pStyle w:val="44"/>
              <w:numPr>
                <w:ilvl w:val="0"/>
                <w:numId w:val="5"/>
              </w:numPr>
              <w:snapToGrid w:val="0"/>
              <w:jc w:val="both"/>
              <w:rPr>
                <w:rStyle w:val="26"/>
                <w:rFonts w:hint="eastAsia"/>
                <w:color w:val="auto"/>
                <w:sz w:val="24"/>
                <w:szCs w:val="24"/>
                <w:highlight w:val="none"/>
              </w:rPr>
            </w:pPr>
            <w:r>
              <w:rPr>
                <w:rStyle w:val="26"/>
                <w:rFonts w:hint="eastAsia"/>
                <w:color w:val="auto"/>
                <w:sz w:val="24"/>
                <w:szCs w:val="24"/>
                <w:highlight w:val="none"/>
              </w:rPr>
              <w:t>缴纳要求（</w:t>
            </w:r>
            <w:r>
              <w:rPr>
                <w:rFonts w:hint="eastAsia"/>
                <w:color w:val="auto"/>
                <w:highlight w:val="none"/>
              </w:rPr>
              <w:t>银行保函</w:t>
            </w:r>
            <w:r>
              <w:rPr>
                <w:rFonts w:hint="eastAsia" w:ascii="Times New Roman"/>
                <w:color w:val="auto"/>
                <w:highlight w:val="none"/>
                <w:lang w:val="en-US"/>
              </w:rPr>
              <w:t>/数字保函</w:t>
            </w:r>
            <w:r>
              <w:rPr>
                <w:rFonts w:hint="eastAsia"/>
                <w:color w:val="auto"/>
                <w:highlight w:val="none"/>
              </w:rPr>
              <w:t>/保证保险/担保公司担保/转账</w:t>
            </w:r>
            <w:r>
              <w:rPr>
                <w:rFonts w:hint="eastAsia" w:ascii="Times New Roman"/>
                <w:color w:val="auto"/>
                <w:highlight w:val="none"/>
                <w:lang w:val="en-US"/>
              </w:rPr>
              <w:t>/数字保函</w:t>
            </w:r>
            <w:r>
              <w:rPr>
                <w:rStyle w:val="26"/>
                <w:rFonts w:hint="eastAsia"/>
                <w:color w:val="auto"/>
                <w:sz w:val="24"/>
                <w:szCs w:val="24"/>
                <w:highlight w:val="none"/>
              </w:rPr>
              <w:t>）： 招标人接受投标保证金电子保险保函。投标人自行在越城区公共资源交易平台（http://ztb.sxyc.gov.cn/TPBidder/）中自主选择办理。</w:t>
            </w:r>
            <w:r>
              <w:rPr>
                <w:rStyle w:val="26"/>
                <w:rFonts w:hint="eastAsia"/>
                <w:color w:val="auto"/>
                <w:sz w:val="24"/>
                <w:szCs w:val="24"/>
                <w:highlight w:val="none"/>
                <w:lang w:val="en-US"/>
              </w:rPr>
              <w:t xml:space="preserve">  </w:t>
            </w:r>
          </w:p>
          <w:p w14:paraId="2116C0D4">
            <w:pPr>
              <w:pStyle w:val="44"/>
              <w:snapToGrid w:val="0"/>
              <w:ind w:firstLine="480" w:firstLineChars="200"/>
              <w:jc w:val="both"/>
              <w:rPr>
                <w:rStyle w:val="26"/>
                <w:rFonts w:hint="eastAsia"/>
                <w:color w:val="auto"/>
                <w:sz w:val="24"/>
                <w:szCs w:val="24"/>
                <w:highlight w:val="none"/>
              </w:rPr>
            </w:pPr>
            <w:r>
              <w:rPr>
                <w:rStyle w:val="26"/>
                <w:rFonts w:hint="eastAsia"/>
                <w:color w:val="auto"/>
                <w:sz w:val="24"/>
                <w:szCs w:val="24"/>
                <w:highlight w:val="none"/>
              </w:rPr>
              <w:t xml:space="preserve">保函费用必须从投标人企业基本账户转出，并在投标保证金缴纳截止时间前办妥保函手续。 </w:t>
            </w:r>
          </w:p>
          <w:p w14:paraId="00F03ECA">
            <w:pPr>
              <w:pStyle w:val="44"/>
              <w:numPr>
                <w:ilvl w:val="0"/>
                <w:numId w:val="5"/>
              </w:numPr>
              <w:snapToGrid w:val="0"/>
              <w:jc w:val="both"/>
              <w:rPr>
                <w:rStyle w:val="26"/>
                <w:rFonts w:hint="eastAsia"/>
                <w:color w:val="auto"/>
                <w:sz w:val="24"/>
                <w:szCs w:val="24"/>
                <w:highlight w:val="none"/>
              </w:rPr>
            </w:pPr>
            <w:r>
              <w:rPr>
                <w:rStyle w:val="26"/>
                <w:rFonts w:hint="eastAsia"/>
                <w:color w:val="auto"/>
                <w:sz w:val="24"/>
                <w:szCs w:val="24"/>
                <w:highlight w:val="none"/>
              </w:rPr>
              <w:t>其他：</w:t>
            </w:r>
            <w:r>
              <w:rPr>
                <w:rStyle w:val="26"/>
                <w:rFonts w:hint="eastAsia"/>
                <w:color w:val="auto"/>
                <w:sz w:val="24"/>
                <w:szCs w:val="24"/>
                <w:highlight w:val="none"/>
                <w:u w:val="single"/>
                <w:lang w:val="en-US"/>
              </w:rPr>
              <w:t>投标保证金缴纳截止时间同投标截止时间</w:t>
            </w:r>
            <w:r>
              <w:rPr>
                <w:rStyle w:val="26"/>
                <w:rFonts w:hint="eastAsia"/>
                <w:color w:val="auto"/>
                <w:sz w:val="24"/>
                <w:szCs w:val="24"/>
                <w:highlight w:val="none"/>
                <w:lang w:val="en-US"/>
              </w:rPr>
              <w:t>。</w:t>
            </w:r>
          </w:p>
          <w:p w14:paraId="1BA58096">
            <w:pPr>
              <w:pStyle w:val="44"/>
              <w:adjustRightInd/>
              <w:ind w:left="108" w:right="34" w:rightChars="14" w:firstLine="480"/>
              <w:jc w:val="both"/>
              <w:rPr>
                <w:rFonts w:hint="eastAsia"/>
                <w:color w:val="auto"/>
                <w:highlight w:val="none"/>
                <w:lang w:val="en-US"/>
              </w:rPr>
            </w:pPr>
            <w:r>
              <w:rPr>
                <w:rFonts w:hint="eastAsia"/>
                <w:color w:val="auto"/>
                <w:highlight w:val="none"/>
              </w:rPr>
              <w:t>注：重新招标项目，参与投标的投标人仍需按上述规定要求重新递交投标保证金。如联合体投标的，其投标保证金由牵头人递交。</w:t>
            </w:r>
          </w:p>
        </w:tc>
      </w:tr>
      <w:tr w14:paraId="35ABF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835" w:hRule="atLeast"/>
          <w:jc w:val="center"/>
        </w:trPr>
        <w:tc>
          <w:tcPr>
            <w:tcW w:w="988" w:type="dxa"/>
            <w:vAlign w:val="center"/>
          </w:tcPr>
          <w:p w14:paraId="13E52299">
            <w:pPr>
              <w:pStyle w:val="44"/>
              <w:tabs>
                <w:tab w:val="left" w:pos="1100"/>
              </w:tabs>
              <w:adjustRightInd/>
              <w:ind w:left="10" w:right="125" w:rightChars="52" w:hanging="10"/>
              <w:jc w:val="center"/>
              <w:rPr>
                <w:rFonts w:hint="eastAsia"/>
                <w:color w:val="auto"/>
                <w:highlight w:val="none"/>
                <w:lang w:val="en-US"/>
              </w:rPr>
            </w:pPr>
            <w:r>
              <w:rPr>
                <w:rFonts w:hint="eastAsia"/>
                <w:color w:val="auto"/>
                <w:highlight w:val="none"/>
                <w:lang w:val="en-US"/>
              </w:rPr>
              <w:t>3.4.3</w:t>
            </w:r>
          </w:p>
        </w:tc>
        <w:tc>
          <w:tcPr>
            <w:tcW w:w="1701" w:type="dxa"/>
            <w:vAlign w:val="center"/>
          </w:tcPr>
          <w:p w14:paraId="586D06AC">
            <w:pPr>
              <w:pStyle w:val="44"/>
              <w:adjustRightInd/>
              <w:jc w:val="center"/>
              <w:rPr>
                <w:rFonts w:hint="eastAsia"/>
                <w:color w:val="auto"/>
                <w:highlight w:val="none"/>
              </w:rPr>
            </w:pPr>
            <w:r>
              <w:rPr>
                <w:rFonts w:hint="eastAsia"/>
                <w:color w:val="auto"/>
                <w:highlight w:val="none"/>
              </w:rPr>
              <w:t>其他不予退还投标保证金的情形</w:t>
            </w:r>
          </w:p>
        </w:tc>
        <w:tc>
          <w:tcPr>
            <w:tcW w:w="6168" w:type="dxa"/>
            <w:vAlign w:val="center"/>
          </w:tcPr>
          <w:p w14:paraId="69A5CC13">
            <w:pPr>
              <w:pStyle w:val="44"/>
              <w:snapToGrid w:val="0"/>
              <w:jc w:val="both"/>
              <w:rPr>
                <w:rFonts w:hint="eastAsia"/>
                <w:color w:val="auto"/>
                <w:spacing w:val="-10"/>
                <w:highlight w:val="none"/>
              </w:rPr>
            </w:pPr>
            <w:r>
              <w:rPr>
                <w:rFonts w:hint="eastAsia"/>
                <w:color w:val="auto"/>
                <w:highlight w:val="none"/>
              </w:rPr>
              <w:t>1.</w:t>
            </w:r>
            <w:r>
              <w:rPr>
                <w:rFonts w:hint="eastAsia"/>
                <w:color w:val="auto"/>
                <w:spacing w:val="-10"/>
                <w:highlight w:val="none"/>
              </w:rPr>
              <w:t>经查实，投标人在投标过程中存在串通投标或弄虚作假的。</w:t>
            </w:r>
          </w:p>
          <w:p w14:paraId="1892DBB5">
            <w:pPr>
              <w:pStyle w:val="44"/>
              <w:snapToGrid w:val="0"/>
              <w:jc w:val="both"/>
              <w:rPr>
                <w:rFonts w:hint="eastAsia"/>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拟派</w:t>
            </w:r>
            <w:r>
              <w:rPr>
                <w:rFonts w:hint="eastAsia" w:cs="Times New Roman"/>
                <w:color w:val="auto"/>
                <w:highlight w:val="none"/>
              </w:rPr>
              <w:t>项目负责人或施工负责人</w:t>
            </w:r>
            <w:r>
              <w:rPr>
                <w:rFonts w:hint="eastAsia"/>
                <w:color w:val="auto"/>
                <w:highlight w:val="none"/>
              </w:rPr>
              <w:t>在投标截止日有在其他在建合同工程上担任</w:t>
            </w:r>
            <w:r>
              <w:rPr>
                <w:rFonts w:hint="eastAsia" w:cs="Times New Roman"/>
                <w:color w:val="auto"/>
                <w:highlight w:val="none"/>
              </w:rPr>
              <w:t>工程总承包项目负责人、施工负责人（含工程总承包项目中担任施工负责人）</w:t>
            </w:r>
            <w:r>
              <w:rPr>
                <w:rFonts w:hint="eastAsia"/>
                <w:color w:val="auto"/>
                <w:highlight w:val="none"/>
              </w:rPr>
              <w:t>的情形。</w:t>
            </w:r>
          </w:p>
          <w:p w14:paraId="55036A52">
            <w:pPr>
              <w:pStyle w:val="44"/>
              <w:snapToGrid w:val="0"/>
              <w:jc w:val="both"/>
              <w:rPr>
                <w:rFonts w:hint="eastAsia"/>
                <w:color w:val="auto"/>
                <w:highlight w:val="none"/>
              </w:rPr>
            </w:pPr>
            <w:r>
              <w:rPr>
                <w:rFonts w:hint="eastAsia"/>
                <w:color w:val="auto"/>
                <w:highlight w:val="none"/>
              </w:rPr>
              <w:t>3.其他：</w:t>
            </w:r>
            <w:r>
              <w:rPr>
                <w:rFonts w:hint="eastAsia"/>
                <w:color w:val="auto"/>
                <w:highlight w:val="none"/>
                <w:u w:val="single"/>
              </w:rPr>
              <w:t xml:space="preserve">    </w:t>
            </w:r>
            <w:r>
              <w:rPr>
                <w:rFonts w:hint="eastAsia"/>
                <w:color w:val="auto"/>
                <w:highlight w:val="none"/>
                <w:u w:val="single"/>
                <w:lang w:val="en-US"/>
              </w:rPr>
              <w:t>/</w:t>
            </w:r>
            <w:r>
              <w:rPr>
                <w:rFonts w:hint="eastAsia"/>
                <w:color w:val="auto"/>
                <w:highlight w:val="none"/>
                <w:u w:val="single"/>
              </w:rPr>
              <w:t xml:space="preserve">  </w:t>
            </w:r>
            <w:r>
              <w:rPr>
                <w:rFonts w:hint="eastAsia"/>
                <w:color w:val="auto"/>
                <w:highlight w:val="none"/>
              </w:rPr>
              <w:t>。</w:t>
            </w:r>
          </w:p>
          <w:p w14:paraId="7F12B522">
            <w:pPr>
              <w:pStyle w:val="44"/>
              <w:snapToGrid w:val="0"/>
              <w:jc w:val="both"/>
              <w:rPr>
                <w:rFonts w:hint="eastAsia"/>
                <w:color w:val="auto"/>
                <w:highlight w:val="none"/>
              </w:rPr>
            </w:pPr>
            <w:r>
              <w:rPr>
                <w:rFonts w:hint="eastAsia"/>
                <w:color w:val="auto"/>
                <w:highlight w:val="none"/>
              </w:rPr>
              <w:t>注：本招标文件的“投标保证金不予退还”是指：</w:t>
            </w:r>
          </w:p>
          <w:p w14:paraId="0BBBE865">
            <w:pPr>
              <w:pStyle w:val="44"/>
              <w:snapToGrid w:val="0"/>
              <w:jc w:val="both"/>
              <w:rPr>
                <w:rFonts w:hint="eastAsia"/>
                <w:color w:val="auto"/>
                <w:highlight w:val="none"/>
              </w:rPr>
            </w:pPr>
            <w:r>
              <w:rPr>
                <w:rFonts w:hint="eastAsia"/>
                <w:color w:val="auto"/>
                <w:highlight w:val="none"/>
              </w:rPr>
              <w:t>（1）以现金转账形式，转账现金不予退还。</w:t>
            </w:r>
          </w:p>
          <w:p w14:paraId="42CF14BA">
            <w:pPr>
              <w:pStyle w:val="44"/>
              <w:snapToGrid w:val="0"/>
              <w:jc w:val="both"/>
              <w:rPr>
                <w:rFonts w:hint="eastAsia"/>
                <w:color w:val="auto"/>
                <w:spacing w:val="-10"/>
                <w:highlight w:val="none"/>
              </w:rPr>
            </w:pPr>
            <w:r>
              <w:rPr>
                <w:rFonts w:hint="eastAsia"/>
                <w:color w:val="auto"/>
                <w:highlight w:val="none"/>
              </w:rPr>
              <w:t>（2）</w:t>
            </w:r>
            <w:r>
              <w:rPr>
                <w:rFonts w:hint="eastAsia"/>
                <w:color w:val="auto"/>
                <w:spacing w:val="-10"/>
                <w:highlight w:val="none"/>
              </w:rPr>
              <w:t>以银行保函形式，招标人作为受益人向银行提起索赔。</w:t>
            </w:r>
          </w:p>
          <w:p w14:paraId="1D5AF997">
            <w:pPr>
              <w:pStyle w:val="44"/>
              <w:snapToGrid w:val="0"/>
              <w:jc w:val="both"/>
              <w:rPr>
                <w:rFonts w:hint="eastAsia"/>
                <w:color w:val="auto"/>
                <w:highlight w:val="none"/>
              </w:rPr>
            </w:pPr>
            <w:r>
              <w:rPr>
                <w:rFonts w:hint="eastAsia"/>
                <w:color w:val="auto"/>
                <w:highlight w:val="none"/>
              </w:rPr>
              <w:t>（3）以保证保险形式，招标人作为被保险人（受益人）向保险人提起索赔。</w:t>
            </w:r>
          </w:p>
          <w:p w14:paraId="4625DD69">
            <w:pPr>
              <w:pStyle w:val="44"/>
              <w:snapToGrid w:val="0"/>
              <w:jc w:val="both"/>
              <w:rPr>
                <w:rFonts w:hint="eastAsia"/>
                <w:color w:val="auto"/>
                <w:highlight w:val="none"/>
                <w:lang w:val="en-US"/>
              </w:rPr>
            </w:pPr>
            <w:r>
              <w:rPr>
                <w:rFonts w:hint="eastAsia"/>
                <w:color w:val="auto"/>
                <w:highlight w:val="none"/>
              </w:rPr>
              <w:t>（4）以担保公司担保形式，招标人作为受益人向担保人提起索赔。</w:t>
            </w:r>
          </w:p>
        </w:tc>
      </w:tr>
      <w:tr w14:paraId="1A13E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20453C50">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3.5</w:t>
            </w:r>
          </w:p>
        </w:tc>
        <w:tc>
          <w:tcPr>
            <w:tcW w:w="1701" w:type="dxa"/>
            <w:vAlign w:val="center"/>
          </w:tcPr>
          <w:p w14:paraId="1B27889B">
            <w:pPr>
              <w:pStyle w:val="44"/>
              <w:adjustRightInd/>
              <w:ind w:right="178" w:rightChars="74" w:firstLine="31" w:firstLineChars="13"/>
              <w:jc w:val="center"/>
              <w:rPr>
                <w:rFonts w:hint="eastAsia"/>
                <w:color w:val="auto"/>
                <w:highlight w:val="none"/>
              </w:rPr>
            </w:pPr>
            <w:r>
              <w:rPr>
                <w:rFonts w:hint="eastAsia"/>
                <w:color w:val="auto"/>
                <w:highlight w:val="none"/>
              </w:rPr>
              <w:t>实质性响应招标文件资料</w:t>
            </w:r>
          </w:p>
        </w:tc>
        <w:tc>
          <w:tcPr>
            <w:tcW w:w="6168" w:type="dxa"/>
            <w:vAlign w:val="center"/>
          </w:tcPr>
          <w:p w14:paraId="56B056FB">
            <w:pPr>
              <w:pStyle w:val="44"/>
              <w:adjustRightInd/>
              <w:ind w:right="34" w:rightChars="14"/>
              <w:jc w:val="both"/>
              <w:rPr>
                <w:rFonts w:hint="eastAsia"/>
                <w:color w:val="auto"/>
                <w:highlight w:val="none"/>
                <w:lang w:val="en-US"/>
              </w:rPr>
            </w:pPr>
            <w:r>
              <w:rPr>
                <w:rFonts w:hint="eastAsia"/>
                <w:color w:val="auto"/>
                <w:highlight w:val="none"/>
              </w:rPr>
              <w:t>☑</w:t>
            </w:r>
            <w:r>
              <w:rPr>
                <w:rFonts w:hint="eastAsia"/>
                <w:color w:val="auto"/>
                <w:highlight w:val="none"/>
                <w:lang w:val="en-US"/>
              </w:rPr>
              <w:t>1.企业法人营业执照；（联合体投标的，联合体各方均需提供）</w:t>
            </w:r>
          </w:p>
          <w:p w14:paraId="4605CF9F">
            <w:pPr>
              <w:pStyle w:val="44"/>
              <w:adjustRightInd/>
              <w:ind w:right="34" w:rightChars="14"/>
              <w:jc w:val="both"/>
              <w:rPr>
                <w:rFonts w:hint="eastAsia"/>
                <w:color w:val="auto"/>
                <w:highlight w:val="none"/>
                <w:lang w:val="en-US"/>
              </w:rPr>
            </w:pPr>
            <w:r>
              <w:rPr>
                <w:rFonts w:hint="eastAsia"/>
                <w:color w:val="auto"/>
                <w:highlight w:val="none"/>
              </w:rPr>
              <w:t>☑</w:t>
            </w:r>
            <w:r>
              <w:rPr>
                <w:rFonts w:hint="eastAsia"/>
                <w:color w:val="auto"/>
                <w:highlight w:val="none"/>
                <w:lang w:val="en-US"/>
              </w:rPr>
              <w:t>2.法定代表人授权委托书（投标文件委托代理人签字的提供）；</w:t>
            </w:r>
          </w:p>
          <w:p w14:paraId="67FAEAF0">
            <w:pPr>
              <w:pStyle w:val="44"/>
              <w:adjustRightInd/>
              <w:ind w:right="34" w:rightChars="14"/>
              <w:jc w:val="both"/>
              <w:rPr>
                <w:rFonts w:hint="eastAsia"/>
                <w:color w:val="auto"/>
                <w:highlight w:val="none"/>
                <w:lang w:val="en-US"/>
              </w:rPr>
            </w:pPr>
            <w:r>
              <w:rPr>
                <w:rFonts w:hint="eastAsia"/>
                <w:color w:val="auto"/>
                <w:highlight w:val="none"/>
              </w:rPr>
              <w:t>☑</w:t>
            </w:r>
            <w:r>
              <w:rPr>
                <w:rFonts w:hint="eastAsia"/>
                <w:color w:val="auto"/>
                <w:highlight w:val="none"/>
                <w:lang w:val="en-US"/>
              </w:rPr>
              <w:t>3.联合体各方签订的联合体协议书（联合体投标的提供）；</w:t>
            </w:r>
          </w:p>
          <w:p w14:paraId="2013F3C6">
            <w:pPr>
              <w:pStyle w:val="44"/>
              <w:adjustRightInd/>
              <w:ind w:right="34" w:rightChars="14"/>
              <w:jc w:val="both"/>
              <w:rPr>
                <w:rFonts w:hint="eastAsia"/>
                <w:color w:val="auto"/>
                <w:highlight w:val="none"/>
                <w:lang w:val="en-US"/>
              </w:rPr>
            </w:pPr>
            <w:r>
              <w:rPr>
                <w:rFonts w:hint="eastAsia"/>
                <w:color w:val="auto"/>
                <w:highlight w:val="none"/>
              </w:rPr>
              <w:t>☑</w:t>
            </w:r>
            <w:r>
              <w:rPr>
                <w:rFonts w:hint="eastAsia"/>
                <w:color w:val="auto"/>
                <w:highlight w:val="none"/>
                <w:lang w:val="en-US"/>
              </w:rPr>
              <w:t>4.建设行政部门核发的资质证书；（联合体投标的，联合体各方均需提供）</w:t>
            </w:r>
          </w:p>
          <w:p w14:paraId="387BACB3">
            <w:pPr>
              <w:pStyle w:val="44"/>
              <w:adjustRightInd/>
              <w:ind w:right="34" w:rightChars="14"/>
              <w:jc w:val="both"/>
              <w:rPr>
                <w:rFonts w:hint="eastAsia"/>
                <w:color w:val="auto"/>
                <w:highlight w:val="none"/>
                <w:lang w:val="en-US"/>
              </w:rPr>
            </w:pPr>
            <w:r>
              <w:rPr>
                <w:rFonts w:hint="eastAsia"/>
                <w:color w:val="auto"/>
                <w:highlight w:val="none"/>
                <w:lang w:val="en-US"/>
              </w:rPr>
              <w:t>☑5.企业安全生产许可证；法定代表人、企业经理、企业分管安全生产的副经理、企业技术负责人的安全生产考核合格证书，企业经理、企业分管安全生产的副经理、企业技术负责人的任命书。（联合体投标的，承担施工工作的所有联合体成员均需提供）；</w:t>
            </w:r>
          </w:p>
          <w:p w14:paraId="7B9D2A96">
            <w:pPr>
              <w:pStyle w:val="44"/>
              <w:adjustRightInd/>
              <w:ind w:right="34" w:rightChars="14" w:firstLine="480" w:firstLineChars="200"/>
              <w:jc w:val="both"/>
              <w:rPr>
                <w:rFonts w:hint="eastAsia" w:cs="Times New Roman"/>
                <w:color w:val="auto"/>
                <w:spacing w:val="-4"/>
                <w:highlight w:val="none"/>
                <w:lang w:val="en-US" w:bidi="ar-SA"/>
              </w:rPr>
            </w:pPr>
            <w:r>
              <w:rPr>
                <w:rFonts w:cs="Times New Roman"/>
                <w:color w:val="auto"/>
                <w:highlight w:val="none"/>
              </w:rPr>
              <w:t>提供</w:t>
            </w:r>
            <w:r>
              <w:rPr>
                <w:rFonts w:hint="eastAsia" w:cs="Times New Roman"/>
                <w:color w:val="auto"/>
                <w:highlight w:val="none"/>
                <w:lang w:val="en-US"/>
              </w:rPr>
              <w:t>投标人</w:t>
            </w:r>
            <w:r>
              <w:rPr>
                <w:rFonts w:hint="eastAsia"/>
                <w:color w:val="auto"/>
                <w:highlight w:val="none"/>
                <w:u w:val="single"/>
                <w:lang w:val="en-US"/>
              </w:rPr>
              <w:t xml:space="preserve"> 2025 </w:t>
            </w:r>
            <w:r>
              <w:rPr>
                <w:rFonts w:hint="eastAsia"/>
                <w:color w:val="auto"/>
                <w:highlight w:val="none"/>
                <w:lang w:val="en-US"/>
              </w:rPr>
              <w:t>年</w:t>
            </w:r>
            <w:r>
              <w:rPr>
                <w:rFonts w:hint="eastAsia"/>
                <w:color w:val="auto"/>
                <w:highlight w:val="none"/>
                <w:u w:val="single"/>
                <w:lang w:val="en-US"/>
              </w:rPr>
              <w:t xml:space="preserve">   </w:t>
            </w:r>
            <w:r>
              <w:rPr>
                <w:rFonts w:hint="eastAsia"/>
                <w:color w:val="auto"/>
                <w:highlight w:val="none"/>
                <w:lang w:val="en-US"/>
              </w:rPr>
              <w:t>月</w:t>
            </w:r>
            <w:r>
              <w:rPr>
                <w:rFonts w:hint="eastAsia"/>
                <w:color w:val="auto"/>
                <w:highlight w:val="none"/>
                <w:u w:val="single"/>
                <w:lang w:val="en-US"/>
              </w:rPr>
              <w:t xml:space="preserve">    </w:t>
            </w:r>
            <w:r>
              <w:rPr>
                <w:rFonts w:hint="eastAsia"/>
                <w:color w:val="auto"/>
                <w:highlight w:val="none"/>
                <w:lang w:val="en-US"/>
              </w:rPr>
              <w:t>日（周一，招标公告发布之日至投标截止日之间）在</w:t>
            </w:r>
            <w:r>
              <w:rPr>
                <w:rFonts w:hint="eastAsia" w:cs="Times New Roman"/>
                <w:color w:val="auto"/>
                <w:spacing w:val="-4"/>
                <w:highlight w:val="none"/>
                <w:lang w:val="en-US" w:bidi="ar-SA"/>
              </w:rPr>
              <w:t>“浙江省建筑市场监管公共服务系统”上，参与投标资质的“资质动态核查结果证明”。</w:t>
            </w:r>
          </w:p>
          <w:p w14:paraId="5777BB58">
            <w:pPr>
              <w:pStyle w:val="44"/>
              <w:adjustRightInd/>
              <w:ind w:right="34" w:rightChars="14" w:firstLine="464" w:firstLineChars="200"/>
              <w:jc w:val="both"/>
              <w:rPr>
                <w:rFonts w:hint="eastAsia" w:cs="Times New Roman"/>
                <w:strike/>
                <w:color w:val="auto"/>
                <w:spacing w:val="-4"/>
                <w:highlight w:val="none"/>
                <w:lang w:val="en-US" w:bidi="ar-SA"/>
              </w:rPr>
            </w:pPr>
            <w:r>
              <w:rPr>
                <w:rFonts w:hint="eastAsia" w:cs="Times New Roman"/>
                <w:strike/>
                <w:color w:val="auto"/>
                <w:spacing w:val="-4"/>
                <w:highlight w:val="none"/>
                <w:lang w:val="en-US" w:bidi="ar-SA"/>
              </w:rPr>
              <w:t>□《中小企业声明函》（面向中小企业招标的，投标人或联合体中的中小企业需提供）</w:t>
            </w:r>
          </w:p>
          <w:p w14:paraId="275B0CBE">
            <w:pPr>
              <w:pStyle w:val="44"/>
              <w:adjustRightInd/>
              <w:ind w:right="34" w:rightChars="14"/>
              <w:jc w:val="both"/>
              <w:rPr>
                <w:rFonts w:hint="eastAsia"/>
                <w:color w:val="auto"/>
                <w:highlight w:val="none"/>
                <w:lang w:val="en-US"/>
              </w:rPr>
            </w:pPr>
            <w:r>
              <w:rPr>
                <w:rFonts w:hint="eastAsia"/>
                <w:color w:val="auto"/>
                <w:highlight w:val="none"/>
                <w:lang w:val="en-US"/>
              </w:rPr>
              <w:t>☑6.施工负责人（建造师）的安全生产考核合格证书（联合体投标的，承担施工工作的联合体成员均需提供）；</w:t>
            </w:r>
          </w:p>
          <w:p w14:paraId="6B048C78">
            <w:pPr>
              <w:pStyle w:val="44"/>
              <w:adjustRightInd/>
              <w:ind w:right="34" w:rightChars="14"/>
              <w:jc w:val="both"/>
              <w:rPr>
                <w:rFonts w:hint="eastAsia"/>
                <w:color w:val="auto"/>
                <w:highlight w:val="none"/>
                <w:lang w:val="en-US"/>
              </w:rPr>
            </w:pPr>
            <w:r>
              <w:rPr>
                <w:rFonts w:hint="eastAsia"/>
                <w:color w:val="auto"/>
                <w:highlight w:val="none"/>
                <w:lang w:val="en-US"/>
              </w:rPr>
              <w:t>☑7.拟派项目负责人、施工负责人、设计负责人的注册执业资格证书</w:t>
            </w:r>
            <w:r>
              <w:rPr>
                <w:rFonts w:hint="eastAsia"/>
                <w:strike/>
                <w:color w:val="auto"/>
                <w:highlight w:val="none"/>
                <w:lang w:val="en-US"/>
              </w:rPr>
              <w:t>或专业技术职称证书</w:t>
            </w:r>
            <w:r>
              <w:rPr>
                <w:rFonts w:hint="eastAsia"/>
                <w:color w:val="auto"/>
                <w:highlight w:val="none"/>
                <w:lang w:val="en-US"/>
              </w:rPr>
              <w:t>；</w:t>
            </w:r>
          </w:p>
          <w:p w14:paraId="288DC152">
            <w:pPr>
              <w:pStyle w:val="44"/>
              <w:adjustRightInd/>
              <w:ind w:right="34" w:rightChars="14"/>
              <w:jc w:val="both"/>
              <w:rPr>
                <w:rFonts w:hint="eastAsia"/>
                <w:color w:val="auto"/>
                <w:highlight w:val="none"/>
                <w:lang w:val="en-US"/>
              </w:rPr>
            </w:pPr>
            <w:r>
              <w:rPr>
                <w:rFonts w:hint="eastAsia"/>
                <w:color w:val="auto"/>
                <w:highlight w:val="none"/>
                <w:lang w:val="en-US"/>
              </w:rPr>
              <w:t>8.投标承诺书（应按照本招标文件提供的格式填写）；</w:t>
            </w:r>
          </w:p>
          <w:p w14:paraId="613E25A7">
            <w:pPr>
              <w:pStyle w:val="44"/>
              <w:adjustRightInd/>
              <w:ind w:right="34" w:rightChars="14"/>
              <w:jc w:val="both"/>
              <w:rPr>
                <w:rFonts w:hint="eastAsia"/>
                <w:color w:val="auto"/>
                <w:highlight w:val="none"/>
                <w:lang w:val="en-US"/>
              </w:rPr>
            </w:pPr>
            <w:r>
              <w:rPr>
                <w:rFonts w:hint="eastAsia"/>
                <w:color w:val="auto"/>
                <w:highlight w:val="none"/>
                <w:lang w:val="en-US"/>
              </w:rPr>
              <w:t>9.投标保证金缴纳证明资料（</w:t>
            </w:r>
            <w:r>
              <w:rPr>
                <w:rFonts w:hint="eastAsia" w:cs="Times New Roman"/>
                <w:bCs/>
                <w:color w:val="auto"/>
                <w:highlight w:val="none"/>
              </w:rPr>
              <w:t>银行转账记录或银行保函或投标保险保单或担保保函</w:t>
            </w:r>
            <w:r>
              <w:rPr>
                <w:rFonts w:hint="eastAsia" w:ascii="Times New Roman" w:cs="Times New Roman"/>
                <w:color w:val="auto"/>
                <w:highlight w:val="none"/>
              </w:rPr>
              <w:t>，</w:t>
            </w:r>
            <w:r>
              <w:rPr>
                <w:rFonts w:ascii="Times New Roman" w:cs="Times New Roman"/>
                <w:color w:val="auto"/>
                <w:highlight w:val="none"/>
              </w:rPr>
              <w:t>购买保险或办理保函、担保等保证金相关费用从投标人基本账户转出的凭证，基本账户开</w:t>
            </w:r>
            <w:r>
              <w:rPr>
                <w:rFonts w:hint="eastAsia" w:ascii="Times New Roman" w:cs="Times New Roman"/>
                <w:color w:val="auto"/>
                <w:highlight w:val="none"/>
              </w:rPr>
              <w:t>户证明</w:t>
            </w:r>
            <w:r>
              <w:rPr>
                <w:rFonts w:ascii="Times New Roman" w:cs="Times New Roman"/>
                <w:color w:val="auto"/>
                <w:highlight w:val="none"/>
              </w:rPr>
              <w:t>。</w:t>
            </w:r>
            <w:r>
              <w:rPr>
                <w:rFonts w:hint="eastAsia"/>
                <w:color w:val="auto"/>
                <w:highlight w:val="none"/>
                <w:lang w:val="en-US"/>
              </w:rPr>
              <w:t>）；</w:t>
            </w:r>
          </w:p>
          <w:p w14:paraId="283760B8">
            <w:pPr>
              <w:pStyle w:val="44"/>
              <w:adjustRightInd/>
              <w:ind w:right="34" w:rightChars="14"/>
              <w:jc w:val="both"/>
              <w:rPr>
                <w:rFonts w:hint="eastAsia"/>
                <w:color w:val="auto"/>
                <w:highlight w:val="none"/>
                <w:lang w:val="en-US"/>
              </w:rPr>
            </w:pPr>
            <w:r>
              <w:rPr>
                <w:rFonts w:hint="eastAsia"/>
                <w:color w:val="auto"/>
                <w:highlight w:val="none"/>
                <w:lang w:val="en-US"/>
              </w:rPr>
              <w:t>☑10.专职安全生产管理人员的安全生产考核合格证书（联合体投标的，承担施工工作的联合体成员均需提供）；</w:t>
            </w:r>
          </w:p>
          <w:p w14:paraId="6F863FA5">
            <w:pPr>
              <w:pStyle w:val="44"/>
              <w:adjustRightInd/>
              <w:ind w:right="34" w:rightChars="14"/>
              <w:jc w:val="both"/>
              <w:rPr>
                <w:rFonts w:hint="eastAsia"/>
                <w:color w:val="auto"/>
                <w:highlight w:val="none"/>
                <w:lang w:val="en-US"/>
              </w:rPr>
            </w:pPr>
            <w:r>
              <w:rPr>
                <w:rFonts w:hint="eastAsia"/>
                <w:color w:val="auto"/>
                <w:highlight w:val="none"/>
                <w:lang w:val="en-US"/>
              </w:rPr>
              <w:t>☑11.符合招标公告要求的类似业绩证明材料；</w:t>
            </w:r>
          </w:p>
          <w:p w14:paraId="0C447DC1">
            <w:pPr>
              <w:pStyle w:val="44"/>
              <w:adjustRightInd/>
              <w:ind w:right="34" w:rightChars="14"/>
              <w:jc w:val="both"/>
              <w:rPr>
                <w:rFonts w:hint="eastAsia"/>
                <w:color w:val="auto"/>
                <w:highlight w:val="none"/>
                <w:u w:val="single"/>
                <w:lang w:val="en-US"/>
              </w:rPr>
            </w:pPr>
            <w:r>
              <w:rPr>
                <w:rFonts w:hint="eastAsia"/>
                <w:color w:val="auto"/>
                <w:highlight w:val="none"/>
                <w:lang w:val="en-US"/>
              </w:rPr>
              <w:t>☑12.</w:t>
            </w:r>
            <w:r>
              <w:rPr>
                <w:rFonts w:hint="eastAsia"/>
                <w:color w:val="auto"/>
                <w:highlight w:val="none"/>
                <w:u w:val="single"/>
                <w:lang w:val="en-US"/>
              </w:rPr>
              <w:t>拟派项目负责人、设计负责人和施工负责人的社保证明。</w:t>
            </w:r>
          </w:p>
          <w:p w14:paraId="3A98FC4D">
            <w:pPr>
              <w:pStyle w:val="44"/>
              <w:adjustRightInd/>
              <w:ind w:right="34" w:rightChars="14"/>
              <w:jc w:val="both"/>
              <w:rPr>
                <w:rFonts w:hint="eastAsia"/>
                <w:color w:val="auto"/>
                <w:highlight w:val="none"/>
                <w:u w:val="single"/>
                <w:lang w:val="en-US"/>
              </w:rPr>
            </w:pPr>
            <w:r>
              <w:rPr>
                <w:rFonts w:hint="eastAsia"/>
                <w:color w:val="auto"/>
                <w:highlight w:val="none"/>
                <w:u w:val="single"/>
                <w:lang w:val="en-US"/>
              </w:rPr>
              <w:t>注：招标人应考虑联合体投标情形，进一步明确上述资料的相关要求。</w:t>
            </w:r>
          </w:p>
        </w:tc>
      </w:tr>
      <w:tr w14:paraId="2CE77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09E0F05E">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3.6</w:t>
            </w:r>
          </w:p>
        </w:tc>
        <w:tc>
          <w:tcPr>
            <w:tcW w:w="1701" w:type="dxa"/>
            <w:vAlign w:val="center"/>
          </w:tcPr>
          <w:p w14:paraId="1571FD4C">
            <w:pPr>
              <w:pStyle w:val="44"/>
              <w:adjustRightInd/>
              <w:ind w:right="178" w:rightChars="74" w:firstLine="31" w:firstLineChars="13"/>
              <w:jc w:val="center"/>
              <w:rPr>
                <w:rFonts w:hint="eastAsia"/>
                <w:color w:val="auto"/>
                <w:highlight w:val="none"/>
              </w:rPr>
            </w:pPr>
            <w:r>
              <w:rPr>
                <w:rFonts w:hint="eastAsia"/>
                <w:color w:val="auto"/>
                <w:highlight w:val="none"/>
              </w:rPr>
              <w:t>是否允许递交备选投标方案</w:t>
            </w:r>
          </w:p>
        </w:tc>
        <w:tc>
          <w:tcPr>
            <w:tcW w:w="6168" w:type="dxa"/>
            <w:vAlign w:val="center"/>
          </w:tcPr>
          <w:p w14:paraId="510F1A76">
            <w:pPr>
              <w:pStyle w:val="44"/>
              <w:adjustRightInd/>
              <w:ind w:left="108" w:right="34" w:rightChars="14"/>
              <w:jc w:val="both"/>
              <w:rPr>
                <w:rFonts w:hint="eastAsia"/>
                <w:color w:val="auto"/>
                <w:highlight w:val="none"/>
              </w:rPr>
            </w:pPr>
            <w:r>
              <w:rPr>
                <w:rFonts w:hint="eastAsia"/>
                <w:color w:val="auto"/>
                <w:highlight w:val="none"/>
              </w:rPr>
              <w:t>☑不允许</w:t>
            </w:r>
          </w:p>
          <w:p w14:paraId="4B76F024">
            <w:pPr>
              <w:pStyle w:val="44"/>
              <w:adjustRightInd/>
              <w:ind w:left="108" w:right="34" w:rightChars="14"/>
              <w:jc w:val="both"/>
              <w:rPr>
                <w:rFonts w:hint="eastAsia"/>
                <w:color w:val="auto"/>
                <w:highlight w:val="none"/>
              </w:rPr>
            </w:pPr>
            <w:r>
              <w:rPr>
                <w:rFonts w:hint="eastAsia"/>
                <w:color w:val="auto"/>
                <w:highlight w:val="none"/>
              </w:rPr>
              <w:t>□允许</w:t>
            </w:r>
          </w:p>
        </w:tc>
      </w:tr>
      <w:tr w14:paraId="41EE5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4699B367">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3.7.3</w:t>
            </w:r>
          </w:p>
        </w:tc>
        <w:tc>
          <w:tcPr>
            <w:tcW w:w="1701" w:type="dxa"/>
            <w:vAlign w:val="center"/>
          </w:tcPr>
          <w:p w14:paraId="11845C8C">
            <w:pPr>
              <w:pStyle w:val="44"/>
              <w:adjustRightInd/>
              <w:ind w:right="178" w:rightChars="74" w:firstLine="31" w:firstLineChars="13"/>
              <w:jc w:val="center"/>
              <w:rPr>
                <w:rFonts w:hint="eastAsia"/>
                <w:color w:val="auto"/>
                <w:highlight w:val="none"/>
                <w:lang w:val="en-US"/>
              </w:rPr>
            </w:pPr>
            <w:r>
              <w:rPr>
                <w:rFonts w:hint="eastAsia"/>
                <w:color w:val="auto"/>
                <w:highlight w:val="none"/>
              </w:rPr>
              <w:t>签字或盖章要求</w:t>
            </w:r>
            <w:r>
              <w:rPr>
                <w:rFonts w:hint="eastAsia"/>
                <w:color w:val="auto"/>
                <w:highlight w:val="none"/>
                <w:lang w:val="en-US"/>
              </w:rPr>
              <w:t>/</w:t>
            </w:r>
            <w:r>
              <w:rPr>
                <w:rFonts w:hint="eastAsia"/>
                <w:color w:val="auto"/>
                <w:highlight w:val="none"/>
              </w:rPr>
              <w:t>电子投标文件盖章要求</w:t>
            </w:r>
          </w:p>
        </w:tc>
        <w:tc>
          <w:tcPr>
            <w:tcW w:w="6168" w:type="dxa"/>
            <w:vAlign w:val="center"/>
          </w:tcPr>
          <w:p w14:paraId="1DDF3071">
            <w:pPr>
              <w:pStyle w:val="44"/>
              <w:adjustRightInd/>
              <w:ind w:left="108" w:right="34" w:rightChars="14"/>
              <w:jc w:val="both"/>
              <w:rPr>
                <w:rFonts w:hint="eastAsia"/>
                <w:color w:val="auto"/>
                <w:highlight w:val="none"/>
              </w:rPr>
            </w:pPr>
            <w:r>
              <w:rPr>
                <w:rFonts w:hint="eastAsia"/>
                <w:color w:val="auto"/>
                <w:highlight w:val="none"/>
                <w:lang w:val="en-US"/>
              </w:rPr>
              <w:t>1.招标文件提供的投标文件格式</w:t>
            </w:r>
            <w:r>
              <w:rPr>
                <w:rFonts w:hint="eastAsia"/>
                <w:color w:val="auto"/>
                <w:highlight w:val="none"/>
              </w:rPr>
              <w:t>要求投标人盖章、法定代表人印章的地方，投标人均应使用</w:t>
            </w:r>
            <w:r>
              <w:rPr>
                <w:rFonts w:hint="eastAsia"/>
                <w:color w:val="auto"/>
                <w:highlight w:val="none"/>
                <w:lang w:val="en-US"/>
              </w:rPr>
              <w:t>CA</w:t>
            </w:r>
            <w:r>
              <w:rPr>
                <w:rFonts w:hint="eastAsia"/>
                <w:color w:val="auto"/>
                <w:highlight w:val="none"/>
              </w:rPr>
              <w:t>数字证书加盖投标人的单位电子印章、法定代表人个人电子印章。联合体投标的，除联合体协议书格式之外的仅由联合体牵头人加盖单位电子印章、法定代表人个人电子印章即可</w:t>
            </w:r>
            <w:r>
              <w:rPr>
                <w:rFonts w:hint="eastAsia"/>
                <w:color w:val="auto"/>
                <w:highlight w:val="none"/>
                <w:lang w:val="en-US"/>
              </w:rPr>
              <w:t>；</w:t>
            </w:r>
          </w:p>
          <w:p w14:paraId="165220C4">
            <w:pPr>
              <w:pStyle w:val="44"/>
              <w:adjustRightInd/>
              <w:ind w:left="108" w:right="34" w:rightChars="14"/>
              <w:jc w:val="both"/>
              <w:rPr>
                <w:rFonts w:hint="eastAsia"/>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投标文件所附证书证件、业绩证明文件、投标保证金等证明材料用原件的复制件并加盖投标单位电子印章；</w:t>
            </w:r>
          </w:p>
          <w:p w14:paraId="67BFBE24">
            <w:pPr>
              <w:pStyle w:val="44"/>
              <w:adjustRightInd/>
              <w:ind w:left="108" w:right="34" w:rightChars="14"/>
              <w:jc w:val="both"/>
              <w:rPr>
                <w:rFonts w:hint="eastAsia"/>
                <w:color w:val="auto"/>
                <w:highlight w:val="none"/>
                <w:lang w:val="en-US"/>
              </w:rPr>
            </w:pPr>
            <w:r>
              <w:rPr>
                <w:rFonts w:hint="eastAsia"/>
                <w:color w:val="auto"/>
                <w:highlight w:val="none"/>
              </w:rPr>
              <w:t>□</w:t>
            </w:r>
            <w:r>
              <w:rPr>
                <w:rFonts w:hint="eastAsia"/>
                <w:color w:val="auto"/>
                <w:highlight w:val="none"/>
                <w:lang w:val="en-US"/>
              </w:rPr>
              <w:t>3.</w:t>
            </w:r>
            <w:r>
              <w:rPr>
                <w:rFonts w:hint="eastAsia"/>
                <w:color w:val="auto"/>
                <w:highlight w:val="none"/>
              </w:rPr>
              <w:t>其它要求：</w:t>
            </w:r>
            <w:r>
              <w:rPr>
                <w:rFonts w:hint="eastAsia"/>
                <w:color w:val="auto"/>
                <w:highlight w:val="none"/>
                <w:u w:val="single"/>
                <w:lang w:val="en-US"/>
              </w:rPr>
              <w:t xml:space="preserve">  /  </w:t>
            </w:r>
            <w:r>
              <w:rPr>
                <w:rFonts w:hint="eastAsia"/>
                <w:color w:val="auto"/>
                <w:highlight w:val="none"/>
                <w:lang w:val="en-US"/>
              </w:rPr>
              <w:t>。</w:t>
            </w:r>
          </w:p>
        </w:tc>
      </w:tr>
      <w:tr w14:paraId="08CC1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tcBorders>
              <w:bottom w:val="single" w:color="000000" w:sz="8" w:space="0"/>
            </w:tcBorders>
            <w:vAlign w:val="center"/>
          </w:tcPr>
          <w:p w14:paraId="702996C3">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3.7.4</w:t>
            </w:r>
          </w:p>
        </w:tc>
        <w:tc>
          <w:tcPr>
            <w:tcW w:w="1701" w:type="dxa"/>
            <w:tcBorders>
              <w:bottom w:val="single" w:color="000000" w:sz="8" w:space="0"/>
            </w:tcBorders>
            <w:vAlign w:val="center"/>
          </w:tcPr>
          <w:p w14:paraId="06899807">
            <w:pPr>
              <w:pStyle w:val="44"/>
              <w:adjustRightInd/>
              <w:ind w:right="178" w:rightChars="74" w:firstLine="31" w:firstLineChars="13"/>
              <w:jc w:val="center"/>
              <w:rPr>
                <w:rFonts w:hint="eastAsia"/>
                <w:color w:val="auto"/>
                <w:highlight w:val="none"/>
              </w:rPr>
            </w:pPr>
            <w:r>
              <w:rPr>
                <w:rFonts w:hint="eastAsia"/>
                <w:color w:val="auto"/>
                <w:highlight w:val="none"/>
              </w:rPr>
              <w:t>投标文件份数</w:t>
            </w:r>
          </w:p>
        </w:tc>
        <w:tc>
          <w:tcPr>
            <w:tcW w:w="6168" w:type="dxa"/>
            <w:tcBorders>
              <w:bottom w:val="single" w:color="000000" w:sz="8" w:space="0"/>
            </w:tcBorders>
            <w:vAlign w:val="center"/>
          </w:tcPr>
          <w:p w14:paraId="6799E848">
            <w:pPr>
              <w:pStyle w:val="44"/>
              <w:numPr>
                <w:ilvl w:val="0"/>
                <w:numId w:val="6"/>
              </w:numPr>
              <w:adjustRightInd/>
              <w:ind w:right="34" w:rightChars="14"/>
              <w:jc w:val="both"/>
              <w:rPr>
                <w:rFonts w:hint="eastAsia"/>
                <w:color w:val="auto"/>
                <w:highlight w:val="none"/>
              </w:rPr>
            </w:pPr>
            <w:r>
              <w:rPr>
                <w:rFonts w:hint="eastAsia"/>
                <w:color w:val="auto"/>
                <w:highlight w:val="none"/>
                <w:lang w:val="en-US"/>
              </w:rPr>
              <w:t>电子加密投标文件一份（电子投标的项目，在投标截止时间前，将由“新点投标文件制作软件（绍兴地区通用版）最新版本”制作生成的加密投标文件上传至越城区公共资源交易中心电子招投标交易平台。</w:t>
            </w:r>
            <w:r>
              <w:rPr>
                <w:rFonts w:hint="eastAsia"/>
                <w:color w:val="auto"/>
                <w:highlight w:val="none"/>
              </w:rPr>
              <w:t>），作为投标文件正本。</w:t>
            </w:r>
          </w:p>
          <w:p w14:paraId="167104A6">
            <w:pPr>
              <w:pStyle w:val="44"/>
              <w:numPr>
                <w:ilvl w:val="0"/>
                <w:numId w:val="6"/>
              </w:numPr>
              <w:adjustRightInd/>
              <w:ind w:right="34" w:rightChars="14"/>
              <w:jc w:val="both"/>
              <w:rPr>
                <w:rFonts w:hint="eastAsia"/>
                <w:color w:val="auto"/>
                <w:highlight w:val="none"/>
              </w:rPr>
            </w:pPr>
            <w:r>
              <w:rPr>
                <w:rFonts w:hint="eastAsia"/>
                <w:color w:val="auto"/>
                <w:highlight w:val="none"/>
              </w:rPr>
              <w:t>其他：</w:t>
            </w:r>
            <w:r>
              <w:rPr>
                <w:rFonts w:hint="eastAsia"/>
                <w:color w:val="auto"/>
                <w:highlight w:val="none"/>
                <w:u w:val="single"/>
                <w:lang w:val="en-US"/>
              </w:rPr>
              <w:t xml:space="preserve"> /  </w:t>
            </w:r>
            <w:r>
              <w:rPr>
                <w:rFonts w:hint="eastAsia"/>
                <w:color w:val="auto"/>
                <w:highlight w:val="none"/>
                <w:lang w:val="en-US"/>
              </w:rPr>
              <w:t>。</w:t>
            </w:r>
          </w:p>
        </w:tc>
      </w:tr>
      <w:tr w14:paraId="19BF3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978311F">
            <w:pPr>
              <w:pStyle w:val="44"/>
              <w:kinsoku w:val="0"/>
              <w:overflowPunct w:val="0"/>
              <w:jc w:val="center"/>
              <w:rPr>
                <w:rFonts w:hint="eastAsia"/>
                <w:strike/>
                <w:color w:val="auto"/>
                <w:highlight w:val="none"/>
              </w:rPr>
            </w:pPr>
            <w:r>
              <w:rPr>
                <w:rFonts w:hint="eastAsia"/>
                <w:strike/>
                <w:color w:val="auto"/>
                <w:highlight w:val="none"/>
              </w:rPr>
              <w:t>□</w:t>
            </w:r>
            <w:r>
              <w:rPr>
                <w:strike/>
                <w:color w:val="auto"/>
                <w:highlight w:val="none"/>
              </w:rPr>
              <w:t>4.1.</w:t>
            </w:r>
            <w:r>
              <w:rPr>
                <w:rFonts w:hint="eastAsia"/>
                <w:strike/>
                <w:color w:val="auto"/>
                <w:highlight w:val="none"/>
                <w:lang w:val="en-US"/>
              </w:rPr>
              <w:t>1</w:t>
            </w:r>
          </w:p>
          <w:p w14:paraId="3301224B">
            <w:pPr>
              <w:pStyle w:val="44"/>
              <w:kinsoku w:val="0"/>
              <w:overflowPunct w:val="0"/>
              <w:spacing w:before="107"/>
              <w:ind w:left="103"/>
              <w:jc w:val="center"/>
              <w:rPr>
                <w:rFonts w:hint="eastAsia"/>
                <w:strike/>
                <w:color w:val="auto"/>
                <w:highlight w:val="none"/>
              </w:rPr>
            </w:pPr>
          </w:p>
        </w:tc>
        <w:tc>
          <w:tcPr>
            <w:tcW w:w="1701" w:type="dxa"/>
            <w:vAlign w:val="center"/>
          </w:tcPr>
          <w:p w14:paraId="4D8D5B48">
            <w:pPr>
              <w:pStyle w:val="44"/>
              <w:kinsoku w:val="0"/>
              <w:overflowPunct w:val="0"/>
              <w:spacing w:before="93"/>
              <w:jc w:val="center"/>
              <w:rPr>
                <w:rFonts w:hint="eastAsia"/>
                <w:strike/>
                <w:color w:val="auto"/>
                <w:highlight w:val="none"/>
              </w:rPr>
            </w:pPr>
            <w:r>
              <w:rPr>
                <w:rFonts w:hint="eastAsia"/>
                <w:strike/>
                <w:color w:val="auto"/>
                <w:highlight w:val="none"/>
              </w:rPr>
              <w:t>投标文件外包装和密封要求</w:t>
            </w:r>
          </w:p>
        </w:tc>
        <w:tc>
          <w:tcPr>
            <w:tcW w:w="6168" w:type="dxa"/>
          </w:tcPr>
          <w:p w14:paraId="42F3B04C">
            <w:pPr>
              <w:pStyle w:val="44"/>
              <w:kinsoku w:val="0"/>
              <w:overflowPunct w:val="0"/>
              <w:spacing w:before="66"/>
              <w:ind w:left="103"/>
              <w:rPr>
                <w:rFonts w:hint="eastAsia"/>
                <w:strike/>
                <w:color w:val="auto"/>
                <w:highlight w:val="none"/>
                <w:u w:val="single"/>
                <w:lang w:val="en-US"/>
              </w:rPr>
            </w:pPr>
          </w:p>
        </w:tc>
      </w:tr>
      <w:tr w14:paraId="07F23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4" w:hRule="atLeast"/>
          <w:jc w:val="center"/>
        </w:trPr>
        <w:tc>
          <w:tcPr>
            <w:tcW w:w="988" w:type="dxa"/>
            <w:vAlign w:val="center"/>
          </w:tcPr>
          <w:p w14:paraId="57AC7606">
            <w:pPr>
              <w:pStyle w:val="44"/>
              <w:kinsoku w:val="0"/>
              <w:overflowPunct w:val="0"/>
              <w:jc w:val="center"/>
              <w:rPr>
                <w:rFonts w:hint="eastAsia"/>
                <w:strike/>
                <w:color w:val="auto"/>
                <w:highlight w:val="none"/>
              </w:rPr>
            </w:pPr>
            <w:r>
              <w:rPr>
                <w:rFonts w:hint="eastAsia"/>
                <w:strike/>
                <w:color w:val="auto"/>
                <w:highlight w:val="none"/>
              </w:rPr>
              <w:t>□</w:t>
            </w:r>
            <w:r>
              <w:rPr>
                <w:strike/>
                <w:color w:val="auto"/>
                <w:highlight w:val="none"/>
              </w:rPr>
              <w:t>4.1.2</w:t>
            </w:r>
          </w:p>
          <w:p w14:paraId="0E38AB49">
            <w:pPr>
              <w:pStyle w:val="44"/>
              <w:kinsoku w:val="0"/>
              <w:overflowPunct w:val="0"/>
              <w:jc w:val="center"/>
              <w:rPr>
                <w:rFonts w:hint="eastAsia"/>
                <w:strike/>
                <w:color w:val="auto"/>
                <w:highlight w:val="none"/>
              </w:rPr>
            </w:pPr>
          </w:p>
        </w:tc>
        <w:tc>
          <w:tcPr>
            <w:tcW w:w="1701" w:type="dxa"/>
            <w:vAlign w:val="center"/>
          </w:tcPr>
          <w:p w14:paraId="2F0FC099">
            <w:pPr>
              <w:pStyle w:val="44"/>
              <w:kinsoku w:val="0"/>
              <w:overflowPunct w:val="0"/>
              <w:spacing w:before="169"/>
              <w:jc w:val="center"/>
              <w:rPr>
                <w:rFonts w:hint="eastAsia"/>
                <w:strike/>
                <w:color w:val="auto"/>
                <w:highlight w:val="none"/>
              </w:rPr>
            </w:pPr>
            <w:r>
              <w:rPr>
                <w:rFonts w:hint="eastAsia"/>
                <w:strike/>
                <w:color w:val="auto"/>
                <w:highlight w:val="none"/>
              </w:rPr>
              <w:t>封套上应载明</w:t>
            </w:r>
          </w:p>
          <w:p w14:paraId="0A5C8673">
            <w:pPr>
              <w:pStyle w:val="44"/>
              <w:kinsoku w:val="0"/>
              <w:overflowPunct w:val="0"/>
              <w:spacing w:before="169"/>
              <w:jc w:val="center"/>
              <w:rPr>
                <w:rFonts w:hint="eastAsia"/>
                <w:strike/>
                <w:color w:val="auto"/>
                <w:highlight w:val="none"/>
              </w:rPr>
            </w:pPr>
            <w:r>
              <w:rPr>
                <w:rFonts w:hint="eastAsia"/>
                <w:strike/>
                <w:color w:val="auto"/>
                <w:highlight w:val="none"/>
              </w:rPr>
              <w:t>的信息</w:t>
            </w:r>
          </w:p>
        </w:tc>
        <w:tc>
          <w:tcPr>
            <w:tcW w:w="6168" w:type="dxa"/>
            <w:vAlign w:val="center"/>
          </w:tcPr>
          <w:p w14:paraId="1A9EAD97">
            <w:pPr>
              <w:pStyle w:val="44"/>
              <w:kinsoku w:val="0"/>
              <w:overflowPunct w:val="0"/>
              <w:spacing w:before="76"/>
              <w:ind w:left="103" w:right="2873"/>
              <w:jc w:val="both"/>
              <w:rPr>
                <w:rFonts w:hint="eastAsia"/>
                <w:strike/>
                <w:color w:val="auto"/>
                <w:highlight w:val="none"/>
              </w:rPr>
            </w:pPr>
            <w:r>
              <w:rPr>
                <w:rFonts w:hint="eastAsia"/>
                <w:strike/>
                <w:color w:val="auto"/>
                <w:highlight w:val="none"/>
              </w:rPr>
              <w:t>招标人名称：</w:t>
            </w:r>
            <w:r>
              <w:rPr>
                <w:strike/>
                <w:color w:val="auto"/>
                <w:highlight w:val="none"/>
                <w:u w:val="single"/>
              </w:rPr>
              <w:t xml:space="preserve"> </w:t>
            </w:r>
            <w:r>
              <w:rPr>
                <w:rFonts w:hint="eastAsia"/>
                <w:strike/>
                <w:color w:val="auto"/>
                <w:highlight w:val="none"/>
                <w:u w:val="single"/>
              </w:rPr>
              <w:t xml:space="preserve">   </w:t>
            </w:r>
            <w:r>
              <w:rPr>
                <w:strike/>
                <w:color w:val="auto"/>
                <w:highlight w:val="none"/>
                <w:u w:val="single"/>
              </w:rPr>
              <w:t xml:space="preserve">        </w:t>
            </w:r>
            <w:r>
              <w:rPr>
                <w:rFonts w:hint="eastAsia"/>
                <w:strike/>
                <w:color w:val="auto"/>
                <w:highlight w:val="none"/>
                <w:u w:val="single"/>
              </w:rPr>
              <w:t xml:space="preserve"> </w:t>
            </w:r>
          </w:p>
          <w:p w14:paraId="54763C17">
            <w:pPr>
              <w:pStyle w:val="44"/>
              <w:tabs>
                <w:tab w:val="left" w:pos="1157"/>
              </w:tabs>
              <w:kinsoku w:val="0"/>
              <w:overflowPunct w:val="0"/>
              <w:spacing w:before="31"/>
              <w:ind w:left="103" w:right="102"/>
              <w:jc w:val="both"/>
              <w:rPr>
                <w:rFonts w:hint="eastAsia"/>
                <w:strike/>
                <w:color w:val="auto"/>
                <w:highlight w:val="none"/>
              </w:rPr>
            </w:pPr>
            <w:r>
              <w:rPr>
                <w:strike/>
                <w:color w:val="auto"/>
                <w:highlight w:val="none"/>
                <w:u w:val="single"/>
              </w:rPr>
              <w:t xml:space="preserve"> </w:t>
            </w:r>
            <w:r>
              <w:rPr>
                <w:rFonts w:hint="eastAsia"/>
                <w:strike/>
                <w:color w:val="auto"/>
                <w:highlight w:val="none"/>
                <w:u w:val="single"/>
              </w:rPr>
              <w:t>（</w:t>
            </w:r>
            <w:r>
              <w:rPr>
                <w:rFonts w:hint="eastAsia"/>
                <w:strike/>
                <w:color w:val="auto"/>
                <w:highlight w:val="none"/>
                <w:u w:val="single"/>
                <w:lang w:val="en-US"/>
              </w:rPr>
              <w:t>项目</w:t>
            </w:r>
            <w:r>
              <w:rPr>
                <w:rFonts w:hint="eastAsia"/>
                <w:strike/>
                <w:color w:val="auto"/>
                <w:highlight w:val="none"/>
                <w:u w:val="single"/>
              </w:rPr>
              <w:t>名称）</w:t>
            </w:r>
            <w:r>
              <w:rPr>
                <w:rFonts w:hint="eastAsia"/>
                <w:strike/>
                <w:color w:val="auto"/>
                <w:highlight w:val="none"/>
              </w:rPr>
              <w:t>工程总承包招标项目投标文件</w:t>
            </w:r>
          </w:p>
          <w:p w14:paraId="56EC2E13">
            <w:pPr>
              <w:pStyle w:val="44"/>
              <w:kinsoku w:val="0"/>
              <w:overflowPunct w:val="0"/>
              <w:spacing w:before="27"/>
              <w:ind w:left="103"/>
              <w:jc w:val="both"/>
              <w:rPr>
                <w:rFonts w:hint="eastAsia"/>
                <w:strike/>
                <w:color w:val="auto"/>
                <w:highlight w:val="none"/>
              </w:rPr>
            </w:pPr>
            <w:r>
              <w:rPr>
                <w:rFonts w:hint="eastAsia"/>
                <w:strike/>
                <w:color w:val="auto"/>
                <w:highlight w:val="none"/>
              </w:rPr>
              <w:t>招标项目编号：</w:t>
            </w:r>
            <w:r>
              <w:rPr>
                <w:rFonts w:hint="eastAsia"/>
                <w:strike/>
                <w:color w:val="auto"/>
                <w:highlight w:val="none"/>
                <w:u w:val="single"/>
                <w:lang w:val="en-US"/>
              </w:rPr>
              <w:t xml:space="preserve">          </w:t>
            </w:r>
            <w:r>
              <w:rPr>
                <w:rFonts w:hint="eastAsia" w:ascii="新宋体" w:hAnsi="新宋体"/>
                <w:strike/>
                <w:color w:val="auto"/>
                <w:spacing w:val="-4"/>
                <w:highlight w:val="none"/>
              </w:rPr>
              <w:t>投标单位名称：</w:t>
            </w:r>
            <w:r>
              <w:rPr>
                <w:rFonts w:hint="eastAsia" w:ascii="新宋体" w:hAnsi="新宋体"/>
                <w:strike/>
                <w:color w:val="auto"/>
                <w:highlight w:val="none"/>
                <w:u w:val="single"/>
              </w:rPr>
              <w:tab/>
            </w:r>
            <w:r>
              <w:rPr>
                <w:rFonts w:hint="eastAsia" w:ascii="新宋体" w:hAnsi="新宋体"/>
                <w:strike/>
                <w:color w:val="auto"/>
                <w:highlight w:val="none"/>
                <w:u w:val="single"/>
              </w:rPr>
              <w:t xml:space="preserve">         </w:t>
            </w:r>
          </w:p>
          <w:p w14:paraId="3DB06213">
            <w:pPr>
              <w:pStyle w:val="44"/>
              <w:tabs>
                <w:tab w:val="left" w:pos="734"/>
                <w:tab w:val="left" w:pos="1365"/>
                <w:tab w:val="left" w:pos="1994"/>
                <w:tab w:val="left" w:pos="2623"/>
              </w:tabs>
              <w:kinsoku w:val="0"/>
              <w:overflowPunct w:val="0"/>
              <w:spacing w:before="126"/>
              <w:ind w:left="103"/>
              <w:jc w:val="both"/>
              <w:rPr>
                <w:rFonts w:hint="eastAsia"/>
                <w:strike/>
                <w:color w:val="auto"/>
                <w:highlight w:val="none"/>
              </w:rPr>
            </w:pPr>
            <w:r>
              <w:rPr>
                <w:rFonts w:hint="eastAsia"/>
                <w:strike/>
                <w:color w:val="auto"/>
                <w:highlight w:val="none"/>
              </w:rPr>
              <w:t>在</w:t>
            </w:r>
            <w:r>
              <w:rPr>
                <w:rFonts w:hint="eastAsia"/>
                <w:b/>
                <w:strike/>
                <w:color w:val="auto"/>
                <w:highlight w:val="none"/>
              </w:rPr>
              <w:t>投标</w:t>
            </w:r>
            <w:r>
              <w:rPr>
                <w:b/>
                <w:strike/>
                <w:color w:val="auto"/>
                <w:highlight w:val="none"/>
              </w:rPr>
              <w:t>截止时间</w:t>
            </w:r>
            <w:r>
              <w:rPr>
                <w:rFonts w:hint="eastAsia"/>
                <w:strike/>
                <w:color w:val="auto"/>
                <w:highlight w:val="none"/>
              </w:rPr>
              <w:t>前不得开启</w:t>
            </w:r>
          </w:p>
          <w:p w14:paraId="32AF3E35">
            <w:pPr>
              <w:pStyle w:val="44"/>
              <w:tabs>
                <w:tab w:val="left" w:pos="734"/>
                <w:tab w:val="left" w:pos="1365"/>
                <w:tab w:val="left" w:pos="1994"/>
                <w:tab w:val="left" w:pos="2623"/>
              </w:tabs>
              <w:kinsoku w:val="0"/>
              <w:overflowPunct w:val="0"/>
              <w:spacing w:before="126"/>
              <w:ind w:left="103"/>
              <w:jc w:val="both"/>
              <w:rPr>
                <w:rFonts w:hint="eastAsia"/>
                <w:strike/>
                <w:color w:val="auto"/>
                <w:highlight w:val="none"/>
              </w:rPr>
            </w:pPr>
            <w:r>
              <w:rPr>
                <w:rFonts w:hint="eastAsia"/>
                <w:strike/>
                <w:color w:val="auto"/>
                <w:spacing w:val="-4"/>
                <w:highlight w:val="none"/>
              </w:rPr>
              <w:t>□</w:t>
            </w:r>
            <w:r>
              <w:rPr>
                <w:rFonts w:hint="eastAsia" w:ascii="新宋体" w:hAnsi="新宋体"/>
                <w:strike/>
                <w:color w:val="auto"/>
                <w:spacing w:val="-4"/>
                <w:highlight w:val="none"/>
              </w:rPr>
              <w:t>其他：</w:t>
            </w:r>
            <w:r>
              <w:rPr>
                <w:rFonts w:hint="eastAsia" w:ascii="新宋体" w:hAnsi="新宋体"/>
                <w:strike/>
                <w:color w:val="auto"/>
                <w:spacing w:val="-4"/>
                <w:highlight w:val="none"/>
                <w:u w:val="single"/>
                <w:lang w:val="en-US"/>
              </w:rPr>
              <w:t xml:space="preserve">         </w:t>
            </w:r>
            <w:r>
              <w:rPr>
                <w:rFonts w:hint="eastAsia" w:ascii="新宋体" w:hAnsi="新宋体"/>
                <w:strike/>
                <w:color w:val="auto"/>
                <w:spacing w:val="-4"/>
                <w:highlight w:val="none"/>
                <w:lang w:val="en-US"/>
              </w:rPr>
              <w:t>。</w:t>
            </w:r>
          </w:p>
        </w:tc>
      </w:tr>
      <w:tr w14:paraId="6AD7F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7385D543">
            <w:pPr>
              <w:pStyle w:val="44"/>
              <w:kinsoku w:val="0"/>
              <w:overflowPunct w:val="0"/>
              <w:spacing w:before="107"/>
              <w:ind w:left="103"/>
              <w:jc w:val="center"/>
              <w:rPr>
                <w:rFonts w:hint="eastAsia"/>
                <w:color w:val="auto"/>
                <w:highlight w:val="none"/>
              </w:rPr>
            </w:pPr>
            <w:r>
              <w:rPr>
                <w:color w:val="auto"/>
                <w:highlight w:val="none"/>
              </w:rPr>
              <w:t>4.2.2</w:t>
            </w:r>
          </w:p>
        </w:tc>
        <w:tc>
          <w:tcPr>
            <w:tcW w:w="1701" w:type="dxa"/>
            <w:vAlign w:val="center"/>
          </w:tcPr>
          <w:p w14:paraId="705363F9">
            <w:pPr>
              <w:pStyle w:val="44"/>
              <w:kinsoku w:val="0"/>
              <w:overflowPunct w:val="0"/>
              <w:spacing w:before="107"/>
              <w:rPr>
                <w:rFonts w:hint="eastAsia"/>
                <w:color w:val="auto"/>
                <w:highlight w:val="none"/>
                <w:lang w:val="en-US"/>
              </w:rPr>
            </w:pPr>
            <w:r>
              <w:rPr>
                <w:rFonts w:hint="eastAsia"/>
                <w:strike/>
                <w:color w:val="auto"/>
                <w:highlight w:val="none"/>
              </w:rPr>
              <w:t>递交投标文件地点</w:t>
            </w:r>
            <w:r>
              <w:rPr>
                <w:rFonts w:hint="eastAsia"/>
                <w:strike/>
                <w:color w:val="auto"/>
                <w:highlight w:val="none"/>
                <w:lang w:val="en-US"/>
              </w:rPr>
              <w:t>/</w:t>
            </w:r>
            <w:r>
              <w:rPr>
                <w:rFonts w:hint="eastAsia"/>
                <w:color w:val="auto"/>
                <w:highlight w:val="none"/>
              </w:rPr>
              <w:t>电子投标文件上传平台</w:t>
            </w:r>
          </w:p>
        </w:tc>
        <w:tc>
          <w:tcPr>
            <w:tcW w:w="6168" w:type="dxa"/>
          </w:tcPr>
          <w:p w14:paraId="4A2F3261">
            <w:pPr>
              <w:rPr>
                <w:color w:val="auto"/>
                <w:highlight w:val="none"/>
                <w:u w:val="single"/>
              </w:rPr>
            </w:pPr>
            <w:r>
              <w:rPr>
                <w:rFonts w:hint="eastAsia"/>
                <w:color w:val="auto"/>
                <w:highlight w:val="none"/>
              </w:rPr>
              <w:t>□1.递交投标文件地点：</w:t>
            </w:r>
            <w:r>
              <w:rPr>
                <w:rFonts w:hint="eastAsia"/>
                <w:color w:val="auto"/>
                <w:highlight w:val="none"/>
                <w:u w:val="single"/>
              </w:rPr>
              <w:t xml:space="preserve">     /              </w:t>
            </w:r>
            <w:r>
              <w:rPr>
                <w:rFonts w:hint="eastAsia"/>
                <w:color w:val="auto"/>
                <w:highlight w:val="none"/>
              </w:rPr>
              <w:t>。</w:t>
            </w:r>
          </w:p>
          <w:p w14:paraId="0FAC94E0">
            <w:pPr>
              <w:tabs>
                <w:tab w:val="left" w:pos="1135"/>
              </w:tabs>
              <w:rPr>
                <w:color w:val="auto"/>
                <w:highlight w:val="none"/>
              </w:rPr>
            </w:pPr>
            <w:r>
              <w:rPr>
                <w:rFonts w:hint="eastAsia"/>
                <w:color w:val="auto"/>
                <w:highlight w:val="none"/>
              </w:rPr>
              <w:t>☑2.</w:t>
            </w:r>
            <w:r>
              <w:rPr>
                <w:rFonts w:hint="eastAsia" w:ascii="宋体" w:hAnsi="宋体"/>
                <w:color w:val="auto"/>
                <w:highlight w:val="none"/>
              </w:rPr>
              <w:t>使用专用密钥上传至</w:t>
            </w:r>
            <w:r>
              <w:rPr>
                <w:rFonts w:hint="eastAsia" w:ascii="宋体" w:hAnsi="宋体"/>
                <w:color w:val="auto"/>
                <w:highlight w:val="none"/>
                <w:u w:val="single"/>
              </w:rPr>
              <w:t xml:space="preserve"> </w:t>
            </w:r>
            <w:r>
              <w:rPr>
                <w:rFonts w:hint="eastAsia" w:ascii="宋体" w:hAnsi="宋体" w:cs="宋体"/>
                <w:color w:val="auto"/>
                <w:highlight w:val="none"/>
                <w:u w:val="single"/>
              </w:rPr>
              <w:t>绍兴市越城区公共资源交易平台（http://ztb.sxyc.gov.cn/TPBidder）</w:t>
            </w:r>
            <w:r>
              <w:rPr>
                <w:rFonts w:hint="eastAsia" w:ascii="宋体" w:hAnsi="宋体" w:cs="宋体"/>
                <w:color w:val="auto"/>
                <w:highlight w:val="none"/>
              </w:rPr>
              <w:t>。</w:t>
            </w:r>
            <w:r>
              <w:rPr>
                <w:rFonts w:hint="eastAsia"/>
                <w:color w:val="auto"/>
                <w:highlight w:val="none"/>
              </w:rPr>
              <w:tab/>
            </w:r>
          </w:p>
        </w:tc>
      </w:tr>
      <w:tr w14:paraId="622A7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tcPr>
          <w:p w14:paraId="7AFE1A34">
            <w:pPr>
              <w:pStyle w:val="44"/>
              <w:kinsoku w:val="0"/>
              <w:overflowPunct w:val="0"/>
              <w:spacing w:before="3"/>
              <w:rPr>
                <w:rFonts w:hint="eastAsia"/>
                <w:color w:val="auto"/>
                <w:highlight w:val="none"/>
              </w:rPr>
            </w:pPr>
          </w:p>
          <w:p w14:paraId="01403228">
            <w:pPr>
              <w:pStyle w:val="44"/>
              <w:kinsoku w:val="0"/>
              <w:overflowPunct w:val="0"/>
              <w:ind w:firstLine="240" w:firstLineChars="100"/>
              <w:rPr>
                <w:rFonts w:hint="eastAsia"/>
                <w:color w:val="auto"/>
                <w:highlight w:val="none"/>
              </w:rPr>
            </w:pPr>
            <w:r>
              <w:rPr>
                <w:color w:val="auto"/>
                <w:highlight w:val="none"/>
              </w:rPr>
              <w:t>4.2.3</w:t>
            </w:r>
          </w:p>
        </w:tc>
        <w:tc>
          <w:tcPr>
            <w:tcW w:w="1701" w:type="dxa"/>
            <w:vAlign w:val="center"/>
          </w:tcPr>
          <w:p w14:paraId="16D0E65A">
            <w:pPr>
              <w:pStyle w:val="44"/>
              <w:kinsoku w:val="0"/>
              <w:overflowPunct w:val="0"/>
              <w:jc w:val="center"/>
              <w:rPr>
                <w:rFonts w:hint="eastAsia"/>
                <w:color w:val="auto"/>
                <w:highlight w:val="none"/>
              </w:rPr>
            </w:pPr>
            <w:r>
              <w:rPr>
                <w:rFonts w:hint="eastAsia"/>
                <w:color w:val="auto"/>
                <w:highlight w:val="none"/>
              </w:rPr>
              <w:t>投标文件</w:t>
            </w:r>
          </w:p>
          <w:p w14:paraId="6721B88D">
            <w:pPr>
              <w:pStyle w:val="44"/>
              <w:kinsoku w:val="0"/>
              <w:overflowPunct w:val="0"/>
              <w:jc w:val="center"/>
              <w:rPr>
                <w:rFonts w:hint="eastAsia"/>
                <w:color w:val="auto"/>
                <w:highlight w:val="none"/>
                <w:lang w:val="en-US"/>
              </w:rPr>
            </w:pPr>
            <w:r>
              <w:rPr>
                <w:rFonts w:hint="eastAsia"/>
                <w:color w:val="auto"/>
                <w:highlight w:val="none"/>
              </w:rPr>
              <w:t>退还</w:t>
            </w:r>
            <w:r>
              <w:rPr>
                <w:rFonts w:hint="eastAsia"/>
                <w:color w:val="auto"/>
                <w:highlight w:val="none"/>
                <w:lang w:val="en-US"/>
              </w:rPr>
              <w:t>情形</w:t>
            </w:r>
          </w:p>
        </w:tc>
        <w:tc>
          <w:tcPr>
            <w:tcW w:w="6168" w:type="dxa"/>
            <w:vAlign w:val="center"/>
          </w:tcPr>
          <w:p w14:paraId="13B1E4DC">
            <w:pPr>
              <w:adjustRightInd/>
              <w:jc w:val="both"/>
              <w:rPr>
                <w:rFonts w:hint="eastAsia" w:ascii="宋体" w:hAnsi="宋体" w:cs="宋体"/>
                <w:color w:val="auto"/>
                <w:highlight w:val="none"/>
              </w:rPr>
            </w:pPr>
            <w:r>
              <w:rPr>
                <w:rFonts w:hint="eastAsia" w:ascii="宋体" w:hAnsi="宋体" w:cs="宋体"/>
                <w:color w:val="auto"/>
                <w:highlight w:val="none"/>
              </w:rPr>
              <w:t>投标截止时间止，存在以下情形之一的不予开标，投标文件退还：</w:t>
            </w:r>
          </w:p>
          <w:p w14:paraId="2AA58FCF">
            <w:pPr>
              <w:adjustRightInd/>
              <w:jc w:val="both"/>
              <w:rPr>
                <w:rFonts w:hint="eastAsia" w:ascii="宋体" w:hAnsi="宋体" w:cs="宋体"/>
                <w:color w:val="auto"/>
                <w:highlight w:val="none"/>
              </w:rPr>
            </w:pPr>
            <w:r>
              <w:rPr>
                <w:rFonts w:hint="eastAsia" w:ascii="宋体" w:hAnsi="宋体" w:cs="宋体"/>
                <w:color w:val="auto"/>
                <w:highlight w:val="none"/>
              </w:rPr>
              <w:t>1.递交投标文件的投标人少于3个的；</w:t>
            </w:r>
          </w:p>
          <w:p w14:paraId="2C8AC168">
            <w:pPr>
              <w:jc w:val="both"/>
              <w:rPr>
                <w:rFonts w:hint="eastAsia" w:ascii="宋体" w:hAnsi="宋体" w:cs="宋体"/>
                <w:color w:val="auto"/>
                <w:highlight w:val="none"/>
              </w:rPr>
            </w:pPr>
            <w:r>
              <w:rPr>
                <w:rFonts w:hint="eastAsia" w:ascii="宋体" w:hAnsi="宋体" w:cs="宋体"/>
                <w:color w:val="auto"/>
                <w:highlight w:val="none"/>
              </w:rPr>
              <w:t>2.其他：</w:t>
            </w:r>
            <w:r>
              <w:rPr>
                <w:rFonts w:hint="eastAsia" w:ascii="宋体" w:hAnsi="宋体" w:cs="宋体"/>
                <w:color w:val="auto"/>
                <w:highlight w:val="none"/>
                <w:u w:val="single"/>
              </w:rPr>
              <w:t xml:space="preserve">    /   </w:t>
            </w:r>
            <w:r>
              <w:rPr>
                <w:rFonts w:hint="eastAsia" w:ascii="宋体" w:hAnsi="宋体" w:cs="宋体"/>
                <w:color w:val="auto"/>
                <w:highlight w:val="none"/>
              </w:rPr>
              <w:t>。</w:t>
            </w:r>
          </w:p>
        </w:tc>
      </w:tr>
      <w:tr w14:paraId="0ED14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24B0500">
            <w:pPr>
              <w:pStyle w:val="44"/>
              <w:kinsoku w:val="0"/>
              <w:overflowPunct w:val="0"/>
              <w:spacing w:before="3"/>
              <w:jc w:val="center"/>
              <w:rPr>
                <w:rFonts w:hint="eastAsia"/>
                <w:color w:val="auto"/>
                <w:highlight w:val="none"/>
              </w:rPr>
            </w:pPr>
            <w:r>
              <w:rPr>
                <w:rFonts w:hint="eastAsia"/>
                <w:color w:val="auto"/>
                <w:highlight w:val="none"/>
              </w:rPr>
              <w:t>4</w:t>
            </w:r>
            <w:r>
              <w:rPr>
                <w:color w:val="auto"/>
                <w:highlight w:val="none"/>
              </w:rPr>
              <w:t>.2.5</w:t>
            </w:r>
          </w:p>
        </w:tc>
        <w:tc>
          <w:tcPr>
            <w:tcW w:w="1701" w:type="dxa"/>
            <w:vAlign w:val="center"/>
          </w:tcPr>
          <w:p w14:paraId="630B98C8">
            <w:pPr>
              <w:jc w:val="center"/>
              <w:rPr>
                <w:color w:val="auto"/>
                <w:highlight w:val="none"/>
              </w:rPr>
            </w:pPr>
            <w:r>
              <w:rPr>
                <w:rFonts w:hint="eastAsia"/>
                <w:color w:val="auto"/>
                <w:highlight w:val="none"/>
              </w:rPr>
              <w:t>投标文件的</w:t>
            </w:r>
          </w:p>
          <w:p w14:paraId="4EF10AF2">
            <w:pPr>
              <w:jc w:val="center"/>
              <w:rPr>
                <w:rFonts w:hint="eastAsia" w:ascii="宋体" w:hAnsi="宋体" w:cs="宋体"/>
                <w:color w:val="auto"/>
                <w:highlight w:val="none"/>
              </w:rPr>
            </w:pPr>
            <w:r>
              <w:rPr>
                <w:rFonts w:hint="eastAsia"/>
                <w:color w:val="auto"/>
                <w:highlight w:val="none"/>
              </w:rPr>
              <w:t>拒收情形</w:t>
            </w:r>
          </w:p>
        </w:tc>
        <w:tc>
          <w:tcPr>
            <w:tcW w:w="6168" w:type="dxa"/>
            <w:vAlign w:val="center"/>
          </w:tcPr>
          <w:p w14:paraId="103DBB09">
            <w:pPr>
              <w:rPr>
                <w:rFonts w:hint="eastAsia" w:ascii="宋体" w:hAnsi="宋体" w:cs="宋体"/>
                <w:color w:val="auto"/>
                <w:highlight w:val="none"/>
              </w:rPr>
            </w:pPr>
            <w:r>
              <w:rPr>
                <w:rFonts w:hint="eastAsia" w:ascii="宋体" w:hAnsi="宋体" w:cs="宋体"/>
                <w:color w:val="auto"/>
                <w:highlight w:val="none"/>
              </w:rPr>
              <w:t>1.投标人未按规定加密的投标文件。</w:t>
            </w:r>
          </w:p>
          <w:p w14:paraId="2B3D08EF">
            <w:pPr>
              <w:rPr>
                <w:rFonts w:hint="eastAsia" w:ascii="宋体" w:hAnsi="宋体" w:cs="宋体"/>
                <w:color w:val="auto"/>
                <w:highlight w:val="none"/>
              </w:rPr>
            </w:pPr>
            <w:r>
              <w:rPr>
                <w:rFonts w:hint="eastAsia" w:ascii="宋体" w:hAnsi="宋体" w:cs="宋体"/>
                <w:color w:val="auto"/>
                <w:highlight w:val="none"/>
              </w:rPr>
              <w:t>2.未在投标截止时间前完成上传的投标文件。</w:t>
            </w:r>
          </w:p>
          <w:p w14:paraId="5F8C894C">
            <w:pPr>
              <w:rPr>
                <w:rFonts w:hint="eastAsia" w:ascii="宋体" w:hAnsi="宋体" w:cs="宋体"/>
                <w:color w:val="auto"/>
                <w:highlight w:val="none"/>
                <w:u w:val="single"/>
              </w:rPr>
            </w:pPr>
            <w:r>
              <w:rPr>
                <w:rFonts w:hint="eastAsia" w:ascii="宋体" w:hAnsi="宋体" w:cs="宋体"/>
                <w:color w:val="auto"/>
                <w:highlight w:val="none"/>
              </w:rPr>
              <w:t>3.其他：</w:t>
            </w:r>
            <w:r>
              <w:rPr>
                <w:rFonts w:hint="eastAsia" w:ascii="宋体" w:hAnsi="宋体" w:cs="宋体"/>
                <w:color w:val="auto"/>
                <w:highlight w:val="none"/>
                <w:u w:val="single"/>
              </w:rPr>
              <w:t>存在下列情况之一的，视为拒收：</w:t>
            </w:r>
          </w:p>
          <w:p w14:paraId="2D7C0599">
            <w:pPr>
              <w:rPr>
                <w:rFonts w:hint="eastAsia" w:ascii="宋体" w:hAnsi="宋体" w:cs="宋体"/>
                <w:color w:val="auto"/>
                <w:highlight w:val="none"/>
                <w:u w:val="single"/>
              </w:rPr>
            </w:pPr>
            <w:r>
              <w:rPr>
                <w:rFonts w:hint="eastAsia" w:ascii="宋体" w:hAnsi="宋体" w:cs="宋体"/>
                <w:color w:val="auto"/>
                <w:highlight w:val="none"/>
                <w:u w:val="single"/>
              </w:rPr>
              <w:t>（1）电子投标文件无法解密的；</w:t>
            </w:r>
          </w:p>
          <w:p w14:paraId="09EF8205">
            <w:pPr>
              <w:rPr>
                <w:rFonts w:hint="eastAsia" w:ascii="宋体" w:hAnsi="宋体" w:cs="宋体"/>
                <w:color w:val="auto"/>
                <w:highlight w:val="none"/>
                <w:u w:val="single"/>
              </w:rPr>
            </w:pPr>
            <w:r>
              <w:rPr>
                <w:rFonts w:hint="eastAsia" w:ascii="宋体" w:hAnsi="宋体" w:cs="宋体"/>
                <w:color w:val="auto"/>
                <w:highlight w:val="none"/>
                <w:u w:val="single"/>
              </w:rPr>
              <w:t>（2）电子投标文件解密后无法正确读取的；</w:t>
            </w:r>
          </w:p>
          <w:p w14:paraId="445BBF93">
            <w:pPr>
              <w:rPr>
                <w:rFonts w:hint="eastAsia" w:ascii="宋体" w:hAnsi="宋体" w:cs="宋体"/>
                <w:color w:val="auto"/>
                <w:highlight w:val="none"/>
              </w:rPr>
            </w:pPr>
            <w:r>
              <w:rPr>
                <w:rFonts w:hint="eastAsia" w:ascii="宋体" w:hAnsi="宋体" w:cs="宋体"/>
                <w:color w:val="auto"/>
                <w:highlight w:val="none"/>
                <w:u w:val="single"/>
              </w:rPr>
              <w:t>（3）电子投标文件无法导入成功的。</w:t>
            </w:r>
          </w:p>
        </w:tc>
      </w:tr>
      <w:tr w14:paraId="3405C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tcBorders>
              <w:top w:val="single" w:color="000000" w:sz="8" w:space="0"/>
            </w:tcBorders>
            <w:vAlign w:val="center"/>
          </w:tcPr>
          <w:p w14:paraId="0DD1E916">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5.1</w:t>
            </w:r>
          </w:p>
        </w:tc>
        <w:tc>
          <w:tcPr>
            <w:tcW w:w="1701" w:type="dxa"/>
            <w:tcBorders>
              <w:top w:val="single" w:color="000000" w:sz="8" w:space="0"/>
            </w:tcBorders>
            <w:vAlign w:val="center"/>
          </w:tcPr>
          <w:p w14:paraId="48E7A78A">
            <w:pPr>
              <w:pStyle w:val="44"/>
              <w:adjustRightInd/>
              <w:ind w:right="178" w:rightChars="74" w:firstLine="31" w:firstLineChars="13"/>
              <w:jc w:val="center"/>
              <w:rPr>
                <w:rFonts w:hint="eastAsia"/>
                <w:color w:val="auto"/>
                <w:highlight w:val="none"/>
              </w:rPr>
            </w:pPr>
            <w:r>
              <w:rPr>
                <w:rFonts w:hint="eastAsia"/>
                <w:color w:val="auto"/>
                <w:highlight w:val="none"/>
              </w:rPr>
              <w:t>开标时间、开标地点、</w:t>
            </w:r>
            <w:r>
              <w:rPr>
                <w:rFonts w:hint="eastAsia"/>
                <w:color w:val="auto"/>
                <w:spacing w:val="-3"/>
                <w:highlight w:val="none"/>
              </w:rPr>
              <w:t>参加开标会议</w:t>
            </w:r>
            <w:r>
              <w:rPr>
                <w:rFonts w:hint="eastAsia"/>
                <w:color w:val="auto"/>
                <w:highlight w:val="none"/>
              </w:rPr>
              <w:t>的要求</w:t>
            </w:r>
          </w:p>
        </w:tc>
        <w:tc>
          <w:tcPr>
            <w:tcW w:w="6168" w:type="dxa"/>
            <w:tcBorders>
              <w:top w:val="single" w:color="000000" w:sz="8" w:space="0"/>
            </w:tcBorders>
            <w:vAlign w:val="center"/>
          </w:tcPr>
          <w:p w14:paraId="7A133BF6">
            <w:pPr>
              <w:pStyle w:val="44"/>
              <w:adjustRightInd/>
              <w:jc w:val="both"/>
              <w:rPr>
                <w:rFonts w:hint="eastAsia"/>
                <w:color w:val="auto"/>
                <w:highlight w:val="none"/>
              </w:rPr>
            </w:pPr>
            <w:r>
              <w:rPr>
                <w:rFonts w:hint="eastAsia"/>
                <w:color w:val="auto"/>
                <w:highlight w:val="none"/>
              </w:rPr>
              <w:t>1.开标时间：同电子投标文件上传截止时间。</w:t>
            </w:r>
          </w:p>
          <w:p w14:paraId="4EF03C9C">
            <w:pPr>
              <w:pStyle w:val="44"/>
              <w:adjustRightInd/>
              <w:jc w:val="both"/>
              <w:rPr>
                <w:rFonts w:hint="eastAsia"/>
                <w:color w:val="auto"/>
                <w:highlight w:val="none"/>
              </w:rPr>
            </w:pPr>
            <w:r>
              <w:rPr>
                <w:rFonts w:hint="eastAsia"/>
                <w:color w:val="auto"/>
                <w:highlight w:val="none"/>
              </w:rPr>
              <w:t>2.开标地点：</w:t>
            </w:r>
            <w:r>
              <w:rPr>
                <w:rFonts w:hint="eastAsia"/>
                <w:color w:val="auto"/>
                <w:highlight w:val="none"/>
                <w:u w:val="single"/>
              </w:rPr>
              <w:t>绍兴市公共资源交易中心越城区分中心三楼指定开标室（延安东路660号）</w:t>
            </w:r>
            <w:r>
              <w:rPr>
                <w:rFonts w:hint="eastAsia"/>
                <w:color w:val="auto"/>
                <w:highlight w:val="none"/>
              </w:rPr>
              <w:t>。</w:t>
            </w:r>
          </w:p>
          <w:p w14:paraId="71520A68">
            <w:pPr>
              <w:snapToGrid w:val="0"/>
              <w:rPr>
                <w:rFonts w:hint="eastAsia" w:ascii="宋体" w:hAnsi="宋体"/>
                <w:color w:val="auto"/>
                <w:highlight w:val="none"/>
                <w:u w:val="single"/>
              </w:rPr>
            </w:pPr>
            <w:r>
              <w:rPr>
                <w:rFonts w:hint="eastAsia" w:ascii="宋体" w:hAnsi="宋体"/>
                <w:color w:val="auto"/>
                <w:highlight w:val="none"/>
                <w:u w:val="single"/>
              </w:rPr>
              <w:t>不见面开标大厅网址为：</w:t>
            </w:r>
          </w:p>
          <w:p w14:paraId="73661A89">
            <w:pPr>
              <w:snapToGrid w:val="0"/>
              <w:rPr>
                <w:color w:val="auto"/>
                <w:highlight w:val="none"/>
                <w:shd w:val="clear" w:color="auto" w:fill="FFFFFF"/>
              </w:rPr>
            </w:pPr>
            <w:r>
              <w:rPr>
                <w:rFonts w:hint="eastAsia" w:ascii="宋体" w:hAnsi="宋体"/>
                <w:color w:val="auto"/>
                <w:highlight w:val="none"/>
                <w:u w:val="single"/>
              </w:rPr>
              <w:t>（http://bjm.sxyc.gov.cn/BidOpening/bidopeninghallaction/hall/login）</w:t>
            </w:r>
          </w:p>
          <w:p w14:paraId="2F14E332">
            <w:pPr>
              <w:adjustRightInd/>
              <w:jc w:val="both"/>
              <w:rPr>
                <w:rFonts w:hint="eastAsia" w:ascii="宋体" w:hAnsi="宋体" w:cs="宋体"/>
                <w:color w:val="auto"/>
                <w:highlight w:val="none"/>
                <w:u w:val="single"/>
                <w:shd w:val="clear" w:color="auto" w:fill="FFFFFF"/>
              </w:rPr>
            </w:pPr>
            <w:r>
              <w:rPr>
                <w:rFonts w:hint="eastAsia" w:ascii="宋体" w:hAnsi="宋体" w:cs="宋体"/>
                <w:color w:val="auto"/>
                <w:highlight w:val="none"/>
                <w:shd w:val="clear" w:color="auto" w:fill="FFFFFF"/>
              </w:rPr>
              <w:t>3.开标平台：</w:t>
            </w:r>
            <w:r>
              <w:rPr>
                <w:rFonts w:hint="eastAsia" w:ascii="宋体" w:hAnsi="宋体" w:cs="宋体"/>
                <w:color w:val="auto"/>
                <w:highlight w:val="none"/>
                <w:u w:val="single"/>
              </w:rPr>
              <w:t xml:space="preserve">本项目采用“不见面”开标方式，不强制要求投标人参加现场开标会 </w:t>
            </w:r>
            <w:r>
              <w:rPr>
                <w:rFonts w:hint="eastAsia"/>
                <w:color w:val="auto"/>
                <w:highlight w:val="none"/>
              </w:rPr>
              <w:t>。</w:t>
            </w:r>
          </w:p>
          <w:p w14:paraId="4F5CBE85">
            <w:pPr>
              <w:pStyle w:val="44"/>
              <w:adjustRightInd/>
              <w:ind w:right="34" w:rightChars="14"/>
              <w:jc w:val="both"/>
              <w:rPr>
                <w:rFonts w:hint="eastAsia"/>
                <w:color w:val="auto"/>
                <w:highlight w:val="none"/>
              </w:rPr>
            </w:pPr>
            <w:r>
              <w:rPr>
                <w:rFonts w:hint="eastAsia"/>
                <w:color w:val="auto"/>
                <w:highlight w:val="none"/>
                <w:shd w:val="clear" w:color="auto" w:fill="FFFFFF"/>
              </w:rPr>
              <w:t>4.其他：</w:t>
            </w:r>
            <w:r>
              <w:rPr>
                <w:rFonts w:hint="eastAsia"/>
                <w:color w:val="auto"/>
                <w:highlight w:val="none"/>
                <w:u w:val="single"/>
                <w:shd w:val="clear" w:color="auto" w:fill="FFFFFF"/>
              </w:rPr>
              <w:t>因网络、系统、电力等不可抗力因素延期开标的</w:t>
            </w:r>
            <w:r>
              <w:rPr>
                <w:rFonts w:hint="eastAsia"/>
                <w:color w:val="auto"/>
                <w:highlight w:val="none"/>
                <w:shd w:val="clear" w:color="auto" w:fill="FFFFFF"/>
              </w:rPr>
              <w:t>。</w:t>
            </w:r>
          </w:p>
        </w:tc>
      </w:tr>
      <w:tr w14:paraId="71A9A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jc w:val="center"/>
        </w:trPr>
        <w:tc>
          <w:tcPr>
            <w:tcW w:w="988" w:type="dxa"/>
            <w:vAlign w:val="center"/>
          </w:tcPr>
          <w:p w14:paraId="5CC2D1B6">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5.2</w:t>
            </w:r>
          </w:p>
        </w:tc>
        <w:tc>
          <w:tcPr>
            <w:tcW w:w="1701" w:type="dxa"/>
            <w:vAlign w:val="center"/>
          </w:tcPr>
          <w:p w14:paraId="38F42203">
            <w:pPr>
              <w:pStyle w:val="44"/>
              <w:adjustRightInd/>
              <w:ind w:right="178" w:rightChars="74" w:firstLine="31" w:firstLineChars="13"/>
              <w:jc w:val="center"/>
              <w:rPr>
                <w:rFonts w:hint="eastAsia"/>
                <w:color w:val="auto"/>
                <w:highlight w:val="none"/>
              </w:rPr>
            </w:pPr>
            <w:r>
              <w:rPr>
                <w:rFonts w:hint="eastAsia"/>
                <w:color w:val="auto"/>
                <w:highlight w:val="none"/>
              </w:rPr>
              <w:t>开标</w:t>
            </w:r>
          </w:p>
        </w:tc>
        <w:tc>
          <w:tcPr>
            <w:tcW w:w="6168" w:type="dxa"/>
            <w:vAlign w:val="center"/>
          </w:tcPr>
          <w:p w14:paraId="08C9A057">
            <w:pPr>
              <w:snapToGrid w:val="0"/>
              <w:jc w:val="both"/>
              <w:rPr>
                <w:rFonts w:hint="eastAsia" w:ascii="宋体" w:hAnsi="宋体" w:cs="宋体"/>
                <w:color w:val="auto"/>
                <w:highlight w:val="none"/>
                <w:lang w:val="zh-CN" w:bidi="zh-CN"/>
              </w:rPr>
            </w:pPr>
            <w:r>
              <w:rPr>
                <w:rFonts w:hint="eastAsia" w:ascii="宋体" w:hAnsi="宋体" w:cs="宋体"/>
                <w:color w:val="auto"/>
                <w:highlight w:val="none"/>
                <w:lang w:val="zh-CN" w:bidi="zh-CN"/>
              </w:rPr>
              <w:t>（一）宣布开标</w:t>
            </w:r>
          </w:p>
          <w:p w14:paraId="3A18D584">
            <w:pPr>
              <w:snapToGrid w:val="0"/>
              <w:jc w:val="both"/>
              <w:rPr>
                <w:rFonts w:hint="eastAsia" w:ascii="宋体" w:hAnsi="宋体" w:cs="宋体"/>
                <w:color w:val="auto"/>
                <w:highlight w:val="none"/>
                <w:lang w:val="zh-CN" w:bidi="zh-CN"/>
              </w:rPr>
            </w:pPr>
            <w:r>
              <w:rPr>
                <w:rFonts w:hint="eastAsia" w:ascii="宋体" w:hAnsi="宋体" w:cs="宋体"/>
                <w:color w:val="auto"/>
                <w:highlight w:val="none"/>
                <w:lang w:val="zh-CN" w:bidi="zh-CN"/>
              </w:rPr>
              <w:t>（二）公布投标人数量</w:t>
            </w:r>
          </w:p>
          <w:p w14:paraId="65C3ED5C">
            <w:pPr>
              <w:snapToGrid w:val="0"/>
              <w:jc w:val="both"/>
              <w:rPr>
                <w:rFonts w:hint="eastAsia" w:ascii="宋体" w:hAnsi="宋体" w:cs="宋体"/>
                <w:color w:val="auto"/>
                <w:highlight w:val="none"/>
                <w:lang w:val="zh-CN" w:bidi="zh-CN"/>
              </w:rPr>
            </w:pPr>
            <w:r>
              <w:rPr>
                <w:rFonts w:hint="eastAsia" w:ascii="宋体" w:hAnsi="宋体" w:cs="宋体"/>
                <w:color w:val="auto"/>
                <w:highlight w:val="none"/>
                <w:lang w:val="zh-CN" w:bidi="zh-CN"/>
              </w:rPr>
              <w:t>（三）投标人解密（投标文件解密在</w:t>
            </w:r>
            <w:r>
              <w:rPr>
                <w:rFonts w:hint="eastAsia" w:ascii="宋体" w:hAnsi="宋体" w:cs="宋体"/>
                <w:color w:val="auto"/>
                <w:highlight w:val="none"/>
                <w:lang w:bidi="zh-CN"/>
              </w:rPr>
              <w:t>60</w:t>
            </w:r>
            <w:r>
              <w:rPr>
                <w:rFonts w:hint="eastAsia" w:ascii="宋体" w:hAnsi="宋体" w:cs="宋体"/>
                <w:color w:val="auto"/>
                <w:highlight w:val="none"/>
                <w:lang w:val="zh-CN" w:bidi="zh-CN"/>
              </w:rPr>
              <w:t>分钟内完成，具体以电子招投标交易平台系统时间为准）</w:t>
            </w:r>
          </w:p>
          <w:p w14:paraId="2875DC68">
            <w:pPr>
              <w:snapToGrid w:val="0"/>
              <w:jc w:val="both"/>
              <w:rPr>
                <w:rFonts w:hint="eastAsia" w:ascii="宋体" w:hAnsi="宋体" w:cs="宋体"/>
                <w:color w:val="auto"/>
                <w:highlight w:val="none"/>
                <w:lang w:val="zh-CN" w:bidi="zh-CN"/>
              </w:rPr>
            </w:pPr>
            <w:r>
              <w:rPr>
                <w:rFonts w:hint="eastAsia" w:ascii="宋体" w:hAnsi="宋体" w:cs="宋体"/>
                <w:color w:val="auto"/>
                <w:highlight w:val="none"/>
                <w:lang w:val="zh-CN" w:bidi="zh-CN"/>
              </w:rPr>
              <w:t>（四）清单、参数录入，抽取评标基准价计算方法。（若有）</w:t>
            </w:r>
          </w:p>
          <w:p w14:paraId="4C955088">
            <w:pPr>
              <w:snapToGrid w:val="0"/>
              <w:jc w:val="both"/>
              <w:rPr>
                <w:rFonts w:hint="eastAsia" w:ascii="宋体" w:hAnsi="宋体" w:cs="宋体"/>
                <w:color w:val="auto"/>
                <w:highlight w:val="none"/>
                <w:lang w:val="zh-CN" w:bidi="zh-CN"/>
              </w:rPr>
            </w:pPr>
            <w:r>
              <w:rPr>
                <w:rFonts w:hint="eastAsia" w:ascii="宋体" w:hAnsi="宋体" w:cs="宋体"/>
                <w:color w:val="auto"/>
                <w:highlight w:val="none"/>
                <w:lang w:val="zh-CN" w:bidi="zh-CN"/>
              </w:rPr>
              <w:t>（五）公布开标结果</w:t>
            </w:r>
          </w:p>
          <w:p w14:paraId="173F4794">
            <w:pPr>
              <w:pStyle w:val="44"/>
              <w:adjustRightInd/>
              <w:ind w:right="34" w:rightChars="14"/>
              <w:jc w:val="both"/>
              <w:rPr>
                <w:rFonts w:hint="eastAsia"/>
                <w:color w:val="auto"/>
                <w:highlight w:val="none"/>
              </w:rPr>
            </w:pPr>
            <w:r>
              <w:rPr>
                <w:rFonts w:hint="eastAsia"/>
                <w:color w:val="auto"/>
                <w:highlight w:val="none"/>
              </w:rPr>
              <w:t>（六）开标结束</w:t>
            </w:r>
          </w:p>
        </w:tc>
      </w:tr>
      <w:tr w14:paraId="26761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49ADFB3">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6.1.1</w:t>
            </w:r>
          </w:p>
        </w:tc>
        <w:tc>
          <w:tcPr>
            <w:tcW w:w="1701" w:type="dxa"/>
            <w:vAlign w:val="center"/>
          </w:tcPr>
          <w:p w14:paraId="148491E6">
            <w:pPr>
              <w:pStyle w:val="44"/>
              <w:adjustRightInd/>
              <w:ind w:right="178" w:rightChars="74" w:firstLine="31" w:firstLineChars="13"/>
              <w:jc w:val="center"/>
              <w:rPr>
                <w:rFonts w:hint="eastAsia"/>
                <w:color w:val="auto"/>
                <w:highlight w:val="none"/>
              </w:rPr>
            </w:pPr>
            <w:r>
              <w:rPr>
                <w:rFonts w:hint="eastAsia"/>
                <w:color w:val="auto"/>
                <w:highlight w:val="none"/>
              </w:rPr>
              <w:t>评标委员会的组建</w:t>
            </w:r>
          </w:p>
        </w:tc>
        <w:tc>
          <w:tcPr>
            <w:tcW w:w="6168" w:type="dxa"/>
            <w:vAlign w:val="center"/>
          </w:tcPr>
          <w:p w14:paraId="3CDDDD0D">
            <w:pPr>
              <w:pStyle w:val="44"/>
              <w:adjustRightInd/>
              <w:ind w:right="34" w:rightChars="14"/>
              <w:jc w:val="both"/>
              <w:rPr>
                <w:rFonts w:hint="eastAsia"/>
                <w:color w:val="auto"/>
                <w:highlight w:val="none"/>
              </w:rPr>
            </w:pPr>
            <w:r>
              <w:rPr>
                <w:rFonts w:hint="eastAsia"/>
                <w:color w:val="auto"/>
                <w:spacing w:val="-2"/>
                <w:highlight w:val="none"/>
              </w:rPr>
              <w:t>评标委员会构成：</w:t>
            </w:r>
            <w:r>
              <w:rPr>
                <w:rFonts w:hint="eastAsia"/>
                <w:color w:val="auto"/>
                <w:spacing w:val="-2"/>
                <w:highlight w:val="none"/>
                <w:u w:val="single"/>
                <w:lang w:val="en-US"/>
              </w:rPr>
              <w:t>按规定进行组建和抽取</w:t>
            </w:r>
            <w:r>
              <w:rPr>
                <w:rFonts w:hint="eastAsia"/>
                <w:color w:val="auto"/>
                <w:spacing w:val="-2"/>
                <w:highlight w:val="none"/>
              </w:rPr>
              <w:t>。</w:t>
            </w:r>
          </w:p>
        </w:tc>
      </w:tr>
      <w:tr w14:paraId="56EE8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AE6C9D5">
            <w:pPr>
              <w:pStyle w:val="44"/>
              <w:tabs>
                <w:tab w:val="left" w:pos="1100"/>
              </w:tabs>
              <w:adjustRightInd/>
              <w:ind w:left="10" w:right="125" w:rightChars="52" w:hanging="10"/>
              <w:jc w:val="center"/>
              <w:rPr>
                <w:rFonts w:hint="eastAsia"/>
                <w:color w:val="auto"/>
                <w:highlight w:val="none"/>
                <w:lang w:val="en-US"/>
              </w:rPr>
            </w:pPr>
            <w:r>
              <w:rPr>
                <w:rFonts w:hint="eastAsia"/>
                <w:color w:val="auto"/>
                <w:highlight w:val="none"/>
              </w:rPr>
              <w:t>6.3.1</w:t>
            </w:r>
          </w:p>
        </w:tc>
        <w:tc>
          <w:tcPr>
            <w:tcW w:w="1701" w:type="dxa"/>
            <w:vAlign w:val="center"/>
          </w:tcPr>
          <w:p w14:paraId="22D9B158">
            <w:pPr>
              <w:pStyle w:val="44"/>
              <w:adjustRightInd/>
              <w:ind w:right="178" w:rightChars="74" w:firstLine="31" w:firstLineChars="13"/>
              <w:jc w:val="center"/>
              <w:rPr>
                <w:rFonts w:hint="eastAsia"/>
                <w:color w:val="auto"/>
                <w:highlight w:val="none"/>
              </w:rPr>
            </w:pPr>
            <w:r>
              <w:rPr>
                <w:rFonts w:hint="eastAsia"/>
                <w:color w:val="auto"/>
                <w:highlight w:val="none"/>
              </w:rPr>
              <w:t>评标方法</w:t>
            </w:r>
          </w:p>
        </w:tc>
        <w:tc>
          <w:tcPr>
            <w:tcW w:w="6168" w:type="dxa"/>
            <w:vAlign w:val="center"/>
          </w:tcPr>
          <w:p w14:paraId="147542F4">
            <w:pPr>
              <w:pStyle w:val="44"/>
              <w:tabs>
                <w:tab w:val="left" w:pos="2309"/>
                <w:tab w:val="left" w:pos="2729"/>
                <w:tab w:val="left" w:pos="3826"/>
              </w:tabs>
              <w:adjustRightInd/>
              <w:jc w:val="both"/>
              <w:rPr>
                <w:rFonts w:hint="eastAsia"/>
                <w:color w:val="auto"/>
                <w:spacing w:val="-6"/>
                <w:highlight w:val="none"/>
              </w:rPr>
            </w:pPr>
            <w:r>
              <w:rPr>
                <w:rFonts w:hint="eastAsia"/>
                <w:color w:val="auto"/>
                <w:highlight w:val="none"/>
              </w:rPr>
              <w:t>☑</w:t>
            </w:r>
            <w:r>
              <w:rPr>
                <w:rFonts w:hint="eastAsia"/>
                <w:color w:val="auto"/>
                <w:highlight w:val="none"/>
                <w:lang w:val="en-US"/>
              </w:rPr>
              <w:t>1.</w:t>
            </w:r>
            <w:r>
              <w:rPr>
                <w:rFonts w:hint="eastAsia"/>
                <w:color w:val="auto"/>
                <w:spacing w:val="-6"/>
                <w:highlight w:val="none"/>
              </w:rPr>
              <w:t>综合评估法：</w:t>
            </w:r>
          </w:p>
          <w:p w14:paraId="71965724">
            <w:pPr>
              <w:pStyle w:val="44"/>
              <w:tabs>
                <w:tab w:val="left" w:pos="2309"/>
                <w:tab w:val="left" w:pos="2729"/>
                <w:tab w:val="left" w:pos="3826"/>
              </w:tabs>
              <w:adjustRightInd/>
              <w:jc w:val="both"/>
              <w:rPr>
                <w:rFonts w:hint="eastAsia"/>
                <w:color w:val="auto"/>
                <w:highlight w:val="none"/>
                <w:lang w:val="en-US"/>
              </w:rPr>
            </w:pPr>
            <w:r>
              <w:rPr>
                <w:rFonts w:hint="eastAsia"/>
                <w:color w:val="auto"/>
                <w:highlight w:val="none"/>
              </w:rPr>
              <w:t>☑（</w:t>
            </w:r>
            <w:r>
              <w:rPr>
                <w:rFonts w:hint="eastAsia"/>
                <w:color w:val="auto"/>
                <w:highlight w:val="none"/>
                <w:lang w:val="en-US"/>
              </w:rPr>
              <w:t>1</w:t>
            </w:r>
            <w:r>
              <w:rPr>
                <w:rFonts w:hint="eastAsia"/>
                <w:color w:val="auto"/>
                <w:highlight w:val="none"/>
              </w:rPr>
              <w:t>）</w:t>
            </w:r>
            <w:r>
              <w:rPr>
                <w:rFonts w:hint="eastAsia"/>
                <w:color w:val="auto"/>
                <w:highlight w:val="none"/>
                <w:lang w:val="en-US"/>
              </w:rPr>
              <w:t>适用于技术复杂项目，</w:t>
            </w:r>
            <w:r>
              <w:rPr>
                <w:rFonts w:hint="eastAsia"/>
                <w:color w:val="auto"/>
                <w:highlight w:val="none"/>
              </w:rPr>
              <w:t>技术标评分</w:t>
            </w:r>
            <w:r>
              <w:rPr>
                <w:rFonts w:hint="eastAsia"/>
                <w:color w:val="auto"/>
                <w:highlight w:val="none"/>
                <w:u w:val="single"/>
              </w:rPr>
              <w:t xml:space="preserve"> </w:t>
            </w:r>
            <w:r>
              <w:rPr>
                <w:rFonts w:hint="eastAsia"/>
                <w:color w:val="auto"/>
                <w:highlight w:val="none"/>
                <w:u w:val="single"/>
                <w:lang w:val="en-US"/>
              </w:rPr>
              <w:t>30</w:t>
            </w:r>
            <w:r>
              <w:rPr>
                <w:rFonts w:hint="eastAsia"/>
                <w:color w:val="auto"/>
                <w:highlight w:val="none"/>
              </w:rPr>
              <w:t>分,资信标评分</w:t>
            </w:r>
            <w:r>
              <w:rPr>
                <w:rFonts w:hint="eastAsia"/>
                <w:color w:val="auto"/>
                <w:highlight w:val="none"/>
                <w:u w:val="single"/>
              </w:rPr>
              <w:t xml:space="preserve"> </w:t>
            </w:r>
            <w:r>
              <w:rPr>
                <w:rFonts w:hint="eastAsia"/>
                <w:color w:val="auto"/>
                <w:highlight w:val="none"/>
                <w:u w:val="single"/>
                <w:lang w:val="en-US"/>
              </w:rPr>
              <w:t>6</w:t>
            </w:r>
            <w:r>
              <w:rPr>
                <w:rFonts w:hint="eastAsia"/>
                <w:color w:val="auto"/>
                <w:highlight w:val="none"/>
              </w:rPr>
              <w:t xml:space="preserve"> 分,商务标评分</w:t>
            </w:r>
            <w:r>
              <w:rPr>
                <w:rFonts w:hint="eastAsia"/>
                <w:color w:val="auto"/>
                <w:highlight w:val="none"/>
                <w:u w:val="single"/>
              </w:rPr>
              <w:t xml:space="preserve"> </w:t>
            </w:r>
            <w:r>
              <w:rPr>
                <w:rFonts w:hint="eastAsia"/>
                <w:color w:val="auto"/>
                <w:highlight w:val="none"/>
                <w:u w:val="single"/>
                <w:lang w:val="en-US"/>
              </w:rPr>
              <w:t xml:space="preserve">64 </w:t>
            </w:r>
            <w:r>
              <w:rPr>
                <w:rFonts w:hint="eastAsia"/>
                <w:color w:val="auto"/>
                <w:highlight w:val="none"/>
                <w:u w:val="single"/>
              </w:rPr>
              <w:t xml:space="preserve"> </w:t>
            </w:r>
            <w:r>
              <w:rPr>
                <w:rFonts w:hint="eastAsia"/>
                <w:color w:val="auto"/>
                <w:highlight w:val="none"/>
              </w:rPr>
              <w:t>分</w:t>
            </w:r>
            <w:r>
              <w:rPr>
                <w:rFonts w:hint="eastAsia"/>
                <w:color w:val="auto"/>
                <w:highlight w:val="none"/>
                <w:lang w:val="en-US"/>
              </w:rPr>
              <w:t xml:space="preserve"> 。</w:t>
            </w:r>
          </w:p>
          <w:p w14:paraId="2F99EB60">
            <w:pPr>
              <w:pStyle w:val="44"/>
              <w:tabs>
                <w:tab w:val="left" w:pos="2309"/>
                <w:tab w:val="left" w:pos="2729"/>
                <w:tab w:val="left" w:pos="3826"/>
              </w:tabs>
              <w:adjustRightInd/>
              <w:jc w:val="both"/>
              <w:rPr>
                <w:rFonts w:hint="eastAsia"/>
                <w:color w:val="auto"/>
                <w:highlight w:val="none"/>
                <w:lang w:val="en-US"/>
              </w:rPr>
            </w:pPr>
            <w:r>
              <w:rPr>
                <w:rFonts w:hint="eastAsia"/>
                <w:color w:val="auto"/>
                <w:highlight w:val="none"/>
              </w:rPr>
              <w:t>□（</w:t>
            </w:r>
            <w:r>
              <w:rPr>
                <w:rFonts w:hint="eastAsia"/>
                <w:color w:val="auto"/>
                <w:highlight w:val="none"/>
                <w:lang w:val="en-US"/>
              </w:rPr>
              <w:t>2</w:t>
            </w:r>
            <w:r>
              <w:rPr>
                <w:rFonts w:hint="eastAsia"/>
                <w:color w:val="auto"/>
                <w:highlight w:val="none"/>
              </w:rPr>
              <w:t>）</w:t>
            </w:r>
            <w:r>
              <w:rPr>
                <w:rFonts w:hint="eastAsia"/>
                <w:color w:val="auto"/>
                <w:highlight w:val="none"/>
                <w:lang w:val="en-US"/>
              </w:rPr>
              <w:t>适用于非技术复杂项目，</w:t>
            </w:r>
            <w:r>
              <w:rPr>
                <w:rFonts w:hint="eastAsia"/>
                <w:color w:val="auto"/>
                <w:highlight w:val="none"/>
              </w:rPr>
              <w:t>技术标评分</w:t>
            </w:r>
            <w:r>
              <w:rPr>
                <w:rFonts w:hint="eastAsia"/>
                <w:color w:val="auto"/>
                <w:highlight w:val="none"/>
                <w:u w:val="single"/>
              </w:rPr>
              <w:t xml:space="preserve">    </w:t>
            </w:r>
            <w:r>
              <w:rPr>
                <w:rFonts w:hint="eastAsia"/>
                <w:color w:val="auto"/>
                <w:highlight w:val="none"/>
              </w:rPr>
              <w:t>分,资信标评分</w:t>
            </w:r>
            <w:r>
              <w:rPr>
                <w:rFonts w:hint="eastAsia"/>
                <w:color w:val="auto"/>
                <w:highlight w:val="none"/>
                <w:u w:val="single"/>
              </w:rPr>
              <w:t xml:space="preserve">   </w:t>
            </w:r>
            <w:r>
              <w:rPr>
                <w:rFonts w:hint="eastAsia"/>
                <w:color w:val="auto"/>
                <w:highlight w:val="none"/>
              </w:rPr>
              <w:t xml:space="preserve"> 分,商务标评分</w:t>
            </w:r>
            <w:r>
              <w:rPr>
                <w:rFonts w:hint="eastAsia"/>
                <w:color w:val="auto"/>
                <w:highlight w:val="none"/>
                <w:u w:val="single"/>
              </w:rPr>
              <w:t xml:space="preserve">     </w:t>
            </w:r>
            <w:r>
              <w:rPr>
                <w:rFonts w:hint="eastAsia"/>
                <w:color w:val="auto"/>
                <w:highlight w:val="none"/>
              </w:rPr>
              <w:t>分</w:t>
            </w:r>
            <w:r>
              <w:rPr>
                <w:rFonts w:hint="eastAsia"/>
                <w:color w:val="auto"/>
                <w:highlight w:val="none"/>
                <w:lang w:val="en-US"/>
              </w:rPr>
              <w:t xml:space="preserve"> 。</w:t>
            </w:r>
          </w:p>
          <w:p w14:paraId="3EE79FE9">
            <w:pPr>
              <w:pStyle w:val="44"/>
              <w:adjustRightInd/>
              <w:ind w:right="34" w:rightChars="14"/>
              <w:jc w:val="both"/>
              <w:rPr>
                <w:rFonts w:hint="eastAsia"/>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.其他</w:t>
            </w:r>
            <w:r>
              <w:rPr>
                <w:rFonts w:hint="eastAsia"/>
                <w:color w:val="auto"/>
                <w:highlight w:val="none"/>
                <w:u w:val="single"/>
              </w:rPr>
              <w:t xml:space="preserve">           </w:t>
            </w:r>
            <w:r>
              <w:rPr>
                <w:rFonts w:hint="eastAsia"/>
                <w:color w:val="auto"/>
                <w:highlight w:val="none"/>
                <w:u w:val="single"/>
                <w:lang w:val="en-US"/>
              </w:rPr>
              <w:t xml:space="preserve">              </w:t>
            </w:r>
            <w:r>
              <w:rPr>
                <w:rFonts w:hint="eastAsia"/>
                <w:color w:val="auto"/>
                <w:highlight w:val="none"/>
                <w:u w:val="single"/>
              </w:rPr>
              <w:t xml:space="preserve">      </w:t>
            </w:r>
            <w:r>
              <w:rPr>
                <w:rFonts w:hint="eastAsia"/>
                <w:color w:val="auto"/>
                <w:highlight w:val="none"/>
              </w:rPr>
              <w:t>。</w:t>
            </w:r>
          </w:p>
        </w:tc>
      </w:tr>
      <w:tr w14:paraId="2592F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7941470">
            <w:pPr>
              <w:pStyle w:val="44"/>
              <w:snapToGrid w:val="0"/>
              <w:jc w:val="center"/>
              <w:rPr>
                <w:rFonts w:hint="eastAsia"/>
                <w:color w:val="auto"/>
                <w:highlight w:val="none"/>
              </w:rPr>
            </w:pPr>
            <w:r>
              <w:rPr>
                <w:rFonts w:hint="eastAsia"/>
                <w:color w:val="auto"/>
                <w:highlight w:val="none"/>
              </w:rPr>
              <w:t>6.3.2</w:t>
            </w:r>
          </w:p>
        </w:tc>
        <w:tc>
          <w:tcPr>
            <w:tcW w:w="1701" w:type="dxa"/>
            <w:vAlign w:val="center"/>
          </w:tcPr>
          <w:p w14:paraId="26E0C988">
            <w:pPr>
              <w:pStyle w:val="44"/>
              <w:snapToGrid w:val="0"/>
              <w:jc w:val="center"/>
              <w:rPr>
                <w:rFonts w:hint="eastAsia"/>
                <w:color w:val="auto"/>
                <w:highlight w:val="none"/>
              </w:rPr>
            </w:pPr>
            <w:r>
              <w:rPr>
                <w:rFonts w:ascii="Times New Roman"/>
                <w:color w:val="auto"/>
                <w:highlight w:val="none"/>
              </w:rPr>
              <w:t>评标委员会推荐中标候选人的人数</w:t>
            </w:r>
            <w:r>
              <w:rPr>
                <w:rFonts w:hint="eastAsia" w:ascii="Times New Roman"/>
                <w:color w:val="auto"/>
                <w:highlight w:val="none"/>
              </w:rPr>
              <w:t>和是否排序</w:t>
            </w:r>
          </w:p>
        </w:tc>
        <w:tc>
          <w:tcPr>
            <w:tcW w:w="6168" w:type="dxa"/>
            <w:vAlign w:val="center"/>
          </w:tcPr>
          <w:p w14:paraId="18A02CC4">
            <w:pPr>
              <w:snapToGrid w:val="0"/>
              <w:jc w:val="both"/>
              <w:rPr>
                <w:rFonts w:hint="eastAsia" w:ascii="Times New Roman" w:hAnsi="宋体"/>
                <w:color w:val="auto"/>
                <w:highlight w:val="none"/>
              </w:rPr>
            </w:pPr>
            <w:r>
              <w:rPr>
                <w:rFonts w:hint="eastAsia" w:ascii="宋体" w:hAnsi="宋体"/>
                <w:color w:val="auto"/>
                <w:highlight w:val="none"/>
              </w:rPr>
              <w:t>□1.</w:t>
            </w:r>
            <w:r>
              <w:rPr>
                <w:rFonts w:hint="eastAsia" w:ascii="Times New Roman" w:hAnsi="宋体"/>
                <w:color w:val="auto"/>
                <w:highlight w:val="none"/>
                <w:u w:val="single"/>
              </w:rPr>
              <w:t>（应根据法律法规及相关文件要求填写）</w:t>
            </w:r>
            <w:r>
              <w:rPr>
                <w:rFonts w:ascii="Times New Roman" w:hAnsi="Times New Roman"/>
                <w:color w:val="auto"/>
                <w:highlight w:val="none"/>
                <w:u w:val="single"/>
              </w:rPr>
              <w:t xml:space="preserve"> </w:t>
            </w:r>
            <w:r>
              <w:rPr>
                <w:rFonts w:ascii="Times New Roman" w:hAnsi="宋体"/>
                <w:color w:val="auto"/>
                <w:highlight w:val="none"/>
              </w:rPr>
              <w:t>。</w:t>
            </w:r>
          </w:p>
          <w:p w14:paraId="53E2242F">
            <w:pPr>
              <w:snapToGrid w:val="0"/>
              <w:jc w:val="both"/>
              <w:rPr>
                <w:rFonts w:hint="eastAsia" w:ascii="宋体" w:hAnsi="宋体" w:cs="宋体"/>
                <w:color w:val="auto"/>
                <w:highlight w:val="none"/>
              </w:rPr>
            </w:pPr>
            <w:r>
              <w:rPr>
                <w:rFonts w:hint="eastAsia" w:ascii="宋体" w:hAnsi="宋体"/>
                <w:color w:val="auto"/>
                <w:highlight w:val="none"/>
              </w:rPr>
              <w:t>☑2.评定分离：</w:t>
            </w:r>
            <w:r>
              <w:rPr>
                <w:rFonts w:hint="eastAsia" w:ascii="Times New Roman" w:hAnsi="宋体"/>
                <w:color w:val="auto"/>
                <w:highlight w:val="none"/>
                <w:u w:val="single"/>
              </w:rPr>
              <w:t>当有效投标人数量3家及以上且不足8家时，由评标委员会推荐总得分前3名为中标候选人；当有效投标人数量为8家及以上且不足10家时，由评标委员会推荐总得分前4名为中标候选人；当有效投标人数量为10家及以上时，由评标委员会推荐总得分前5名为中标候选人。</w:t>
            </w:r>
            <w:r>
              <w:rPr>
                <w:rFonts w:hint="eastAsia" w:ascii="宋体" w:hAnsi="宋体"/>
                <w:color w:val="auto"/>
                <w:highlight w:val="none"/>
              </w:rPr>
              <w:t>如总得分相同的，以投标总报价低的优先，投标总报价仍相同的，以资信标得分高的优先；资信标得分仍相同的,以技术标得分高的优先；上述均相同的由招标人当场抽签确定。</w:t>
            </w:r>
            <w:r>
              <w:rPr>
                <w:rFonts w:hint="eastAsia" w:ascii="Times New Roman" w:hAnsi="宋体"/>
                <w:color w:val="auto"/>
                <w:highlight w:val="none"/>
                <w:u w:val="single"/>
              </w:rPr>
              <w:t>若入围的中标候选人公示期间收到质疑，有中标候选人存在影响中标结果的违法行为等情况的，一经查实取消其中标候选人的资格。当中标候选人数量少于 3 名时，可以进行下列操作:由评标委员会评定按总分从高到低进行排序，递补至满足 3 名候选人或招标人重新招标;当中标候选人数量≥3 名时，不再进行递补。</w:t>
            </w:r>
          </w:p>
        </w:tc>
      </w:tr>
      <w:tr w14:paraId="5682D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1EB401D">
            <w:pPr>
              <w:pStyle w:val="44"/>
              <w:snapToGrid w:val="0"/>
              <w:jc w:val="center"/>
              <w:rPr>
                <w:rFonts w:hint="eastAsia"/>
                <w:color w:val="auto"/>
                <w:highlight w:val="none"/>
                <w:lang w:val="en-US"/>
              </w:rPr>
            </w:pPr>
            <w:r>
              <w:rPr>
                <w:rFonts w:ascii="Times New Roman" w:hAnsi="Times New Roman"/>
                <w:color w:val="auto"/>
                <w:highlight w:val="none"/>
              </w:rPr>
              <w:t>7.</w:t>
            </w:r>
            <w:r>
              <w:rPr>
                <w:rFonts w:hint="eastAsia" w:ascii="Times New Roman" w:hAnsi="Times New Roman"/>
                <w:color w:val="auto"/>
                <w:highlight w:val="none"/>
                <w:lang w:val="en-US"/>
              </w:rPr>
              <w:t>1.1</w:t>
            </w:r>
          </w:p>
        </w:tc>
        <w:tc>
          <w:tcPr>
            <w:tcW w:w="1701" w:type="dxa"/>
            <w:vAlign w:val="center"/>
          </w:tcPr>
          <w:p w14:paraId="09075F32">
            <w:pPr>
              <w:pStyle w:val="44"/>
              <w:snapToGrid w:val="0"/>
              <w:jc w:val="center"/>
              <w:rPr>
                <w:rFonts w:hint="eastAsia"/>
                <w:color w:val="auto"/>
                <w:highlight w:val="none"/>
              </w:rPr>
            </w:pPr>
            <w:r>
              <w:rPr>
                <w:rFonts w:ascii="Times New Roman" w:cs="Times New Roman"/>
                <w:color w:val="auto"/>
                <w:highlight w:val="none"/>
              </w:rPr>
              <w:t>确定中标人</w:t>
            </w:r>
          </w:p>
        </w:tc>
        <w:tc>
          <w:tcPr>
            <w:tcW w:w="6168" w:type="dxa"/>
            <w:vAlign w:val="center"/>
          </w:tcPr>
          <w:p w14:paraId="7ADBBFA7">
            <w:pPr>
              <w:pStyle w:val="44"/>
              <w:snapToGrid w:val="0"/>
              <w:jc w:val="both"/>
              <w:rPr>
                <w:rFonts w:hint="eastAsia" w:cs="Times New Roman"/>
                <w:color w:val="auto"/>
                <w:highlight w:val="none"/>
              </w:rPr>
            </w:pPr>
            <w:r>
              <w:rPr>
                <w:color w:val="auto"/>
                <w:highlight w:val="none"/>
              </w:rPr>
              <w:t>□</w:t>
            </w:r>
            <w:r>
              <w:rPr>
                <w:rFonts w:hint="eastAsia" w:ascii="Times New Roman"/>
                <w:color w:val="auto"/>
                <w:highlight w:val="none"/>
                <w:lang w:val="en-US"/>
              </w:rPr>
              <w:t>授权</w:t>
            </w:r>
            <w:r>
              <w:rPr>
                <w:rFonts w:ascii="Times New Roman" w:cs="Times New Roman"/>
                <w:color w:val="auto"/>
                <w:highlight w:val="none"/>
              </w:rPr>
              <w:t>评标委员会确定中标人</w:t>
            </w:r>
            <w:r>
              <w:rPr>
                <w:rFonts w:cs="Times New Roman"/>
                <w:color w:val="auto"/>
                <w:highlight w:val="none"/>
              </w:rPr>
              <w:t>。</w:t>
            </w:r>
          </w:p>
          <w:p w14:paraId="5B54563D">
            <w:pPr>
              <w:pStyle w:val="44"/>
              <w:snapToGrid w:val="0"/>
              <w:jc w:val="both"/>
              <w:rPr>
                <w:rFonts w:hint="eastAsia" w:cs="Times New Roman"/>
                <w:color w:val="auto"/>
                <w:highlight w:val="none"/>
              </w:rPr>
            </w:pPr>
            <w:r>
              <w:rPr>
                <w:rFonts w:hint="eastAsia"/>
                <w:color w:val="auto"/>
                <w:highlight w:val="none"/>
              </w:rPr>
              <w:t>□</w:t>
            </w:r>
            <w:r>
              <w:rPr>
                <w:rFonts w:hint="eastAsia" w:cs="Times New Roman"/>
                <w:color w:val="auto"/>
                <w:highlight w:val="none"/>
                <w:lang w:val="en-US"/>
              </w:rPr>
              <w:t>根据评标委员会推荐，由招标人</w:t>
            </w:r>
            <w:r>
              <w:rPr>
                <w:rFonts w:ascii="Times New Roman" w:cs="Times New Roman"/>
                <w:color w:val="auto"/>
                <w:highlight w:val="none"/>
              </w:rPr>
              <w:t>确定中标人</w:t>
            </w:r>
            <w:r>
              <w:rPr>
                <w:rFonts w:cs="Times New Roman"/>
                <w:color w:val="auto"/>
                <w:highlight w:val="none"/>
              </w:rPr>
              <w:t>。</w:t>
            </w:r>
          </w:p>
          <w:p w14:paraId="4D7D43A4">
            <w:pPr>
              <w:pStyle w:val="44"/>
              <w:snapToGrid w:val="0"/>
              <w:jc w:val="both"/>
              <w:rPr>
                <w:rFonts w:hint="eastAsia" w:cs="Times New Roman"/>
                <w:color w:val="auto"/>
                <w:highlight w:val="none"/>
              </w:rPr>
            </w:pPr>
            <w:r>
              <w:rPr>
                <w:rFonts w:hint="eastAsia"/>
                <w:color w:val="auto"/>
                <w:highlight w:val="none"/>
              </w:rPr>
              <w:t>☑</w:t>
            </w:r>
            <w:r>
              <w:rPr>
                <w:rFonts w:hint="eastAsia" w:cs="Times New Roman"/>
                <w:color w:val="auto"/>
                <w:highlight w:val="none"/>
                <w:lang w:val="en-US"/>
              </w:rPr>
              <w:t>评定分离，根据评标委员会推荐，另行组织定标会议，由定标委员会</w:t>
            </w:r>
            <w:r>
              <w:rPr>
                <w:rFonts w:ascii="Times New Roman" w:cs="Times New Roman"/>
                <w:color w:val="auto"/>
                <w:highlight w:val="none"/>
              </w:rPr>
              <w:t>确定中标人</w:t>
            </w:r>
            <w:r>
              <w:rPr>
                <w:rFonts w:cs="Times New Roman"/>
                <w:color w:val="auto"/>
                <w:highlight w:val="none"/>
              </w:rPr>
              <w:t>。</w:t>
            </w:r>
          </w:p>
          <w:p w14:paraId="5998D07B">
            <w:pPr>
              <w:pStyle w:val="44"/>
              <w:snapToGrid w:val="0"/>
              <w:jc w:val="both"/>
              <w:rPr>
                <w:rFonts w:hint="eastAsia"/>
                <w:color w:val="auto"/>
                <w:spacing w:val="-2"/>
                <w:highlight w:val="none"/>
              </w:rPr>
            </w:pPr>
            <w:r>
              <w:rPr>
                <w:rFonts w:hint="eastAsia"/>
                <w:color w:val="auto"/>
                <w:highlight w:val="none"/>
              </w:rPr>
              <w:t>□</w:t>
            </w:r>
            <w:r>
              <w:rPr>
                <w:rFonts w:ascii="Times New Roman" w:cs="Times New Roman"/>
                <w:color w:val="auto"/>
                <w:highlight w:val="none"/>
              </w:rPr>
              <w:t>其他：</w:t>
            </w:r>
            <w:r>
              <w:rPr>
                <w:rFonts w:ascii="Times New Roman" w:hAnsi="Times New Roman" w:cs="Times New Roman"/>
                <w:color w:val="auto"/>
                <w:highlight w:val="none"/>
                <w:u w:val="single"/>
              </w:rPr>
              <w:t xml:space="preserve">              </w:t>
            </w:r>
            <w:r>
              <w:rPr>
                <w:rFonts w:ascii="Times New Roman" w:cs="Times New Roman"/>
                <w:color w:val="auto"/>
                <w:highlight w:val="none"/>
              </w:rPr>
              <w:t>。</w:t>
            </w:r>
          </w:p>
        </w:tc>
      </w:tr>
      <w:tr w14:paraId="5703C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74E75C48">
            <w:pPr>
              <w:pStyle w:val="44"/>
              <w:snapToGrid w:val="0"/>
              <w:jc w:val="center"/>
              <w:rPr>
                <w:rFonts w:hint="eastAsia"/>
                <w:color w:val="auto"/>
                <w:highlight w:val="none"/>
                <w:lang w:val="en-US"/>
              </w:rPr>
            </w:pPr>
            <w:r>
              <w:rPr>
                <w:rFonts w:hint="eastAsia" w:ascii="Times New Roman" w:hAnsi="Times New Roman"/>
                <w:color w:val="auto"/>
                <w:highlight w:val="none"/>
                <w:lang w:val="en-US"/>
              </w:rPr>
              <w:t>7.1.3</w:t>
            </w:r>
          </w:p>
        </w:tc>
        <w:tc>
          <w:tcPr>
            <w:tcW w:w="1701" w:type="dxa"/>
            <w:vAlign w:val="center"/>
          </w:tcPr>
          <w:p w14:paraId="6ACC1A55">
            <w:pPr>
              <w:jc w:val="center"/>
              <w:rPr>
                <w:color w:val="auto"/>
                <w:highlight w:val="none"/>
              </w:rPr>
            </w:pPr>
            <w:r>
              <w:rPr>
                <w:rFonts w:hint="eastAsia" w:ascii="宋体" w:hAnsi="宋体"/>
                <w:color w:val="auto"/>
                <w:highlight w:val="none"/>
              </w:rPr>
              <w:t>☑</w:t>
            </w:r>
            <w:r>
              <w:rPr>
                <w:rFonts w:hint="eastAsia" w:ascii="Times New Roman" w:hAnsi="宋体"/>
                <w:color w:val="auto"/>
                <w:highlight w:val="none"/>
              </w:rPr>
              <w:t>定标会议地点和时间</w:t>
            </w:r>
          </w:p>
        </w:tc>
        <w:tc>
          <w:tcPr>
            <w:tcW w:w="6168" w:type="dxa"/>
            <w:vAlign w:val="center"/>
          </w:tcPr>
          <w:p w14:paraId="331B298A">
            <w:pPr>
              <w:pStyle w:val="44"/>
              <w:snapToGrid w:val="0"/>
              <w:jc w:val="both"/>
              <w:rPr>
                <w:rFonts w:ascii="Times New Roman" w:hAnsi="Times New Roman" w:cs="Times New Roman"/>
                <w:color w:val="auto"/>
                <w:highlight w:val="none"/>
              </w:rPr>
            </w:pPr>
            <w:r>
              <w:rPr>
                <w:rFonts w:hint="eastAsia"/>
                <w:color w:val="auto"/>
                <w:highlight w:val="none"/>
              </w:rPr>
              <w:t>☑</w:t>
            </w:r>
            <w:r>
              <w:rPr>
                <w:rFonts w:ascii="Times New Roman" w:hAnsi="Times New Roman" w:cs="Times New Roman"/>
                <w:color w:val="auto"/>
                <w:highlight w:val="none"/>
              </w:rPr>
              <w:t>1.</w:t>
            </w:r>
            <w:r>
              <w:rPr>
                <w:rFonts w:hint="eastAsia" w:ascii="Times New Roman" w:cs="Times New Roman"/>
                <w:color w:val="auto"/>
                <w:highlight w:val="none"/>
                <w:lang w:val="en-US"/>
              </w:rPr>
              <w:t>定</w:t>
            </w:r>
            <w:r>
              <w:rPr>
                <w:rFonts w:ascii="Times New Roman" w:cs="Times New Roman"/>
                <w:color w:val="auto"/>
                <w:highlight w:val="none"/>
              </w:rPr>
              <w:t>标时间：</w:t>
            </w:r>
            <w:r>
              <w:rPr>
                <w:rFonts w:hint="eastAsia" w:ascii="Times New Roman" w:cs="Times New Roman"/>
                <w:color w:val="auto"/>
                <w:highlight w:val="none"/>
                <w:u w:val="single"/>
                <w:lang w:val="en-US"/>
              </w:rPr>
              <w:t xml:space="preserve"> </w:t>
            </w:r>
            <w:r>
              <w:rPr>
                <w:rFonts w:hint="eastAsia"/>
                <w:color w:val="auto"/>
                <w:highlight w:val="none"/>
                <w:u w:val="single"/>
              </w:rPr>
              <w:t>在中标候选人公示结束后确定</w:t>
            </w:r>
            <w:r>
              <w:rPr>
                <w:rFonts w:hint="eastAsia" w:ascii="Times New Roman" w:cs="Times New Roman"/>
                <w:color w:val="auto"/>
                <w:highlight w:val="none"/>
                <w:u w:val="single"/>
                <w:lang w:val="en-US"/>
              </w:rPr>
              <w:t xml:space="preserve"> </w:t>
            </w:r>
            <w:r>
              <w:rPr>
                <w:rFonts w:ascii="Times New Roman" w:cs="Times New Roman"/>
                <w:color w:val="auto"/>
                <w:highlight w:val="none"/>
              </w:rPr>
              <w:t>。</w:t>
            </w:r>
          </w:p>
          <w:p w14:paraId="341553F2">
            <w:pPr>
              <w:pStyle w:val="44"/>
              <w:snapToGrid w:val="0"/>
              <w:jc w:val="both"/>
              <w:rPr>
                <w:rFonts w:hint="eastAsia" w:ascii="Times New Roman" w:cs="Times New Roman"/>
                <w:color w:val="auto"/>
                <w:highlight w:val="none"/>
              </w:rPr>
            </w:pPr>
            <w:r>
              <w:rPr>
                <w:rFonts w:hint="eastAsia"/>
                <w:color w:val="auto"/>
                <w:highlight w:val="none"/>
              </w:rPr>
              <w:t>☑</w:t>
            </w:r>
            <w:r>
              <w:rPr>
                <w:rFonts w:ascii="Times New Roman" w:hAnsi="Times New Roman" w:cs="Times New Roman"/>
                <w:color w:val="auto"/>
                <w:highlight w:val="none"/>
              </w:rPr>
              <w:t>2.</w:t>
            </w:r>
            <w:r>
              <w:rPr>
                <w:rFonts w:hint="eastAsia" w:ascii="Times New Roman" w:cs="Times New Roman"/>
                <w:color w:val="auto"/>
                <w:highlight w:val="none"/>
                <w:lang w:val="en-US"/>
              </w:rPr>
              <w:t>定</w:t>
            </w:r>
            <w:r>
              <w:rPr>
                <w:rFonts w:ascii="Times New Roman" w:cs="Times New Roman"/>
                <w:color w:val="auto"/>
                <w:highlight w:val="none"/>
              </w:rPr>
              <w:t>标地点：</w:t>
            </w:r>
            <w:r>
              <w:rPr>
                <w:rFonts w:ascii="Times New Roman" w:hAnsi="Times New Roman" w:cs="Times New Roman"/>
                <w:color w:val="auto"/>
                <w:highlight w:val="none"/>
                <w:u w:val="single"/>
              </w:rPr>
              <w:t xml:space="preserve"> </w:t>
            </w:r>
            <w:r>
              <w:rPr>
                <w:rFonts w:hint="eastAsia"/>
                <w:color w:val="auto"/>
                <w:highlight w:val="none"/>
                <w:u w:val="single"/>
              </w:rPr>
              <w:t>在中标候选人公示结束后确定</w:t>
            </w:r>
            <w:r>
              <w:rPr>
                <w:rFonts w:ascii="Times New Roman" w:hAnsi="Times New Roman" w:cs="Times New Roman"/>
                <w:color w:val="auto"/>
                <w:highlight w:val="none"/>
                <w:u w:val="single"/>
              </w:rPr>
              <w:t xml:space="preserve"> </w:t>
            </w:r>
            <w:r>
              <w:rPr>
                <w:rFonts w:ascii="Times New Roman" w:cs="Times New Roman"/>
                <w:color w:val="auto"/>
                <w:highlight w:val="none"/>
              </w:rPr>
              <w:t>。</w:t>
            </w:r>
          </w:p>
          <w:p w14:paraId="31424953">
            <w:pPr>
              <w:pStyle w:val="44"/>
              <w:snapToGrid w:val="0"/>
              <w:jc w:val="both"/>
              <w:rPr>
                <w:rFonts w:hint="eastAsia"/>
                <w:color w:val="auto"/>
                <w:spacing w:val="-2"/>
                <w:highlight w:val="none"/>
              </w:rPr>
            </w:pPr>
            <w:r>
              <w:rPr>
                <w:rFonts w:hint="eastAsia"/>
                <w:color w:val="auto"/>
                <w:highlight w:val="none"/>
              </w:rPr>
              <w:t>☑招标人根据相关规定在评标结果公示结束后</w:t>
            </w:r>
            <w:r>
              <w:rPr>
                <w:rFonts w:hint="eastAsia"/>
                <w:color w:val="auto"/>
                <w:highlight w:val="none"/>
                <w:lang w:val="en-US"/>
              </w:rPr>
              <w:t>10日内召开定标会议。</w:t>
            </w:r>
          </w:p>
        </w:tc>
      </w:tr>
      <w:tr w14:paraId="2B5F5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476540BD">
            <w:pPr>
              <w:pStyle w:val="44"/>
              <w:snapToGrid w:val="0"/>
              <w:jc w:val="center"/>
              <w:rPr>
                <w:rFonts w:hint="eastAsia"/>
                <w:strike/>
                <w:color w:val="auto"/>
                <w:highlight w:val="none"/>
                <w:lang w:val="en-US"/>
              </w:rPr>
            </w:pPr>
            <w:r>
              <w:rPr>
                <w:rFonts w:hint="eastAsia" w:ascii="Times New Roman" w:hAnsi="Times New Roman"/>
                <w:strike/>
                <w:color w:val="auto"/>
                <w:highlight w:val="none"/>
                <w:lang w:val="en-US"/>
              </w:rPr>
              <w:t>7.1.4</w:t>
            </w:r>
          </w:p>
        </w:tc>
        <w:tc>
          <w:tcPr>
            <w:tcW w:w="1701" w:type="dxa"/>
            <w:vAlign w:val="center"/>
          </w:tcPr>
          <w:p w14:paraId="127177BE">
            <w:pPr>
              <w:snapToGrid w:val="0"/>
              <w:jc w:val="center"/>
              <w:rPr>
                <w:strike/>
                <w:color w:val="auto"/>
                <w:highlight w:val="none"/>
              </w:rPr>
            </w:pPr>
            <w:r>
              <w:rPr>
                <w:rFonts w:hint="eastAsia" w:ascii="宋体" w:hAnsi="宋体"/>
                <w:strike/>
                <w:color w:val="auto"/>
                <w:highlight w:val="none"/>
              </w:rPr>
              <w:t>□</w:t>
            </w:r>
            <w:r>
              <w:rPr>
                <w:rFonts w:ascii="Times New Roman" w:hAnsi="宋体"/>
                <w:strike/>
                <w:color w:val="auto"/>
                <w:highlight w:val="none"/>
              </w:rPr>
              <w:t>考察、质询</w:t>
            </w:r>
          </w:p>
        </w:tc>
        <w:tc>
          <w:tcPr>
            <w:tcW w:w="6168" w:type="dxa"/>
            <w:vAlign w:val="center"/>
          </w:tcPr>
          <w:p w14:paraId="260B68C6">
            <w:pPr>
              <w:autoSpaceDN/>
              <w:snapToGrid w:val="0"/>
              <w:jc w:val="both"/>
              <w:rPr>
                <w:rFonts w:hint="eastAsia" w:ascii="Times New Roman" w:hAnsi="宋体"/>
                <w:strike/>
                <w:color w:val="auto"/>
                <w:highlight w:val="none"/>
              </w:rPr>
            </w:pPr>
            <w:r>
              <w:rPr>
                <w:rFonts w:hint="eastAsia" w:ascii="宋体" w:hAnsi="宋体"/>
                <w:strike/>
                <w:color w:val="auto"/>
                <w:highlight w:val="none"/>
              </w:rPr>
              <w:t>□</w:t>
            </w:r>
            <w:r>
              <w:rPr>
                <w:rFonts w:hint="eastAsia" w:ascii="Times New Roman" w:hAnsi="宋体"/>
                <w:strike/>
                <w:color w:val="auto"/>
                <w:highlight w:val="none"/>
              </w:rPr>
              <w:t>1.</w:t>
            </w:r>
            <w:r>
              <w:rPr>
                <w:rFonts w:ascii="Times New Roman" w:hAnsi="宋体"/>
                <w:strike/>
                <w:color w:val="auto"/>
                <w:highlight w:val="none"/>
              </w:rPr>
              <w:t>在定标会议前</w:t>
            </w:r>
            <w:r>
              <w:rPr>
                <w:rFonts w:hint="eastAsia" w:ascii="Times New Roman" w:hAnsi="宋体"/>
                <w:strike/>
                <w:color w:val="auto"/>
                <w:highlight w:val="none"/>
              </w:rPr>
              <w:t>（</w:t>
            </w:r>
            <w:r>
              <w:rPr>
                <w:rFonts w:ascii="Times New Roman" w:hAnsi="宋体"/>
                <w:strike/>
                <w:color w:val="auto"/>
                <w:highlight w:val="none"/>
              </w:rPr>
              <w:t>考察、质询应给予中标候选人合理的准备时间。）对所有中标候选人进行考察、质询。</w:t>
            </w:r>
          </w:p>
          <w:p w14:paraId="1EBF48FA">
            <w:pPr>
              <w:snapToGrid w:val="0"/>
              <w:jc w:val="both"/>
              <w:rPr>
                <w:strike/>
                <w:color w:val="auto"/>
                <w:spacing w:val="-2"/>
                <w:highlight w:val="none"/>
              </w:rPr>
            </w:pPr>
            <w:r>
              <w:rPr>
                <w:rFonts w:hint="eastAsia" w:ascii="宋体" w:hAnsi="宋体"/>
                <w:strike/>
                <w:color w:val="auto"/>
                <w:highlight w:val="none"/>
              </w:rPr>
              <w:t>□</w:t>
            </w:r>
            <w:r>
              <w:rPr>
                <w:rFonts w:hint="eastAsia" w:ascii="Times New Roman" w:hAnsi="宋体"/>
                <w:strike/>
                <w:color w:val="auto"/>
                <w:highlight w:val="none"/>
              </w:rPr>
              <w:t>2.</w:t>
            </w:r>
            <w:r>
              <w:rPr>
                <w:rFonts w:ascii="Times New Roman" w:hAnsi="宋体"/>
                <w:strike/>
                <w:color w:val="auto"/>
                <w:highlight w:val="none"/>
              </w:rPr>
              <w:t>考察、质询小组由</w:t>
            </w:r>
            <w:r>
              <w:rPr>
                <w:rFonts w:ascii="Times New Roman" w:hAnsi="宋体"/>
                <w:strike/>
                <w:color w:val="auto"/>
                <w:highlight w:val="none"/>
                <w:u w:val="single"/>
              </w:rPr>
              <w:t>（3人及以上单数）</w:t>
            </w:r>
            <w:r>
              <w:rPr>
                <w:rFonts w:ascii="Times New Roman" w:hAnsi="宋体"/>
                <w:strike/>
                <w:color w:val="auto"/>
                <w:highlight w:val="none"/>
              </w:rPr>
              <w:t>组成。</w:t>
            </w:r>
            <w:r>
              <w:rPr>
                <w:rFonts w:hint="eastAsia" w:ascii="Times New Roman" w:hAnsi="宋体"/>
                <w:strike/>
                <w:color w:val="auto"/>
                <w:highlight w:val="none"/>
              </w:rPr>
              <w:t>（不需要）</w:t>
            </w:r>
          </w:p>
        </w:tc>
      </w:tr>
      <w:tr w14:paraId="18E8E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03D3948D">
            <w:pPr>
              <w:pStyle w:val="44"/>
              <w:snapToGrid w:val="0"/>
              <w:jc w:val="center"/>
              <w:rPr>
                <w:rFonts w:hint="eastAsia"/>
                <w:color w:val="auto"/>
                <w:highlight w:val="none"/>
                <w:lang w:val="en-US"/>
              </w:rPr>
            </w:pPr>
            <w:r>
              <w:rPr>
                <w:rFonts w:hint="eastAsia" w:ascii="Times New Roman" w:hAnsi="Times New Roman"/>
                <w:color w:val="auto"/>
                <w:highlight w:val="none"/>
                <w:lang w:val="en-US"/>
              </w:rPr>
              <w:t>7.1.5</w:t>
            </w:r>
          </w:p>
        </w:tc>
        <w:tc>
          <w:tcPr>
            <w:tcW w:w="1701" w:type="dxa"/>
            <w:vAlign w:val="center"/>
          </w:tcPr>
          <w:p w14:paraId="66F69B78">
            <w:pPr>
              <w:pStyle w:val="44"/>
              <w:snapToGrid w:val="0"/>
              <w:jc w:val="center"/>
              <w:rPr>
                <w:rFonts w:hint="eastAsia"/>
                <w:color w:val="auto"/>
                <w:highlight w:val="none"/>
              </w:rPr>
            </w:pPr>
            <w:r>
              <w:rPr>
                <w:rFonts w:hint="eastAsia"/>
                <w:color w:val="auto"/>
                <w:highlight w:val="none"/>
              </w:rPr>
              <w:t>☑</w:t>
            </w:r>
            <w:r>
              <w:rPr>
                <w:rFonts w:ascii="Times New Roman" w:cs="Times New Roman"/>
                <w:color w:val="auto"/>
                <w:highlight w:val="none"/>
              </w:rPr>
              <w:t>定标委员会</w:t>
            </w:r>
            <w:r>
              <w:rPr>
                <w:rFonts w:hint="eastAsia" w:ascii="Times New Roman" w:cs="Times New Roman"/>
                <w:color w:val="auto"/>
                <w:highlight w:val="none"/>
                <w:lang w:val="en-US"/>
              </w:rPr>
              <w:t>的组建</w:t>
            </w:r>
          </w:p>
        </w:tc>
        <w:tc>
          <w:tcPr>
            <w:tcW w:w="6168" w:type="dxa"/>
            <w:vAlign w:val="center"/>
          </w:tcPr>
          <w:p w14:paraId="1DB737EB">
            <w:pPr>
              <w:pStyle w:val="44"/>
              <w:snapToGrid w:val="0"/>
              <w:jc w:val="both"/>
              <w:rPr>
                <w:rFonts w:hint="eastAsia"/>
                <w:color w:val="auto"/>
                <w:spacing w:val="-2"/>
                <w:highlight w:val="none"/>
              </w:rPr>
            </w:pPr>
            <w:r>
              <w:rPr>
                <w:rFonts w:ascii="Times New Roman" w:cs="Times New Roman"/>
                <w:color w:val="auto"/>
                <w:highlight w:val="none"/>
              </w:rPr>
              <w:t>定标委员会</w:t>
            </w:r>
            <w:r>
              <w:rPr>
                <w:rFonts w:hint="eastAsia" w:ascii="Times New Roman" w:cs="Times New Roman"/>
                <w:color w:val="auto"/>
                <w:highlight w:val="none"/>
                <w:lang w:val="en-US"/>
              </w:rPr>
              <w:t>由（</w:t>
            </w:r>
            <w:r>
              <w:rPr>
                <w:rFonts w:ascii="Times New Roman" w:cs="Times New Roman"/>
                <w:color w:val="auto"/>
                <w:highlight w:val="none"/>
                <w:lang w:val="en-US"/>
              </w:rPr>
              <w:t>5人及以上单数</w:t>
            </w:r>
            <w:r>
              <w:rPr>
                <w:rFonts w:hint="eastAsia" w:ascii="Times New Roman" w:cs="Times New Roman"/>
                <w:color w:val="auto"/>
                <w:highlight w:val="none"/>
                <w:u w:val="single"/>
                <w:lang w:val="en-US"/>
              </w:rPr>
              <w:t>）</w:t>
            </w:r>
            <w:r>
              <w:rPr>
                <w:rFonts w:ascii="Times New Roman" w:cs="Times New Roman"/>
                <w:color w:val="auto"/>
                <w:highlight w:val="none"/>
              </w:rPr>
              <w:t>组成。</w:t>
            </w:r>
          </w:p>
        </w:tc>
      </w:tr>
      <w:tr w14:paraId="58F82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39DAA699">
            <w:pPr>
              <w:pStyle w:val="44"/>
              <w:snapToGrid w:val="0"/>
              <w:jc w:val="center"/>
              <w:rPr>
                <w:rFonts w:hint="eastAsia"/>
                <w:strike/>
                <w:color w:val="auto"/>
                <w:highlight w:val="none"/>
                <w:lang w:val="en-US"/>
              </w:rPr>
            </w:pPr>
            <w:r>
              <w:rPr>
                <w:rFonts w:hint="eastAsia" w:ascii="Times New Roman" w:hAnsi="Times New Roman"/>
                <w:strike/>
                <w:color w:val="auto"/>
                <w:highlight w:val="none"/>
                <w:lang w:val="en-US"/>
              </w:rPr>
              <w:t>7.1.6</w:t>
            </w:r>
          </w:p>
        </w:tc>
        <w:tc>
          <w:tcPr>
            <w:tcW w:w="1701" w:type="dxa"/>
            <w:vAlign w:val="center"/>
          </w:tcPr>
          <w:p w14:paraId="14361E7E">
            <w:pPr>
              <w:pStyle w:val="44"/>
              <w:snapToGrid w:val="0"/>
              <w:jc w:val="center"/>
              <w:rPr>
                <w:rFonts w:hint="eastAsia"/>
                <w:strike/>
                <w:color w:val="auto"/>
                <w:highlight w:val="none"/>
              </w:rPr>
            </w:pPr>
            <w:r>
              <w:rPr>
                <w:rFonts w:hint="eastAsia"/>
                <w:strike/>
                <w:color w:val="auto"/>
                <w:highlight w:val="none"/>
              </w:rPr>
              <w:t>□</w:t>
            </w:r>
            <w:r>
              <w:rPr>
                <w:rFonts w:ascii="Times New Roman" w:cs="Times New Roman"/>
                <w:strike/>
                <w:color w:val="auto"/>
                <w:highlight w:val="none"/>
              </w:rPr>
              <w:t>现场面试</w:t>
            </w:r>
          </w:p>
        </w:tc>
        <w:tc>
          <w:tcPr>
            <w:tcW w:w="6168" w:type="dxa"/>
            <w:vAlign w:val="center"/>
          </w:tcPr>
          <w:p w14:paraId="7B3C7241">
            <w:pPr>
              <w:pStyle w:val="44"/>
              <w:snapToGrid w:val="0"/>
              <w:jc w:val="both"/>
              <w:rPr>
                <w:rFonts w:hint="eastAsia"/>
                <w:strike/>
                <w:color w:val="auto"/>
                <w:spacing w:val="-2"/>
                <w:highlight w:val="none"/>
              </w:rPr>
            </w:pPr>
            <w:r>
              <w:rPr>
                <w:rFonts w:hint="eastAsia"/>
                <w:strike/>
                <w:color w:val="auto"/>
                <w:highlight w:val="none"/>
                <w:lang w:val="en-US"/>
              </w:rPr>
              <w:t>招标人在定标会议中可对中标候选人开展现场面试，中标候选人拟派项目负责人，以及投标人（联合体投标的，为联合体牵头人）持有安全生产考核合格证书的企业主要负责人（法定代表人、企业经理、企业分管安全生产的副经理、企业技术负责人中任意一人）参加现场面试。</w:t>
            </w:r>
          </w:p>
        </w:tc>
      </w:tr>
      <w:tr w14:paraId="27D7A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430DEF65">
            <w:pPr>
              <w:pStyle w:val="44"/>
              <w:snapToGrid w:val="0"/>
              <w:jc w:val="center"/>
              <w:rPr>
                <w:rFonts w:hint="eastAsia"/>
                <w:color w:val="auto"/>
                <w:highlight w:val="none"/>
                <w:lang w:val="en-US"/>
              </w:rPr>
            </w:pPr>
            <w:r>
              <w:rPr>
                <w:rFonts w:hint="eastAsia" w:ascii="Times New Roman" w:hAnsi="Times New Roman"/>
                <w:color w:val="auto"/>
                <w:highlight w:val="none"/>
                <w:lang w:val="en-US"/>
              </w:rPr>
              <w:t>7.1.7</w:t>
            </w:r>
          </w:p>
        </w:tc>
        <w:tc>
          <w:tcPr>
            <w:tcW w:w="1701" w:type="dxa"/>
            <w:vAlign w:val="center"/>
          </w:tcPr>
          <w:p w14:paraId="08A5CB43">
            <w:pPr>
              <w:pStyle w:val="44"/>
              <w:snapToGrid w:val="0"/>
              <w:jc w:val="center"/>
              <w:rPr>
                <w:rFonts w:hint="eastAsia"/>
                <w:color w:val="auto"/>
                <w:highlight w:val="none"/>
              </w:rPr>
            </w:pPr>
            <w:r>
              <w:rPr>
                <w:rFonts w:hint="eastAsia"/>
                <w:color w:val="auto"/>
                <w:highlight w:val="none"/>
              </w:rPr>
              <w:t>☑</w:t>
            </w:r>
            <w:r>
              <w:rPr>
                <w:rFonts w:ascii="Times New Roman" w:cs="Times New Roman"/>
                <w:color w:val="auto"/>
                <w:highlight w:val="none"/>
              </w:rPr>
              <w:t>定标要素及具体内容</w:t>
            </w:r>
          </w:p>
        </w:tc>
        <w:tc>
          <w:tcPr>
            <w:tcW w:w="6168" w:type="dxa"/>
            <w:vAlign w:val="center"/>
          </w:tcPr>
          <w:p w14:paraId="5B738D73">
            <w:pPr>
              <w:pStyle w:val="44"/>
              <w:snapToGrid w:val="0"/>
              <w:jc w:val="both"/>
              <w:rPr>
                <w:rFonts w:hint="eastAsia" w:ascii="Times New Roman" w:cs="Times New Roman"/>
                <w:color w:val="auto"/>
                <w:highlight w:val="none"/>
                <w:lang w:val="en-US"/>
              </w:rPr>
            </w:pPr>
            <w:r>
              <w:rPr>
                <w:rFonts w:hint="eastAsia" w:ascii="Times New Roman"/>
                <w:color w:val="auto"/>
                <w:highlight w:val="none"/>
              </w:rPr>
              <w:t>☑</w:t>
            </w:r>
            <w:r>
              <w:rPr>
                <w:rFonts w:hint="eastAsia" w:ascii="Times New Roman" w:cs="Times New Roman"/>
                <w:color w:val="auto"/>
                <w:highlight w:val="none"/>
                <w:lang w:val="en-US"/>
              </w:rPr>
              <w:t>1.价格因素：</w:t>
            </w:r>
            <w:r>
              <w:rPr>
                <w:rFonts w:hint="eastAsia" w:ascii="Times New Roman" w:cs="Times New Roman"/>
                <w:color w:val="auto"/>
                <w:highlight w:val="none"/>
                <w:u w:val="single"/>
                <w:lang w:val="en-US"/>
              </w:rPr>
              <w:t xml:space="preserve"> 主要包括商务报价高低、主要材料报价的合理性、不平衡报价情况等 </w:t>
            </w:r>
            <w:r>
              <w:rPr>
                <w:rFonts w:hint="eastAsia" w:ascii="Times New Roman" w:cs="Times New Roman"/>
                <w:color w:val="auto"/>
                <w:highlight w:val="none"/>
                <w:lang w:val="en-US"/>
              </w:rPr>
              <w:t>；</w:t>
            </w:r>
          </w:p>
          <w:p w14:paraId="7B0652E2">
            <w:pPr>
              <w:pStyle w:val="44"/>
              <w:snapToGrid w:val="0"/>
              <w:jc w:val="both"/>
              <w:rPr>
                <w:rFonts w:hint="eastAsia" w:ascii="Times New Roman" w:cs="Times New Roman"/>
                <w:color w:val="auto"/>
                <w:highlight w:val="none"/>
                <w:lang w:val="en-US"/>
              </w:rPr>
            </w:pPr>
            <w:r>
              <w:rPr>
                <w:rFonts w:hint="eastAsia" w:ascii="Times New Roman"/>
                <w:color w:val="auto"/>
                <w:highlight w:val="none"/>
              </w:rPr>
              <w:t>☑</w:t>
            </w:r>
            <w:r>
              <w:rPr>
                <w:rFonts w:hint="eastAsia" w:ascii="Times New Roman" w:cs="Times New Roman"/>
                <w:color w:val="auto"/>
                <w:highlight w:val="none"/>
                <w:lang w:val="en-US"/>
              </w:rPr>
              <w:t>2.企业实力：</w:t>
            </w:r>
            <w:r>
              <w:rPr>
                <w:rFonts w:hint="eastAsia" w:ascii="Times New Roman" w:cs="Times New Roman"/>
                <w:color w:val="auto"/>
                <w:highlight w:val="none"/>
                <w:u w:val="single"/>
                <w:lang w:val="en-US"/>
              </w:rPr>
              <w:t xml:space="preserve"> 主要包括企业规模、资质等级、专业技术人员规模、近几年的账务状况、过往业绩（含业绩影响力，难易程度）等 </w:t>
            </w:r>
            <w:r>
              <w:rPr>
                <w:rFonts w:hint="eastAsia" w:ascii="Times New Roman" w:cs="Times New Roman"/>
                <w:color w:val="auto"/>
                <w:highlight w:val="none"/>
                <w:lang w:val="en-US"/>
              </w:rPr>
              <w:t>；</w:t>
            </w:r>
          </w:p>
          <w:p w14:paraId="3CA6ADB3">
            <w:pPr>
              <w:pStyle w:val="44"/>
              <w:snapToGrid w:val="0"/>
              <w:jc w:val="both"/>
              <w:rPr>
                <w:rFonts w:hint="eastAsia" w:ascii="Times New Roman" w:cs="Times New Roman"/>
                <w:color w:val="auto"/>
                <w:highlight w:val="none"/>
                <w:u w:val="single"/>
                <w:lang w:val="en-US"/>
              </w:rPr>
            </w:pPr>
            <w:r>
              <w:rPr>
                <w:rFonts w:hint="eastAsia" w:ascii="Times New Roman"/>
                <w:color w:val="auto"/>
                <w:highlight w:val="none"/>
              </w:rPr>
              <w:t>☑</w:t>
            </w:r>
            <w:r>
              <w:rPr>
                <w:rFonts w:hint="eastAsia" w:ascii="Times New Roman" w:cs="Times New Roman"/>
                <w:color w:val="auto"/>
                <w:highlight w:val="none"/>
                <w:lang w:val="en-US"/>
              </w:rPr>
              <w:t>3.企业信誉：</w:t>
            </w:r>
            <w:r>
              <w:rPr>
                <w:rFonts w:hint="eastAsia" w:ascii="Times New Roman" w:cs="Times New Roman"/>
                <w:color w:val="auto"/>
                <w:highlight w:val="none"/>
                <w:u w:val="single"/>
                <w:lang w:val="en-US"/>
              </w:rPr>
              <w:t xml:space="preserve"> 主要包括企业信用评分、过往业绩履约情</w:t>
            </w:r>
          </w:p>
          <w:p w14:paraId="616280C5">
            <w:pPr>
              <w:pStyle w:val="44"/>
              <w:snapToGrid w:val="0"/>
              <w:jc w:val="both"/>
              <w:rPr>
                <w:rFonts w:hint="eastAsia" w:ascii="Times New Roman" w:cs="Times New Roman"/>
                <w:color w:val="auto"/>
                <w:highlight w:val="none"/>
                <w:lang w:val="en-US"/>
              </w:rPr>
            </w:pPr>
            <w:r>
              <w:rPr>
                <w:rFonts w:hint="eastAsia" w:ascii="Times New Roman" w:cs="Times New Roman"/>
                <w:color w:val="auto"/>
                <w:highlight w:val="none"/>
                <w:u w:val="single"/>
                <w:lang w:val="en-US"/>
              </w:rPr>
              <w:t xml:space="preserve">况、建设单位履约评价等 </w:t>
            </w:r>
            <w:r>
              <w:rPr>
                <w:rFonts w:hint="eastAsia" w:ascii="Times New Roman" w:cs="Times New Roman"/>
                <w:color w:val="auto"/>
                <w:highlight w:val="none"/>
                <w:lang w:val="en-US"/>
              </w:rPr>
              <w:t>；</w:t>
            </w:r>
          </w:p>
          <w:p w14:paraId="1AF2F01E">
            <w:pPr>
              <w:pStyle w:val="44"/>
              <w:snapToGrid w:val="0"/>
              <w:jc w:val="both"/>
              <w:rPr>
                <w:rFonts w:hint="eastAsia" w:ascii="Times New Roman" w:cs="Times New Roman"/>
                <w:color w:val="auto"/>
                <w:highlight w:val="none"/>
                <w:lang w:val="en-US"/>
              </w:rPr>
            </w:pPr>
            <w:r>
              <w:rPr>
                <w:rFonts w:hint="eastAsia" w:ascii="Times New Roman"/>
                <w:color w:val="auto"/>
                <w:highlight w:val="none"/>
              </w:rPr>
              <w:t>☑</w:t>
            </w:r>
            <w:r>
              <w:rPr>
                <w:rFonts w:hint="eastAsia" w:ascii="Times New Roman" w:cs="Times New Roman"/>
                <w:color w:val="auto"/>
                <w:highlight w:val="none"/>
                <w:lang w:val="en-US"/>
              </w:rPr>
              <w:t>4.投标方案：</w:t>
            </w:r>
            <w:r>
              <w:rPr>
                <w:rFonts w:hint="eastAsia" w:ascii="Times New Roman" w:cs="Times New Roman"/>
                <w:color w:val="auto"/>
                <w:highlight w:val="none"/>
                <w:u w:val="single"/>
                <w:lang w:val="en-US"/>
              </w:rPr>
              <w:t xml:space="preserve"> 主要包括技术标情况、工程建设时重难点问题的解决方案、主要材料品牌等  </w:t>
            </w:r>
            <w:r>
              <w:rPr>
                <w:rFonts w:hint="eastAsia" w:ascii="Times New Roman" w:cs="Times New Roman"/>
                <w:color w:val="auto"/>
                <w:highlight w:val="none"/>
                <w:lang w:val="en-US"/>
              </w:rPr>
              <w:t>；</w:t>
            </w:r>
          </w:p>
          <w:p w14:paraId="74F26D9C">
            <w:pPr>
              <w:pStyle w:val="44"/>
              <w:snapToGrid w:val="0"/>
              <w:jc w:val="both"/>
              <w:rPr>
                <w:rFonts w:hint="eastAsia" w:ascii="Times New Roman" w:cs="Times New Roman"/>
                <w:color w:val="auto"/>
                <w:highlight w:val="none"/>
                <w:lang w:val="en-US"/>
              </w:rPr>
            </w:pPr>
            <w:r>
              <w:rPr>
                <w:rFonts w:hint="eastAsia" w:ascii="Times New Roman"/>
                <w:color w:val="auto"/>
                <w:highlight w:val="none"/>
              </w:rPr>
              <w:t>☑</w:t>
            </w:r>
            <w:r>
              <w:rPr>
                <w:rFonts w:hint="eastAsia" w:ascii="Times New Roman" w:cs="Times New Roman"/>
                <w:color w:val="auto"/>
                <w:highlight w:val="none"/>
                <w:lang w:val="en-US"/>
              </w:rPr>
              <w:t>5.拟派团队能力与水平：</w:t>
            </w:r>
            <w:r>
              <w:rPr>
                <w:rFonts w:hint="eastAsia" w:ascii="Times New Roman" w:cs="Times New Roman"/>
                <w:color w:val="auto"/>
                <w:highlight w:val="none"/>
                <w:u w:val="single"/>
                <w:lang w:val="en-US"/>
              </w:rPr>
              <w:t xml:space="preserve"> 主要包括团队主要负责人类似工程业绩、拟派项目团队人员的资信实力等</w:t>
            </w:r>
            <w:r>
              <w:rPr>
                <w:rFonts w:hint="eastAsia" w:ascii="Times New Roman" w:cs="Times New Roman"/>
                <w:color w:val="auto"/>
                <w:highlight w:val="none"/>
                <w:lang w:val="en-US"/>
              </w:rPr>
              <w:t>；</w:t>
            </w:r>
          </w:p>
          <w:p w14:paraId="1363FB27">
            <w:pPr>
              <w:pStyle w:val="44"/>
              <w:snapToGrid w:val="0"/>
              <w:jc w:val="both"/>
              <w:rPr>
                <w:rFonts w:hint="eastAsia" w:ascii="Times New Roman" w:cs="Times New Roman"/>
                <w:color w:val="auto"/>
                <w:highlight w:val="none"/>
                <w:lang w:val="en-US"/>
              </w:rPr>
            </w:pPr>
            <w:r>
              <w:rPr>
                <w:rFonts w:hint="eastAsia" w:ascii="Times New Roman"/>
                <w:color w:val="auto"/>
                <w:highlight w:val="none"/>
              </w:rPr>
              <w:t>☑</w:t>
            </w:r>
            <w:r>
              <w:rPr>
                <w:rFonts w:hint="eastAsia" w:ascii="Times New Roman" w:cs="Times New Roman"/>
                <w:color w:val="auto"/>
                <w:highlight w:val="none"/>
                <w:lang w:val="en-US"/>
              </w:rPr>
              <w:t>6.联合体投标的，联合体组成情况；</w:t>
            </w:r>
          </w:p>
          <w:p w14:paraId="7DA6B5D8">
            <w:pPr>
              <w:pStyle w:val="44"/>
              <w:snapToGrid w:val="0"/>
              <w:jc w:val="both"/>
              <w:rPr>
                <w:rFonts w:hint="eastAsia" w:ascii="Times New Roman" w:cs="Times New Roman"/>
                <w:color w:val="auto"/>
                <w:highlight w:val="none"/>
                <w:lang w:val="en-US" w:bidi="ar-SA"/>
              </w:rPr>
            </w:pPr>
            <w:r>
              <w:rPr>
                <w:rFonts w:hint="eastAsia" w:ascii="Times New Roman"/>
                <w:color w:val="auto"/>
                <w:highlight w:val="none"/>
              </w:rPr>
              <w:t>□</w:t>
            </w:r>
            <w:r>
              <w:rPr>
                <w:rFonts w:hint="eastAsia" w:ascii="Times New Roman"/>
                <w:color w:val="auto"/>
                <w:highlight w:val="none"/>
                <w:lang w:val="en-US"/>
              </w:rPr>
              <w:t>7.企业</w:t>
            </w:r>
            <w:r>
              <w:rPr>
                <w:rFonts w:hint="eastAsia" w:ascii="Times New Roman" w:cs="Times New Roman"/>
                <w:color w:val="auto"/>
                <w:highlight w:val="none"/>
                <w:lang w:val="en-US" w:bidi="ar-SA"/>
              </w:rPr>
              <w:t>质量安全、无欠薪管理</w:t>
            </w:r>
            <w:r>
              <w:rPr>
                <w:rFonts w:hint="eastAsia" w:ascii="Times New Roman" w:cs="Times New Roman"/>
                <w:color w:val="auto"/>
                <w:highlight w:val="none"/>
                <w:lang w:val="en-US"/>
              </w:rPr>
              <w:t>情况：</w:t>
            </w:r>
            <w:r>
              <w:rPr>
                <w:rFonts w:hint="eastAsia" w:ascii="Times New Roman" w:cs="Times New Roman"/>
                <w:color w:val="auto"/>
                <w:highlight w:val="none"/>
                <w:u w:val="single"/>
                <w:lang w:val="en-US"/>
              </w:rPr>
              <w:t xml:space="preserve">           </w:t>
            </w:r>
            <w:r>
              <w:rPr>
                <w:rFonts w:hint="eastAsia" w:ascii="Times New Roman" w:cs="Times New Roman"/>
                <w:color w:val="auto"/>
                <w:highlight w:val="none"/>
                <w:lang w:val="en-US"/>
              </w:rPr>
              <w:t>；</w:t>
            </w:r>
          </w:p>
          <w:p w14:paraId="7F9B25E3">
            <w:pPr>
              <w:pStyle w:val="44"/>
              <w:snapToGrid w:val="0"/>
              <w:jc w:val="both"/>
              <w:rPr>
                <w:rFonts w:hint="eastAsia" w:ascii="Times New Roman" w:cs="Times New Roman"/>
                <w:color w:val="auto"/>
                <w:highlight w:val="none"/>
                <w:lang w:val="en-US" w:bidi="ar-SA"/>
              </w:rPr>
            </w:pPr>
            <w:r>
              <w:rPr>
                <w:rFonts w:hint="eastAsia" w:ascii="Times New Roman"/>
                <w:color w:val="auto"/>
                <w:highlight w:val="none"/>
              </w:rPr>
              <w:t>□</w:t>
            </w:r>
            <w:r>
              <w:rPr>
                <w:rFonts w:hint="eastAsia" w:ascii="Times New Roman"/>
                <w:color w:val="auto"/>
                <w:highlight w:val="none"/>
                <w:lang w:val="en-US"/>
              </w:rPr>
              <w:t>8.企业</w:t>
            </w:r>
            <w:r>
              <w:rPr>
                <w:rFonts w:hint="eastAsia" w:ascii="Times New Roman" w:cs="Times New Roman"/>
                <w:color w:val="auto"/>
                <w:highlight w:val="none"/>
                <w:lang w:val="en-US" w:bidi="ar-SA"/>
              </w:rPr>
              <w:t>项目班组人员到岗履职等管理</w:t>
            </w:r>
            <w:r>
              <w:rPr>
                <w:rFonts w:hint="eastAsia" w:ascii="Times New Roman" w:cs="Times New Roman"/>
                <w:color w:val="auto"/>
                <w:highlight w:val="none"/>
                <w:lang w:val="en-US"/>
              </w:rPr>
              <w:t>情况：</w:t>
            </w:r>
            <w:r>
              <w:rPr>
                <w:rFonts w:hint="eastAsia" w:ascii="Times New Roman" w:cs="Times New Roman"/>
                <w:color w:val="auto"/>
                <w:highlight w:val="none"/>
                <w:u w:val="single"/>
                <w:lang w:val="en-US"/>
              </w:rPr>
              <w:t xml:space="preserve">     </w:t>
            </w:r>
            <w:r>
              <w:rPr>
                <w:rFonts w:hint="eastAsia" w:ascii="Times New Roman" w:cs="Times New Roman"/>
                <w:color w:val="auto"/>
                <w:highlight w:val="none"/>
                <w:lang w:val="en-US"/>
              </w:rPr>
              <w:t>；</w:t>
            </w:r>
          </w:p>
          <w:p w14:paraId="7E097092">
            <w:pPr>
              <w:pStyle w:val="44"/>
              <w:snapToGrid w:val="0"/>
              <w:jc w:val="both"/>
              <w:rPr>
                <w:rFonts w:hint="eastAsia" w:ascii="Times New Roman" w:cs="Times New Roman"/>
                <w:color w:val="auto"/>
                <w:highlight w:val="none"/>
                <w:lang w:val="en-US" w:bidi="ar-SA"/>
              </w:rPr>
            </w:pPr>
            <w:r>
              <w:rPr>
                <w:rFonts w:hint="eastAsia" w:ascii="Times New Roman"/>
                <w:color w:val="auto"/>
                <w:highlight w:val="none"/>
              </w:rPr>
              <w:t>□</w:t>
            </w:r>
            <w:r>
              <w:rPr>
                <w:rFonts w:hint="eastAsia" w:ascii="Times New Roman"/>
                <w:color w:val="auto"/>
                <w:highlight w:val="none"/>
                <w:lang w:val="en-US"/>
              </w:rPr>
              <w:t>9.</w:t>
            </w:r>
            <w:r>
              <w:rPr>
                <w:rFonts w:hint="eastAsia" w:ascii="Times New Roman" w:cs="Times New Roman"/>
                <w:color w:val="auto"/>
                <w:highlight w:val="none"/>
                <w:lang w:val="en-US" w:bidi="ar-SA"/>
              </w:rPr>
              <w:t>工程保修维护等后续服务便利：</w:t>
            </w:r>
            <w:r>
              <w:rPr>
                <w:rFonts w:hint="eastAsia" w:ascii="Times New Roman" w:cs="Times New Roman"/>
                <w:color w:val="auto"/>
                <w:highlight w:val="none"/>
                <w:u w:val="single"/>
                <w:lang w:val="en-US" w:bidi="ar-SA"/>
              </w:rPr>
              <w:t xml:space="preserve">             </w:t>
            </w:r>
            <w:r>
              <w:rPr>
                <w:rFonts w:hint="eastAsia" w:ascii="Times New Roman" w:cs="Times New Roman"/>
                <w:color w:val="auto"/>
                <w:highlight w:val="none"/>
                <w:lang w:val="en-US"/>
              </w:rPr>
              <w:t>；</w:t>
            </w:r>
          </w:p>
          <w:p w14:paraId="4B307BA9">
            <w:pPr>
              <w:pStyle w:val="44"/>
              <w:snapToGrid w:val="0"/>
              <w:jc w:val="both"/>
              <w:rPr>
                <w:rFonts w:hint="eastAsia" w:ascii="Times New Roman" w:cs="Times New Roman"/>
                <w:color w:val="auto"/>
                <w:highlight w:val="none"/>
                <w:lang w:val="en-US"/>
              </w:rPr>
            </w:pPr>
            <w:r>
              <w:rPr>
                <w:rFonts w:hint="eastAsia" w:ascii="Times New Roman"/>
                <w:color w:val="auto"/>
                <w:highlight w:val="none"/>
              </w:rPr>
              <w:t>□</w:t>
            </w:r>
            <w:r>
              <w:rPr>
                <w:rFonts w:hint="eastAsia" w:ascii="Times New Roman"/>
                <w:color w:val="auto"/>
                <w:highlight w:val="none"/>
                <w:lang w:val="en-US"/>
              </w:rPr>
              <w:t>10.</w:t>
            </w:r>
            <w:r>
              <w:rPr>
                <w:rFonts w:hint="eastAsia" w:ascii="Times New Roman" w:cs="Times New Roman"/>
                <w:color w:val="auto"/>
                <w:highlight w:val="none"/>
                <w:lang w:val="en-US"/>
              </w:rPr>
              <w:t>落实建筑业高质量发展政策：</w:t>
            </w:r>
            <w:r>
              <w:rPr>
                <w:rFonts w:hint="eastAsia" w:ascii="Times New Roman" w:cs="Times New Roman"/>
                <w:color w:val="auto"/>
                <w:highlight w:val="none"/>
                <w:u w:val="single"/>
                <w:lang w:val="en-US"/>
              </w:rPr>
              <w:t xml:space="preserve">              </w:t>
            </w:r>
            <w:r>
              <w:rPr>
                <w:rFonts w:hint="eastAsia" w:ascii="Times New Roman" w:cs="Times New Roman"/>
                <w:color w:val="auto"/>
                <w:highlight w:val="none"/>
                <w:lang w:val="en-US"/>
              </w:rPr>
              <w:t>；</w:t>
            </w:r>
          </w:p>
          <w:p w14:paraId="1E04EE85">
            <w:pPr>
              <w:pStyle w:val="44"/>
              <w:snapToGrid w:val="0"/>
              <w:jc w:val="both"/>
              <w:rPr>
                <w:rFonts w:hint="eastAsia" w:ascii="Times New Roman" w:cs="Times New Roman"/>
                <w:color w:val="auto"/>
                <w:highlight w:val="none"/>
                <w:lang w:val="en-US"/>
              </w:rPr>
            </w:pPr>
            <w:r>
              <w:rPr>
                <w:rFonts w:hint="eastAsia" w:ascii="Times New Roman"/>
                <w:color w:val="auto"/>
                <w:highlight w:val="none"/>
              </w:rPr>
              <w:t>□</w:t>
            </w:r>
            <w:r>
              <w:rPr>
                <w:rFonts w:hint="eastAsia" w:ascii="Times New Roman"/>
                <w:color w:val="auto"/>
                <w:highlight w:val="none"/>
                <w:lang w:val="en-US"/>
              </w:rPr>
              <w:t>11.</w:t>
            </w:r>
            <w:r>
              <w:rPr>
                <w:rFonts w:hint="eastAsia" w:ascii="Times New Roman" w:cs="Times New Roman"/>
                <w:color w:val="auto"/>
                <w:highlight w:val="none"/>
                <w:lang w:val="en-US"/>
              </w:rPr>
              <w:t>落实政府其他政策：</w:t>
            </w:r>
            <w:r>
              <w:rPr>
                <w:rFonts w:hint="eastAsia" w:ascii="Times New Roman" w:cs="Times New Roman"/>
                <w:color w:val="auto"/>
                <w:highlight w:val="none"/>
                <w:u w:val="single"/>
                <w:lang w:val="en-US"/>
              </w:rPr>
              <w:t xml:space="preserve">                      </w:t>
            </w:r>
            <w:r>
              <w:rPr>
                <w:rFonts w:hint="eastAsia" w:ascii="Times New Roman" w:cs="Times New Roman"/>
                <w:color w:val="auto"/>
                <w:highlight w:val="none"/>
                <w:lang w:val="en-US"/>
              </w:rPr>
              <w:t>；</w:t>
            </w:r>
          </w:p>
          <w:p w14:paraId="3E3F1BEA">
            <w:pPr>
              <w:pStyle w:val="44"/>
              <w:snapToGrid w:val="0"/>
              <w:jc w:val="both"/>
              <w:rPr>
                <w:rFonts w:hint="eastAsia" w:ascii="Times New Roman"/>
                <w:color w:val="auto"/>
                <w:highlight w:val="none"/>
                <w:lang w:val="en-US"/>
              </w:rPr>
            </w:pPr>
            <w:r>
              <w:rPr>
                <w:rFonts w:hint="eastAsia" w:ascii="Times New Roman"/>
                <w:color w:val="auto"/>
                <w:highlight w:val="none"/>
              </w:rPr>
              <w:t>☑</w:t>
            </w:r>
            <w:r>
              <w:rPr>
                <w:rFonts w:hint="eastAsia" w:ascii="Times New Roman"/>
                <w:color w:val="auto"/>
                <w:highlight w:val="none"/>
                <w:lang w:val="en-US"/>
              </w:rPr>
              <w:t>12.评标报告；</w:t>
            </w:r>
          </w:p>
          <w:p w14:paraId="161EB14F">
            <w:pPr>
              <w:pStyle w:val="44"/>
              <w:snapToGrid w:val="0"/>
              <w:jc w:val="both"/>
              <w:rPr>
                <w:rFonts w:hint="eastAsia" w:ascii="Times New Roman"/>
                <w:color w:val="auto"/>
                <w:highlight w:val="none"/>
                <w:lang w:val="en-US"/>
              </w:rPr>
            </w:pPr>
            <w:r>
              <w:rPr>
                <w:rFonts w:hint="eastAsia" w:ascii="Times New Roman"/>
                <w:color w:val="auto"/>
                <w:highlight w:val="none"/>
              </w:rPr>
              <w:t>□</w:t>
            </w:r>
            <w:r>
              <w:rPr>
                <w:rFonts w:hint="eastAsia" w:ascii="Times New Roman"/>
                <w:color w:val="auto"/>
                <w:highlight w:val="none"/>
                <w:lang w:val="en-US"/>
              </w:rPr>
              <w:t>13.质询或（和）考察报告；</w:t>
            </w:r>
          </w:p>
          <w:p w14:paraId="3284DA40">
            <w:pPr>
              <w:pStyle w:val="44"/>
              <w:snapToGrid w:val="0"/>
              <w:jc w:val="both"/>
              <w:rPr>
                <w:rFonts w:hint="eastAsia" w:ascii="Times New Roman" w:cs="Times New Roman"/>
                <w:color w:val="auto"/>
                <w:highlight w:val="none"/>
                <w:lang w:val="en-US"/>
              </w:rPr>
            </w:pPr>
            <w:r>
              <w:rPr>
                <w:rFonts w:hint="eastAsia" w:ascii="Times New Roman"/>
                <w:color w:val="auto"/>
                <w:highlight w:val="none"/>
              </w:rPr>
              <w:t>□</w:t>
            </w:r>
            <w:r>
              <w:rPr>
                <w:rFonts w:hint="eastAsia" w:ascii="Times New Roman"/>
                <w:color w:val="auto"/>
                <w:highlight w:val="none"/>
                <w:lang w:val="en-US"/>
              </w:rPr>
              <w:t>14.现场面试情况；</w:t>
            </w:r>
          </w:p>
          <w:p w14:paraId="2DB585B8">
            <w:pPr>
              <w:pStyle w:val="44"/>
              <w:snapToGrid w:val="0"/>
              <w:jc w:val="both"/>
              <w:rPr>
                <w:rFonts w:hint="eastAsia"/>
                <w:color w:val="auto"/>
                <w:spacing w:val="-2"/>
                <w:highlight w:val="none"/>
              </w:rPr>
            </w:pPr>
            <w:r>
              <w:rPr>
                <w:rFonts w:hint="eastAsia"/>
                <w:color w:val="auto"/>
                <w:highlight w:val="none"/>
              </w:rPr>
              <w:t>☑</w:t>
            </w:r>
            <w:r>
              <w:rPr>
                <w:rFonts w:hint="eastAsia"/>
                <w:color w:val="auto"/>
                <w:highlight w:val="none"/>
                <w:lang w:val="en-US"/>
              </w:rPr>
              <w:t>1</w:t>
            </w:r>
            <w:r>
              <w:rPr>
                <w:rFonts w:hint="eastAsia" w:ascii="Times New Roman" w:cs="Times New Roman"/>
                <w:color w:val="auto"/>
                <w:highlight w:val="none"/>
                <w:lang w:val="en-US"/>
              </w:rPr>
              <w:t>5.</w:t>
            </w:r>
            <w:r>
              <w:rPr>
                <w:rFonts w:ascii="Times New Roman" w:cs="Times New Roman"/>
                <w:color w:val="auto"/>
                <w:highlight w:val="none"/>
                <w:lang w:val="en-US"/>
              </w:rPr>
              <w:t>招标人认为需要考量的其他因素</w:t>
            </w:r>
            <w:r>
              <w:rPr>
                <w:rFonts w:hint="eastAsia" w:ascii="Times New Roman" w:cs="Times New Roman"/>
                <w:color w:val="auto"/>
                <w:highlight w:val="none"/>
                <w:lang w:val="en-US"/>
              </w:rPr>
              <w:t>：</w:t>
            </w:r>
            <w:r>
              <w:rPr>
                <w:rFonts w:hint="eastAsia" w:ascii="Times New Roman" w:cs="Times New Roman"/>
                <w:color w:val="auto"/>
                <w:highlight w:val="none"/>
                <w:u w:val="single"/>
                <w:lang w:val="en-US"/>
              </w:rPr>
              <w:t xml:space="preserve">        </w:t>
            </w:r>
            <w:r>
              <w:rPr>
                <w:rFonts w:ascii="Times New Roman" w:cs="Times New Roman"/>
                <w:color w:val="auto"/>
                <w:highlight w:val="none"/>
                <w:lang w:val="en-US"/>
              </w:rPr>
              <w:t>。</w:t>
            </w:r>
          </w:p>
        </w:tc>
      </w:tr>
      <w:tr w14:paraId="71AF9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8306FCC">
            <w:pPr>
              <w:pStyle w:val="44"/>
              <w:snapToGrid w:val="0"/>
              <w:jc w:val="center"/>
              <w:rPr>
                <w:rFonts w:hint="eastAsia"/>
                <w:color w:val="auto"/>
                <w:highlight w:val="none"/>
                <w:lang w:val="en-US"/>
              </w:rPr>
            </w:pPr>
            <w:r>
              <w:rPr>
                <w:rFonts w:hint="eastAsia" w:ascii="Times New Roman" w:hAnsi="Times New Roman"/>
                <w:color w:val="auto"/>
                <w:highlight w:val="none"/>
                <w:lang w:val="en-US"/>
              </w:rPr>
              <w:t>7.1.8</w:t>
            </w:r>
          </w:p>
        </w:tc>
        <w:tc>
          <w:tcPr>
            <w:tcW w:w="1701" w:type="dxa"/>
            <w:vAlign w:val="center"/>
          </w:tcPr>
          <w:p w14:paraId="153D9391">
            <w:pPr>
              <w:pStyle w:val="44"/>
              <w:snapToGrid w:val="0"/>
              <w:jc w:val="center"/>
              <w:rPr>
                <w:rFonts w:hint="eastAsia"/>
                <w:color w:val="auto"/>
                <w:highlight w:val="none"/>
              </w:rPr>
            </w:pPr>
            <w:r>
              <w:rPr>
                <w:rFonts w:hint="eastAsia"/>
                <w:color w:val="auto"/>
                <w:highlight w:val="none"/>
              </w:rPr>
              <w:t>☑</w:t>
            </w:r>
            <w:r>
              <w:rPr>
                <w:rFonts w:ascii="Times New Roman" w:cs="Times New Roman"/>
                <w:color w:val="auto"/>
                <w:highlight w:val="none"/>
              </w:rPr>
              <w:t>定标方法</w:t>
            </w:r>
          </w:p>
        </w:tc>
        <w:tc>
          <w:tcPr>
            <w:tcW w:w="6168" w:type="dxa"/>
            <w:vAlign w:val="center"/>
          </w:tcPr>
          <w:p w14:paraId="7652ECD3">
            <w:pPr>
              <w:pStyle w:val="44"/>
              <w:snapToGrid w:val="0"/>
              <w:jc w:val="both"/>
              <w:rPr>
                <w:rFonts w:hint="eastAsia" w:ascii="Times New Roman" w:cs="Times New Roman"/>
                <w:color w:val="auto"/>
                <w:highlight w:val="none"/>
              </w:rPr>
            </w:pPr>
            <w:r>
              <w:rPr>
                <w:rFonts w:hint="eastAsia"/>
                <w:color w:val="auto"/>
                <w:highlight w:val="none"/>
              </w:rPr>
              <w:t>☑</w:t>
            </w:r>
            <w:r>
              <w:rPr>
                <w:rFonts w:hint="eastAsia" w:ascii="Times New Roman" w:cs="Times New Roman"/>
                <w:color w:val="auto"/>
                <w:highlight w:val="none"/>
                <w:lang w:val="en-US"/>
              </w:rPr>
              <w:t>1.</w:t>
            </w:r>
            <w:r>
              <w:rPr>
                <w:rFonts w:ascii="Times New Roman" w:cs="Times New Roman"/>
                <w:color w:val="auto"/>
                <w:highlight w:val="none"/>
              </w:rPr>
              <w:t>票决法</w:t>
            </w:r>
            <w:r>
              <w:rPr>
                <w:rFonts w:hint="eastAsia" w:ascii="Times New Roman" w:cs="Times New Roman"/>
                <w:color w:val="auto"/>
                <w:highlight w:val="none"/>
                <w:lang w:val="en-US"/>
              </w:rPr>
              <w:t>；</w:t>
            </w:r>
          </w:p>
          <w:p w14:paraId="665461F9">
            <w:pPr>
              <w:pStyle w:val="44"/>
              <w:snapToGrid w:val="0"/>
              <w:jc w:val="both"/>
              <w:rPr>
                <w:rFonts w:hint="eastAsia" w:ascii="Times New Roman" w:cs="Times New Roman"/>
                <w:color w:val="auto"/>
                <w:highlight w:val="none"/>
              </w:rPr>
            </w:pPr>
            <w:r>
              <w:rPr>
                <w:rFonts w:hint="eastAsia"/>
                <w:color w:val="auto"/>
                <w:highlight w:val="none"/>
              </w:rPr>
              <w:t>□</w:t>
            </w:r>
            <w:r>
              <w:rPr>
                <w:rFonts w:ascii="Times New Roman" w:cs="Times New Roman"/>
                <w:color w:val="auto"/>
                <w:highlight w:val="none"/>
                <w:lang w:val="en-US"/>
              </w:rPr>
              <w:t>2</w:t>
            </w:r>
            <w:r>
              <w:rPr>
                <w:rFonts w:hint="eastAsia" w:ascii="Times New Roman" w:cs="Times New Roman"/>
                <w:color w:val="auto"/>
                <w:highlight w:val="none"/>
                <w:lang w:val="en-US"/>
              </w:rPr>
              <w:t>.</w:t>
            </w:r>
            <w:r>
              <w:rPr>
                <w:rFonts w:ascii="Times New Roman" w:cs="Times New Roman"/>
                <w:color w:val="auto"/>
                <w:highlight w:val="none"/>
              </w:rPr>
              <w:t>集体议事法</w:t>
            </w:r>
            <w:r>
              <w:rPr>
                <w:rFonts w:hint="eastAsia" w:ascii="Times New Roman" w:cs="Times New Roman"/>
                <w:color w:val="auto"/>
                <w:highlight w:val="none"/>
                <w:lang w:val="en-US"/>
              </w:rPr>
              <w:t>；</w:t>
            </w:r>
          </w:p>
          <w:p w14:paraId="4E3F6918">
            <w:pPr>
              <w:pStyle w:val="44"/>
              <w:snapToGrid w:val="0"/>
              <w:jc w:val="both"/>
              <w:rPr>
                <w:rFonts w:hint="eastAsia"/>
                <w:color w:val="auto"/>
                <w:spacing w:val="-2"/>
                <w:highlight w:val="none"/>
              </w:rPr>
            </w:pPr>
            <w:r>
              <w:rPr>
                <w:rFonts w:hint="eastAsia"/>
                <w:color w:val="auto"/>
                <w:highlight w:val="none"/>
              </w:rPr>
              <w:t>□</w:t>
            </w:r>
            <w:r>
              <w:rPr>
                <w:rFonts w:ascii="Times New Roman" w:cs="Times New Roman"/>
                <w:color w:val="auto"/>
                <w:highlight w:val="none"/>
                <w:lang w:val="en-US"/>
              </w:rPr>
              <w:t>3</w:t>
            </w:r>
            <w:r>
              <w:rPr>
                <w:rFonts w:hint="eastAsia" w:ascii="Times New Roman" w:cs="Times New Roman"/>
                <w:color w:val="auto"/>
                <w:highlight w:val="none"/>
                <w:lang w:val="en-US"/>
              </w:rPr>
              <w:t>.</w:t>
            </w:r>
            <w:r>
              <w:rPr>
                <w:rFonts w:ascii="Times New Roman" w:cs="Times New Roman"/>
                <w:color w:val="auto"/>
                <w:highlight w:val="none"/>
              </w:rPr>
              <w:t>其他定标办法</w:t>
            </w:r>
            <w:r>
              <w:rPr>
                <w:rFonts w:hint="eastAsia" w:ascii="Times New Roman" w:cs="Times New Roman"/>
                <w:color w:val="auto"/>
                <w:highlight w:val="none"/>
              </w:rPr>
              <w:t>：</w:t>
            </w:r>
            <w:r>
              <w:rPr>
                <w:rFonts w:hint="eastAsia" w:ascii="Times New Roman" w:cs="Times New Roman"/>
                <w:color w:val="auto"/>
                <w:highlight w:val="none"/>
                <w:u w:val="single"/>
                <w:lang w:val="en-US"/>
              </w:rPr>
              <w:t xml:space="preserve">                          </w:t>
            </w:r>
            <w:r>
              <w:rPr>
                <w:rFonts w:ascii="Times New Roman" w:cs="Times New Roman"/>
                <w:color w:val="auto"/>
                <w:highlight w:val="none"/>
              </w:rPr>
              <w:t>。</w:t>
            </w:r>
          </w:p>
        </w:tc>
      </w:tr>
      <w:tr w14:paraId="09F29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792DB0EB">
            <w:pPr>
              <w:pStyle w:val="44"/>
              <w:snapToGrid w:val="0"/>
              <w:jc w:val="center"/>
              <w:rPr>
                <w:rFonts w:hint="eastAsia"/>
                <w:color w:val="auto"/>
                <w:highlight w:val="none"/>
                <w:lang w:val="en-US"/>
              </w:rPr>
            </w:pPr>
            <w:r>
              <w:rPr>
                <w:rFonts w:hint="eastAsia" w:ascii="Times New Roman" w:hAnsi="Times New Roman"/>
                <w:color w:val="auto"/>
                <w:highlight w:val="none"/>
                <w:lang w:val="en-US"/>
              </w:rPr>
              <w:t>7.1.9</w:t>
            </w:r>
          </w:p>
        </w:tc>
        <w:tc>
          <w:tcPr>
            <w:tcW w:w="1701" w:type="dxa"/>
            <w:vAlign w:val="center"/>
          </w:tcPr>
          <w:p w14:paraId="68E92506">
            <w:pPr>
              <w:pStyle w:val="44"/>
              <w:snapToGrid w:val="0"/>
              <w:jc w:val="center"/>
              <w:rPr>
                <w:rFonts w:hint="eastAsia"/>
                <w:color w:val="auto"/>
                <w:highlight w:val="none"/>
              </w:rPr>
            </w:pPr>
            <w:r>
              <w:rPr>
                <w:rFonts w:hint="eastAsia"/>
                <w:color w:val="auto"/>
                <w:highlight w:val="none"/>
              </w:rPr>
              <w:t>☑</w:t>
            </w:r>
            <w:r>
              <w:rPr>
                <w:rFonts w:hint="eastAsia" w:ascii="Times New Roman" w:cs="Times New Roman"/>
                <w:color w:val="auto"/>
                <w:highlight w:val="none"/>
                <w:lang w:val="en-US"/>
              </w:rPr>
              <w:t>中标</w:t>
            </w:r>
            <w:r>
              <w:rPr>
                <w:rFonts w:ascii="Times New Roman" w:cs="Times New Roman"/>
                <w:color w:val="auto"/>
                <w:highlight w:val="none"/>
              </w:rPr>
              <w:t>公</w:t>
            </w:r>
            <w:r>
              <w:rPr>
                <w:rFonts w:hint="eastAsia" w:ascii="Times New Roman" w:cs="Times New Roman"/>
                <w:color w:val="auto"/>
                <w:highlight w:val="none"/>
              </w:rPr>
              <w:t>告</w:t>
            </w:r>
            <w:r>
              <w:rPr>
                <w:rFonts w:ascii="Times New Roman" w:cs="Times New Roman"/>
                <w:color w:val="auto"/>
                <w:highlight w:val="none"/>
              </w:rPr>
              <w:t>媒介及期限</w:t>
            </w:r>
          </w:p>
        </w:tc>
        <w:tc>
          <w:tcPr>
            <w:tcW w:w="6168" w:type="dxa"/>
            <w:vAlign w:val="center"/>
          </w:tcPr>
          <w:p w14:paraId="533E488C">
            <w:pPr>
              <w:snapToGrid w:val="0"/>
              <w:jc w:val="both"/>
              <w:rPr>
                <w:rFonts w:ascii="Times New Roman" w:hAnsi="Times New Roman"/>
                <w:color w:val="auto"/>
                <w:highlight w:val="none"/>
              </w:rPr>
            </w:pPr>
            <w:r>
              <w:rPr>
                <w:rFonts w:ascii="Times New Roman" w:hAnsi="宋体"/>
                <w:color w:val="auto"/>
                <w:highlight w:val="none"/>
              </w:rPr>
              <w:t>公</w:t>
            </w:r>
            <w:r>
              <w:rPr>
                <w:rFonts w:hint="eastAsia" w:ascii="Times New Roman" w:hAnsi="宋体"/>
                <w:color w:val="auto"/>
                <w:spacing w:val="-2"/>
                <w:highlight w:val="none"/>
              </w:rPr>
              <w:t>告</w:t>
            </w:r>
            <w:r>
              <w:rPr>
                <w:rFonts w:ascii="Times New Roman" w:hAnsi="宋体"/>
                <w:color w:val="auto"/>
                <w:highlight w:val="none"/>
              </w:rPr>
              <w:t>媒介：</w:t>
            </w:r>
            <w:r>
              <w:rPr>
                <w:rFonts w:hint="eastAsia" w:ascii="宋体" w:hAnsi="宋体" w:cs="宋体"/>
                <w:color w:val="auto"/>
                <w:highlight w:val="none"/>
                <w:u w:val="single"/>
              </w:rPr>
              <w:t>越城区公共资源交易平台（http://ztb.sxyc.gov.cn:/TPBidder）</w:t>
            </w:r>
            <w:r>
              <w:rPr>
                <w:rFonts w:ascii="Times New Roman" w:hAnsi="Times New Roman"/>
                <w:color w:val="auto"/>
                <w:highlight w:val="none"/>
                <w:u w:val="single"/>
              </w:rPr>
              <w:t xml:space="preserve"> </w:t>
            </w:r>
          </w:p>
          <w:p w14:paraId="1771F5E2">
            <w:pPr>
              <w:pStyle w:val="44"/>
              <w:snapToGrid w:val="0"/>
              <w:jc w:val="both"/>
              <w:rPr>
                <w:rFonts w:hint="eastAsia"/>
                <w:color w:val="auto"/>
                <w:spacing w:val="-2"/>
                <w:highlight w:val="none"/>
                <w:lang w:val="en-US"/>
              </w:rPr>
            </w:pPr>
            <w:r>
              <w:rPr>
                <w:rFonts w:ascii="Times New Roman" w:cs="Times New Roman"/>
                <w:color w:val="auto"/>
                <w:spacing w:val="-2"/>
                <w:highlight w:val="none"/>
              </w:rPr>
              <w:t>公</w:t>
            </w:r>
            <w:r>
              <w:rPr>
                <w:rFonts w:hint="eastAsia" w:ascii="Times New Roman" w:cs="Times New Roman"/>
                <w:color w:val="auto"/>
                <w:spacing w:val="-2"/>
                <w:highlight w:val="none"/>
              </w:rPr>
              <w:t>告</w:t>
            </w:r>
            <w:r>
              <w:rPr>
                <w:rFonts w:ascii="Times New Roman" w:cs="Times New Roman"/>
                <w:color w:val="auto"/>
                <w:spacing w:val="-2"/>
                <w:highlight w:val="none"/>
              </w:rPr>
              <w:t>期限</w:t>
            </w:r>
            <w:r>
              <w:rPr>
                <w:rFonts w:ascii="Times New Roman" w:cs="Times New Roman"/>
                <w:color w:val="auto"/>
                <w:spacing w:val="-2"/>
                <w:highlight w:val="none"/>
                <w:lang w:val="en-US"/>
              </w:rPr>
              <w:t>：</w:t>
            </w:r>
            <w:r>
              <w:rPr>
                <w:rFonts w:ascii="Times New Roman" w:cs="Times New Roman"/>
                <w:color w:val="auto"/>
                <w:spacing w:val="-2"/>
                <w:highlight w:val="none"/>
              </w:rPr>
              <w:t>不少于</w:t>
            </w:r>
            <w:r>
              <w:rPr>
                <w:rFonts w:hint="eastAsia" w:ascii="Times New Roman" w:hAnsi="Times New Roman" w:cs="Times New Roman"/>
                <w:color w:val="auto"/>
                <w:spacing w:val="-2"/>
                <w:highlight w:val="none"/>
                <w:u w:val="single"/>
                <w:lang w:val="en-US"/>
              </w:rPr>
              <w:t xml:space="preserve">3 </w:t>
            </w:r>
            <w:r>
              <w:rPr>
                <w:rFonts w:ascii="Times New Roman" w:cs="Times New Roman"/>
                <w:color w:val="auto"/>
                <w:spacing w:val="-2"/>
                <w:highlight w:val="none"/>
              </w:rPr>
              <w:t>日</w:t>
            </w:r>
            <w:r>
              <w:rPr>
                <w:rFonts w:hint="eastAsia" w:ascii="Times New Roman" w:cs="Times New Roman"/>
                <w:color w:val="auto"/>
                <w:spacing w:val="-2"/>
                <w:highlight w:val="none"/>
              </w:rPr>
              <w:t>。</w:t>
            </w:r>
          </w:p>
        </w:tc>
      </w:tr>
      <w:tr w14:paraId="3FC69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988" w:type="dxa"/>
            <w:vAlign w:val="center"/>
          </w:tcPr>
          <w:p w14:paraId="3B69785E">
            <w:pPr>
              <w:pStyle w:val="44"/>
              <w:snapToGrid w:val="0"/>
              <w:jc w:val="center"/>
              <w:rPr>
                <w:rFonts w:hint="eastAsia"/>
                <w:color w:val="auto"/>
                <w:highlight w:val="none"/>
                <w:lang w:val="en-US"/>
              </w:rPr>
            </w:pPr>
            <w:r>
              <w:rPr>
                <w:rFonts w:hint="eastAsia" w:ascii="Times New Roman" w:hAnsi="Times New Roman"/>
                <w:color w:val="auto"/>
                <w:highlight w:val="none"/>
                <w:lang w:val="en-US"/>
              </w:rPr>
              <w:t>7.1.10</w:t>
            </w:r>
          </w:p>
        </w:tc>
        <w:tc>
          <w:tcPr>
            <w:tcW w:w="1701" w:type="dxa"/>
            <w:vAlign w:val="center"/>
          </w:tcPr>
          <w:p w14:paraId="583B80A5">
            <w:pPr>
              <w:pStyle w:val="44"/>
              <w:snapToGrid w:val="0"/>
              <w:jc w:val="center"/>
              <w:rPr>
                <w:rFonts w:hint="eastAsia"/>
                <w:color w:val="auto"/>
                <w:highlight w:val="none"/>
              </w:rPr>
            </w:pPr>
            <w:r>
              <w:rPr>
                <w:rFonts w:hint="eastAsia"/>
                <w:color w:val="auto"/>
                <w:highlight w:val="none"/>
              </w:rPr>
              <w:t>□按</w:t>
            </w:r>
            <w:r>
              <w:rPr>
                <w:rFonts w:ascii="Times New Roman" w:cs="Times New Roman"/>
                <w:color w:val="auto"/>
                <w:highlight w:val="none"/>
                <w:lang w:val="en-US"/>
              </w:rPr>
              <w:t>原定标方法确定中标人</w:t>
            </w:r>
          </w:p>
        </w:tc>
        <w:tc>
          <w:tcPr>
            <w:tcW w:w="6168" w:type="dxa"/>
            <w:vAlign w:val="center"/>
          </w:tcPr>
          <w:p w14:paraId="7DC31341">
            <w:pPr>
              <w:pStyle w:val="44"/>
              <w:snapToGrid w:val="0"/>
              <w:jc w:val="both"/>
              <w:rPr>
                <w:rFonts w:hint="eastAsia"/>
                <w:color w:val="auto"/>
                <w:spacing w:val="-2"/>
                <w:highlight w:val="none"/>
              </w:rPr>
            </w:pPr>
            <w:r>
              <w:rPr>
                <w:rFonts w:hint="eastAsia" w:ascii="Times New Roman" w:cs="Times New Roman"/>
                <w:color w:val="auto"/>
                <w:highlight w:val="none"/>
                <w:lang w:val="en-US"/>
              </w:rPr>
              <w:t>其他情形：</w:t>
            </w:r>
            <w:r>
              <w:rPr>
                <w:rFonts w:hint="eastAsia" w:ascii="Times New Roman" w:cs="Times New Roman"/>
                <w:color w:val="auto"/>
                <w:highlight w:val="none"/>
                <w:u w:val="single"/>
                <w:lang w:val="en-US"/>
              </w:rPr>
              <w:t xml:space="preserve">                              。</w:t>
            </w:r>
          </w:p>
        </w:tc>
      </w:tr>
      <w:tr w14:paraId="4FECA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3FE4D7BF">
            <w:pPr>
              <w:pStyle w:val="44"/>
              <w:snapToGrid w:val="0"/>
              <w:jc w:val="center"/>
              <w:rPr>
                <w:rFonts w:hint="eastAsia"/>
                <w:color w:val="auto"/>
                <w:highlight w:val="none"/>
                <w:lang w:val="en-US"/>
              </w:rPr>
            </w:pPr>
            <w:r>
              <w:rPr>
                <w:rFonts w:hint="eastAsia" w:ascii="Times New Roman" w:hAnsi="Times New Roman"/>
                <w:color w:val="auto"/>
                <w:highlight w:val="none"/>
                <w:lang w:val="en-US"/>
              </w:rPr>
              <w:t>7.1.11</w:t>
            </w:r>
          </w:p>
        </w:tc>
        <w:tc>
          <w:tcPr>
            <w:tcW w:w="1701" w:type="dxa"/>
            <w:vAlign w:val="center"/>
          </w:tcPr>
          <w:p w14:paraId="49358CF5">
            <w:pPr>
              <w:pStyle w:val="44"/>
              <w:snapToGrid w:val="0"/>
              <w:jc w:val="center"/>
              <w:rPr>
                <w:rFonts w:hint="eastAsia"/>
                <w:color w:val="auto"/>
                <w:highlight w:val="none"/>
              </w:rPr>
            </w:pPr>
            <w:r>
              <w:rPr>
                <w:rFonts w:hint="eastAsia"/>
                <w:color w:val="auto"/>
                <w:highlight w:val="none"/>
              </w:rPr>
              <w:t>□</w:t>
            </w:r>
            <w:r>
              <w:rPr>
                <w:rFonts w:ascii="Times New Roman" w:cs="Times New Roman"/>
                <w:color w:val="auto"/>
                <w:highlight w:val="none"/>
              </w:rPr>
              <w:t>重新定标</w:t>
            </w:r>
          </w:p>
        </w:tc>
        <w:tc>
          <w:tcPr>
            <w:tcW w:w="6168" w:type="dxa"/>
            <w:vAlign w:val="center"/>
          </w:tcPr>
          <w:p w14:paraId="266D734A">
            <w:pPr>
              <w:pStyle w:val="44"/>
              <w:snapToGrid w:val="0"/>
              <w:jc w:val="both"/>
              <w:rPr>
                <w:rFonts w:hint="eastAsia"/>
                <w:color w:val="auto"/>
                <w:spacing w:val="-2"/>
                <w:highlight w:val="none"/>
              </w:rPr>
            </w:pPr>
            <w:r>
              <w:rPr>
                <w:rFonts w:hint="eastAsia" w:ascii="Times New Roman" w:cs="Times New Roman"/>
                <w:color w:val="auto"/>
                <w:highlight w:val="none"/>
                <w:lang w:val="en-US"/>
              </w:rPr>
              <w:t>其他情形：</w:t>
            </w:r>
            <w:r>
              <w:rPr>
                <w:rFonts w:hint="eastAsia" w:ascii="Times New Roman" w:cs="Times New Roman"/>
                <w:color w:val="auto"/>
                <w:highlight w:val="none"/>
                <w:u w:val="single"/>
                <w:lang w:val="en-US"/>
              </w:rPr>
              <w:t xml:space="preserve">                              </w:t>
            </w:r>
            <w:r>
              <w:rPr>
                <w:rFonts w:hint="eastAsia" w:ascii="Times New Roman" w:cs="Times New Roman"/>
                <w:color w:val="auto"/>
                <w:highlight w:val="none"/>
                <w:lang w:val="en-US"/>
              </w:rPr>
              <w:t>。</w:t>
            </w:r>
          </w:p>
        </w:tc>
      </w:tr>
      <w:tr w14:paraId="00C4D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43EA0D11">
            <w:pPr>
              <w:pStyle w:val="44"/>
              <w:tabs>
                <w:tab w:val="left" w:pos="1100"/>
              </w:tabs>
              <w:adjustRightInd/>
              <w:ind w:left="10" w:right="125" w:rightChars="52" w:hanging="10"/>
              <w:jc w:val="center"/>
              <w:rPr>
                <w:rFonts w:hint="eastAsia"/>
                <w:color w:val="auto"/>
                <w:highlight w:val="none"/>
                <w:lang w:val="en-US"/>
              </w:rPr>
            </w:pPr>
            <w:r>
              <w:rPr>
                <w:rFonts w:hint="eastAsia"/>
                <w:color w:val="auto"/>
                <w:highlight w:val="none"/>
                <w:lang w:val="en-US"/>
              </w:rPr>
              <w:t>7.2</w:t>
            </w:r>
          </w:p>
        </w:tc>
        <w:tc>
          <w:tcPr>
            <w:tcW w:w="1701" w:type="dxa"/>
            <w:vAlign w:val="center"/>
          </w:tcPr>
          <w:p w14:paraId="05040D43">
            <w:pPr>
              <w:pStyle w:val="44"/>
              <w:adjustRightInd/>
              <w:ind w:right="178" w:rightChars="74" w:firstLine="31" w:firstLineChars="13"/>
              <w:jc w:val="center"/>
              <w:rPr>
                <w:rFonts w:hint="eastAsia"/>
                <w:color w:val="auto"/>
                <w:highlight w:val="none"/>
              </w:rPr>
            </w:pPr>
            <w:r>
              <w:rPr>
                <w:rFonts w:hint="eastAsia"/>
                <w:color w:val="auto"/>
                <w:highlight w:val="none"/>
              </w:rPr>
              <w:t>中标候选人公示媒介及期限</w:t>
            </w:r>
          </w:p>
        </w:tc>
        <w:tc>
          <w:tcPr>
            <w:tcW w:w="6168" w:type="dxa"/>
            <w:vAlign w:val="center"/>
          </w:tcPr>
          <w:p w14:paraId="077D6CC7">
            <w:pPr>
              <w:adjustRightInd/>
              <w:jc w:val="both"/>
              <w:rPr>
                <w:rFonts w:hint="eastAsia" w:ascii="宋体" w:hAnsi="宋体" w:cs="宋体"/>
                <w:color w:val="auto"/>
                <w:highlight w:val="none"/>
              </w:rPr>
            </w:pPr>
            <w:r>
              <w:rPr>
                <w:rFonts w:hint="eastAsia" w:ascii="宋体" w:hAnsi="宋体" w:cs="宋体"/>
                <w:color w:val="auto"/>
                <w:highlight w:val="none"/>
              </w:rPr>
              <w:t>公示媒介：</w:t>
            </w:r>
            <w:r>
              <w:rPr>
                <w:rFonts w:hint="eastAsia" w:ascii="宋体" w:hAnsi="宋体" w:cs="宋体"/>
                <w:color w:val="auto"/>
                <w:highlight w:val="none"/>
                <w:u w:val="single"/>
              </w:rPr>
              <w:t>越城区公共资源交易平台</w:t>
            </w:r>
            <w:r>
              <w:rPr>
                <w:rFonts w:hint="eastAsia" w:ascii="宋体" w:hAnsi="宋体" w:cs="宋体"/>
                <w:i/>
                <w:iCs/>
                <w:color w:val="auto"/>
                <w:highlight w:val="none"/>
              </w:rPr>
              <w:t>（网址）</w:t>
            </w:r>
            <w:r>
              <w:rPr>
                <w:rFonts w:hint="eastAsia" w:ascii="宋体" w:hAnsi="宋体" w:cs="宋体"/>
                <w:color w:val="auto"/>
                <w:highlight w:val="none"/>
                <w:u w:val="single"/>
              </w:rPr>
              <w:t>（http://ztb.sxyc.gov.cn:/TPBidder）</w:t>
            </w:r>
          </w:p>
          <w:p w14:paraId="71C2D2ED">
            <w:pPr>
              <w:adjustRightInd/>
              <w:jc w:val="both"/>
              <w:rPr>
                <w:rFonts w:hint="eastAsia" w:ascii="宋体" w:hAnsi="宋体" w:cs="宋体"/>
                <w:color w:val="auto"/>
                <w:highlight w:val="none"/>
              </w:rPr>
            </w:pPr>
          </w:p>
          <w:p w14:paraId="5A22B69F">
            <w:pPr>
              <w:pStyle w:val="44"/>
              <w:adjustRightInd/>
              <w:ind w:right="34" w:rightChars="14"/>
              <w:jc w:val="both"/>
              <w:rPr>
                <w:rFonts w:hint="eastAsia"/>
                <w:color w:val="auto"/>
                <w:highlight w:val="none"/>
              </w:rPr>
            </w:pPr>
            <w:r>
              <w:rPr>
                <w:rFonts w:hint="eastAsia"/>
                <w:color w:val="auto"/>
                <w:spacing w:val="-2"/>
                <w:highlight w:val="none"/>
              </w:rPr>
              <w:t>公示期限：</w:t>
            </w:r>
            <w:r>
              <w:rPr>
                <w:rFonts w:hint="eastAsia"/>
                <w:color w:val="auto"/>
                <w:spacing w:val="-2"/>
                <w:highlight w:val="none"/>
                <w:u w:val="single"/>
              </w:rPr>
              <w:t>不少于3日。如遇国家法定休假日，应顺延至法定休假日后第一个工作日。</w:t>
            </w:r>
          </w:p>
        </w:tc>
      </w:tr>
      <w:tr w14:paraId="50AD0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B028AC1">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7.</w:t>
            </w:r>
            <w:r>
              <w:rPr>
                <w:rFonts w:hint="eastAsia"/>
                <w:color w:val="auto"/>
                <w:highlight w:val="none"/>
                <w:lang w:val="en-US"/>
              </w:rPr>
              <w:t>3</w:t>
            </w:r>
            <w:r>
              <w:rPr>
                <w:rFonts w:hint="eastAsia"/>
                <w:color w:val="auto"/>
                <w:highlight w:val="none"/>
              </w:rPr>
              <w:t>.1</w:t>
            </w:r>
          </w:p>
        </w:tc>
        <w:tc>
          <w:tcPr>
            <w:tcW w:w="1701" w:type="dxa"/>
            <w:vAlign w:val="center"/>
          </w:tcPr>
          <w:p w14:paraId="4B91D4EC">
            <w:pPr>
              <w:pStyle w:val="44"/>
              <w:adjustRightInd/>
              <w:jc w:val="center"/>
              <w:rPr>
                <w:rFonts w:hint="eastAsia"/>
                <w:color w:val="auto"/>
                <w:highlight w:val="none"/>
              </w:rPr>
            </w:pPr>
            <w:r>
              <w:rPr>
                <w:rFonts w:hint="eastAsia"/>
                <w:color w:val="auto"/>
                <w:highlight w:val="none"/>
              </w:rPr>
              <w:t>履约担保</w:t>
            </w:r>
          </w:p>
          <w:p w14:paraId="34A239AA">
            <w:pPr>
              <w:pStyle w:val="44"/>
              <w:adjustRightInd/>
              <w:jc w:val="center"/>
              <w:rPr>
                <w:rFonts w:hint="eastAsia"/>
                <w:color w:val="auto"/>
                <w:highlight w:val="none"/>
              </w:rPr>
            </w:pPr>
            <w:r>
              <w:rPr>
                <w:rFonts w:hint="eastAsia"/>
                <w:color w:val="auto"/>
                <w:highlight w:val="none"/>
              </w:rPr>
              <w:t>及工程款支付</w:t>
            </w:r>
          </w:p>
          <w:p w14:paraId="4E8AFB55">
            <w:pPr>
              <w:pStyle w:val="44"/>
              <w:adjustRightInd/>
              <w:ind w:right="178" w:rightChars="74" w:firstLine="31" w:firstLineChars="13"/>
              <w:jc w:val="center"/>
              <w:rPr>
                <w:rFonts w:hint="eastAsia"/>
                <w:color w:val="auto"/>
                <w:highlight w:val="none"/>
              </w:rPr>
            </w:pPr>
            <w:r>
              <w:rPr>
                <w:rFonts w:hint="eastAsia"/>
                <w:color w:val="auto"/>
                <w:highlight w:val="none"/>
              </w:rPr>
              <w:t>担保</w:t>
            </w:r>
          </w:p>
        </w:tc>
        <w:tc>
          <w:tcPr>
            <w:tcW w:w="6168" w:type="dxa"/>
            <w:vAlign w:val="center"/>
          </w:tcPr>
          <w:p w14:paraId="44D8DE25">
            <w:pPr>
              <w:adjustRightInd/>
              <w:jc w:val="both"/>
              <w:rPr>
                <w:rFonts w:hint="eastAsia" w:ascii="宋体" w:hAnsi="宋体" w:cs="宋体"/>
                <w:color w:val="auto"/>
                <w:highlight w:val="none"/>
              </w:rPr>
            </w:pPr>
            <w:r>
              <w:rPr>
                <w:rFonts w:hint="eastAsia" w:ascii="宋体" w:hAnsi="宋体" w:cs="宋体"/>
                <w:color w:val="auto"/>
                <w:highlight w:val="none"/>
              </w:rPr>
              <w:t>履约担保的金额：合同总价的</w:t>
            </w:r>
            <w:r>
              <w:rPr>
                <w:rFonts w:hint="eastAsia" w:ascii="宋体" w:hAnsi="宋体" w:cs="宋体"/>
                <w:color w:val="auto"/>
                <w:highlight w:val="none"/>
                <w:u w:val="single"/>
              </w:rPr>
              <w:t xml:space="preserve"> 2 </w:t>
            </w:r>
            <w:r>
              <w:rPr>
                <w:rFonts w:hint="eastAsia" w:ascii="宋体" w:hAnsi="宋体" w:cs="宋体"/>
                <w:color w:val="auto"/>
                <w:highlight w:val="none"/>
              </w:rPr>
              <w:t>%。</w:t>
            </w:r>
          </w:p>
          <w:p w14:paraId="4ECF0B5B">
            <w:pPr>
              <w:adjustRightInd/>
              <w:jc w:val="both"/>
              <w:rPr>
                <w:rFonts w:hint="eastAsia" w:ascii="宋体" w:hAnsi="宋体" w:cs="宋体"/>
                <w:color w:val="auto"/>
                <w:highlight w:val="none"/>
              </w:rPr>
            </w:pPr>
            <w:r>
              <w:rPr>
                <w:rFonts w:hint="eastAsia" w:ascii="宋体" w:hAnsi="宋体" w:cs="宋体"/>
                <w:color w:val="auto"/>
                <w:highlight w:val="none"/>
              </w:rPr>
              <w:t>工程款支付担保的金额：与履约担保同比例。</w:t>
            </w:r>
          </w:p>
          <w:p w14:paraId="77F37AB2">
            <w:pPr>
              <w:pStyle w:val="44"/>
              <w:adjustRightInd/>
              <w:ind w:right="34" w:rightChars="14"/>
              <w:jc w:val="both"/>
              <w:rPr>
                <w:rFonts w:hint="eastAsia"/>
                <w:color w:val="auto"/>
                <w:highlight w:val="none"/>
              </w:rPr>
            </w:pPr>
            <w:r>
              <w:rPr>
                <w:rFonts w:hint="eastAsia"/>
                <w:color w:val="auto"/>
                <w:highlight w:val="none"/>
              </w:rPr>
              <w:t>履约担保/工程款支付担保的形式：</w:t>
            </w:r>
            <w:bookmarkStart w:id="72" w:name="EB729f8822ed244be9b6cbf8c77e802a6c"/>
            <w:r>
              <w:rPr>
                <w:rFonts w:hint="eastAsia"/>
                <w:color w:val="auto"/>
                <w:highlight w:val="none"/>
              </w:rPr>
              <w:t>现金、支票、汇票、转账、银行保函、融资担保公司保函或者保险机构保证、保险、保单。</w:t>
            </w:r>
            <w:bookmarkEnd w:id="72"/>
          </w:p>
          <w:p w14:paraId="52B6FA4C">
            <w:pPr>
              <w:pStyle w:val="44"/>
              <w:adjustRightInd/>
              <w:ind w:right="34" w:rightChars="14"/>
              <w:jc w:val="both"/>
              <w:rPr>
                <w:rFonts w:hint="eastAsia"/>
                <w:color w:val="auto"/>
                <w:highlight w:val="none"/>
                <w:lang w:val="en-US"/>
              </w:rPr>
            </w:pPr>
            <w:r>
              <w:rPr>
                <w:rFonts w:hint="eastAsia"/>
                <w:color w:val="auto"/>
                <w:highlight w:val="none"/>
                <w:lang w:val="en-US"/>
              </w:rPr>
              <w:t>如联合体投标的，其履约担保由牵头人递交。</w:t>
            </w:r>
          </w:p>
        </w:tc>
      </w:tr>
      <w:tr w14:paraId="2C06E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948" w:hRule="atLeast"/>
          <w:jc w:val="center"/>
        </w:trPr>
        <w:tc>
          <w:tcPr>
            <w:tcW w:w="988" w:type="dxa"/>
            <w:vAlign w:val="center"/>
          </w:tcPr>
          <w:p w14:paraId="188D1398">
            <w:pPr>
              <w:pStyle w:val="44"/>
              <w:tabs>
                <w:tab w:val="left" w:pos="1100"/>
              </w:tabs>
              <w:adjustRightInd/>
              <w:ind w:left="10" w:right="125" w:rightChars="52" w:hanging="10"/>
              <w:jc w:val="center"/>
              <w:rPr>
                <w:rFonts w:hint="eastAsia"/>
                <w:color w:val="auto"/>
                <w:highlight w:val="none"/>
                <w:lang w:val="en-US"/>
              </w:rPr>
            </w:pPr>
            <w:r>
              <w:rPr>
                <w:rFonts w:hint="eastAsia"/>
                <w:color w:val="auto"/>
                <w:highlight w:val="none"/>
                <w:lang w:val="en-US"/>
              </w:rPr>
              <w:t>8.1</w:t>
            </w:r>
          </w:p>
        </w:tc>
        <w:tc>
          <w:tcPr>
            <w:tcW w:w="1701" w:type="dxa"/>
            <w:vAlign w:val="center"/>
          </w:tcPr>
          <w:p w14:paraId="77355D58">
            <w:pPr>
              <w:pStyle w:val="44"/>
              <w:adjustRightInd/>
              <w:ind w:right="178" w:rightChars="74" w:firstLine="31" w:firstLineChars="13"/>
              <w:jc w:val="center"/>
              <w:rPr>
                <w:rFonts w:hint="eastAsia"/>
                <w:color w:val="auto"/>
                <w:highlight w:val="none"/>
                <w:lang w:val="en-US"/>
              </w:rPr>
            </w:pPr>
            <w:r>
              <w:rPr>
                <w:rFonts w:hint="eastAsia"/>
                <w:color w:val="auto"/>
                <w:highlight w:val="none"/>
                <w:lang w:val="en-US"/>
              </w:rPr>
              <w:t>重新招标的其他情形</w:t>
            </w:r>
          </w:p>
        </w:tc>
        <w:tc>
          <w:tcPr>
            <w:tcW w:w="6168" w:type="dxa"/>
            <w:vAlign w:val="center"/>
          </w:tcPr>
          <w:p w14:paraId="554B02D6">
            <w:pPr>
              <w:pStyle w:val="44"/>
              <w:adjustRightInd/>
              <w:ind w:right="34" w:rightChars="14"/>
              <w:jc w:val="both"/>
              <w:rPr>
                <w:rFonts w:hint="eastAsia"/>
                <w:color w:val="auto"/>
                <w:highlight w:val="none"/>
              </w:rPr>
            </w:pPr>
            <w:r>
              <w:rPr>
                <w:rFonts w:hint="eastAsia"/>
                <w:color w:val="auto"/>
                <w:highlight w:val="none"/>
              </w:rPr>
              <w:t>1.招标投标过程中，因项目发生变更，现有招标资格条件与项目工程规模不符的；</w:t>
            </w:r>
          </w:p>
          <w:p w14:paraId="39B8ADF9">
            <w:pPr>
              <w:pStyle w:val="44"/>
              <w:adjustRightInd/>
              <w:ind w:right="34" w:rightChars="14"/>
              <w:jc w:val="both"/>
              <w:rPr>
                <w:rFonts w:hint="eastAsia"/>
                <w:color w:val="auto"/>
                <w:highlight w:val="none"/>
              </w:rPr>
            </w:pPr>
            <w:r>
              <w:rPr>
                <w:rFonts w:hint="eastAsia"/>
                <w:color w:val="auto"/>
                <w:highlight w:val="none"/>
              </w:rPr>
              <w:t>□2.国有资金占控股或者主导地位的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7CF70850">
            <w:pPr>
              <w:pStyle w:val="44"/>
              <w:adjustRightInd/>
              <w:ind w:right="34" w:rightChars="14"/>
              <w:jc w:val="both"/>
              <w:rPr>
                <w:rFonts w:hint="eastAsia"/>
                <w:color w:val="auto"/>
                <w:highlight w:val="none"/>
              </w:rPr>
            </w:pPr>
            <w:r>
              <w:rPr>
                <w:rFonts w:hint="eastAsia"/>
                <w:color w:val="auto"/>
                <w:highlight w:val="none"/>
                <w:lang w:val="en-US"/>
              </w:rPr>
              <w:t>3.</w:t>
            </w:r>
            <w:r>
              <w:rPr>
                <w:rFonts w:hint="eastAsia"/>
                <w:color w:val="auto"/>
                <w:highlight w:val="none"/>
              </w:rPr>
              <w:t>法律法规规定的其他情形。</w:t>
            </w:r>
          </w:p>
        </w:tc>
      </w:tr>
      <w:tr w14:paraId="742DA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F56F64C">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8.2</w:t>
            </w:r>
          </w:p>
        </w:tc>
        <w:tc>
          <w:tcPr>
            <w:tcW w:w="1701" w:type="dxa"/>
            <w:vAlign w:val="center"/>
          </w:tcPr>
          <w:p w14:paraId="6633898A">
            <w:pPr>
              <w:pStyle w:val="44"/>
              <w:adjustRightInd/>
              <w:ind w:right="178" w:rightChars="74" w:firstLine="31" w:firstLineChars="13"/>
              <w:jc w:val="center"/>
              <w:rPr>
                <w:rFonts w:hint="eastAsia"/>
                <w:color w:val="auto"/>
                <w:highlight w:val="none"/>
              </w:rPr>
            </w:pPr>
            <w:r>
              <w:rPr>
                <w:rFonts w:hint="eastAsia"/>
                <w:color w:val="auto"/>
                <w:highlight w:val="none"/>
              </w:rPr>
              <w:t>不再招标的情形</w:t>
            </w:r>
          </w:p>
        </w:tc>
        <w:tc>
          <w:tcPr>
            <w:tcW w:w="6168" w:type="dxa"/>
            <w:vAlign w:val="center"/>
          </w:tcPr>
          <w:p w14:paraId="62305B5B">
            <w:pPr>
              <w:pStyle w:val="44"/>
              <w:adjustRightInd/>
              <w:ind w:right="34" w:rightChars="14"/>
              <w:jc w:val="both"/>
              <w:rPr>
                <w:rFonts w:hint="eastAsia"/>
                <w:color w:val="auto"/>
                <w:highlight w:val="none"/>
              </w:rPr>
            </w:pPr>
            <w:r>
              <w:rPr>
                <w:rFonts w:hint="eastAsia"/>
                <w:color w:val="auto"/>
                <w:highlight w:val="none"/>
              </w:rPr>
              <w:t>重新招标后投标人仍少于3个的，属于必须审批、核准的工程建设项目，报经原审批、核准部门审批、核准后可以不再进行招标。（其他项目由行政监督部门进行核定）</w:t>
            </w:r>
          </w:p>
        </w:tc>
      </w:tr>
      <w:tr w14:paraId="3D4E4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162B3C63">
            <w:pPr>
              <w:pStyle w:val="44"/>
              <w:tabs>
                <w:tab w:val="left" w:pos="1100"/>
              </w:tabs>
              <w:adjustRightInd/>
              <w:ind w:left="10" w:right="125" w:rightChars="52" w:hanging="10"/>
              <w:jc w:val="center"/>
              <w:rPr>
                <w:rFonts w:hint="eastAsia"/>
                <w:color w:val="auto"/>
                <w:highlight w:val="none"/>
                <w:lang w:val="en-US"/>
              </w:rPr>
            </w:pPr>
            <w:r>
              <w:rPr>
                <w:rFonts w:hint="eastAsia"/>
                <w:color w:val="auto"/>
                <w:highlight w:val="none"/>
                <w:lang w:val="en-US"/>
              </w:rPr>
              <w:t>10</w:t>
            </w:r>
          </w:p>
        </w:tc>
        <w:tc>
          <w:tcPr>
            <w:tcW w:w="1701" w:type="dxa"/>
            <w:vAlign w:val="center"/>
          </w:tcPr>
          <w:p w14:paraId="13B86B79">
            <w:pPr>
              <w:pStyle w:val="44"/>
              <w:kinsoku w:val="0"/>
              <w:jc w:val="center"/>
              <w:rPr>
                <w:rFonts w:hint="eastAsia"/>
                <w:color w:val="auto"/>
                <w:highlight w:val="none"/>
              </w:rPr>
            </w:pPr>
            <w:r>
              <w:rPr>
                <w:rFonts w:hint="eastAsia"/>
                <w:color w:val="auto"/>
                <w:highlight w:val="none"/>
              </w:rPr>
              <w:t>需要补充的</w:t>
            </w:r>
          </w:p>
          <w:p w14:paraId="24FFBBB4">
            <w:pPr>
              <w:pStyle w:val="44"/>
              <w:kinsoku w:val="0"/>
              <w:jc w:val="center"/>
              <w:rPr>
                <w:rFonts w:hint="eastAsia"/>
                <w:color w:val="auto"/>
                <w:highlight w:val="none"/>
              </w:rPr>
            </w:pPr>
            <w:r>
              <w:rPr>
                <w:rFonts w:hint="eastAsia"/>
                <w:color w:val="auto"/>
                <w:highlight w:val="none"/>
              </w:rPr>
              <w:t>其他内容</w:t>
            </w:r>
          </w:p>
        </w:tc>
        <w:tc>
          <w:tcPr>
            <w:tcW w:w="6168" w:type="dxa"/>
            <w:vAlign w:val="center"/>
          </w:tcPr>
          <w:p w14:paraId="01D0AB75">
            <w:pPr>
              <w:snapToGrid w:val="0"/>
              <w:jc w:val="both"/>
              <w:rPr>
                <w:color w:val="auto"/>
                <w:highlight w:val="none"/>
              </w:rPr>
            </w:pPr>
            <w:r>
              <w:rPr>
                <w:rFonts w:hint="eastAsia" w:ascii="宋体" w:hAnsi="宋体"/>
                <w:color w:val="auto"/>
                <w:highlight w:val="none"/>
              </w:rPr>
              <w:t>投诉受理的具体部门及电话：</w:t>
            </w:r>
            <w:r>
              <w:rPr>
                <w:rFonts w:hint="eastAsia" w:ascii="宋体" w:hAnsi="宋体" w:cs="宋体"/>
                <w:color w:val="auto"/>
                <w:highlight w:val="none"/>
                <w:u w:val="single"/>
              </w:rPr>
              <w:t>越城区住房和城乡建设局，</w:t>
            </w:r>
            <w:r>
              <w:rPr>
                <w:rFonts w:hint="eastAsia" w:ascii="宋体" w:hAnsi="宋体" w:cs="宋体"/>
                <w:color w:val="auto"/>
                <w:highlight w:val="none"/>
                <w:u w:val="single"/>
              </w:rPr>
              <w:t>0575-88332792</w:t>
            </w:r>
            <w:r>
              <w:rPr>
                <w:rFonts w:hint="eastAsia" w:ascii="宋体" w:hAnsi="宋体"/>
                <w:color w:val="auto"/>
                <w:highlight w:val="none"/>
              </w:rPr>
              <w:t>。</w:t>
            </w:r>
          </w:p>
        </w:tc>
      </w:tr>
      <w:tr w14:paraId="5FA57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7F89DD6F">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10.1</w:t>
            </w:r>
          </w:p>
        </w:tc>
        <w:tc>
          <w:tcPr>
            <w:tcW w:w="1701" w:type="dxa"/>
            <w:vAlign w:val="center"/>
          </w:tcPr>
          <w:p w14:paraId="6700F81D">
            <w:pPr>
              <w:pStyle w:val="44"/>
              <w:adjustRightInd/>
              <w:ind w:right="178" w:rightChars="74" w:firstLine="31" w:firstLineChars="13"/>
              <w:jc w:val="center"/>
              <w:rPr>
                <w:rFonts w:hint="eastAsia"/>
                <w:color w:val="auto"/>
                <w:highlight w:val="none"/>
              </w:rPr>
            </w:pPr>
            <w:r>
              <w:rPr>
                <w:rFonts w:hint="eastAsia"/>
                <w:color w:val="auto"/>
                <w:highlight w:val="none"/>
              </w:rPr>
              <w:t>否决投标的情形</w:t>
            </w:r>
          </w:p>
        </w:tc>
        <w:tc>
          <w:tcPr>
            <w:tcW w:w="6168" w:type="dxa"/>
            <w:vAlign w:val="center"/>
          </w:tcPr>
          <w:p w14:paraId="2B3B5611">
            <w:pPr>
              <w:rPr>
                <w:rFonts w:hint="eastAsia" w:ascii="宋体" w:hAnsi="宋体" w:cs="宋体"/>
                <w:color w:val="auto"/>
                <w:highlight w:val="none"/>
              </w:rPr>
            </w:pPr>
            <w:r>
              <w:rPr>
                <w:rFonts w:hint="eastAsia" w:ascii="宋体" w:hAnsi="宋体" w:cs="宋体"/>
                <w:color w:val="auto"/>
                <w:highlight w:val="none"/>
              </w:rPr>
              <w:t>1.凡评标委员会拟作出否决投标决定的，应先向投标人进行书面询问核实。未进行询问核实程序的，不得做出否决投标决定，投标人放弃接受询问核实机会的除外。投标人应自行关注评标委员会发出的澄清并及时答复，在规定的时限内投标人不参加核实或不予答复的，视为放弃接受询问核实机会。</w:t>
            </w:r>
          </w:p>
          <w:p w14:paraId="1E618260">
            <w:pPr>
              <w:pStyle w:val="44"/>
              <w:adjustRightInd/>
              <w:ind w:right="34" w:rightChars="14"/>
              <w:jc w:val="both"/>
              <w:rPr>
                <w:rFonts w:hint="eastAsia"/>
                <w:color w:val="auto"/>
                <w:highlight w:val="none"/>
              </w:rPr>
            </w:pPr>
            <w:r>
              <w:rPr>
                <w:rFonts w:hint="eastAsia"/>
                <w:color w:val="auto"/>
                <w:highlight w:val="none"/>
                <w:lang w:val="en-US" w:bidi="ar-SA"/>
              </w:rPr>
              <w:t>2.投标文件存在以下情形之一的，由评标委员会审核并经过询标程序，</w:t>
            </w:r>
            <w:r>
              <w:rPr>
                <w:rFonts w:hint="eastAsia"/>
                <w:color w:val="auto"/>
                <w:highlight w:val="none"/>
              </w:rPr>
              <w:t>其投标文件将被否决：</w:t>
            </w:r>
          </w:p>
          <w:p w14:paraId="1DD35932">
            <w:pPr>
              <w:pStyle w:val="44"/>
              <w:adjustRightInd/>
              <w:ind w:right="34" w:rightChars="14"/>
              <w:jc w:val="both"/>
              <w:rPr>
                <w:rFonts w:hint="eastAsia"/>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）符合性内容</w:t>
            </w:r>
          </w:p>
          <w:p w14:paraId="50118F1B">
            <w:pPr>
              <w:pStyle w:val="44"/>
              <w:adjustRightInd/>
              <w:ind w:right="34" w:rightChars="14"/>
              <w:jc w:val="both"/>
              <w:rPr>
                <w:rFonts w:hint="eastAsia"/>
                <w:color w:val="auto"/>
                <w:highlight w:val="none"/>
              </w:rPr>
            </w:pPr>
            <w:r>
              <w:rPr>
                <w:rFonts w:hint="eastAsia"/>
                <w:color w:val="auto"/>
                <w:highlight w:val="none"/>
              </w:rPr>
              <w:t>①投标人的营业执照、企业资质、项目负责人（含设计负责人、施工负责人）资格、安全生产许可证、业绩条件等条件和标准未满足招标文件实质性响应要求的（以投标人须知前附表第3.5款中“实质性响应招标文件”内容为准）；</w:t>
            </w:r>
          </w:p>
          <w:p w14:paraId="4CABE4A3">
            <w:pPr>
              <w:pStyle w:val="33"/>
              <w:widowControl w:val="0"/>
              <w:spacing w:line="240" w:lineRule="auto"/>
              <w:ind w:firstLine="420"/>
              <w:rPr>
                <w:rFonts w:hint="eastAsia" w:hAnsi="宋体"/>
                <w:color w:val="auto"/>
                <w:sz w:val="24"/>
                <w:szCs w:val="24"/>
                <w:highlight w:val="none"/>
              </w:rPr>
            </w:pPr>
            <w:r>
              <w:rPr>
                <w:rFonts w:hint="eastAsia" w:hAnsi="宋体"/>
                <w:color w:val="auto"/>
                <w:highlight w:val="none"/>
              </w:rPr>
              <w:t>企业资质动态核查：</w:t>
            </w:r>
            <w:r>
              <w:rPr>
                <w:rFonts w:hint="eastAsia" w:hAnsi="宋体"/>
                <w:color w:val="auto"/>
                <w:sz w:val="24"/>
                <w:szCs w:val="24"/>
                <w:highlight w:val="none"/>
              </w:rPr>
              <w:t>投标人</w:t>
            </w:r>
            <w:r>
              <w:rPr>
                <w:rFonts w:hint="eastAsia" w:hAnsi="宋体"/>
                <w:color w:val="auto"/>
                <w:sz w:val="24"/>
                <w:szCs w:val="24"/>
                <w:highlight w:val="none"/>
                <w:u w:val="single"/>
              </w:rPr>
              <w:t xml:space="preserve"> 2025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日在</w:t>
            </w:r>
            <w:r>
              <w:rPr>
                <w:rFonts w:hint="eastAsia" w:hAnsi="宋体"/>
                <w:color w:val="auto"/>
                <w:sz w:val="24"/>
                <w:szCs w:val="24"/>
                <w:highlight w:val="none"/>
              </w:rPr>
              <w:t>“</w:t>
            </w:r>
            <w:r>
              <w:rPr>
                <w:rFonts w:hint="eastAsia" w:ascii="Times New Roman" w:hAnsi="宋体"/>
                <w:color w:val="auto"/>
                <w:sz w:val="24"/>
                <w:highlight w:val="none"/>
              </w:rPr>
              <w:t>浙江省</w:t>
            </w:r>
            <w:r>
              <w:rPr>
                <w:rFonts w:hint="eastAsia" w:ascii="Times New Roman" w:hAnsi="宋体"/>
                <w:color w:val="auto"/>
                <w:sz w:val="24"/>
                <w:szCs w:val="24"/>
                <w:highlight w:val="none"/>
              </w:rPr>
              <w:t>建筑市场监管公共服务系统”上，资质动态核查结果处于“不合格”状态</w:t>
            </w:r>
            <w:r>
              <w:rPr>
                <w:rFonts w:hint="eastAsia" w:hAnsi="宋体"/>
                <w:color w:val="auto"/>
                <w:sz w:val="24"/>
                <w:szCs w:val="24"/>
                <w:highlight w:val="none"/>
              </w:rPr>
              <w:t>的</w:t>
            </w:r>
            <w:r>
              <w:rPr>
                <w:rFonts w:hint="eastAsia" w:ascii="Times New Roman" w:hAnsi="宋体"/>
                <w:color w:val="auto"/>
                <w:sz w:val="24"/>
                <w:szCs w:val="24"/>
                <w:highlight w:val="none"/>
              </w:rPr>
              <w:t>（或者资质“合格”状态的等级低于投标要求的资质等级）</w:t>
            </w:r>
            <w:r>
              <w:rPr>
                <w:rFonts w:hint="eastAsia" w:hAnsi="宋体"/>
                <w:color w:val="auto"/>
                <w:sz w:val="24"/>
                <w:szCs w:val="24"/>
                <w:highlight w:val="none"/>
              </w:rPr>
              <w:t>；</w:t>
            </w:r>
          </w:p>
          <w:p w14:paraId="796F1548">
            <w:pPr>
              <w:pStyle w:val="9"/>
              <w:tabs>
                <w:tab w:val="left" w:pos="1343"/>
                <w:tab w:val="left" w:pos="2697"/>
                <w:tab w:val="left" w:pos="3264"/>
                <w:tab w:val="left" w:pos="4896"/>
                <w:tab w:val="left" w:pos="6005"/>
                <w:tab w:val="left" w:pos="7085"/>
                <w:tab w:val="left" w:pos="7498"/>
              </w:tabs>
              <w:adjustRightInd/>
              <w:ind w:firstLine="480" w:firstLineChars="200"/>
              <w:jc w:val="both"/>
              <w:rPr>
                <w:rFonts w:hint="eastAsia" w:ascii="Times New Roman" w:hAnsi="宋体"/>
                <w:strike/>
                <w:color w:val="auto"/>
                <w:highlight w:val="none"/>
              </w:rPr>
            </w:pPr>
            <w:r>
              <w:rPr>
                <w:rFonts w:hint="eastAsia" w:hAnsi="宋体"/>
                <w:strike/>
                <w:color w:val="auto"/>
                <w:highlight w:val="none"/>
              </w:rPr>
              <w:t>□投标人为非中小企业</w:t>
            </w:r>
            <w:r>
              <w:rPr>
                <w:rFonts w:ascii="Times New Roman" w:hAnsi="宋体"/>
                <w:strike/>
                <w:color w:val="auto"/>
                <w:highlight w:val="none"/>
              </w:rPr>
              <w:t>的</w:t>
            </w:r>
            <w:r>
              <w:rPr>
                <w:rFonts w:hint="eastAsia" w:hAnsi="宋体"/>
                <w:strike/>
                <w:color w:val="auto"/>
                <w:highlight w:val="none"/>
              </w:rPr>
              <w:t>，投标人</w:t>
            </w:r>
            <w:r>
              <w:rPr>
                <w:rFonts w:ascii="Times New Roman" w:hAnsi="宋体"/>
                <w:strike/>
                <w:color w:val="auto"/>
                <w:highlight w:val="none"/>
              </w:rPr>
              <w:t>未提供《中小企业声明函》或未按照招标文件所附的《中小企业声明函》格式提供的</w:t>
            </w:r>
            <w:r>
              <w:rPr>
                <w:rFonts w:hint="eastAsia" w:hAnsi="宋体"/>
                <w:strike/>
                <w:color w:val="auto"/>
                <w:highlight w:val="none"/>
              </w:rPr>
              <w:t>；</w:t>
            </w:r>
          </w:p>
          <w:p w14:paraId="359063B8">
            <w:pPr>
              <w:pStyle w:val="33"/>
              <w:widowControl w:val="0"/>
              <w:spacing w:line="240" w:lineRule="auto"/>
              <w:ind w:firstLine="480"/>
              <w:rPr>
                <w:rFonts w:hint="eastAsia" w:ascii="Times New Roman" w:hAnsi="宋体"/>
                <w:color w:val="auto"/>
                <w:sz w:val="24"/>
                <w:highlight w:val="none"/>
              </w:rPr>
            </w:pPr>
            <w:r>
              <w:rPr>
                <w:rFonts w:hint="eastAsia" w:ascii="Times New Roman" w:hAnsi="宋体"/>
                <w:color w:val="auto"/>
                <w:sz w:val="24"/>
                <w:highlight w:val="none"/>
              </w:rPr>
              <w:t>省外企业未按规定办理省外建设工程企业进浙备案手续的；</w:t>
            </w:r>
          </w:p>
          <w:p w14:paraId="7F4E475B">
            <w:pPr>
              <w:pStyle w:val="44"/>
              <w:adjustRightInd/>
              <w:ind w:right="34" w:rightChars="14"/>
              <w:jc w:val="both"/>
              <w:rPr>
                <w:rFonts w:hint="eastAsia"/>
                <w:color w:val="auto"/>
                <w:highlight w:val="none"/>
              </w:rPr>
            </w:pPr>
            <w:r>
              <w:rPr>
                <w:rFonts w:hint="eastAsia"/>
                <w:color w:val="auto"/>
                <w:highlight w:val="none"/>
              </w:rPr>
              <w:t>②投标文件未按招标文件规定的要求（以投标人须知前附表第3.7.3项规定为准）签字或盖章的；投标文件中投标函或投标承诺书未按要求填写</w:t>
            </w:r>
            <w:r>
              <w:rPr>
                <w:rFonts w:hint="eastAsia"/>
                <w:color w:val="auto"/>
                <w:highlight w:val="none"/>
                <w:lang w:val="en-US"/>
              </w:rPr>
              <w:t>的</w:t>
            </w:r>
            <w:r>
              <w:rPr>
                <w:rFonts w:hint="eastAsia"/>
                <w:color w:val="auto"/>
                <w:highlight w:val="none"/>
              </w:rPr>
              <w:t>；</w:t>
            </w:r>
          </w:p>
          <w:p w14:paraId="79147321">
            <w:pPr>
              <w:pStyle w:val="44"/>
              <w:adjustRightInd/>
              <w:ind w:right="34" w:rightChars="14"/>
              <w:jc w:val="both"/>
              <w:rPr>
                <w:rFonts w:hint="eastAsia"/>
                <w:color w:val="auto"/>
                <w:highlight w:val="none"/>
              </w:rPr>
            </w:pPr>
            <w:r>
              <w:rPr>
                <w:rFonts w:hint="eastAsia"/>
                <w:color w:val="auto"/>
                <w:highlight w:val="none"/>
              </w:rPr>
              <w:t>③法定代表人授权委托代理人参加投标或签署书面文件的，委托代理人无有效的授权委托书；</w:t>
            </w:r>
          </w:p>
          <w:p w14:paraId="2091A99C">
            <w:pPr>
              <w:pStyle w:val="44"/>
              <w:adjustRightInd/>
              <w:ind w:right="34" w:rightChars="14"/>
              <w:jc w:val="both"/>
              <w:rPr>
                <w:rFonts w:hint="eastAsia"/>
                <w:color w:val="auto"/>
                <w:highlight w:val="none"/>
              </w:rPr>
            </w:pPr>
            <w:r>
              <w:rPr>
                <w:rFonts w:hint="eastAsia"/>
                <w:color w:val="auto"/>
                <w:highlight w:val="none"/>
              </w:rPr>
              <w:t>④</w:t>
            </w:r>
            <w:r>
              <w:rPr>
                <w:rFonts w:hint="eastAsia" w:ascii="Times New Roman"/>
                <w:color w:val="auto"/>
                <w:highlight w:val="none"/>
              </w:rPr>
              <w:t>投标人不以自己的名义或投标人未按照招标文件的要求提交投标保证金或提供的投标保证金有缺陷而不能接受的</w:t>
            </w:r>
            <w:r>
              <w:rPr>
                <w:rFonts w:hint="eastAsia"/>
                <w:color w:val="auto"/>
                <w:highlight w:val="none"/>
              </w:rPr>
              <w:t>；</w:t>
            </w:r>
          </w:p>
          <w:p w14:paraId="0F247973">
            <w:pPr>
              <w:pStyle w:val="44"/>
              <w:adjustRightInd/>
              <w:ind w:right="34" w:rightChars="14"/>
              <w:jc w:val="both"/>
              <w:rPr>
                <w:rFonts w:hint="eastAsia"/>
                <w:color w:val="auto"/>
                <w:highlight w:val="none"/>
              </w:rPr>
            </w:pPr>
            <w:r>
              <w:rPr>
                <w:rFonts w:hint="eastAsia"/>
                <w:color w:val="auto"/>
                <w:highlight w:val="none"/>
              </w:rPr>
              <w:t>⑤投标人（投标人是联合体的，指联合体各方）存在投标须知</w:t>
            </w:r>
            <w:r>
              <w:rPr>
                <w:rFonts w:ascii="Times New Roman" w:cs="Times New Roman"/>
                <w:color w:val="auto"/>
                <w:highlight w:val="none"/>
              </w:rPr>
              <w:t>第</w:t>
            </w:r>
            <w:r>
              <w:rPr>
                <w:rFonts w:hint="eastAsia" w:ascii="Times New Roman" w:cs="Times New Roman"/>
                <w:strike/>
                <w:color w:val="auto"/>
                <w:highlight w:val="none"/>
                <w:lang w:val="en-US"/>
              </w:rPr>
              <w:t>1.4.2、</w:t>
            </w:r>
            <w:r>
              <w:rPr>
                <w:rFonts w:hint="eastAsia"/>
                <w:color w:val="auto"/>
                <w:highlight w:val="none"/>
                <w:lang w:val="en-US"/>
              </w:rPr>
              <w:t>1.4.3项</w:t>
            </w:r>
            <w:r>
              <w:rPr>
                <w:rFonts w:hint="eastAsia"/>
                <w:color w:val="auto"/>
                <w:highlight w:val="none"/>
              </w:rPr>
              <w:t>情形之一的；</w:t>
            </w:r>
          </w:p>
          <w:p w14:paraId="0553F7F7">
            <w:pPr>
              <w:pStyle w:val="44"/>
              <w:adjustRightInd/>
              <w:ind w:right="34" w:rightChars="14"/>
              <w:jc w:val="both"/>
              <w:rPr>
                <w:rFonts w:hint="eastAsia"/>
                <w:color w:val="auto"/>
                <w:highlight w:val="none"/>
                <w:lang w:val="en-US"/>
              </w:rPr>
            </w:pPr>
            <w:r>
              <w:rPr>
                <w:rFonts w:hint="eastAsia"/>
                <w:color w:val="auto"/>
                <w:highlight w:val="none"/>
              </w:rPr>
              <w:t>⑥</w:t>
            </w:r>
            <w:r>
              <w:rPr>
                <w:rFonts w:hint="eastAsia"/>
                <w:color w:val="auto"/>
                <w:highlight w:val="none"/>
                <w:lang w:val="en-US"/>
              </w:rPr>
              <w:t>投标人（投标人是联合体的，指联合体各方）或其拟派的项目负责人、设计负责人、施工负责人不符合招标公告“（三）其他”规定的任一情形的；</w:t>
            </w:r>
          </w:p>
          <w:p w14:paraId="015C6147">
            <w:pPr>
              <w:pStyle w:val="44"/>
              <w:adjustRightInd/>
              <w:ind w:right="34" w:rightChars="14"/>
              <w:jc w:val="both"/>
              <w:rPr>
                <w:rFonts w:hint="eastAsia"/>
                <w:color w:val="auto"/>
                <w:highlight w:val="none"/>
              </w:rPr>
            </w:pPr>
            <w:r>
              <w:rPr>
                <w:rFonts w:hint="eastAsia"/>
                <w:color w:val="auto"/>
                <w:highlight w:val="none"/>
              </w:rPr>
              <w:t>⑦拟派项目负责人、施工负责人在投标截止日前在其他在建合同工程上担任工程总承包项目负责人、施工负责人（含工程总承包项目中担任施工负责人）的；</w:t>
            </w:r>
          </w:p>
          <w:p w14:paraId="500C8A27">
            <w:pPr>
              <w:pStyle w:val="44"/>
              <w:adjustRightInd/>
              <w:ind w:right="34" w:rightChars="14"/>
              <w:jc w:val="both"/>
              <w:rPr>
                <w:rFonts w:hint="eastAsia"/>
                <w:color w:val="auto"/>
                <w:highlight w:val="none"/>
              </w:rPr>
            </w:pPr>
            <w:r>
              <w:rPr>
                <w:rFonts w:hint="eastAsia"/>
                <w:color w:val="auto"/>
                <w:highlight w:val="none"/>
              </w:rPr>
              <w:t xml:space="preserve">⑧投标人名称或组织结构与开标时提供的不一致的； </w:t>
            </w:r>
          </w:p>
          <w:p w14:paraId="0C1CDE34">
            <w:pPr>
              <w:pStyle w:val="44"/>
              <w:adjustRightInd/>
              <w:ind w:right="34" w:rightChars="14"/>
              <w:jc w:val="both"/>
              <w:rPr>
                <w:rFonts w:hint="eastAsia"/>
                <w:color w:val="auto"/>
                <w:highlight w:val="none"/>
                <w:lang w:val="en-US"/>
              </w:rPr>
            </w:pPr>
            <w:r>
              <w:rPr>
                <w:rFonts w:hint="eastAsia"/>
                <w:color w:val="auto"/>
                <w:highlight w:val="none"/>
              </w:rPr>
              <w:t>⑨组成联合体投标的，投标文件未附联合体协议书的；</w:t>
            </w:r>
          </w:p>
          <w:p w14:paraId="4A851C46">
            <w:pPr>
              <w:pStyle w:val="44"/>
              <w:adjustRightInd/>
              <w:ind w:right="34" w:rightChars="14"/>
              <w:jc w:val="both"/>
              <w:rPr>
                <w:rFonts w:hint="eastAsia"/>
                <w:color w:val="auto"/>
                <w:highlight w:val="none"/>
              </w:rPr>
            </w:pPr>
            <w:r>
              <w:rPr>
                <w:rFonts w:hint="eastAsia"/>
                <w:color w:val="auto"/>
                <w:highlight w:val="none"/>
              </w:rPr>
              <w:t>⑩□投标人提供的纸质投标文件水印码与电子投标文件不一致的；</w:t>
            </w:r>
          </w:p>
          <w:p w14:paraId="6F9A89C9">
            <w:pPr>
              <w:pStyle w:val="44"/>
              <w:adjustRightInd/>
              <w:ind w:right="34" w:rightChars="14"/>
              <w:jc w:val="both"/>
              <w:rPr>
                <w:rFonts w:hint="eastAsia"/>
                <w:color w:val="auto"/>
                <w:highlight w:val="none"/>
              </w:rPr>
            </w:pPr>
            <w:r>
              <w:rPr>
                <w:rFonts w:hint="eastAsia"/>
                <w:color w:val="auto"/>
                <w:highlight w:val="none"/>
              </w:rPr>
              <w:t>⑪评标委员会评标中，发现投标人有下列情形之一的，且经询标澄清投标人无令人信服的理由和可靠证据证明其合理性的，经半数以上成员确认，其投标文件按否决投标处理，不再对其进行评审，也不影响招标工程继续评标。评标结束后，评标委员会应将有串通投标嫌疑的投标文件以及相关评标分析材料及时移交招标投标行政监督部门作进一步的调查处理，即使最终无法认定串通投标行为成立，也不影响对其按否决投标处理的结果。</w:t>
            </w:r>
          </w:p>
          <w:p w14:paraId="16A4D47D">
            <w:pPr>
              <w:pStyle w:val="44"/>
              <w:adjustRightInd/>
              <w:ind w:right="34" w:rightChars="14"/>
              <w:jc w:val="both"/>
              <w:rPr>
                <w:rFonts w:hint="eastAsia"/>
                <w:color w:val="auto"/>
                <w:highlight w:val="none"/>
              </w:rPr>
            </w:pPr>
            <w:r>
              <w:rPr>
                <w:rFonts w:hint="eastAsia"/>
                <w:color w:val="auto"/>
                <w:highlight w:val="none"/>
                <w:lang w:val="en-US"/>
              </w:rPr>
              <w:t>A.</w:t>
            </w:r>
            <w:r>
              <w:rPr>
                <w:rFonts w:hint="eastAsia"/>
                <w:color w:val="auto"/>
                <w:highlight w:val="none"/>
              </w:rPr>
              <w:t>不同投标人的投标文件由同一单位或者个人编制；</w:t>
            </w:r>
          </w:p>
          <w:p w14:paraId="4C788B9D">
            <w:pPr>
              <w:snapToGrid w:val="0"/>
              <w:ind w:right="276" w:rightChars="115"/>
              <w:rPr>
                <w:color w:val="auto"/>
                <w:highlight w:val="none"/>
              </w:rPr>
            </w:pPr>
            <w:r>
              <w:rPr>
                <w:rFonts w:hint="eastAsia"/>
                <w:color w:val="auto"/>
                <w:highlight w:val="none"/>
              </w:rPr>
              <w:t>B. 不同投标人的</w:t>
            </w:r>
            <w:r>
              <w:rPr>
                <w:rFonts w:hint="eastAsia"/>
                <w:color w:val="auto"/>
                <w:highlight w:val="none"/>
                <w:u w:val="single"/>
              </w:rPr>
              <w:t>投标文件制作机器码、文件创建标识码</w:t>
            </w:r>
            <w:r>
              <w:rPr>
                <w:rFonts w:hint="eastAsia"/>
                <w:color w:val="auto"/>
                <w:highlight w:val="none"/>
              </w:rPr>
              <w:t>一致的；（具体说明</w:t>
            </w:r>
            <w:r>
              <w:rPr>
                <w:rFonts w:hint="eastAsia"/>
                <w:color w:val="auto"/>
                <w:highlight w:val="none"/>
                <w:u w:val="single"/>
              </w:rPr>
              <w:t xml:space="preserve">：文件制作机器码是投标人在使用投标文件制作工具时，以电脑的网卡MAC地址、硬盘序列号、CPU序列号、主板序列号以及工具标识号五大特征加密生成；文件创建标识码是投标人在使用投标文件制作工具创建投标文件时，投标文件中间件产生的一串32位编码，用于标记该文件的唯一性。 </w:t>
            </w:r>
            <w:r>
              <w:rPr>
                <w:rFonts w:hint="eastAsia"/>
                <w:color w:val="auto"/>
                <w:highlight w:val="none"/>
              </w:rPr>
              <w:t>）</w:t>
            </w:r>
          </w:p>
          <w:p w14:paraId="4790D576">
            <w:pPr>
              <w:pStyle w:val="44"/>
              <w:adjustRightInd/>
              <w:ind w:right="34" w:rightChars="14"/>
              <w:jc w:val="both"/>
              <w:rPr>
                <w:rFonts w:hint="eastAsia"/>
                <w:color w:val="auto"/>
                <w:highlight w:val="none"/>
              </w:rPr>
            </w:pPr>
            <w:r>
              <w:rPr>
                <w:rFonts w:hint="eastAsia"/>
                <w:color w:val="auto"/>
                <w:highlight w:val="none"/>
                <w:lang w:val="en-US"/>
              </w:rPr>
              <w:t>C.</w:t>
            </w:r>
            <w:r>
              <w:rPr>
                <w:rFonts w:hint="eastAsia"/>
                <w:color w:val="auto"/>
                <w:highlight w:val="none"/>
              </w:rPr>
              <w:t>不同投标人委托同一单位或者个人办理投标事宜；</w:t>
            </w:r>
          </w:p>
          <w:p w14:paraId="1A59D807">
            <w:pPr>
              <w:pStyle w:val="44"/>
              <w:adjustRightInd/>
              <w:ind w:right="34" w:rightChars="14"/>
              <w:jc w:val="both"/>
              <w:rPr>
                <w:rFonts w:hint="eastAsia"/>
                <w:color w:val="auto"/>
                <w:highlight w:val="none"/>
              </w:rPr>
            </w:pPr>
            <w:r>
              <w:rPr>
                <w:rFonts w:hint="eastAsia"/>
                <w:color w:val="auto"/>
                <w:highlight w:val="none"/>
                <w:lang w:val="en-US"/>
              </w:rPr>
              <w:t>D.</w:t>
            </w:r>
            <w:r>
              <w:rPr>
                <w:rFonts w:hint="eastAsia"/>
                <w:color w:val="auto"/>
                <w:highlight w:val="none"/>
              </w:rPr>
              <w:t>投标文件的编制人接受同一工程招标人委托编制招标文件（含招标控制价），或接受其他投标人委托编制投标文件的；</w:t>
            </w:r>
          </w:p>
          <w:p w14:paraId="03C134F3">
            <w:pPr>
              <w:pStyle w:val="44"/>
              <w:adjustRightInd/>
              <w:ind w:right="34" w:rightChars="14"/>
              <w:jc w:val="both"/>
              <w:rPr>
                <w:rFonts w:hint="eastAsia"/>
                <w:color w:val="auto"/>
                <w:highlight w:val="none"/>
              </w:rPr>
            </w:pPr>
            <w:r>
              <w:rPr>
                <w:rFonts w:hint="eastAsia"/>
                <w:color w:val="auto"/>
                <w:highlight w:val="none"/>
                <w:lang w:val="en-US"/>
              </w:rPr>
              <w:t>E.</w:t>
            </w:r>
            <w:r>
              <w:rPr>
                <w:rFonts w:hint="eastAsia"/>
                <w:color w:val="auto"/>
                <w:highlight w:val="none"/>
              </w:rPr>
              <w:t>不同投标人从同一投标单位或者同一自然人的IP地址下载招标文件、上传投标文件、购买电子保函或参加投标的人员为同一标段其他投标人的在职人员；</w:t>
            </w:r>
          </w:p>
          <w:p w14:paraId="26190ECB">
            <w:pPr>
              <w:pStyle w:val="44"/>
              <w:adjustRightInd/>
              <w:ind w:right="34" w:rightChars="14"/>
              <w:jc w:val="both"/>
              <w:rPr>
                <w:rFonts w:hint="eastAsia"/>
                <w:color w:val="auto"/>
                <w:highlight w:val="none"/>
              </w:rPr>
            </w:pPr>
            <w:r>
              <w:rPr>
                <w:rFonts w:hint="eastAsia"/>
                <w:color w:val="auto"/>
                <w:highlight w:val="none"/>
                <w:lang w:val="en-US"/>
              </w:rPr>
              <w:t>F.</w:t>
            </w:r>
            <w:r>
              <w:rPr>
                <w:rFonts w:hint="eastAsia"/>
                <w:color w:val="auto"/>
                <w:highlight w:val="none"/>
              </w:rPr>
              <w:t>不同投标人的投标文件载明的项目管理成员为同一人；</w:t>
            </w:r>
          </w:p>
          <w:p w14:paraId="2A594449">
            <w:pPr>
              <w:pStyle w:val="44"/>
              <w:adjustRightInd/>
              <w:ind w:right="34" w:rightChars="14"/>
              <w:jc w:val="both"/>
              <w:rPr>
                <w:rFonts w:hint="eastAsia"/>
                <w:color w:val="auto"/>
                <w:highlight w:val="none"/>
              </w:rPr>
            </w:pPr>
            <w:r>
              <w:rPr>
                <w:rFonts w:hint="eastAsia"/>
                <w:color w:val="auto"/>
                <w:highlight w:val="none"/>
                <w:lang w:val="en-US"/>
              </w:rPr>
              <w:t>G.</w:t>
            </w:r>
            <w:r>
              <w:rPr>
                <w:rFonts w:hint="eastAsia"/>
                <w:color w:val="auto"/>
                <w:highlight w:val="none"/>
              </w:rPr>
              <w:t>不同投标人的投标文件异常一致或者投标报价呈规律性差异；</w:t>
            </w:r>
          </w:p>
          <w:p w14:paraId="3D9D6363">
            <w:pPr>
              <w:pStyle w:val="44"/>
              <w:adjustRightInd/>
              <w:ind w:right="34" w:rightChars="14"/>
              <w:jc w:val="both"/>
              <w:rPr>
                <w:rFonts w:hint="eastAsia"/>
                <w:color w:val="auto"/>
                <w:highlight w:val="none"/>
              </w:rPr>
            </w:pPr>
            <w:r>
              <w:rPr>
                <w:rFonts w:hint="eastAsia"/>
                <w:color w:val="auto"/>
                <w:highlight w:val="none"/>
                <w:lang w:val="en-US"/>
              </w:rPr>
              <w:t>H.</w:t>
            </w:r>
            <w:r>
              <w:rPr>
                <w:rFonts w:hint="eastAsia"/>
                <w:color w:val="auto"/>
                <w:highlight w:val="none"/>
              </w:rPr>
              <w:t>不同投标人的投标文件相互混装；</w:t>
            </w:r>
          </w:p>
          <w:p w14:paraId="59FA8FA6">
            <w:pPr>
              <w:pStyle w:val="44"/>
              <w:adjustRightInd/>
              <w:ind w:right="34" w:rightChars="14"/>
              <w:jc w:val="both"/>
              <w:rPr>
                <w:rFonts w:hint="eastAsia"/>
                <w:color w:val="auto"/>
                <w:highlight w:val="none"/>
              </w:rPr>
            </w:pPr>
            <w:r>
              <w:rPr>
                <w:rFonts w:hint="eastAsia"/>
                <w:color w:val="auto"/>
                <w:highlight w:val="none"/>
                <w:lang w:val="en-US"/>
              </w:rPr>
              <w:t>I.</w:t>
            </w:r>
            <w:r>
              <w:rPr>
                <w:rFonts w:hint="eastAsia"/>
                <w:color w:val="auto"/>
                <w:highlight w:val="none"/>
              </w:rPr>
              <w:t>不同投标人的投标保证金从同一单位或者个人的账户转出，或者通过同一单位、个人的账户购买电子保函、担保、保险、银行保函；</w:t>
            </w:r>
          </w:p>
          <w:p w14:paraId="7C65C677">
            <w:pPr>
              <w:pStyle w:val="44"/>
              <w:adjustRightInd/>
              <w:ind w:right="34" w:rightChars="14"/>
              <w:jc w:val="both"/>
              <w:rPr>
                <w:rFonts w:hint="eastAsia"/>
                <w:color w:val="auto"/>
                <w:highlight w:val="none"/>
              </w:rPr>
            </w:pPr>
            <w:r>
              <w:rPr>
                <w:rFonts w:hint="eastAsia"/>
                <w:color w:val="auto"/>
                <w:highlight w:val="none"/>
                <w:lang w:val="en-US"/>
              </w:rPr>
              <w:t>J.</w:t>
            </w:r>
            <w:r>
              <w:rPr>
                <w:rFonts w:hint="eastAsia"/>
                <w:color w:val="auto"/>
                <w:highlight w:val="none"/>
              </w:rPr>
              <w:t>投标人之间协商投标报价等投标文件的实质性内容；</w:t>
            </w:r>
          </w:p>
          <w:p w14:paraId="677BCA66">
            <w:pPr>
              <w:pStyle w:val="44"/>
              <w:adjustRightInd/>
              <w:ind w:right="34" w:rightChars="14"/>
              <w:jc w:val="both"/>
              <w:rPr>
                <w:rFonts w:hint="eastAsia"/>
                <w:color w:val="auto"/>
                <w:highlight w:val="none"/>
              </w:rPr>
            </w:pPr>
            <w:r>
              <w:rPr>
                <w:rFonts w:hint="eastAsia"/>
                <w:color w:val="auto"/>
                <w:highlight w:val="none"/>
                <w:lang w:val="en-US"/>
              </w:rPr>
              <w:t>K.</w:t>
            </w:r>
            <w:r>
              <w:rPr>
                <w:rFonts w:hint="eastAsia"/>
                <w:color w:val="auto"/>
                <w:highlight w:val="none"/>
              </w:rPr>
              <w:t>投标人之间约定中标人；</w:t>
            </w:r>
          </w:p>
          <w:p w14:paraId="13109EF9">
            <w:pPr>
              <w:pStyle w:val="44"/>
              <w:adjustRightInd/>
              <w:ind w:right="34" w:rightChars="14"/>
              <w:jc w:val="both"/>
              <w:rPr>
                <w:rFonts w:hint="eastAsia"/>
                <w:color w:val="auto"/>
                <w:highlight w:val="none"/>
              </w:rPr>
            </w:pPr>
            <w:r>
              <w:rPr>
                <w:rFonts w:hint="eastAsia"/>
                <w:color w:val="auto"/>
                <w:highlight w:val="none"/>
                <w:lang w:val="en-US"/>
              </w:rPr>
              <w:t>L.</w:t>
            </w:r>
            <w:r>
              <w:rPr>
                <w:rFonts w:hint="eastAsia"/>
                <w:color w:val="auto"/>
                <w:highlight w:val="none"/>
              </w:rPr>
              <w:t>投标人之间约定部分投标人放弃投标或者中标；</w:t>
            </w:r>
          </w:p>
          <w:p w14:paraId="7FAF69DB">
            <w:pPr>
              <w:pStyle w:val="44"/>
              <w:adjustRightInd/>
              <w:ind w:right="34" w:rightChars="14"/>
              <w:jc w:val="both"/>
              <w:rPr>
                <w:rFonts w:hint="eastAsia"/>
                <w:color w:val="auto"/>
                <w:highlight w:val="none"/>
              </w:rPr>
            </w:pPr>
            <w:r>
              <w:rPr>
                <w:rFonts w:hint="eastAsia"/>
                <w:color w:val="auto"/>
                <w:highlight w:val="none"/>
                <w:lang w:val="en-US"/>
              </w:rPr>
              <w:t>N.</w:t>
            </w:r>
            <w:r>
              <w:rPr>
                <w:rFonts w:hint="eastAsia"/>
                <w:color w:val="auto"/>
                <w:highlight w:val="none"/>
              </w:rPr>
              <w:t>属于同一集团、协会、商会等组织成员的投标人按照该组织要求协同投标；</w:t>
            </w:r>
          </w:p>
          <w:p w14:paraId="077CE7A1">
            <w:pPr>
              <w:pStyle w:val="44"/>
              <w:adjustRightInd/>
              <w:ind w:right="34" w:rightChars="14"/>
              <w:jc w:val="both"/>
              <w:rPr>
                <w:rFonts w:hint="eastAsia"/>
                <w:color w:val="auto"/>
                <w:highlight w:val="none"/>
              </w:rPr>
            </w:pPr>
            <w:r>
              <w:rPr>
                <w:rFonts w:hint="eastAsia"/>
                <w:color w:val="auto"/>
                <w:highlight w:val="none"/>
                <w:lang w:val="en-US"/>
              </w:rPr>
              <w:t>M.</w:t>
            </w:r>
            <w:r>
              <w:rPr>
                <w:rFonts w:hint="eastAsia"/>
                <w:color w:val="auto"/>
                <w:highlight w:val="none"/>
              </w:rPr>
              <w:t>投标人之间为谋取中标或者排斥特定投标人而采取的其他联合行动。</w:t>
            </w:r>
          </w:p>
          <w:p w14:paraId="5DCEC2B5">
            <w:pPr>
              <w:pStyle w:val="44"/>
              <w:adjustRightInd/>
              <w:ind w:right="34" w:rightChars="14"/>
              <w:jc w:val="both"/>
              <w:rPr>
                <w:rFonts w:hint="eastAsia"/>
                <w:color w:val="auto"/>
                <w:highlight w:val="none"/>
              </w:rPr>
            </w:pPr>
            <w:r>
              <w:rPr>
                <w:rFonts w:hint="eastAsia"/>
                <w:color w:val="auto"/>
                <w:highlight w:val="none"/>
              </w:rPr>
              <w:t>⑫法律、法规、规章规定其他应否决投标的情形。</w:t>
            </w:r>
          </w:p>
          <w:p w14:paraId="601094EF">
            <w:pPr>
              <w:pStyle w:val="44"/>
              <w:adjustRightInd/>
              <w:snapToGrid w:val="0"/>
              <w:ind w:right="34" w:rightChars="14"/>
              <w:jc w:val="both"/>
              <w:rPr>
                <w:rFonts w:ascii="Times New Roman" w:hAnsi="Times New Roman"/>
                <w:color w:val="auto"/>
                <w:highlight w:val="none"/>
                <w:u w:val="single"/>
              </w:rPr>
            </w:pPr>
            <w:r>
              <w:rPr>
                <w:rFonts w:hint="eastAsia"/>
                <w:color w:val="auto"/>
                <w:highlight w:val="none"/>
                <w:lang w:val="en-US"/>
              </w:rPr>
              <w:t>⑬</w:t>
            </w:r>
            <w:r>
              <w:rPr>
                <w:rFonts w:ascii="Times New Roman"/>
                <w:color w:val="auto"/>
                <w:highlight w:val="none"/>
              </w:rPr>
              <w:t>其他：</w:t>
            </w:r>
            <w:r>
              <w:rPr>
                <w:rFonts w:ascii="Times New Roman" w:hAnsi="Times New Roman"/>
                <w:color w:val="auto"/>
                <w:highlight w:val="none"/>
                <w:u w:val="single"/>
              </w:rPr>
              <w:t xml:space="preserve"> </w:t>
            </w:r>
            <w:r>
              <w:rPr>
                <w:rFonts w:hint="eastAsia" w:ascii="Times New Roman" w:hAnsi="Times New Roman"/>
                <w:color w:val="auto"/>
                <w:highlight w:val="none"/>
                <w:u w:val="single"/>
              </w:rPr>
              <w:t>一级注册建造师需提供电子注册证书的应符合《住房和城乡建设部办公厅关于全面实行一级建造师电子注册证书的通知》（建办市【2021】40号）文，须在个人签名处手写本人签名，未手写签名或与签名图像笔迹不一致的，该电子证书无效</w:t>
            </w:r>
            <w:r>
              <w:rPr>
                <w:rFonts w:hint="eastAsia"/>
                <w:color w:val="auto"/>
                <w:highlight w:val="none"/>
                <w:u w:val="single"/>
              </w:rPr>
              <w:t>，资格审查不予通过；</w:t>
            </w:r>
          </w:p>
          <w:p w14:paraId="772E8656">
            <w:pPr>
              <w:pStyle w:val="44"/>
              <w:adjustRightInd/>
              <w:snapToGrid w:val="0"/>
              <w:ind w:right="34" w:rightChars="14" w:firstLine="480" w:firstLineChars="200"/>
              <w:jc w:val="both"/>
              <w:rPr>
                <w:rFonts w:ascii="Times New Roman" w:hAnsi="Times New Roman"/>
                <w:color w:val="auto"/>
                <w:highlight w:val="none"/>
              </w:rPr>
            </w:pPr>
            <w:r>
              <w:rPr>
                <w:rFonts w:hint="eastAsia" w:ascii="Times New Roman" w:hAnsi="Times New Roman"/>
                <w:color w:val="auto"/>
                <w:highlight w:val="none"/>
                <w:u w:val="single"/>
              </w:rPr>
              <w:t>一级注册建筑师的，需提供电子注册证书，并应符合《全国注册建筑师管理委员会关于开展使用一级注册建筑师电子注册证书工作的通知》（注建〔2021〕2号）文，须在个人签名处手写本人签名,未手写签名的，资格审查不予通过</w:t>
            </w:r>
            <w:r>
              <w:rPr>
                <w:rFonts w:ascii="Times New Roman"/>
                <w:color w:val="auto"/>
                <w:highlight w:val="none"/>
              </w:rPr>
              <w:t>。</w:t>
            </w:r>
          </w:p>
          <w:p w14:paraId="4EE49890">
            <w:pPr>
              <w:pStyle w:val="44"/>
              <w:adjustRightInd/>
              <w:ind w:right="34" w:rightChars="14"/>
              <w:jc w:val="both"/>
              <w:rPr>
                <w:rFonts w:hint="eastAsia"/>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）技术性内容</w:t>
            </w:r>
          </w:p>
          <w:p w14:paraId="32BDA7F3">
            <w:pPr>
              <w:pStyle w:val="44"/>
              <w:adjustRightInd/>
              <w:ind w:right="34" w:rightChars="14"/>
              <w:jc w:val="both"/>
              <w:rPr>
                <w:rFonts w:hint="eastAsia"/>
                <w:strike/>
                <w:color w:val="auto"/>
                <w:highlight w:val="none"/>
              </w:rPr>
            </w:pPr>
            <w:r>
              <w:rPr>
                <w:rFonts w:hint="eastAsia"/>
                <w:color w:val="auto"/>
                <w:highlight w:val="none"/>
              </w:rPr>
              <w:t>①投标文件的设计深度、技术指标、技术标准、工艺流程等未响应招标文件规定的实质性内容的，</w:t>
            </w:r>
            <w:r>
              <w:rPr>
                <w:rFonts w:hint="eastAsia"/>
                <w:strike/>
                <w:color w:val="auto"/>
                <w:highlight w:val="none"/>
              </w:rPr>
              <w:t>具体内容如下：</w:t>
            </w:r>
          </w:p>
          <w:p w14:paraId="30E0F4BD">
            <w:pPr>
              <w:pStyle w:val="44"/>
              <w:adjustRightInd/>
              <w:ind w:right="34" w:rightChars="14"/>
              <w:jc w:val="both"/>
              <w:rPr>
                <w:rFonts w:hint="eastAsia"/>
                <w:strike/>
                <w:color w:val="auto"/>
                <w:highlight w:val="none"/>
                <w:u w:val="single"/>
              </w:rPr>
            </w:pPr>
            <w:r>
              <w:rPr>
                <w:rFonts w:hint="eastAsia"/>
                <w:strike/>
                <w:color w:val="auto"/>
                <w:highlight w:val="none"/>
                <w:u w:val="single"/>
              </w:rPr>
              <w:t>（由招标人确定）；</w:t>
            </w:r>
          </w:p>
          <w:p w14:paraId="4119B9DF">
            <w:pPr>
              <w:pStyle w:val="44"/>
              <w:adjustRightInd/>
              <w:ind w:right="34" w:rightChars="14"/>
              <w:jc w:val="both"/>
              <w:rPr>
                <w:rFonts w:hint="eastAsia"/>
                <w:color w:val="auto"/>
                <w:highlight w:val="none"/>
              </w:rPr>
            </w:pPr>
            <w:r>
              <w:rPr>
                <w:rFonts w:hint="eastAsia"/>
                <w:color w:val="auto"/>
                <w:highlight w:val="none"/>
              </w:rPr>
              <w:t>②主要的施工技术方案或安全保障措施不可行的；</w:t>
            </w:r>
          </w:p>
          <w:p w14:paraId="12FC773B">
            <w:pPr>
              <w:pStyle w:val="44"/>
              <w:adjustRightInd/>
              <w:ind w:right="34" w:rightChars="14"/>
              <w:jc w:val="both"/>
              <w:rPr>
                <w:rFonts w:hint="eastAsia"/>
                <w:color w:val="auto"/>
                <w:highlight w:val="none"/>
              </w:rPr>
            </w:pPr>
            <w:r>
              <w:rPr>
                <w:rFonts w:hint="eastAsia"/>
                <w:color w:val="auto"/>
                <w:highlight w:val="none"/>
              </w:rPr>
              <w:t>③主要施工机械设备不能满足本工程需要的；</w:t>
            </w:r>
          </w:p>
          <w:p w14:paraId="7A76D664">
            <w:pPr>
              <w:pStyle w:val="44"/>
              <w:adjustRightInd/>
              <w:ind w:right="34" w:rightChars="14"/>
              <w:jc w:val="both"/>
              <w:rPr>
                <w:rFonts w:hint="eastAsia"/>
                <w:color w:val="auto"/>
                <w:highlight w:val="none"/>
              </w:rPr>
            </w:pPr>
            <w:r>
              <w:rPr>
                <w:rFonts w:hint="eastAsia"/>
                <w:color w:val="auto"/>
                <w:highlight w:val="none"/>
              </w:rPr>
              <w:t>④采用的验收标准或主要技术指标达不到国家强制性标准的；</w:t>
            </w:r>
          </w:p>
          <w:p w14:paraId="3C0BB0DE">
            <w:pPr>
              <w:pStyle w:val="44"/>
              <w:adjustRightInd/>
              <w:ind w:right="34" w:rightChars="14"/>
              <w:jc w:val="both"/>
              <w:rPr>
                <w:rFonts w:hint="eastAsia"/>
                <w:color w:val="auto"/>
                <w:highlight w:val="none"/>
              </w:rPr>
            </w:pPr>
            <w:r>
              <w:rPr>
                <w:rFonts w:hint="eastAsia"/>
                <w:color w:val="auto"/>
                <w:highlight w:val="none"/>
              </w:rPr>
              <w:t>⑤采用的质量安全管理措施不能满足国家强制性标准或要求的；</w:t>
            </w:r>
          </w:p>
          <w:p w14:paraId="278CF5EA">
            <w:pPr>
              <w:pStyle w:val="44"/>
              <w:adjustRightInd/>
              <w:ind w:right="34" w:rightChars="14"/>
              <w:jc w:val="both"/>
              <w:rPr>
                <w:rFonts w:hint="eastAsia"/>
                <w:color w:val="auto"/>
                <w:highlight w:val="none"/>
              </w:rPr>
            </w:pPr>
            <w:r>
              <w:rPr>
                <w:rFonts w:hint="eastAsia"/>
                <w:color w:val="auto"/>
                <w:highlight w:val="none"/>
              </w:rPr>
              <w:t>⑥法律、法规、规章规定的其它否决投标情况的；</w:t>
            </w:r>
          </w:p>
          <w:p w14:paraId="65C2CD80">
            <w:pPr>
              <w:pStyle w:val="44"/>
              <w:adjustRightInd/>
              <w:ind w:right="34" w:rightChars="14"/>
              <w:jc w:val="both"/>
              <w:rPr>
                <w:rFonts w:hint="eastAsia"/>
                <w:color w:val="auto"/>
                <w:highlight w:val="none"/>
              </w:rPr>
            </w:pPr>
            <w:r>
              <w:rPr>
                <w:rFonts w:hint="eastAsia"/>
                <w:color w:val="auto"/>
                <w:highlight w:val="none"/>
              </w:rPr>
              <w:t>⑦其他：</w:t>
            </w:r>
            <w:r>
              <w:rPr>
                <w:rFonts w:hint="eastAsia"/>
                <w:color w:val="auto"/>
                <w:highlight w:val="none"/>
                <w:u w:val="single"/>
              </w:rPr>
              <w:t xml:space="preserve"> </w:t>
            </w:r>
            <w:r>
              <w:rPr>
                <w:rFonts w:hint="eastAsia" w:ascii="Times New Roman" w:hAnsi="Times New Roman"/>
                <w:color w:val="auto"/>
                <w:highlight w:val="none"/>
                <w:u w:val="single"/>
                <w:lang w:val="en-US"/>
              </w:rPr>
              <w:t>/</w:t>
            </w:r>
            <w:r>
              <w:rPr>
                <w:rFonts w:ascii="Times New Roman" w:hAnsi="Times New Roman"/>
                <w:color w:val="auto"/>
                <w:highlight w:val="none"/>
                <w:u w:val="single"/>
              </w:rPr>
              <w:t xml:space="preserve">  </w:t>
            </w:r>
            <w:r>
              <w:rPr>
                <w:rFonts w:hint="eastAsia"/>
                <w:color w:val="auto"/>
                <w:highlight w:val="none"/>
                <w:u w:val="single"/>
              </w:rPr>
              <w:t xml:space="preserve"> </w:t>
            </w:r>
            <w:r>
              <w:rPr>
                <w:rFonts w:hint="eastAsia"/>
                <w:color w:val="auto"/>
                <w:highlight w:val="none"/>
              </w:rPr>
              <w:t>。</w:t>
            </w:r>
          </w:p>
          <w:p w14:paraId="7D5289E1">
            <w:pPr>
              <w:pStyle w:val="44"/>
              <w:adjustRightInd/>
              <w:ind w:right="34" w:rightChars="14"/>
              <w:jc w:val="both"/>
              <w:rPr>
                <w:rFonts w:hint="eastAsia"/>
                <w:strike/>
                <w:color w:val="auto"/>
                <w:highlight w:val="none"/>
              </w:rPr>
            </w:pPr>
            <w:r>
              <w:rPr>
                <w:rFonts w:hint="eastAsia"/>
                <w:strike/>
                <w:color w:val="auto"/>
                <w:highlight w:val="none"/>
              </w:rPr>
              <w:t>注：技术标采用暗标评审的，招标人应在“（</w:t>
            </w:r>
            <w:r>
              <w:rPr>
                <w:rFonts w:hint="eastAsia"/>
                <w:strike/>
                <w:color w:val="auto"/>
                <w:highlight w:val="none"/>
                <w:lang w:val="en-US"/>
              </w:rPr>
              <w:t>2</w:t>
            </w:r>
            <w:r>
              <w:rPr>
                <w:rFonts w:hint="eastAsia"/>
                <w:strike/>
                <w:color w:val="auto"/>
                <w:highlight w:val="none"/>
              </w:rPr>
              <w:t>）技术性内容”增加针对暗标专用的否决投标约定。</w:t>
            </w:r>
          </w:p>
          <w:p w14:paraId="62806988">
            <w:pPr>
              <w:pStyle w:val="44"/>
              <w:adjustRightInd/>
              <w:ind w:right="34" w:rightChars="14"/>
              <w:jc w:val="both"/>
              <w:rPr>
                <w:rFonts w:hint="eastAsia"/>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）商务性内容</w:t>
            </w:r>
          </w:p>
          <w:p w14:paraId="735D7CB7">
            <w:pPr>
              <w:pStyle w:val="44"/>
              <w:adjustRightInd/>
              <w:ind w:right="34" w:rightChars="14"/>
              <w:jc w:val="both"/>
              <w:rPr>
                <w:rFonts w:hint="eastAsia"/>
                <w:color w:val="auto"/>
                <w:highlight w:val="none"/>
              </w:rPr>
            </w:pPr>
            <w:r>
              <w:rPr>
                <w:rFonts w:hint="eastAsia"/>
                <w:color w:val="auto"/>
                <w:highlight w:val="none"/>
              </w:rPr>
              <w:t>①投标报价高于最高投标限价总价或分项最高投标限价的；</w:t>
            </w:r>
          </w:p>
          <w:p w14:paraId="6486716A">
            <w:pPr>
              <w:pStyle w:val="44"/>
              <w:adjustRightInd/>
              <w:ind w:right="34" w:rightChars="14"/>
              <w:jc w:val="both"/>
              <w:rPr>
                <w:rFonts w:hint="eastAsia"/>
                <w:color w:val="auto"/>
                <w:highlight w:val="none"/>
              </w:rPr>
            </w:pPr>
            <w:r>
              <w:rPr>
                <w:rFonts w:hint="eastAsia"/>
                <w:color w:val="auto"/>
                <w:highlight w:val="none"/>
              </w:rPr>
              <w:t>②同一投标人递交两份或多份内容不同的投标文件，或在一份投标文件中对同一招标项目有两个或多个报价，且未声明哪一个有效，按招标文件规定提交备选投标方案的除外；</w:t>
            </w:r>
          </w:p>
          <w:p w14:paraId="14B9CFF2">
            <w:pPr>
              <w:pStyle w:val="44"/>
              <w:adjustRightInd/>
              <w:ind w:right="34" w:rightChars="14"/>
              <w:jc w:val="both"/>
              <w:rPr>
                <w:rFonts w:hint="eastAsia"/>
                <w:color w:val="auto"/>
                <w:highlight w:val="none"/>
              </w:rPr>
            </w:pPr>
            <w:r>
              <w:rPr>
                <w:rFonts w:hint="eastAsia"/>
                <w:color w:val="auto"/>
                <w:highlight w:val="none"/>
              </w:rPr>
              <w:t>③投标文件中投标函未按要求填写的；</w:t>
            </w:r>
          </w:p>
          <w:p w14:paraId="376B21A0">
            <w:pPr>
              <w:pStyle w:val="44"/>
              <w:adjustRightInd/>
              <w:ind w:right="34" w:rightChars="14"/>
              <w:jc w:val="both"/>
              <w:rPr>
                <w:rFonts w:hint="eastAsia"/>
                <w:color w:val="auto"/>
                <w:highlight w:val="none"/>
              </w:rPr>
            </w:pPr>
            <w:r>
              <w:rPr>
                <w:rFonts w:hint="eastAsia"/>
                <w:color w:val="auto"/>
                <w:highlight w:val="none"/>
              </w:rPr>
              <w:t>□④通过符合性审查的最低评标价比通过符合性审查的次低评标价低</w:t>
            </w:r>
            <w:r>
              <w:rPr>
                <w:rFonts w:hint="eastAsia"/>
                <w:color w:val="auto"/>
                <w:highlight w:val="none"/>
                <w:u w:val="single"/>
              </w:rPr>
              <w:t xml:space="preserve">  </w:t>
            </w:r>
            <w:r>
              <w:rPr>
                <w:rFonts w:hint="eastAsia"/>
                <w:color w:val="auto"/>
                <w:highlight w:val="none"/>
              </w:rPr>
              <w:t>%（在5%-10%范围内，由招标人约定）以上，且投标人对其报价不能充分说明理由，或提供的相关资料无法证明报价不低于其成本价的；</w:t>
            </w:r>
          </w:p>
          <w:p w14:paraId="23F5BF22">
            <w:pPr>
              <w:pStyle w:val="44"/>
              <w:adjustRightInd/>
              <w:ind w:right="34" w:rightChars="14"/>
              <w:jc w:val="both"/>
              <w:rPr>
                <w:rFonts w:hint="eastAsia"/>
                <w:color w:val="auto"/>
                <w:highlight w:val="none"/>
              </w:rPr>
            </w:pPr>
            <w:r>
              <w:rPr>
                <w:rFonts w:hint="eastAsia"/>
                <w:color w:val="auto"/>
                <w:highlight w:val="none"/>
              </w:rPr>
              <w:t>⑤法律、法规、规章规定其他应否决投标的情形。</w:t>
            </w:r>
          </w:p>
          <w:p w14:paraId="25B2442F">
            <w:pPr>
              <w:pStyle w:val="44"/>
              <w:adjustRightInd/>
              <w:ind w:right="34" w:rightChars="14"/>
              <w:jc w:val="both"/>
              <w:rPr>
                <w:rFonts w:hint="eastAsia"/>
                <w:color w:val="auto"/>
                <w:highlight w:val="none"/>
              </w:rPr>
            </w:pPr>
            <w:r>
              <w:rPr>
                <w:rFonts w:hint="eastAsia"/>
                <w:color w:val="auto"/>
                <w:highlight w:val="none"/>
              </w:rPr>
              <w:t>⑥其他</w:t>
            </w:r>
            <w:r>
              <w:rPr>
                <w:rFonts w:hint="eastAsia"/>
                <w:color w:val="auto"/>
                <w:highlight w:val="none"/>
                <w:u w:val="single"/>
              </w:rPr>
              <w:t xml:space="preserve"> </w:t>
            </w:r>
            <w:r>
              <w:rPr>
                <w:rFonts w:hint="eastAsia"/>
                <w:color w:val="auto"/>
                <w:highlight w:val="none"/>
                <w:u w:val="single"/>
                <w:lang w:val="en-US"/>
              </w:rPr>
              <w:t xml:space="preserve"> </w:t>
            </w:r>
            <w:r>
              <w:rPr>
                <w:rFonts w:hint="eastAsia" w:ascii="Times New Roman" w:hAnsi="Times New Roman"/>
                <w:color w:val="auto"/>
                <w:highlight w:val="none"/>
                <w:u w:val="single"/>
                <w:lang w:val="en-US"/>
              </w:rPr>
              <w:t>/</w:t>
            </w:r>
            <w:r>
              <w:rPr>
                <w:rFonts w:ascii="Times New Roman" w:hAnsi="Times New Roman"/>
                <w:color w:val="auto"/>
                <w:highlight w:val="none"/>
                <w:u w:val="single"/>
              </w:rPr>
              <w:t xml:space="preserve"> </w:t>
            </w:r>
            <w:r>
              <w:rPr>
                <w:rFonts w:hint="eastAsia"/>
                <w:color w:val="auto"/>
                <w:highlight w:val="none"/>
                <w:u w:val="single"/>
              </w:rPr>
              <w:t xml:space="preserve">  </w:t>
            </w:r>
            <w:r>
              <w:rPr>
                <w:rFonts w:hint="eastAsia"/>
                <w:color w:val="auto"/>
                <w:highlight w:val="none"/>
              </w:rPr>
              <w:t>。</w:t>
            </w:r>
          </w:p>
          <w:p w14:paraId="42EE87D4">
            <w:pPr>
              <w:pStyle w:val="44"/>
              <w:adjustRightInd/>
              <w:ind w:right="34" w:rightChars="14"/>
              <w:jc w:val="both"/>
              <w:rPr>
                <w:rFonts w:hint="eastAsia"/>
                <w:color w:val="auto"/>
                <w:highlight w:val="none"/>
                <w:u w:val="single"/>
                <w:lang w:val="en-US"/>
              </w:rPr>
            </w:pPr>
            <w:r>
              <w:rPr>
                <w:rFonts w:hint="eastAsia"/>
                <w:color w:val="auto"/>
                <w:highlight w:val="none"/>
              </w:rPr>
              <w:t>☑⑥—</w:t>
            </w:r>
            <w:r>
              <w:rPr>
                <w:rFonts w:hint="eastAsia"/>
                <w:color w:val="auto"/>
                <w:highlight w:val="none"/>
                <w:lang w:val="en-US"/>
              </w:rPr>
              <w:t>1</w:t>
            </w:r>
            <w:r>
              <w:rPr>
                <w:rFonts w:hint="eastAsia"/>
                <w:color w:val="auto"/>
                <w:highlight w:val="none"/>
                <w:u w:val="single"/>
              </w:rPr>
              <w:t>报价低于风险控制价的投标人需作出书面说明并提供相关证明材料。投标人不能合理说明或者不能提供相关证明材料的，由评标委员会认定该投标人以低于成本报价竞标，应当否决其投</w:t>
            </w:r>
            <w:r>
              <w:rPr>
                <w:rFonts w:hint="eastAsia"/>
                <w:color w:val="auto"/>
                <w:highlight w:val="none"/>
                <w:u w:val="single"/>
                <w:lang w:val="en-US"/>
              </w:rPr>
              <w:t>标。</w:t>
            </w:r>
          </w:p>
          <w:p w14:paraId="53DDB82A">
            <w:pPr>
              <w:pStyle w:val="44"/>
              <w:adjustRightInd/>
              <w:ind w:right="34" w:rightChars="14"/>
              <w:jc w:val="both"/>
              <w:rPr>
                <w:rFonts w:hint="eastAsia"/>
                <w:i/>
                <w:iCs/>
                <w:color w:val="auto"/>
                <w:highlight w:val="none"/>
                <w:u w:val="single"/>
                <w:lang w:val="en-US"/>
              </w:rPr>
            </w:pPr>
            <w:r>
              <w:rPr>
                <w:rFonts w:hint="eastAsia"/>
                <w:color w:val="auto"/>
                <w:highlight w:val="none"/>
              </w:rPr>
              <w:t>⑥—</w:t>
            </w:r>
            <w:r>
              <w:rPr>
                <w:rFonts w:hint="eastAsia"/>
                <w:color w:val="auto"/>
                <w:highlight w:val="none"/>
                <w:lang w:val="en-US"/>
              </w:rPr>
              <w:t>2</w:t>
            </w:r>
            <w:r>
              <w:rPr>
                <w:rFonts w:hint="eastAsia"/>
                <w:i/>
                <w:iCs/>
                <w:color w:val="auto"/>
                <w:highlight w:val="none"/>
                <w:u w:val="single"/>
              </w:rPr>
              <w:t>投标报价中预备费参与竞争的，应当否决其投</w:t>
            </w:r>
            <w:r>
              <w:rPr>
                <w:rFonts w:hint="eastAsia"/>
                <w:i/>
                <w:iCs/>
                <w:color w:val="auto"/>
                <w:highlight w:val="none"/>
                <w:u w:val="single"/>
                <w:lang w:val="en-US"/>
              </w:rPr>
              <w:t>标。</w:t>
            </w:r>
          </w:p>
          <w:p w14:paraId="7BEF0F87">
            <w:pPr>
              <w:ind w:firstLine="480" w:firstLineChars="200"/>
              <w:rPr>
                <w:rFonts w:hint="eastAsia" w:ascii="宋体" w:hAnsi="宋体"/>
                <w:color w:val="auto"/>
                <w:highlight w:val="none"/>
              </w:rPr>
            </w:pPr>
            <w:r>
              <w:rPr>
                <w:rFonts w:hint="eastAsia" w:ascii="宋体" w:hAnsi="宋体"/>
                <w:color w:val="auto"/>
                <w:highlight w:val="none"/>
              </w:rPr>
              <w:t>注：招标人可根据项目实际情况结合我省《房屋建筑和市政基础设施项目工程总承包计价规则》等相关规定，增加具体否决投标的条款。</w:t>
            </w:r>
          </w:p>
          <w:p w14:paraId="1D3399F1">
            <w:pPr>
              <w:pStyle w:val="44"/>
              <w:numPr>
                <w:ilvl w:val="0"/>
                <w:numId w:val="6"/>
              </w:numPr>
              <w:adjustRightInd/>
              <w:ind w:right="34" w:rightChars="14"/>
              <w:jc w:val="both"/>
              <w:rPr>
                <w:rFonts w:hint="eastAsia"/>
                <w:color w:val="auto"/>
                <w:highlight w:val="none"/>
                <w:lang w:val="en-US"/>
              </w:rPr>
            </w:pPr>
            <w:r>
              <w:rPr>
                <w:rFonts w:hint="eastAsia"/>
                <w:color w:val="auto"/>
                <w:highlight w:val="none"/>
                <w:lang w:val="en-US"/>
              </w:rPr>
              <w:t>除本条规定以外，招标文件中其他条款均不得作为否决投标文件的依据。</w:t>
            </w:r>
          </w:p>
        </w:tc>
      </w:tr>
      <w:tr w14:paraId="5F615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6A83C6F7">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10.2</w:t>
            </w:r>
          </w:p>
        </w:tc>
        <w:tc>
          <w:tcPr>
            <w:tcW w:w="1701" w:type="dxa"/>
            <w:vAlign w:val="center"/>
          </w:tcPr>
          <w:p w14:paraId="5C74F3E1">
            <w:pPr>
              <w:pStyle w:val="44"/>
              <w:adjustRightInd/>
              <w:ind w:right="178" w:rightChars="74" w:firstLine="31" w:firstLineChars="13"/>
              <w:jc w:val="center"/>
              <w:rPr>
                <w:rFonts w:hint="eastAsia"/>
                <w:color w:val="auto"/>
                <w:highlight w:val="none"/>
              </w:rPr>
            </w:pPr>
            <w:r>
              <w:rPr>
                <w:rFonts w:hint="eastAsia"/>
                <w:color w:val="auto"/>
                <w:highlight w:val="none"/>
              </w:rPr>
              <w:t>异议与投诉</w:t>
            </w:r>
          </w:p>
        </w:tc>
        <w:tc>
          <w:tcPr>
            <w:tcW w:w="6168" w:type="dxa"/>
            <w:vAlign w:val="center"/>
          </w:tcPr>
          <w:p w14:paraId="0DBCEC23">
            <w:pPr>
              <w:pStyle w:val="44"/>
              <w:adjustRightInd/>
              <w:ind w:right="34" w:rightChars="14"/>
              <w:jc w:val="both"/>
              <w:rPr>
                <w:rFonts w:hint="eastAsia"/>
                <w:color w:val="auto"/>
                <w:highlight w:val="none"/>
              </w:rPr>
            </w:pPr>
            <w:r>
              <w:rPr>
                <w:rFonts w:hint="eastAsia"/>
                <w:color w:val="auto"/>
                <w:highlight w:val="none"/>
                <w:lang w:val="en-US"/>
              </w:rPr>
              <w:t>1.</w:t>
            </w:r>
            <w:r>
              <w:rPr>
                <w:rFonts w:hint="eastAsia"/>
                <w:color w:val="auto"/>
                <w:highlight w:val="none"/>
              </w:rPr>
              <w:t>异议：</w:t>
            </w:r>
          </w:p>
          <w:p w14:paraId="23BBB5AF">
            <w:pPr>
              <w:pStyle w:val="44"/>
              <w:adjustRightInd/>
              <w:ind w:right="34" w:rightChars="14"/>
              <w:jc w:val="both"/>
              <w:rPr>
                <w:rFonts w:hint="eastAsia"/>
                <w:color w:val="auto"/>
                <w:highlight w:val="none"/>
              </w:rPr>
            </w:pPr>
            <w:r>
              <w:rPr>
                <w:rFonts w:hint="eastAsia"/>
                <w:color w:val="auto"/>
                <w:highlight w:val="none"/>
              </w:rPr>
              <w:t>（</w:t>
            </w:r>
            <w:r>
              <w:rPr>
                <w:rFonts w:hint="eastAsia"/>
                <w:color w:val="auto"/>
                <w:spacing w:val="4"/>
                <w:highlight w:val="none"/>
                <w:lang w:val="en-US"/>
              </w:rPr>
              <w:t>1</w:t>
            </w:r>
            <w:r>
              <w:rPr>
                <w:rFonts w:hint="eastAsia"/>
                <w:color w:val="auto"/>
                <w:highlight w:val="none"/>
              </w:rPr>
              <w:t>）潜在投标人或者其他利害关系人对招标文件有异议</w:t>
            </w:r>
            <w:r>
              <w:rPr>
                <w:rFonts w:hint="eastAsia"/>
                <w:color w:val="auto"/>
                <w:spacing w:val="-12"/>
                <w:highlight w:val="none"/>
              </w:rPr>
              <w:t>的，应当在投标</w:t>
            </w:r>
            <w:r>
              <w:rPr>
                <w:rFonts w:hint="eastAsia"/>
                <w:color w:val="auto"/>
                <w:highlight w:val="none"/>
              </w:rPr>
              <w:t>截止时间10日前以书面形式向招标人提出。招标人将在收到异议之日起3日内作出书面答复；作出答复前，暂停招标投标活动；</w:t>
            </w:r>
          </w:p>
          <w:p w14:paraId="7335D28A">
            <w:pPr>
              <w:pStyle w:val="44"/>
              <w:adjustRightInd/>
              <w:ind w:right="34" w:rightChars="14"/>
              <w:jc w:val="both"/>
              <w:rPr>
                <w:rFonts w:hint="eastAsia"/>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）投标人认为开标不符合有关规定的，应当在开标现场</w:t>
            </w:r>
            <w:r>
              <w:rPr>
                <w:rFonts w:hint="eastAsia"/>
                <w:i/>
                <w:iCs/>
                <w:color w:val="auto"/>
                <w:highlight w:val="none"/>
                <w:u w:val="single"/>
              </w:rPr>
              <w:t>通过交易中心电子招投标交易平台</w:t>
            </w:r>
            <w:r>
              <w:rPr>
                <w:rFonts w:hint="eastAsia"/>
                <w:color w:val="auto"/>
                <w:highlight w:val="none"/>
              </w:rPr>
              <w:t>向招标人提出异议。招标人将当场对异议给予处理或者告知处理的办法。异议和答复应记入开标记录或者制作专门记录以存档备查；</w:t>
            </w:r>
          </w:p>
          <w:p w14:paraId="72DADB69">
            <w:pPr>
              <w:pStyle w:val="44"/>
              <w:adjustRightInd/>
              <w:ind w:right="34" w:rightChars="14"/>
              <w:jc w:val="both"/>
              <w:rPr>
                <w:rFonts w:hint="eastAsia"/>
                <w:color w:val="auto"/>
                <w:highlight w:val="none"/>
              </w:rPr>
            </w:pPr>
            <w:r>
              <w:rPr>
                <w:rFonts w:hint="eastAsia"/>
                <w:color w:val="auto"/>
                <w:highlight w:val="none"/>
              </w:rPr>
              <w:t>（</w:t>
            </w:r>
            <w:r>
              <w:rPr>
                <w:rFonts w:hint="eastAsia"/>
                <w:color w:val="auto"/>
                <w:spacing w:val="4"/>
                <w:highlight w:val="none"/>
                <w:lang w:val="en-US"/>
              </w:rPr>
              <w:t>3</w:t>
            </w:r>
            <w:r>
              <w:rPr>
                <w:rFonts w:hint="eastAsia"/>
                <w:color w:val="auto"/>
                <w:highlight w:val="none"/>
              </w:rPr>
              <w:t>）投标人及其他利害关系人对评标结果有异议的，应当在中标候选人公示期内以书面形式向招标人提出。招标人将</w:t>
            </w:r>
            <w:r>
              <w:rPr>
                <w:rFonts w:hint="eastAsia"/>
                <w:color w:val="auto"/>
                <w:spacing w:val="-5"/>
                <w:highlight w:val="none"/>
              </w:rPr>
              <w:t>在收到异议之日起</w:t>
            </w:r>
            <w:r>
              <w:rPr>
                <w:rFonts w:hint="eastAsia"/>
                <w:color w:val="auto"/>
                <w:highlight w:val="none"/>
              </w:rPr>
              <w:t>3</w:t>
            </w:r>
            <w:r>
              <w:rPr>
                <w:rFonts w:hint="eastAsia"/>
                <w:color w:val="auto"/>
                <w:spacing w:val="-6"/>
                <w:highlight w:val="none"/>
              </w:rPr>
              <w:t>日</w:t>
            </w:r>
            <w:r>
              <w:rPr>
                <w:rFonts w:hint="eastAsia"/>
                <w:color w:val="auto"/>
                <w:highlight w:val="none"/>
              </w:rPr>
              <w:t>内作出书面答复；作出答复前，暂停招标投标活动。</w:t>
            </w:r>
          </w:p>
          <w:p w14:paraId="51203EE8">
            <w:pPr>
              <w:pStyle w:val="44"/>
              <w:adjustRightInd/>
              <w:ind w:right="34" w:rightChars="14"/>
              <w:jc w:val="both"/>
              <w:rPr>
                <w:rFonts w:hint="eastAsia"/>
                <w:color w:val="auto"/>
                <w:highlight w:val="none"/>
                <w:u w:val="single"/>
                <w:lang w:val="en-US"/>
              </w:rPr>
            </w:pPr>
            <w:r>
              <w:rPr>
                <w:rFonts w:hint="eastAsia"/>
                <w:color w:val="auto"/>
                <w:highlight w:val="none"/>
              </w:rPr>
              <w:t>（</w:t>
            </w:r>
            <w:r>
              <w:rPr>
                <w:rFonts w:hint="eastAsia"/>
                <w:color w:val="auto"/>
                <w:highlight w:val="none"/>
                <w:lang w:val="en-US"/>
              </w:rPr>
              <w:t>4</w:t>
            </w:r>
            <w:r>
              <w:rPr>
                <w:rFonts w:hint="eastAsia"/>
                <w:color w:val="auto"/>
                <w:highlight w:val="none"/>
              </w:rPr>
              <w:t>）其他：</w:t>
            </w:r>
            <w:r>
              <w:rPr>
                <w:rFonts w:hint="eastAsia"/>
                <w:color w:val="auto"/>
                <w:highlight w:val="none"/>
                <w:u w:val="single"/>
                <w:lang w:val="en-US"/>
              </w:rPr>
              <w:t xml:space="preserve">/  </w:t>
            </w:r>
            <w:r>
              <w:rPr>
                <w:rFonts w:hint="eastAsia"/>
                <w:color w:val="auto"/>
                <w:highlight w:val="none"/>
                <w:lang w:val="en-US"/>
              </w:rPr>
              <w:t>。</w:t>
            </w:r>
          </w:p>
          <w:p w14:paraId="5D1A3C8C">
            <w:pPr>
              <w:pStyle w:val="44"/>
              <w:adjustRightInd/>
              <w:ind w:right="34" w:rightChars="14"/>
              <w:jc w:val="both"/>
              <w:rPr>
                <w:rFonts w:hint="eastAsia"/>
                <w:color w:val="auto"/>
                <w:highlight w:val="none"/>
              </w:rPr>
            </w:pPr>
            <w:r>
              <w:rPr>
                <w:rFonts w:hint="eastAsia"/>
                <w:color w:val="auto"/>
                <w:highlight w:val="none"/>
                <w:lang w:val="en-US"/>
              </w:rPr>
              <w:t>2.</w:t>
            </w:r>
            <w:r>
              <w:rPr>
                <w:rFonts w:hint="eastAsia"/>
                <w:color w:val="auto"/>
                <w:highlight w:val="none"/>
              </w:rPr>
              <w:t>投诉：</w:t>
            </w:r>
          </w:p>
          <w:p w14:paraId="5291A0C6">
            <w:pPr>
              <w:pStyle w:val="44"/>
              <w:adjustRightInd/>
              <w:ind w:right="34" w:rightChars="14"/>
              <w:jc w:val="both"/>
              <w:rPr>
                <w:rFonts w:hint="eastAsia"/>
                <w:color w:val="auto"/>
                <w:highlight w:val="none"/>
              </w:rPr>
            </w:pPr>
            <w:r>
              <w:rPr>
                <w:rFonts w:hint="eastAsia"/>
                <w:color w:val="auto"/>
                <w:spacing w:val="11"/>
                <w:highlight w:val="none"/>
              </w:rPr>
              <w:t>（</w:t>
            </w:r>
            <w:r>
              <w:rPr>
                <w:rFonts w:hint="eastAsia"/>
                <w:color w:val="auto"/>
                <w:spacing w:val="11"/>
                <w:highlight w:val="none"/>
                <w:lang w:val="en-US"/>
              </w:rPr>
              <w:t>1</w:t>
            </w:r>
            <w:r>
              <w:rPr>
                <w:rFonts w:hint="eastAsia"/>
                <w:color w:val="auto"/>
                <w:spacing w:val="11"/>
                <w:highlight w:val="none"/>
              </w:rPr>
              <w:t>）投标</w:t>
            </w:r>
            <w:r>
              <w:rPr>
                <w:rFonts w:hint="eastAsia"/>
                <w:color w:val="auto"/>
                <w:highlight w:val="none"/>
              </w:rPr>
              <w:t>人或者其他利害关系人认为招标投标活动不符合法律、行政法规和招标文件规定的，可以自知道或者应当知道之日起10日内向有关行政监督部门投诉。投诉应当有明确的请求和必要的证明资料，具体要求按《工程建设项目招标投标活动投诉处理办法》规定。</w:t>
            </w:r>
          </w:p>
          <w:p w14:paraId="37D1A492">
            <w:pPr>
              <w:pStyle w:val="44"/>
              <w:adjustRightInd/>
              <w:ind w:right="34" w:rightChars="14"/>
              <w:jc w:val="both"/>
              <w:rPr>
                <w:rFonts w:hint="eastAsia"/>
                <w:color w:val="auto"/>
                <w:highlight w:val="none"/>
                <w:lang w:val="en-US"/>
              </w:rPr>
            </w:pPr>
            <w:r>
              <w:rPr>
                <w:rFonts w:hint="eastAsia"/>
                <w:color w:val="auto"/>
                <w:highlight w:val="none"/>
              </w:rPr>
              <w:t>（</w:t>
            </w:r>
            <w:r>
              <w:rPr>
                <w:rFonts w:hint="eastAsia"/>
                <w:color w:val="auto"/>
                <w:highlight w:val="none"/>
                <w:lang w:val="en-US"/>
              </w:rPr>
              <w:t>2</w:t>
            </w:r>
            <w:r>
              <w:rPr>
                <w:rFonts w:hint="eastAsia"/>
                <w:color w:val="auto"/>
                <w:highlight w:val="none"/>
              </w:rPr>
              <w:t>）其他：</w:t>
            </w:r>
            <w:r>
              <w:rPr>
                <w:rFonts w:hint="eastAsia"/>
                <w:color w:val="auto"/>
                <w:highlight w:val="none"/>
                <w:u w:val="single"/>
                <w:lang w:val="en-US"/>
              </w:rPr>
              <w:t xml:space="preserve">  /   </w:t>
            </w:r>
            <w:r>
              <w:rPr>
                <w:rFonts w:hint="eastAsia"/>
                <w:color w:val="auto"/>
                <w:highlight w:val="none"/>
                <w:lang w:val="en-US"/>
              </w:rPr>
              <w:t>。</w:t>
            </w:r>
          </w:p>
          <w:p w14:paraId="00A34A50">
            <w:pPr>
              <w:pStyle w:val="43"/>
              <w:snapToGrid w:val="0"/>
              <w:spacing w:line="240" w:lineRule="auto"/>
              <w:ind w:firstLine="0" w:firstLineChars="0"/>
              <w:rPr>
                <w:rFonts w:hint="eastAsia" w:ascii="Times New Roman" w:cs="Times New Roman"/>
                <w:color w:val="auto"/>
                <w:szCs w:val="24"/>
                <w:highlight w:val="none"/>
              </w:rPr>
            </w:pPr>
            <w:r>
              <w:rPr>
                <w:rFonts w:hint="eastAsia" w:ascii="Times New Roman" w:cs="Times New Roman"/>
                <w:color w:val="auto"/>
                <w:szCs w:val="24"/>
                <w:highlight w:val="none"/>
              </w:rPr>
              <w:t>3.上述时限最后一日如遇国家法定节假日的，顺延至法定节假日后的第一个工作日。</w:t>
            </w:r>
          </w:p>
          <w:p w14:paraId="1366874D">
            <w:pPr>
              <w:pStyle w:val="44"/>
              <w:adjustRightInd/>
              <w:ind w:right="34" w:rightChars="14"/>
              <w:jc w:val="both"/>
              <w:rPr>
                <w:rFonts w:hint="eastAsia"/>
                <w:color w:val="auto"/>
                <w:highlight w:val="none"/>
                <w:lang w:val="en-US"/>
              </w:rPr>
            </w:pPr>
            <w:r>
              <w:rPr>
                <w:rFonts w:hint="eastAsia" w:ascii="Times New Roman" w:cs="Times New Roman"/>
                <w:color w:val="auto"/>
                <w:highlight w:val="none"/>
                <w:lang w:val="en-US"/>
              </w:rPr>
              <w:t>提出投诉的应当知道起始时间界定为：（1）对招标文件公告资格条件的投诉以下载招标文件的第一天为准；（2）对除公告资格条件外招标文件其他内容的投诉以招标文件下载最后一天为准；（3）对开标的投诉以开标时间为准；（4）对评标结果的投诉以中标候选人公示期的起始时间为准。</w:t>
            </w:r>
          </w:p>
        </w:tc>
      </w:tr>
      <w:tr w14:paraId="43A00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35417D21">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10.3</w:t>
            </w:r>
          </w:p>
        </w:tc>
        <w:tc>
          <w:tcPr>
            <w:tcW w:w="1701" w:type="dxa"/>
            <w:vAlign w:val="center"/>
          </w:tcPr>
          <w:p w14:paraId="2C6A2611">
            <w:pPr>
              <w:pStyle w:val="44"/>
              <w:adjustRightInd/>
              <w:ind w:right="178" w:rightChars="74" w:firstLine="31" w:firstLineChars="13"/>
              <w:jc w:val="center"/>
              <w:rPr>
                <w:rFonts w:hint="eastAsia"/>
                <w:color w:val="auto"/>
                <w:highlight w:val="none"/>
              </w:rPr>
            </w:pPr>
            <w:r>
              <w:rPr>
                <w:rFonts w:hint="eastAsia"/>
                <w:color w:val="auto"/>
                <w:highlight w:val="none"/>
              </w:rPr>
              <w:t>定标</w:t>
            </w:r>
          </w:p>
        </w:tc>
        <w:tc>
          <w:tcPr>
            <w:tcW w:w="6168" w:type="dxa"/>
            <w:vAlign w:val="center"/>
          </w:tcPr>
          <w:p w14:paraId="7F433429">
            <w:pPr>
              <w:pStyle w:val="44"/>
              <w:adjustRightInd/>
              <w:ind w:right="34" w:rightChars="14"/>
              <w:jc w:val="both"/>
              <w:rPr>
                <w:rFonts w:hint="eastAsia"/>
                <w:color w:val="auto"/>
                <w:highlight w:val="none"/>
              </w:rPr>
            </w:pPr>
            <w:r>
              <w:rPr>
                <w:rFonts w:hint="eastAsia"/>
                <w:color w:val="auto"/>
                <w:highlight w:val="none"/>
                <w:lang w:val="en-US"/>
              </w:rPr>
              <w:t>1.</w:t>
            </w:r>
            <w:r>
              <w:rPr>
                <w:rFonts w:hint="eastAsia"/>
                <w:color w:val="auto"/>
                <w:highlight w:val="none"/>
              </w:rPr>
              <w:t>招标人定标前，将组织:</w:t>
            </w:r>
          </w:p>
          <w:p w14:paraId="50350EDE">
            <w:pPr>
              <w:pStyle w:val="44"/>
              <w:adjustRightInd/>
              <w:ind w:right="34" w:rightChars="14"/>
              <w:jc w:val="both"/>
              <w:rPr>
                <w:rFonts w:hint="eastAsia"/>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）核验《安全生产许可证》和有效的</w:t>
            </w:r>
            <w:r>
              <w:rPr>
                <w:rFonts w:hint="eastAsia"/>
                <w:color w:val="auto"/>
                <w:highlight w:val="none"/>
                <w:lang w:val="en-US"/>
              </w:rPr>
              <w:t>安全生产考核合格证书</w:t>
            </w:r>
            <w:r>
              <w:rPr>
                <w:rFonts w:hint="eastAsia"/>
                <w:color w:val="auto"/>
                <w:highlight w:val="none"/>
              </w:rPr>
              <w:t>；</w:t>
            </w:r>
            <w:r>
              <w:rPr>
                <w:rFonts w:hint="eastAsia"/>
                <w:color w:val="auto"/>
                <w:highlight w:val="none"/>
                <w:lang w:val="en-US"/>
              </w:rPr>
              <w:t>“</w:t>
            </w:r>
            <w:r>
              <w:rPr>
                <w:rFonts w:hint="eastAsia" w:ascii="Times New Roman"/>
                <w:color w:val="auto"/>
                <w:highlight w:val="none"/>
              </w:rPr>
              <w:t>浙江省</w:t>
            </w:r>
            <w:r>
              <w:rPr>
                <w:rFonts w:hint="eastAsia" w:ascii="Times New Roman" w:cs="Times New Roman"/>
                <w:color w:val="auto"/>
                <w:highlight w:val="none"/>
                <w:lang w:val="en-US" w:bidi="ar-SA"/>
              </w:rPr>
              <w:t>建筑市场监管公共服务系统”上</w:t>
            </w:r>
            <w:r>
              <w:rPr>
                <w:rFonts w:hint="eastAsia" w:ascii="Times New Roman" w:cs="Times New Roman"/>
                <w:color w:val="auto"/>
                <w:highlight w:val="none"/>
                <w:lang w:val="en-US"/>
              </w:rPr>
              <w:t>最新资质动态核查结果处于“合格”状态。</w:t>
            </w:r>
          </w:p>
          <w:p w14:paraId="1E882BCC">
            <w:pPr>
              <w:pStyle w:val="44"/>
              <w:adjustRightInd/>
              <w:ind w:right="34" w:rightChars="14"/>
              <w:jc w:val="both"/>
              <w:rPr>
                <w:rFonts w:hint="eastAsia"/>
                <w:color w:val="auto"/>
                <w:highlight w:val="none"/>
                <w:lang w:val="en-US"/>
              </w:rPr>
            </w:pPr>
            <w:r>
              <w:rPr>
                <w:rFonts w:hint="eastAsia"/>
                <w:color w:val="auto"/>
                <w:highlight w:val="none"/>
              </w:rPr>
              <w:t>（</w:t>
            </w:r>
            <w:r>
              <w:rPr>
                <w:rFonts w:hint="eastAsia"/>
                <w:color w:val="auto"/>
                <w:highlight w:val="none"/>
                <w:lang w:val="en-US"/>
              </w:rPr>
              <w:t>2</w:t>
            </w:r>
            <w:r>
              <w:rPr>
                <w:rFonts w:hint="eastAsia"/>
                <w:color w:val="auto"/>
                <w:highlight w:val="none"/>
              </w:rPr>
              <w:t>）</w:t>
            </w:r>
            <w:r>
              <w:rPr>
                <w:rFonts w:hint="eastAsia"/>
                <w:color w:val="auto"/>
                <w:highlight w:val="none"/>
                <w:lang w:val="en-US"/>
              </w:rPr>
              <w:t>查询拟中标人及拟派项目负责人、施工负责人及设计负责人等是否符合招标公告“（三）其他”的要求。</w:t>
            </w:r>
          </w:p>
          <w:p w14:paraId="69050015">
            <w:pPr>
              <w:pStyle w:val="44"/>
              <w:adjustRightInd/>
              <w:ind w:right="34" w:rightChars="14"/>
              <w:jc w:val="both"/>
              <w:rPr>
                <w:rFonts w:hint="eastAsia"/>
                <w:color w:val="auto"/>
                <w:highlight w:val="none"/>
                <w:lang w:val="en-US"/>
              </w:rPr>
            </w:pPr>
            <w:r>
              <w:rPr>
                <w:rFonts w:hint="eastAsia"/>
                <w:color w:val="auto"/>
                <w:highlight w:val="none"/>
                <w:lang w:val="en-US"/>
              </w:rPr>
              <w:t>□（3）面向中小企业招标的，核验中标候选人的中小企业身份</w:t>
            </w:r>
          </w:p>
          <w:p w14:paraId="7FE110B3">
            <w:pPr>
              <w:pStyle w:val="44"/>
              <w:adjustRightInd/>
              <w:ind w:right="34" w:rightChars="14"/>
              <w:jc w:val="both"/>
              <w:rPr>
                <w:rFonts w:hint="eastAsia"/>
                <w:color w:val="auto"/>
                <w:highlight w:val="none"/>
                <w:u w:val="single"/>
                <w:lang w:val="en-US"/>
              </w:rPr>
            </w:pPr>
            <w:r>
              <w:rPr>
                <w:rFonts w:hint="eastAsia"/>
                <w:color w:val="auto"/>
                <w:highlight w:val="none"/>
              </w:rPr>
              <w:t>（</w:t>
            </w:r>
            <w:r>
              <w:rPr>
                <w:rFonts w:hint="eastAsia"/>
                <w:color w:val="auto"/>
                <w:highlight w:val="none"/>
                <w:lang w:val="en-US"/>
              </w:rPr>
              <w:t>4</w:t>
            </w:r>
            <w:r>
              <w:rPr>
                <w:rFonts w:hint="eastAsia"/>
                <w:color w:val="auto"/>
                <w:highlight w:val="none"/>
              </w:rPr>
              <w:t>）其他：</w:t>
            </w:r>
            <w:r>
              <w:rPr>
                <w:rFonts w:hint="eastAsia"/>
                <w:color w:val="auto"/>
                <w:highlight w:val="none"/>
                <w:u w:val="single"/>
                <w:lang w:val="en-US"/>
              </w:rPr>
              <w:t xml:space="preserve">  /   </w:t>
            </w:r>
            <w:r>
              <w:rPr>
                <w:rFonts w:hint="eastAsia"/>
                <w:color w:val="auto"/>
                <w:highlight w:val="none"/>
                <w:lang w:val="en-US"/>
              </w:rPr>
              <w:t xml:space="preserve"> 。</w:t>
            </w:r>
          </w:p>
          <w:p w14:paraId="784A9284">
            <w:pPr>
              <w:pStyle w:val="44"/>
              <w:adjustRightInd/>
              <w:ind w:firstLine="480" w:firstLineChars="200"/>
              <w:jc w:val="both"/>
              <w:rPr>
                <w:rFonts w:hint="eastAsia"/>
                <w:strike/>
                <w:color w:val="auto"/>
                <w:highlight w:val="none"/>
              </w:rPr>
            </w:pPr>
            <w:r>
              <w:rPr>
                <w:rFonts w:hint="eastAsia"/>
                <w:strike/>
                <w:color w:val="auto"/>
                <w:highlight w:val="none"/>
              </w:rPr>
              <w:t>上述凡一项核验不符合招标文件规定的，取消其中标资格，招标人将按照评标委员会提出的中标候选人名单排序依次确定其他中标候选人为中标人或重新招标。</w:t>
            </w:r>
          </w:p>
          <w:p w14:paraId="5FE3DCF2">
            <w:pPr>
              <w:pStyle w:val="44"/>
              <w:adjustRightInd/>
              <w:jc w:val="both"/>
              <w:rPr>
                <w:rFonts w:hint="eastAsia"/>
                <w:color w:val="auto"/>
                <w:highlight w:val="none"/>
              </w:rPr>
            </w:pPr>
            <w:r>
              <w:rPr>
                <w:rFonts w:hint="eastAsia"/>
                <w:strike/>
                <w:color w:val="auto"/>
                <w:highlight w:val="none"/>
                <w:lang w:val="en-US"/>
              </w:rPr>
              <w:t>2.</w:t>
            </w:r>
            <w:r>
              <w:rPr>
                <w:rFonts w:hint="eastAsia"/>
                <w:strike/>
                <w:color w:val="auto"/>
                <w:highlight w:val="none"/>
              </w:rPr>
              <w:t>招标人将在评标委员会推荐的中标候选人中确定排名第一的中标候选人为中标人。排名第一的中标候选人放弃中标、因不可抗力不能履行合同、不按照招标文件要求提交履约保证金，或者被查实存在影响中标结果的违法行为等情形，不符合中标条件的，招标人将按照评标委员会提出的中标候选人名单排序依次确定其他中标候选人为中标人或重新招标。</w:t>
            </w:r>
          </w:p>
        </w:tc>
      </w:tr>
      <w:tr w14:paraId="0ABB4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6D528667">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10.4</w:t>
            </w:r>
          </w:p>
        </w:tc>
        <w:tc>
          <w:tcPr>
            <w:tcW w:w="1701" w:type="dxa"/>
            <w:vAlign w:val="center"/>
          </w:tcPr>
          <w:p w14:paraId="11FB1D79">
            <w:pPr>
              <w:pStyle w:val="44"/>
              <w:adjustRightInd/>
              <w:ind w:right="178" w:rightChars="74" w:firstLine="31" w:firstLineChars="13"/>
              <w:jc w:val="center"/>
              <w:rPr>
                <w:rFonts w:hint="eastAsia"/>
                <w:color w:val="auto"/>
                <w:highlight w:val="none"/>
              </w:rPr>
            </w:pPr>
            <w:r>
              <w:rPr>
                <w:rFonts w:hint="eastAsia"/>
                <w:color w:val="auto"/>
                <w:highlight w:val="none"/>
              </w:rPr>
              <w:t>在建合同工程的认定及变更证明</w:t>
            </w:r>
          </w:p>
        </w:tc>
        <w:tc>
          <w:tcPr>
            <w:tcW w:w="6168" w:type="dxa"/>
            <w:vAlign w:val="center"/>
          </w:tcPr>
          <w:p w14:paraId="69A66EC4">
            <w:pPr>
              <w:pStyle w:val="44"/>
              <w:adjustRightInd/>
              <w:jc w:val="both"/>
              <w:rPr>
                <w:rFonts w:hint="eastAsia"/>
                <w:color w:val="auto"/>
                <w:highlight w:val="none"/>
              </w:rPr>
            </w:pPr>
            <w:r>
              <w:rPr>
                <w:rFonts w:hint="eastAsia"/>
                <w:color w:val="auto"/>
                <w:highlight w:val="none"/>
                <w:lang w:val="en-US"/>
              </w:rPr>
              <w:t>1</w:t>
            </w:r>
            <w:r>
              <w:rPr>
                <w:rFonts w:hint="eastAsia"/>
                <w:color w:val="auto"/>
                <w:highlight w:val="none"/>
              </w:rPr>
              <w:t>.对项目负责人和施工负责人“有在建合同工程”的认定标准：</w:t>
            </w:r>
          </w:p>
          <w:p w14:paraId="30F43DCE">
            <w:pPr>
              <w:pStyle w:val="44"/>
              <w:adjustRightInd/>
              <w:jc w:val="both"/>
              <w:rPr>
                <w:rFonts w:hint="eastAsia"/>
                <w:color w:val="auto"/>
                <w:highlight w:val="none"/>
              </w:rPr>
            </w:pPr>
            <w:r>
              <w:rPr>
                <w:rFonts w:hint="eastAsia"/>
                <w:color w:val="auto"/>
                <w:highlight w:val="none"/>
              </w:rPr>
              <w:t>（1）拟派项目负责人和施工负责人在投标截止时间尚有在其他在建合同工程中担任工程总承包项目负责人、施工负责人（含工程总承包项目中担任施工负责人）的情形为“有在建合同工程”。</w:t>
            </w:r>
          </w:p>
          <w:p w14:paraId="24F3D131">
            <w:pPr>
              <w:pStyle w:val="44"/>
              <w:adjustRightInd/>
              <w:jc w:val="both"/>
              <w:rPr>
                <w:rFonts w:hint="eastAsia"/>
                <w:color w:val="auto"/>
                <w:highlight w:val="none"/>
              </w:rPr>
            </w:pPr>
            <w:r>
              <w:rPr>
                <w:rFonts w:hint="eastAsia"/>
                <w:color w:val="auto"/>
                <w:highlight w:val="none"/>
              </w:rPr>
              <w:t>（2）其他工程项目，包括在中华人民共和国境内所有建设工程，不受地域、行业和投资性质的限制。</w:t>
            </w:r>
          </w:p>
          <w:p w14:paraId="38AD17F9">
            <w:pPr>
              <w:pStyle w:val="44"/>
              <w:adjustRightInd/>
              <w:jc w:val="both"/>
              <w:rPr>
                <w:rFonts w:hint="eastAsia"/>
                <w:color w:val="auto"/>
                <w:highlight w:val="none"/>
              </w:rPr>
            </w:pPr>
            <w:r>
              <w:rPr>
                <w:rFonts w:hint="eastAsia"/>
                <w:color w:val="auto"/>
                <w:highlight w:val="none"/>
              </w:rPr>
              <w:t>（3）在建合同工程的时间界定：在建合同工程的开始时间为合同工程中标通知书发出日期，或者不通过招标方式的则以合同签订日期为开始时间，结束时间为该合同工程验收合格或合同解除日期）。</w:t>
            </w:r>
          </w:p>
          <w:p w14:paraId="637D76C2">
            <w:pPr>
              <w:pStyle w:val="44"/>
              <w:adjustRightInd/>
              <w:jc w:val="both"/>
              <w:rPr>
                <w:rFonts w:hint="eastAsia"/>
                <w:color w:val="auto"/>
                <w:highlight w:val="none"/>
              </w:rPr>
            </w:pPr>
            <w:r>
              <w:rPr>
                <w:rFonts w:hint="eastAsia"/>
                <w:color w:val="auto"/>
                <w:highlight w:val="none"/>
              </w:rPr>
              <w:t>以下情形视为“有在建合同工程”：</w:t>
            </w:r>
          </w:p>
          <w:p w14:paraId="5F41DF5E">
            <w:pPr>
              <w:pStyle w:val="44"/>
              <w:adjustRightInd/>
              <w:jc w:val="both"/>
              <w:rPr>
                <w:rFonts w:hint="eastAsia"/>
                <w:color w:val="auto"/>
                <w:highlight w:val="none"/>
              </w:rPr>
            </w:pPr>
            <w:r>
              <w:rPr>
                <w:rFonts w:hint="eastAsia"/>
                <w:color w:val="auto"/>
                <w:highlight w:val="none"/>
              </w:rPr>
              <w:t>（1）合同协议书尚未签订的，中标通知书中载明的项目负责人；</w:t>
            </w:r>
          </w:p>
          <w:p w14:paraId="7D2312C1">
            <w:pPr>
              <w:pStyle w:val="44"/>
              <w:adjustRightInd/>
              <w:jc w:val="both"/>
              <w:rPr>
                <w:rFonts w:hint="eastAsia"/>
                <w:color w:val="auto"/>
                <w:highlight w:val="none"/>
              </w:rPr>
            </w:pPr>
            <w:r>
              <w:rPr>
                <w:rFonts w:hint="eastAsia"/>
                <w:color w:val="auto"/>
                <w:highlight w:val="none"/>
              </w:rPr>
              <w:t>（2）合同协议书已经签订，合同协议书中明确的项目负责人；</w:t>
            </w:r>
          </w:p>
          <w:p w14:paraId="45936EBF">
            <w:pPr>
              <w:pStyle w:val="44"/>
              <w:adjustRightInd/>
              <w:jc w:val="both"/>
              <w:rPr>
                <w:rFonts w:hint="eastAsia"/>
                <w:color w:val="auto"/>
                <w:highlight w:val="none"/>
              </w:rPr>
            </w:pPr>
            <w:r>
              <w:rPr>
                <w:rFonts w:hint="eastAsia"/>
                <w:color w:val="auto"/>
                <w:highlight w:val="none"/>
              </w:rPr>
              <w:t>（3）项目负责人和施工负责人发生更换的，以现任项目负责人和施工负责人视为有“在建合同工程”。</w:t>
            </w:r>
          </w:p>
          <w:p w14:paraId="440C804F">
            <w:pPr>
              <w:pStyle w:val="44"/>
              <w:adjustRightInd/>
              <w:jc w:val="both"/>
              <w:rPr>
                <w:rFonts w:hint="eastAsia"/>
                <w:color w:val="auto"/>
                <w:highlight w:val="none"/>
              </w:rPr>
            </w:pPr>
            <w:r>
              <w:rPr>
                <w:rFonts w:hint="eastAsia"/>
                <w:color w:val="auto"/>
                <w:highlight w:val="none"/>
              </w:rPr>
              <w:t>2.在建项目的项目负责人和施工负责人办理更换后，投标时需提供的资料（未提供视作无变更）：</w:t>
            </w:r>
          </w:p>
          <w:p w14:paraId="2EA33842">
            <w:pPr>
              <w:pStyle w:val="44"/>
              <w:adjustRightInd/>
              <w:jc w:val="both"/>
              <w:rPr>
                <w:rFonts w:hint="eastAsia"/>
                <w:color w:val="auto"/>
                <w:highlight w:val="none"/>
              </w:rPr>
            </w:pPr>
            <w:r>
              <w:rPr>
                <w:rFonts w:hint="eastAsia"/>
                <w:color w:val="auto"/>
                <w:highlight w:val="none"/>
              </w:rPr>
              <w:t>（1）项目业主同意更换的证明；</w:t>
            </w:r>
          </w:p>
          <w:p w14:paraId="46B2027C">
            <w:pPr>
              <w:pStyle w:val="44"/>
              <w:adjustRightInd/>
              <w:jc w:val="both"/>
              <w:rPr>
                <w:rFonts w:hint="eastAsia"/>
                <w:color w:val="auto"/>
                <w:highlight w:val="none"/>
              </w:rPr>
            </w:pPr>
            <w:r>
              <w:rPr>
                <w:rFonts w:hint="eastAsia"/>
                <w:color w:val="auto"/>
                <w:highlight w:val="none"/>
              </w:rPr>
              <w:t>（2）原项目负责人和施工负责人在建项目信息有备案在建设主管部门的，应提供建设主管部门同意更换的证明或网上变更信息原件的复制件；</w:t>
            </w:r>
          </w:p>
          <w:p w14:paraId="361625F7">
            <w:pPr>
              <w:pStyle w:val="44"/>
              <w:adjustRightInd/>
              <w:jc w:val="both"/>
              <w:rPr>
                <w:rFonts w:hint="eastAsia"/>
                <w:color w:val="auto"/>
                <w:highlight w:val="none"/>
              </w:rPr>
            </w:pPr>
            <w:r>
              <w:rPr>
                <w:rFonts w:hint="eastAsia"/>
                <w:color w:val="auto"/>
                <w:highlight w:val="none"/>
              </w:rPr>
              <w:t>3.在建合同工程和人员信息可参照全国和</w:t>
            </w:r>
            <w:r>
              <w:rPr>
                <w:rFonts w:hint="eastAsia"/>
                <w:color w:val="auto"/>
                <w:szCs w:val="28"/>
                <w:highlight w:val="none"/>
              </w:rPr>
              <w:t>浙江省建筑市场监管公共服务系统</w:t>
            </w:r>
            <w:r>
              <w:rPr>
                <w:rFonts w:hint="eastAsia"/>
                <w:color w:val="auto"/>
                <w:highlight w:val="none"/>
              </w:rPr>
              <w:t>发布的信息。</w:t>
            </w:r>
          </w:p>
        </w:tc>
      </w:tr>
      <w:tr w14:paraId="7D7C3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4D0D1C5E">
            <w:pPr>
              <w:pStyle w:val="44"/>
              <w:snapToGrid w:val="0"/>
              <w:jc w:val="center"/>
              <w:rPr>
                <w:rFonts w:hint="eastAsia"/>
                <w:color w:val="auto"/>
                <w:highlight w:val="none"/>
              </w:rPr>
            </w:pPr>
            <w:r>
              <w:rPr>
                <w:rFonts w:ascii="Times New Roman" w:hAnsi="Times New Roman"/>
                <w:color w:val="auto"/>
                <w:highlight w:val="none"/>
              </w:rPr>
              <w:t>10.</w:t>
            </w:r>
            <w:r>
              <w:rPr>
                <w:rFonts w:hint="eastAsia" w:ascii="Times New Roman" w:hAnsi="Times New Roman"/>
                <w:color w:val="auto"/>
                <w:highlight w:val="none"/>
                <w:lang w:val="en-US"/>
              </w:rPr>
              <w:t>5</w:t>
            </w:r>
          </w:p>
        </w:tc>
        <w:tc>
          <w:tcPr>
            <w:tcW w:w="1701" w:type="dxa"/>
            <w:vAlign w:val="center"/>
          </w:tcPr>
          <w:p w14:paraId="0B062821">
            <w:pPr>
              <w:pStyle w:val="44"/>
              <w:snapToGrid w:val="0"/>
              <w:jc w:val="center"/>
              <w:rPr>
                <w:rFonts w:hint="eastAsia"/>
                <w:color w:val="auto"/>
                <w:highlight w:val="none"/>
              </w:rPr>
            </w:pPr>
            <w:r>
              <w:rPr>
                <w:rFonts w:ascii="Times New Roman"/>
                <w:color w:val="auto"/>
                <w:highlight w:val="none"/>
              </w:rPr>
              <w:t>投标文件的澄清</w:t>
            </w:r>
            <w:r>
              <w:rPr>
                <w:rFonts w:ascii="Times New Roman" w:cs="Times New Roman"/>
                <w:color w:val="auto"/>
                <w:highlight w:val="none"/>
              </w:rPr>
              <w:t>、说明</w:t>
            </w:r>
            <w:r>
              <w:rPr>
                <w:rFonts w:hint="eastAsia" w:ascii="Times New Roman" w:cs="Times New Roman"/>
                <w:color w:val="auto"/>
                <w:highlight w:val="none"/>
              </w:rPr>
              <w:t>、</w:t>
            </w:r>
            <w:r>
              <w:rPr>
                <w:rFonts w:ascii="Times New Roman" w:cs="Times New Roman"/>
                <w:color w:val="auto"/>
                <w:highlight w:val="none"/>
              </w:rPr>
              <w:t>补正</w:t>
            </w:r>
          </w:p>
        </w:tc>
        <w:tc>
          <w:tcPr>
            <w:tcW w:w="6168" w:type="dxa"/>
            <w:vAlign w:val="center"/>
          </w:tcPr>
          <w:p w14:paraId="063E35A3">
            <w:pPr>
              <w:pStyle w:val="37"/>
              <w:widowControl w:val="0"/>
              <w:autoSpaceDE w:val="0"/>
              <w:autoSpaceDN w:val="0"/>
              <w:adjustRightInd w:val="0"/>
              <w:snapToGrid w:val="0"/>
              <w:jc w:val="both"/>
              <w:rPr>
                <w:rFonts w:ascii="Times New Roman" w:hAnsi="Times New Roman"/>
                <w:color w:val="auto"/>
                <w:szCs w:val="24"/>
                <w:highlight w:val="none"/>
              </w:rPr>
            </w:pPr>
            <w:r>
              <w:rPr>
                <w:rFonts w:ascii="Times New Roman" w:hAnsi="Times New Roman"/>
                <w:color w:val="auto"/>
                <w:szCs w:val="24"/>
                <w:highlight w:val="none"/>
                <w:lang w:val="en-US"/>
              </w:rPr>
              <w:t>1.</w:t>
            </w:r>
            <w:r>
              <w:rPr>
                <w:rFonts w:ascii="Times New Roman"/>
                <w:color w:val="auto"/>
                <w:szCs w:val="24"/>
                <w:highlight w:val="none"/>
              </w:rPr>
              <w:t>澄清回复时间不得超过在发出通知后</w:t>
            </w:r>
            <w:r>
              <w:rPr>
                <w:rFonts w:ascii="Times New Roman" w:hAnsi="Times New Roman"/>
                <w:color w:val="auto"/>
                <w:szCs w:val="24"/>
                <w:highlight w:val="none"/>
                <w:u w:val="single"/>
              </w:rPr>
              <w:t>  </w:t>
            </w:r>
            <w:r>
              <w:rPr>
                <w:rFonts w:ascii="Times New Roman"/>
                <w:color w:val="auto"/>
                <w:szCs w:val="24"/>
                <w:highlight w:val="none"/>
              </w:rPr>
              <w:t>分钟，投标人逾期或未按要求澄清回复的，将视为不予回复或确认，评标委员会有权否决其投标。投标人通讯不畅通，导致不能及时联系的，视作为投标人不予回复或确认。</w:t>
            </w:r>
          </w:p>
          <w:p w14:paraId="1B9C51CF">
            <w:pPr>
              <w:pStyle w:val="37"/>
              <w:widowControl w:val="0"/>
              <w:autoSpaceDE w:val="0"/>
              <w:autoSpaceDN w:val="0"/>
              <w:adjustRightInd w:val="0"/>
              <w:snapToGrid w:val="0"/>
              <w:jc w:val="both"/>
              <w:rPr>
                <w:rFonts w:ascii="Times New Roman" w:hAnsi="Times New Roman"/>
                <w:color w:val="auto"/>
                <w:szCs w:val="24"/>
                <w:highlight w:val="none"/>
              </w:rPr>
            </w:pPr>
            <w:r>
              <w:rPr>
                <w:rFonts w:ascii="Times New Roman" w:hAnsi="Times New Roman"/>
                <w:color w:val="auto"/>
                <w:szCs w:val="24"/>
                <w:highlight w:val="none"/>
              </w:rPr>
              <w:t>2</w:t>
            </w:r>
            <w:r>
              <w:rPr>
                <w:rFonts w:ascii="Times New Roman" w:hAnsi="Times New Roman"/>
                <w:color w:val="auto"/>
                <w:szCs w:val="24"/>
                <w:highlight w:val="none"/>
                <w:lang w:val="en-US"/>
              </w:rPr>
              <w:t>.</w:t>
            </w:r>
            <w:r>
              <w:rPr>
                <w:rFonts w:ascii="Times New Roman"/>
                <w:color w:val="auto"/>
                <w:szCs w:val="24"/>
                <w:highlight w:val="none"/>
              </w:rPr>
              <w:t>评标委员会对投标人提交的澄清、说明或补正有疑问的，可以要求投标人进一步澄清、说明或补正，直至满足评标委员会的要求。</w:t>
            </w:r>
          </w:p>
          <w:p w14:paraId="56FB3063">
            <w:pPr>
              <w:pStyle w:val="37"/>
              <w:widowControl w:val="0"/>
              <w:autoSpaceDE w:val="0"/>
              <w:autoSpaceDN w:val="0"/>
              <w:adjustRightInd w:val="0"/>
              <w:snapToGrid w:val="0"/>
              <w:jc w:val="both"/>
              <w:rPr>
                <w:rFonts w:hint="eastAsia"/>
                <w:color w:val="auto"/>
                <w:highlight w:val="none"/>
              </w:rPr>
            </w:pPr>
            <w:r>
              <w:rPr>
                <w:rFonts w:ascii="Times New Roman" w:hAnsi="Times New Roman"/>
                <w:color w:val="auto"/>
                <w:szCs w:val="24"/>
                <w:highlight w:val="none"/>
                <w:lang w:val="en-US"/>
              </w:rPr>
              <w:t>3.</w:t>
            </w:r>
            <w:r>
              <w:rPr>
                <w:rFonts w:ascii="Times New Roman"/>
                <w:color w:val="auto"/>
                <w:szCs w:val="24"/>
                <w:highlight w:val="none"/>
              </w:rPr>
              <w:t>投标人拒不按照要求对投标文件进行澄清、说明或者补正的，评标委员会可以否决其投标。</w:t>
            </w:r>
          </w:p>
        </w:tc>
      </w:tr>
      <w:tr w14:paraId="04B08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223E0113">
            <w:pPr>
              <w:pStyle w:val="44"/>
              <w:snapToGrid w:val="0"/>
              <w:jc w:val="center"/>
              <w:rPr>
                <w:rFonts w:hint="eastAsia"/>
                <w:strike/>
                <w:color w:val="auto"/>
                <w:highlight w:val="none"/>
              </w:rPr>
            </w:pPr>
            <w:r>
              <w:rPr>
                <w:rFonts w:hint="eastAsia"/>
                <w:strike/>
                <w:color w:val="auto"/>
                <w:highlight w:val="none"/>
              </w:rPr>
              <w:t>□</w:t>
            </w:r>
            <w:r>
              <w:rPr>
                <w:rFonts w:ascii="Times New Roman" w:hAnsi="Times New Roman"/>
                <w:strike/>
                <w:color w:val="auto"/>
                <w:highlight w:val="none"/>
              </w:rPr>
              <w:t>10.</w:t>
            </w:r>
            <w:r>
              <w:rPr>
                <w:rFonts w:hint="eastAsia" w:ascii="Times New Roman" w:hAnsi="Times New Roman"/>
                <w:strike/>
                <w:color w:val="auto"/>
                <w:highlight w:val="none"/>
                <w:lang w:val="en-US"/>
              </w:rPr>
              <w:t>6</w:t>
            </w:r>
          </w:p>
        </w:tc>
        <w:tc>
          <w:tcPr>
            <w:tcW w:w="1701" w:type="dxa"/>
            <w:vAlign w:val="center"/>
          </w:tcPr>
          <w:p w14:paraId="3FBBECFA">
            <w:pPr>
              <w:pStyle w:val="44"/>
              <w:snapToGrid w:val="0"/>
              <w:jc w:val="center"/>
              <w:rPr>
                <w:rFonts w:hint="eastAsia"/>
                <w:strike/>
                <w:color w:val="auto"/>
                <w:highlight w:val="none"/>
              </w:rPr>
            </w:pPr>
            <w:r>
              <w:rPr>
                <w:rFonts w:ascii="Times New Roman"/>
                <w:strike/>
                <w:color w:val="auto"/>
                <w:highlight w:val="none"/>
              </w:rPr>
              <w:t>陈述和答辩</w:t>
            </w:r>
          </w:p>
        </w:tc>
        <w:tc>
          <w:tcPr>
            <w:tcW w:w="6168" w:type="dxa"/>
            <w:vAlign w:val="center"/>
          </w:tcPr>
          <w:p w14:paraId="277EF9B4">
            <w:pPr>
              <w:pStyle w:val="44"/>
              <w:snapToGrid w:val="0"/>
              <w:jc w:val="both"/>
              <w:rPr>
                <w:rFonts w:ascii="Times New Roman" w:hAnsi="Times New Roman" w:cs="Times New Roman"/>
                <w:strike/>
                <w:color w:val="auto"/>
                <w:highlight w:val="none"/>
              </w:rPr>
            </w:pPr>
            <w:r>
              <w:rPr>
                <w:rFonts w:ascii="Times New Roman" w:hAnsi="Times New Roman" w:cs="Times New Roman"/>
                <w:strike/>
                <w:color w:val="auto"/>
                <w:highlight w:val="none"/>
              </w:rPr>
              <w:t>1.</w:t>
            </w:r>
            <w:r>
              <w:rPr>
                <w:rFonts w:ascii="Times New Roman" w:cs="Times New Roman"/>
                <w:strike/>
                <w:color w:val="auto"/>
                <w:highlight w:val="none"/>
              </w:rPr>
              <w:t>陈述和答辩人：通过资格审查和技术评审的有效投标人的拟派</w:t>
            </w:r>
            <w:r>
              <w:rPr>
                <w:rFonts w:ascii="Times New Roman"/>
                <w:strike/>
                <w:color w:val="auto"/>
                <w:highlight w:val="none"/>
              </w:rPr>
              <w:t>项目负责人</w:t>
            </w:r>
            <w:r>
              <w:rPr>
                <w:rFonts w:ascii="Times New Roman" w:cs="Times New Roman"/>
                <w:strike/>
                <w:color w:val="auto"/>
                <w:highlight w:val="none"/>
              </w:rPr>
              <w:t>。</w:t>
            </w:r>
          </w:p>
          <w:p w14:paraId="4D3E41C9">
            <w:pPr>
              <w:pStyle w:val="44"/>
              <w:snapToGrid w:val="0"/>
              <w:jc w:val="both"/>
              <w:rPr>
                <w:rFonts w:ascii="Times New Roman" w:hAnsi="Times New Roman" w:cs="Times New Roman"/>
                <w:strike/>
                <w:color w:val="auto"/>
                <w:highlight w:val="none"/>
              </w:rPr>
            </w:pPr>
            <w:r>
              <w:rPr>
                <w:rFonts w:ascii="Times New Roman" w:hAnsi="Times New Roman" w:cs="Times New Roman"/>
                <w:strike/>
                <w:color w:val="auto"/>
                <w:highlight w:val="none"/>
              </w:rPr>
              <w:t>2.</w:t>
            </w:r>
            <w:r>
              <w:rPr>
                <w:rFonts w:ascii="Times New Roman" w:cs="Times New Roman"/>
                <w:strike/>
                <w:color w:val="auto"/>
                <w:highlight w:val="none"/>
              </w:rPr>
              <w:t>答辩方式：</w:t>
            </w:r>
            <w:r>
              <w:rPr>
                <w:rFonts w:hint="eastAsia" w:cs="Times New Roman"/>
                <w:strike/>
                <w:color w:val="auto"/>
                <w:highlight w:val="none"/>
              </w:rPr>
              <w:t>□</w:t>
            </w:r>
            <w:r>
              <w:rPr>
                <w:rFonts w:cs="Times New Roman"/>
                <w:strike/>
                <w:color w:val="auto"/>
                <w:highlight w:val="none"/>
              </w:rPr>
              <w:t>现场语音答复</w:t>
            </w:r>
            <w:r>
              <w:rPr>
                <w:rFonts w:hint="eastAsia" w:cs="Times New Roman"/>
                <w:strike/>
                <w:color w:val="auto"/>
                <w:highlight w:val="none"/>
              </w:rPr>
              <w:t>□</w:t>
            </w:r>
            <w:r>
              <w:rPr>
                <w:rFonts w:cs="Times New Roman"/>
                <w:strike/>
                <w:color w:val="auto"/>
                <w:highlight w:val="none"/>
              </w:rPr>
              <w:t>书面答复□电子平台在</w:t>
            </w:r>
            <w:r>
              <w:rPr>
                <w:rFonts w:ascii="Times New Roman" w:cs="Times New Roman"/>
                <w:strike/>
                <w:color w:val="auto"/>
                <w:highlight w:val="none"/>
              </w:rPr>
              <w:t>线答复</w:t>
            </w:r>
          </w:p>
          <w:p w14:paraId="686E9C3A">
            <w:pPr>
              <w:pStyle w:val="44"/>
              <w:snapToGrid w:val="0"/>
              <w:jc w:val="both"/>
              <w:rPr>
                <w:rFonts w:ascii="Times New Roman" w:hAnsi="Times New Roman" w:cs="Times New Roman"/>
                <w:strike/>
                <w:color w:val="auto"/>
                <w:highlight w:val="none"/>
              </w:rPr>
            </w:pPr>
            <w:r>
              <w:rPr>
                <w:rFonts w:ascii="Times New Roman" w:hAnsi="Times New Roman" w:cs="Times New Roman"/>
                <w:strike/>
                <w:color w:val="auto"/>
                <w:highlight w:val="none"/>
              </w:rPr>
              <w:t>3.</w:t>
            </w:r>
            <w:r>
              <w:rPr>
                <w:rFonts w:ascii="Times New Roman" w:cs="Times New Roman"/>
                <w:strike/>
                <w:color w:val="auto"/>
                <w:highlight w:val="none"/>
              </w:rPr>
              <w:t>陈述和答辩通知方式及相关规定：</w:t>
            </w:r>
          </w:p>
          <w:p w14:paraId="766C3F99">
            <w:pPr>
              <w:pStyle w:val="44"/>
              <w:snapToGrid w:val="0"/>
              <w:jc w:val="both"/>
              <w:rPr>
                <w:rFonts w:ascii="Times New Roman" w:hAnsi="Times New Roman" w:cs="Times New Roman"/>
                <w:strike/>
                <w:color w:val="auto"/>
                <w:highlight w:val="none"/>
              </w:rPr>
            </w:pPr>
            <w:r>
              <w:rPr>
                <w:rFonts w:ascii="Times New Roman" w:cs="Times New Roman"/>
                <w:strike/>
                <w:color w:val="auto"/>
                <w:highlight w:val="none"/>
              </w:rPr>
              <w:t>（</w:t>
            </w:r>
            <w:r>
              <w:rPr>
                <w:rFonts w:ascii="Times New Roman" w:hAnsi="Times New Roman" w:cs="Times New Roman"/>
                <w:strike/>
                <w:color w:val="auto"/>
                <w:highlight w:val="none"/>
              </w:rPr>
              <w:t>1</w:t>
            </w:r>
            <w:r>
              <w:rPr>
                <w:rFonts w:ascii="Times New Roman" w:cs="Times New Roman"/>
                <w:strike/>
                <w:color w:val="auto"/>
                <w:highlight w:val="none"/>
              </w:rPr>
              <w:t>）入围后进行预通知（通过电话或短信等方式发送给开标委托人，提醒项目负责人做好陈述和答辩准备）；</w:t>
            </w:r>
          </w:p>
          <w:p w14:paraId="31D0CB51">
            <w:pPr>
              <w:pStyle w:val="44"/>
              <w:snapToGrid w:val="0"/>
              <w:jc w:val="both"/>
              <w:rPr>
                <w:rFonts w:ascii="Times New Roman" w:hAnsi="Times New Roman" w:cs="Times New Roman"/>
                <w:strike/>
                <w:color w:val="auto"/>
                <w:highlight w:val="none"/>
                <w:lang w:val="en-US"/>
              </w:rPr>
            </w:pPr>
            <w:r>
              <w:rPr>
                <w:rFonts w:ascii="Times New Roman" w:cs="Times New Roman"/>
                <w:strike/>
                <w:color w:val="auto"/>
                <w:highlight w:val="none"/>
              </w:rPr>
              <w:t>（</w:t>
            </w:r>
            <w:r>
              <w:rPr>
                <w:rFonts w:ascii="Times New Roman" w:hAnsi="Times New Roman" w:cs="Times New Roman"/>
                <w:strike/>
                <w:color w:val="auto"/>
                <w:highlight w:val="none"/>
              </w:rPr>
              <w:t>2</w:t>
            </w:r>
            <w:r>
              <w:rPr>
                <w:rFonts w:ascii="Times New Roman" w:cs="Times New Roman"/>
                <w:strike/>
                <w:color w:val="auto"/>
                <w:highlight w:val="none"/>
              </w:rPr>
              <w:t>）技术标评审评分</w:t>
            </w:r>
            <w:r>
              <w:rPr>
                <w:rFonts w:hint="eastAsia" w:ascii="Times New Roman" w:cs="Times New Roman"/>
                <w:strike/>
                <w:color w:val="auto"/>
                <w:highlight w:val="none"/>
              </w:rPr>
              <w:t>过程中</w:t>
            </w:r>
            <w:r>
              <w:rPr>
                <w:rFonts w:ascii="Times New Roman" w:cs="Times New Roman"/>
                <w:strike/>
                <w:color w:val="auto"/>
                <w:highlight w:val="none"/>
              </w:rPr>
              <w:t>正式通知（通过电话或短信等方式发送给开标委托人，通知项目负责人进行陈述和答辩）。项目负责人未按通知要求的时间到达指定地点的，视为自动放弃陈述和答辩，该项按</w:t>
            </w:r>
            <w:r>
              <w:rPr>
                <w:rFonts w:ascii="Times New Roman" w:hAnsi="Times New Roman" w:cs="Times New Roman"/>
                <w:strike/>
                <w:color w:val="auto"/>
                <w:highlight w:val="none"/>
              </w:rPr>
              <w:t>0</w:t>
            </w:r>
            <w:r>
              <w:rPr>
                <w:rFonts w:ascii="Times New Roman" w:cs="Times New Roman"/>
                <w:strike/>
                <w:color w:val="auto"/>
                <w:highlight w:val="none"/>
              </w:rPr>
              <w:t>分处理。</w:t>
            </w:r>
          </w:p>
          <w:p w14:paraId="3214AA48">
            <w:pPr>
              <w:pStyle w:val="44"/>
              <w:snapToGrid w:val="0"/>
              <w:jc w:val="both"/>
              <w:rPr>
                <w:rFonts w:ascii="Times New Roman" w:hAnsi="Times New Roman" w:cs="Times New Roman"/>
                <w:strike/>
                <w:color w:val="auto"/>
                <w:highlight w:val="none"/>
              </w:rPr>
            </w:pPr>
            <w:r>
              <w:rPr>
                <w:rFonts w:ascii="Times New Roman" w:cs="Times New Roman"/>
                <w:strike/>
                <w:color w:val="auto"/>
                <w:highlight w:val="none"/>
              </w:rPr>
              <w:t>（</w:t>
            </w:r>
            <w:r>
              <w:rPr>
                <w:rFonts w:ascii="Times New Roman" w:hAnsi="Times New Roman" w:cs="Times New Roman"/>
                <w:strike/>
                <w:color w:val="auto"/>
                <w:highlight w:val="none"/>
              </w:rPr>
              <w:t>3</w:t>
            </w:r>
            <w:r>
              <w:rPr>
                <w:rFonts w:ascii="Times New Roman" w:cs="Times New Roman"/>
                <w:strike/>
                <w:color w:val="auto"/>
                <w:highlight w:val="none"/>
              </w:rPr>
              <w:t>）陈述和答辩人应在陈述和答辩问题的范围内进行陈述和答辩。</w:t>
            </w:r>
          </w:p>
          <w:p w14:paraId="5DD56D69">
            <w:pPr>
              <w:pStyle w:val="44"/>
              <w:snapToGrid w:val="0"/>
              <w:jc w:val="both"/>
              <w:rPr>
                <w:rFonts w:ascii="Times New Roman" w:hAnsi="Times New Roman" w:cs="Times New Roman"/>
                <w:strike/>
                <w:color w:val="auto"/>
                <w:highlight w:val="none"/>
              </w:rPr>
            </w:pPr>
            <w:r>
              <w:rPr>
                <w:rFonts w:ascii="Times New Roman" w:hAnsi="Times New Roman" w:cs="Times New Roman"/>
                <w:strike/>
                <w:color w:val="auto"/>
                <w:highlight w:val="none"/>
              </w:rPr>
              <w:t>4.</w:t>
            </w:r>
            <w:r>
              <w:rPr>
                <w:rFonts w:ascii="Times New Roman" w:cs="Times New Roman"/>
                <w:strike/>
                <w:color w:val="auto"/>
                <w:highlight w:val="none"/>
              </w:rPr>
              <w:t>陈述和答辩地点</w:t>
            </w:r>
            <w:r>
              <w:rPr>
                <w:rFonts w:ascii="Times New Roman" w:cs="Times New Roman"/>
                <w:strike/>
                <w:color w:val="auto"/>
                <w:highlight w:val="none"/>
                <w:u w:val="single"/>
              </w:rPr>
              <w:t>：</w:t>
            </w:r>
            <w:r>
              <w:rPr>
                <w:rFonts w:hint="eastAsia" w:ascii="Times New Roman" w:hAnsi="Times New Roman" w:cs="Times New Roman"/>
                <w:strike/>
                <w:color w:val="auto"/>
                <w:highlight w:val="none"/>
                <w:u w:val="single"/>
              </w:rPr>
              <w:t>绍兴市公共资源交易中心越城区分中心指定答辩室</w:t>
            </w:r>
            <w:r>
              <w:rPr>
                <w:rFonts w:ascii="Times New Roman" w:cs="Times New Roman"/>
                <w:strike/>
                <w:color w:val="auto"/>
                <w:highlight w:val="none"/>
              </w:rPr>
              <w:t>。</w:t>
            </w:r>
          </w:p>
          <w:p w14:paraId="5FD34C81">
            <w:pPr>
              <w:pStyle w:val="44"/>
              <w:snapToGrid w:val="0"/>
              <w:jc w:val="both"/>
              <w:rPr>
                <w:rFonts w:ascii="Times New Roman" w:hAnsi="Times New Roman" w:cs="Times New Roman"/>
                <w:strike/>
                <w:color w:val="auto"/>
                <w:highlight w:val="none"/>
              </w:rPr>
            </w:pPr>
            <w:r>
              <w:rPr>
                <w:rFonts w:ascii="Times New Roman" w:hAnsi="Times New Roman" w:cs="Times New Roman"/>
                <w:strike/>
                <w:color w:val="auto"/>
                <w:highlight w:val="none"/>
              </w:rPr>
              <w:t>5.</w:t>
            </w:r>
            <w:r>
              <w:rPr>
                <w:rFonts w:ascii="Times New Roman" w:cs="Times New Roman"/>
                <w:strike/>
                <w:color w:val="auto"/>
                <w:highlight w:val="none"/>
              </w:rPr>
              <w:t>陈述和答辩问题：可在招标文件中公布，或者由评标委员会根据招标文件及评审因素内容统一拟定，原则上由评标委员会负责人执笔。</w:t>
            </w:r>
          </w:p>
          <w:p w14:paraId="482AD844">
            <w:pPr>
              <w:pStyle w:val="44"/>
              <w:snapToGrid w:val="0"/>
              <w:jc w:val="both"/>
              <w:rPr>
                <w:rFonts w:hint="eastAsia" w:ascii="Times New Roman" w:cs="Times New Roman"/>
                <w:strike/>
                <w:color w:val="auto"/>
                <w:highlight w:val="none"/>
              </w:rPr>
            </w:pPr>
            <w:r>
              <w:rPr>
                <w:rFonts w:ascii="Times New Roman" w:hAnsi="Times New Roman" w:cs="Times New Roman"/>
                <w:strike/>
                <w:color w:val="auto"/>
                <w:highlight w:val="none"/>
              </w:rPr>
              <w:t>6.</w:t>
            </w:r>
            <w:r>
              <w:rPr>
                <w:rFonts w:ascii="Times New Roman" w:cs="Times New Roman"/>
                <w:strike/>
                <w:color w:val="auto"/>
                <w:highlight w:val="none"/>
              </w:rPr>
              <w:t>参加答辩人员在进入答辩区域后须缴存通讯工具，进场不允许携带资料。</w:t>
            </w:r>
          </w:p>
          <w:p w14:paraId="2EB775A8">
            <w:pPr>
              <w:pStyle w:val="44"/>
              <w:snapToGrid w:val="0"/>
              <w:jc w:val="both"/>
              <w:rPr>
                <w:rFonts w:hint="eastAsia" w:ascii="Times New Roman" w:cs="Times New Roman"/>
                <w:strike/>
                <w:color w:val="auto"/>
                <w:highlight w:val="none"/>
                <w:u w:val="single"/>
                <w:lang w:val="en-US"/>
              </w:rPr>
            </w:pPr>
            <w:r>
              <w:rPr>
                <w:rFonts w:hint="eastAsia" w:ascii="Times New Roman" w:cs="Times New Roman"/>
                <w:strike/>
                <w:color w:val="auto"/>
                <w:highlight w:val="none"/>
                <w:lang w:val="en-US"/>
              </w:rPr>
              <w:t>7.</w:t>
            </w:r>
            <w:r>
              <w:rPr>
                <w:rFonts w:cs="Times New Roman"/>
                <w:strike/>
                <w:color w:val="auto"/>
                <w:highlight w:val="none"/>
              </w:rPr>
              <w:t>□电子平台在</w:t>
            </w:r>
            <w:r>
              <w:rPr>
                <w:rFonts w:ascii="Times New Roman" w:cs="Times New Roman"/>
                <w:strike/>
                <w:color w:val="auto"/>
                <w:highlight w:val="none"/>
              </w:rPr>
              <w:t>线答复</w:t>
            </w:r>
            <w:r>
              <w:rPr>
                <w:rFonts w:hint="eastAsia" w:ascii="Times New Roman" w:cs="Times New Roman"/>
                <w:strike/>
                <w:color w:val="auto"/>
                <w:highlight w:val="none"/>
              </w:rPr>
              <w:t>：</w:t>
            </w:r>
            <w:r>
              <w:rPr>
                <w:rFonts w:hint="eastAsia" w:ascii="Times New Roman" w:cs="Times New Roman"/>
                <w:strike/>
                <w:color w:val="auto"/>
                <w:highlight w:val="none"/>
                <w:u w:val="single"/>
                <w:lang w:val="en-US"/>
              </w:rPr>
              <w:t xml:space="preserve">                  。</w:t>
            </w:r>
          </w:p>
          <w:p w14:paraId="4F297669">
            <w:pPr>
              <w:pStyle w:val="44"/>
              <w:snapToGrid w:val="0"/>
              <w:jc w:val="both"/>
              <w:rPr>
                <w:rFonts w:hint="eastAsia" w:ascii="Times New Roman" w:cs="Times New Roman"/>
                <w:strike/>
                <w:color w:val="auto"/>
                <w:highlight w:val="none"/>
                <w:u w:val="single"/>
                <w:lang w:val="en-US"/>
              </w:rPr>
            </w:pPr>
            <w:r>
              <w:rPr>
                <w:rFonts w:hint="eastAsia"/>
                <w:strike/>
                <w:color w:val="auto"/>
                <w:highlight w:val="none"/>
              </w:rPr>
              <w:t>注：参加陈述和答辩人员须携带身份证原件进行身份核对。</w:t>
            </w:r>
          </w:p>
        </w:tc>
      </w:tr>
      <w:tr w14:paraId="6DB11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88" w:type="dxa"/>
            <w:vAlign w:val="center"/>
          </w:tcPr>
          <w:p w14:paraId="030A7D71">
            <w:pPr>
              <w:pStyle w:val="44"/>
              <w:tabs>
                <w:tab w:val="left" w:pos="1100"/>
              </w:tabs>
              <w:adjustRightInd/>
              <w:ind w:left="10" w:right="125" w:rightChars="52" w:hanging="10"/>
              <w:jc w:val="center"/>
              <w:rPr>
                <w:rFonts w:hint="eastAsia"/>
                <w:color w:val="auto"/>
                <w:highlight w:val="none"/>
              </w:rPr>
            </w:pPr>
            <w:r>
              <w:rPr>
                <w:rFonts w:hint="eastAsia"/>
                <w:color w:val="auto"/>
                <w:highlight w:val="none"/>
              </w:rPr>
              <w:t>10.</w:t>
            </w:r>
            <w:r>
              <w:rPr>
                <w:rFonts w:hint="eastAsia"/>
                <w:color w:val="auto"/>
                <w:highlight w:val="none"/>
                <w:lang w:val="en-US"/>
              </w:rPr>
              <w:t>7</w:t>
            </w:r>
          </w:p>
        </w:tc>
        <w:tc>
          <w:tcPr>
            <w:tcW w:w="1701" w:type="dxa"/>
            <w:vAlign w:val="center"/>
          </w:tcPr>
          <w:p w14:paraId="447B1BB6">
            <w:pPr>
              <w:pStyle w:val="44"/>
              <w:adjustRightInd/>
              <w:ind w:right="178" w:rightChars="74" w:firstLine="31" w:firstLineChars="13"/>
              <w:jc w:val="center"/>
              <w:rPr>
                <w:rFonts w:hint="eastAsia"/>
                <w:color w:val="auto"/>
                <w:highlight w:val="none"/>
              </w:rPr>
            </w:pPr>
            <w:r>
              <w:rPr>
                <w:rFonts w:hint="eastAsia"/>
                <w:color w:val="auto"/>
                <w:highlight w:val="none"/>
              </w:rPr>
              <w:t>特殊说明</w:t>
            </w:r>
          </w:p>
        </w:tc>
        <w:tc>
          <w:tcPr>
            <w:tcW w:w="6168" w:type="dxa"/>
            <w:vAlign w:val="center"/>
          </w:tcPr>
          <w:p w14:paraId="41E2EFC8">
            <w:pPr>
              <w:pStyle w:val="44"/>
              <w:numPr>
                <w:ilvl w:val="0"/>
                <w:numId w:val="7"/>
              </w:numPr>
              <w:adjustRightInd/>
              <w:ind w:right="34" w:rightChars="14"/>
              <w:jc w:val="both"/>
              <w:rPr>
                <w:rFonts w:hint="eastAsia"/>
                <w:color w:val="auto"/>
                <w:highlight w:val="none"/>
              </w:rPr>
            </w:pPr>
            <w:r>
              <w:rPr>
                <w:rFonts w:hint="eastAsia"/>
                <w:color w:val="auto"/>
                <w:highlight w:val="none"/>
              </w:rPr>
              <w:t>投标人投标函与投标函附录不一致的，以投标人投标函为准。</w:t>
            </w:r>
          </w:p>
          <w:p w14:paraId="3A15B442">
            <w:pPr>
              <w:pStyle w:val="44"/>
              <w:numPr>
                <w:ilvl w:val="0"/>
                <w:numId w:val="7"/>
              </w:numPr>
              <w:adjustRightInd/>
              <w:ind w:right="34" w:rightChars="14"/>
              <w:jc w:val="both"/>
              <w:rPr>
                <w:rFonts w:hint="eastAsia"/>
                <w:color w:val="auto"/>
                <w:highlight w:val="none"/>
              </w:rPr>
            </w:pPr>
            <w:r>
              <w:rPr>
                <w:rFonts w:hint="eastAsia"/>
                <w:color w:val="auto"/>
                <w:highlight w:val="none"/>
              </w:rPr>
              <w:t>其他：</w:t>
            </w:r>
            <w:r>
              <w:rPr>
                <w:rFonts w:hint="eastAsia"/>
                <w:color w:val="auto"/>
                <w:highlight w:val="none"/>
                <w:u w:val="single"/>
              </w:rPr>
              <w:t xml:space="preserve">   </w:t>
            </w:r>
            <w:r>
              <w:rPr>
                <w:rFonts w:hint="eastAsia"/>
                <w:color w:val="auto"/>
                <w:highlight w:val="none"/>
                <w:u w:val="single"/>
                <w:lang w:val="en-US"/>
              </w:rPr>
              <w:t>/</w:t>
            </w:r>
            <w:r>
              <w:rPr>
                <w:rFonts w:hint="eastAsia"/>
                <w:color w:val="auto"/>
                <w:highlight w:val="none"/>
                <w:u w:val="single"/>
              </w:rPr>
              <w:t xml:space="preserve">   </w:t>
            </w:r>
            <w:r>
              <w:rPr>
                <w:rFonts w:hint="eastAsia"/>
                <w:color w:val="auto"/>
                <w:highlight w:val="none"/>
              </w:rPr>
              <w:t>。</w:t>
            </w:r>
          </w:p>
        </w:tc>
      </w:tr>
      <w:tr w14:paraId="3CD0D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459" w:hRule="atLeast"/>
          <w:jc w:val="center"/>
        </w:trPr>
        <w:tc>
          <w:tcPr>
            <w:tcW w:w="988" w:type="dxa"/>
            <w:vAlign w:val="center"/>
          </w:tcPr>
          <w:p w14:paraId="3CF2BD0D">
            <w:pPr>
              <w:pStyle w:val="44"/>
              <w:tabs>
                <w:tab w:val="left" w:pos="1100"/>
              </w:tabs>
              <w:adjustRightInd/>
              <w:ind w:left="10" w:right="125" w:rightChars="52" w:hanging="10"/>
              <w:jc w:val="center"/>
              <w:rPr>
                <w:rFonts w:hint="eastAsia"/>
                <w:color w:val="auto"/>
                <w:highlight w:val="none"/>
                <w:lang w:val="en-US"/>
              </w:rPr>
            </w:pPr>
            <w:bookmarkStart w:id="73" w:name="第二节_投标人须知"/>
            <w:bookmarkEnd w:id="73"/>
            <w:r>
              <w:rPr>
                <w:rFonts w:hint="eastAsia"/>
                <w:color w:val="auto"/>
                <w:highlight w:val="none"/>
                <w:lang w:val="en-US"/>
              </w:rPr>
              <w:t>10.6</w:t>
            </w:r>
          </w:p>
        </w:tc>
        <w:tc>
          <w:tcPr>
            <w:tcW w:w="1701" w:type="dxa"/>
            <w:vAlign w:val="center"/>
          </w:tcPr>
          <w:p w14:paraId="474B672D">
            <w:pPr>
              <w:pStyle w:val="44"/>
              <w:adjustRightInd/>
              <w:ind w:right="178" w:rightChars="74" w:firstLine="31" w:firstLineChars="13"/>
              <w:jc w:val="center"/>
              <w:rPr>
                <w:rFonts w:hint="eastAsia"/>
                <w:color w:val="auto"/>
                <w:highlight w:val="none"/>
                <w:lang w:val="en-US"/>
              </w:rPr>
            </w:pPr>
            <w:r>
              <w:rPr>
                <w:rFonts w:hint="eastAsia"/>
                <w:color w:val="auto"/>
                <w:highlight w:val="none"/>
                <w:lang w:val="en-US"/>
              </w:rPr>
              <w:t>其他</w:t>
            </w:r>
          </w:p>
        </w:tc>
        <w:tc>
          <w:tcPr>
            <w:tcW w:w="6168" w:type="dxa"/>
            <w:vAlign w:val="center"/>
          </w:tcPr>
          <w:p w14:paraId="32C1FFD1">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1.本前附表是投标人须知正文内容的补充和细化，应当与正文内容一致。如本前附表与正文内容表述不一，以本前附表为准。</w:t>
            </w:r>
          </w:p>
          <w:p w14:paraId="577FBFEE">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□2.暂估价：</w:t>
            </w:r>
          </w:p>
          <w:p w14:paraId="5AF2E07B">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（1）内容：</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329AB26A">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（2）金额：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73BB5D47">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（3）占招标控制价比例：</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5F665A6">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（4）招标计划及内容：</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08A69110">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3.价款结算方式：</w:t>
            </w:r>
          </w:p>
          <w:p w14:paraId="7917BABF">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□竣工后一次性结算</w:t>
            </w:r>
          </w:p>
          <w:p w14:paraId="1E642A79">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☑施工过程分段结算</w:t>
            </w:r>
          </w:p>
          <w:p w14:paraId="03BE2BD1">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4.农民工工资保证金：</w:t>
            </w:r>
          </w:p>
          <w:p w14:paraId="31A3ABD2">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（1）投标人应在投标前仔细核查本企业农民工工资保证金缴纳情况，应按当地有关农民工工资保证金管理制度执行。</w:t>
            </w:r>
          </w:p>
          <w:p w14:paraId="6F036849">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（2）农民工工资支付按照当地相关文件执行，具体在合同专用条款中明确。</w:t>
            </w:r>
          </w:p>
          <w:p w14:paraId="70C49FEB">
            <w:pPr>
              <w:tabs>
                <w:tab w:val="left" w:pos="9360"/>
              </w:tabs>
              <w:adjustRightInd/>
              <w:jc w:val="both"/>
              <w:rPr>
                <w:rFonts w:hint="eastAsia" w:ascii="宋体" w:hAnsi="宋体" w:cs="宋体"/>
                <w:color w:val="auto"/>
                <w:highlight w:val="none"/>
              </w:rPr>
            </w:pPr>
            <w:r>
              <w:rPr>
                <w:rFonts w:hint="eastAsia"/>
                <w:color w:val="auto"/>
                <w:highlight w:val="none"/>
              </w:rPr>
              <w:t>☑5.</w:t>
            </w:r>
            <w:r>
              <w:rPr>
                <w:rFonts w:hint="eastAsia" w:ascii="宋体" w:hAnsi="宋体" w:cs="宋体"/>
                <w:color w:val="auto"/>
                <w:highlight w:val="none"/>
              </w:rPr>
              <w:t>投标人存在撤销投标文件、无正当理由放弃中标、不与招标人签订书面合同等情形或者在本标段招投标过程中被行政监督部门查实存在违法行为的，招标人组织重新招标时将拒绝其单独或组建联合体方式再次参与本标段投标。</w:t>
            </w:r>
          </w:p>
          <w:p w14:paraId="4237EDB0">
            <w:pPr>
              <w:pStyle w:val="35"/>
              <w:adjustRightInd/>
              <w:ind w:firstLine="0" w:firstLineChars="0"/>
              <w:jc w:val="both"/>
              <w:rPr>
                <w:rFonts w:hint="eastAsia" w:ascii="宋体" w:hAnsi="宋体" w:cs="宋体"/>
                <w:color w:val="auto"/>
                <w:highlight w:val="none"/>
              </w:rPr>
            </w:pPr>
            <w:r>
              <w:rPr>
                <w:rFonts w:hint="eastAsia" w:ascii="宋体" w:hAnsi="宋体" w:cs="宋体"/>
                <w:color w:val="auto"/>
                <w:highlight w:val="none"/>
              </w:rPr>
              <w:t>6.</w:t>
            </w:r>
            <w:r>
              <w:rPr>
                <w:rFonts w:hint="eastAsia" w:ascii="Times New Roman" w:hAnsi="宋体"/>
                <w:color w:val="auto"/>
                <w:highlight w:val="none"/>
              </w:rPr>
              <w:t>招标人</w:t>
            </w:r>
            <w:r>
              <w:rPr>
                <w:rFonts w:ascii="Times New Roman" w:hAnsi="宋体"/>
                <w:color w:val="auto"/>
                <w:spacing w:val="-7"/>
                <w:highlight w:val="none"/>
              </w:rPr>
              <w:t>应当</w:t>
            </w:r>
            <w:r>
              <w:rPr>
                <w:rFonts w:hint="eastAsia" w:ascii="Times New Roman" w:hAnsi="宋体"/>
                <w:color w:val="auto"/>
                <w:spacing w:val="-7"/>
                <w:highlight w:val="none"/>
              </w:rPr>
              <w:t>按规定</w:t>
            </w:r>
            <w:r>
              <w:rPr>
                <w:rFonts w:ascii="Times New Roman" w:hAnsi="宋体"/>
                <w:color w:val="auto"/>
                <w:spacing w:val="-7"/>
                <w:highlight w:val="none"/>
              </w:rPr>
              <w:t>向</w:t>
            </w:r>
            <w:r>
              <w:rPr>
                <w:rFonts w:hint="eastAsia" w:ascii="Times New Roman" w:hAnsi="宋体"/>
                <w:color w:val="auto"/>
                <w:spacing w:val="-7"/>
                <w:highlight w:val="none"/>
              </w:rPr>
              <w:t>中标人</w:t>
            </w:r>
            <w:r>
              <w:rPr>
                <w:rFonts w:ascii="Times New Roman" w:hAnsi="宋体"/>
                <w:color w:val="auto"/>
                <w:spacing w:val="-7"/>
                <w:highlight w:val="none"/>
              </w:rPr>
              <w:t>提供工程款支付担保</w:t>
            </w:r>
            <w:r>
              <w:rPr>
                <w:rFonts w:hint="eastAsia" w:ascii="宋体" w:hAnsi="宋体" w:cs="宋体"/>
                <w:color w:val="auto"/>
                <w:highlight w:val="none"/>
              </w:rPr>
              <w:t>。</w:t>
            </w:r>
          </w:p>
          <w:p w14:paraId="76A64164">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 xml:space="preserve">7.创安全文明标准化工地等级要求：   </w:t>
            </w:r>
          </w:p>
          <w:p w14:paraId="63278BF7">
            <w:pPr>
              <w:tabs>
                <w:tab w:val="left" w:pos="9360"/>
              </w:tabs>
              <w:adjustRightInd/>
              <w:jc w:val="both"/>
              <w:rPr>
                <w:rFonts w:hint="eastAsia" w:ascii="宋体" w:hAnsi="宋体" w:cs="宋体"/>
                <w:color w:val="auto"/>
                <w:highlight w:val="none"/>
              </w:rPr>
            </w:pPr>
            <w:r>
              <w:rPr>
                <w:rFonts w:hint="eastAsia" w:ascii="宋体" w:hAnsi="宋体" w:cs="宋体"/>
                <w:color w:val="auto"/>
                <w:highlight w:val="none"/>
              </w:rPr>
              <w:t xml:space="preserve">8.工伤保险按相关规定要求执行。      </w:t>
            </w:r>
          </w:p>
          <w:p w14:paraId="7F317FA2">
            <w:pPr>
              <w:tabs>
                <w:tab w:val="left" w:pos="9360"/>
              </w:tabs>
              <w:rPr>
                <w:rFonts w:hint="eastAsia" w:ascii="宋体" w:hAnsi="宋体" w:cs="宋体"/>
                <w:color w:val="auto"/>
                <w:highlight w:val="none"/>
              </w:rPr>
            </w:pPr>
            <w:r>
              <w:rPr>
                <w:rFonts w:hint="eastAsia" w:ascii="宋体" w:hAnsi="宋体" w:cs="宋体"/>
                <w:color w:val="auto"/>
                <w:highlight w:val="none"/>
              </w:rPr>
              <w:t>9.本招标文件项目负责人一般情况下是指工程总承包项目经理。</w:t>
            </w:r>
          </w:p>
          <w:p w14:paraId="28FA6230">
            <w:pPr>
              <w:pStyle w:val="44"/>
              <w:tabs>
                <w:tab w:val="left" w:pos="3168"/>
                <w:tab w:val="left" w:pos="3468"/>
                <w:tab w:val="left" w:pos="5568"/>
              </w:tabs>
              <w:adjustRightInd/>
              <w:ind w:right="32"/>
              <w:jc w:val="both"/>
              <w:rPr>
                <w:rFonts w:hint="eastAsia" w:ascii="Times New Roman"/>
                <w:color w:val="auto"/>
                <w:highlight w:val="none"/>
                <w:lang w:val="en-US"/>
              </w:rPr>
            </w:pPr>
            <w:r>
              <w:rPr>
                <w:rFonts w:hint="eastAsia" w:ascii="Times New Roman"/>
                <w:color w:val="auto"/>
                <w:highlight w:val="none"/>
                <w:lang w:val="en-US"/>
              </w:rPr>
              <w:t>10.本招标文件如未做特别说明，联合体投标时投标人指联合体各方。</w:t>
            </w:r>
          </w:p>
          <w:p w14:paraId="28959A7D">
            <w:pPr>
              <w:pStyle w:val="44"/>
              <w:tabs>
                <w:tab w:val="left" w:pos="3168"/>
                <w:tab w:val="left" w:pos="3468"/>
                <w:tab w:val="left" w:pos="5568"/>
              </w:tabs>
              <w:adjustRightInd/>
              <w:ind w:right="32"/>
              <w:jc w:val="both"/>
              <w:rPr>
                <w:rFonts w:hint="eastAsia" w:ascii="Times New Roman"/>
                <w:color w:val="auto"/>
                <w:highlight w:val="none"/>
                <w:lang w:val="en-US"/>
              </w:rPr>
            </w:pPr>
            <w:r>
              <w:rPr>
                <w:rFonts w:ascii="Times New Roman"/>
                <w:color w:val="auto"/>
                <w:highlight w:val="none"/>
                <w:lang w:val="en-US"/>
              </w:rPr>
              <w:t>1</w:t>
            </w:r>
            <w:r>
              <w:rPr>
                <w:rFonts w:hint="eastAsia" w:ascii="Times New Roman"/>
                <w:color w:val="auto"/>
                <w:highlight w:val="none"/>
                <w:lang w:val="en-US"/>
              </w:rPr>
              <w:t>1</w:t>
            </w:r>
            <w:r>
              <w:rPr>
                <w:rFonts w:ascii="Times New Roman"/>
                <w:color w:val="auto"/>
                <w:highlight w:val="none"/>
                <w:lang w:val="en-US"/>
              </w:rPr>
              <w:t>.本招标文件信用评价执行《浙江省建筑施工企业信用评价的实施意见》 《浙江省注册建造师信用评价的实施意见》。</w:t>
            </w:r>
          </w:p>
          <w:p w14:paraId="0E547917">
            <w:pPr>
              <w:pStyle w:val="44"/>
              <w:tabs>
                <w:tab w:val="left" w:pos="3168"/>
                <w:tab w:val="left" w:pos="3468"/>
                <w:tab w:val="left" w:pos="5568"/>
              </w:tabs>
              <w:adjustRightInd/>
              <w:ind w:right="32"/>
              <w:jc w:val="both"/>
              <w:rPr>
                <w:rFonts w:hint="eastAsia" w:ascii="Times New Roman"/>
                <w:color w:val="auto"/>
                <w:highlight w:val="none"/>
                <w:lang w:val="en-US"/>
              </w:rPr>
            </w:pPr>
            <w:r>
              <w:rPr>
                <w:rFonts w:hint="eastAsia" w:ascii="Times New Roman"/>
                <w:color w:val="auto"/>
                <w:highlight w:val="none"/>
                <w:lang w:val="en-US"/>
              </w:rPr>
              <w:t>12.投标人应在投标前自行做好“浙江省建筑市场监管公共服务系统”相关信息的维护工作，并对企业资质、人员资格、项目状况、信用评价等信息的真实性、准确性、完整性负责。</w:t>
            </w:r>
          </w:p>
          <w:p w14:paraId="59B62C5D">
            <w:pPr>
              <w:pStyle w:val="44"/>
              <w:tabs>
                <w:tab w:val="left" w:pos="3168"/>
                <w:tab w:val="left" w:pos="3468"/>
                <w:tab w:val="left" w:pos="5568"/>
              </w:tabs>
              <w:adjustRightInd/>
              <w:ind w:right="32"/>
              <w:jc w:val="both"/>
              <w:rPr>
                <w:rFonts w:hint="eastAsia"/>
                <w:color w:val="auto"/>
                <w:highlight w:val="none"/>
                <w:lang w:val="en-US"/>
              </w:rPr>
            </w:pPr>
            <w:r>
              <w:rPr>
                <w:rFonts w:hint="eastAsia"/>
                <w:color w:val="auto"/>
                <w:highlight w:val="none"/>
                <w:lang w:val="en-US"/>
              </w:rPr>
              <w:t>13.</w:t>
            </w:r>
            <w:r>
              <w:rPr>
                <w:rFonts w:hint="eastAsia"/>
                <w:color w:val="auto"/>
                <w:highlight w:val="none"/>
              </w:rPr>
              <w:t>其他：</w:t>
            </w:r>
            <w:r>
              <w:rPr>
                <w:rFonts w:hint="eastAsia"/>
                <w:color w:val="auto"/>
                <w:highlight w:val="none"/>
                <w:u w:val="single"/>
              </w:rPr>
              <w:t xml:space="preserve">    </w:t>
            </w:r>
            <w:r>
              <w:rPr>
                <w:rFonts w:hint="eastAsia"/>
                <w:color w:val="auto"/>
                <w:highlight w:val="none"/>
                <w:u w:val="single"/>
                <w:lang w:val="en-US"/>
              </w:rPr>
              <w:t>/</w:t>
            </w:r>
            <w:r>
              <w:rPr>
                <w:rFonts w:hint="eastAsia"/>
                <w:color w:val="auto"/>
                <w:highlight w:val="none"/>
                <w:u w:val="single"/>
              </w:rPr>
              <w:t xml:space="preserve">   </w:t>
            </w:r>
            <w:r>
              <w:rPr>
                <w:rFonts w:hint="eastAsia"/>
                <w:color w:val="auto"/>
                <w:highlight w:val="none"/>
              </w:rPr>
              <w:t>。</w:t>
            </w:r>
          </w:p>
        </w:tc>
      </w:tr>
    </w:tbl>
    <w:p w14:paraId="31E6A987">
      <w:pPr>
        <w:pStyle w:val="17"/>
        <w:rPr>
          <w:rFonts w:hint="eastAsia" w:cs="宋体"/>
          <w:b/>
          <w:color w:val="auto"/>
          <w:sz w:val="28"/>
          <w:highlight w:val="none"/>
        </w:rPr>
      </w:pPr>
      <w:bookmarkStart w:id="74" w:name="_bookmark3"/>
      <w:bookmarkEnd w:id="74"/>
      <w:r>
        <w:rPr>
          <w:color w:val="auto"/>
          <w:highlight w:val="none"/>
        </w:rPr>
        <w:br w:type="page"/>
      </w:r>
      <w:r>
        <w:rPr>
          <w:rFonts w:hint="eastAsia" w:cs="宋体"/>
          <w:b/>
          <w:color w:val="auto"/>
          <w:sz w:val="28"/>
          <w:highlight w:val="none"/>
        </w:rPr>
        <w:t>投标人须知</w:t>
      </w:r>
    </w:p>
    <w:p w14:paraId="79027934">
      <w:pPr>
        <w:pStyle w:val="5"/>
        <w:keepNext w:val="0"/>
        <w:keepLines w:val="0"/>
        <w:numPr>
          <w:ilvl w:val="0"/>
          <w:numId w:val="8"/>
        </w:numPr>
        <w:tabs>
          <w:tab w:val="left" w:pos="1100"/>
          <w:tab w:val="left" w:pos="1629"/>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75" w:name="_bookmark4"/>
      <w:bookmarkEnd w:id="75"/>
      <w:r>
        <w:rPr>
          <w:rFonts w:hint="eastAsia" w:ascii="宋体" w:hAnsi="宋体" w:eastAsia="宋体" w:cs="宋体"/>
          <w:color w:val="auto"/>
          <w:sz w:val="24"/>
          <w:szCs w:val="24"/>
          <w:highlight w:val="none"/>
        </w:rPr>
        <w:t>总则</w:t>
      </w:r>
    </w:p>
    <w:p w14:paraId="6EF0C5EF">
      <w:pPr>
        <w:pStyle w:val="35"/>
        <w:numPr>
          <w:ilvl w:val="1"/>
          <w:numId w:val="8"/>
        </w:numPr>
        <w:tabs>
          <w:tab w:val="left" w:pos="1100"/>
          <w:tab w:val="left" w:pos="1760"/>
        </w:tabs>
        <w:adjustRightInd/>
        <w:ind w:left="19" w:leftChars="8" w:right="-53" w:rightChars="-22" w:firstLine="361" w:firstLineChars="150"/>
        <w:rPr>
          <w:rFonts w:hint="eastAsia" w:ascii="宋体" w:hAnsi="宋体" w:cs="宋体"/>
          <w:b/>
          <w:color w:val="auto"/>
          <w:highlight w:val="none"/>
        </w:rPr>
      </w:pPr>
      <w:r>
        <w:rPr>
          <w:rFonts w:hint="eastAsia" w:ascii="宋体" w:hAnsi="宋体" w:cs="宋体"/>
          <w:b/>
          <w:color w:val="auto"/>
          <w:highlight w:val="none"/>
        </w:rPr>
        <w:t>项目概况</w:t>
      </w:r>
    </w:p>
    <w:p w14:paraId="25E66061">
      <w:pPr>
        <w:pStyle w:val="35"/>
        <w:numPr>
          <w:ilvl w:val="2"/>
          <w:numId w:val="8"/>
        </w:numPr>
        <w:tabs>
          <w:tab w:val="left" w:pos="1100"/>
          <w:tab w:val="left" w:pos="1929"/>
        </w:tabs>
        <w:adjustRightInd/>
        <w:ind w:left="19" w:leftChars="8" w:right="-53" w:rightChars="-22" w:firstLine="330" w:firstLineChars="150"/>
        <w:rPr>
          <w:rFonts w:hint="eastAsia" w:ascii="宋体" w:hAnsi="宋体" w:cs="宋体"/>
          <w:color w:val="auto"/>
          <w:highlight w:val="none"/>
        </w:rPr>
      </w:pPr>
      <w:r>
        <w:rPr>
          <w:rFonts w:hint="eastAsia" w:ascii="宋体" w:hAnsi="宋体" w:cs="宋体"/>
          <w:color w:val="auto"/>
          <w:spacing w:val="-10"/>
          <w:highlight w:val="none"/>
        </w:rPr>
        <w:t>根据《中华人民共和国招标投标法》等有关法律、法规和规章的规定，本</w:t>
      </w:r>
      <w:r>
        <w:rPr>
          <w:rFonts w:hint="eastAsia" w:ascii="宋体" w:hAnsi="宋体" w:cs="宋体"/>
          <w:color w:val="auto"/>
          <w:highlight w:val="none"/>
        </w:rPr>
        <w:t>招标项目已具备招标条件，现对该项目设计、采购、施工进行工程总承包招标。</w:t>
      </w:r>
    </w:p>
    <w:p w14:paraId="120C3B23">
      <w:pPr>
        <w:pStyle w:val="35"/>
        <w:numPr>
          <w:ilvl w:val="2"/>
          <w:numId w:val="8"/>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本招标项目招标人：见投标人须知前附表。</w:t>
      </w:r>
    </w:p>
    <w:p w14:paraId="7A4575A5">
      <w:pPr>
        <w:pStyle w:val="35"/>
        <w:numPr>
          <w:ilvl w:val="2"/>
          <w:numId w:val="8"/>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本标段招标代理机构：见投标人须知前附表。</w:t>
      </w:r>
    </w:p>
    <w:p w14:paraId="55BF232A">
      <w:pPr>
        <w:pStyle w:val="35"/>
        <w:numPr>
          <w:ilvl w:val="2"/>
          <w:numId w:val="8"/>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本招标项目名称：见投标人须知前附表。</w:t>
      </w:r>
    </w:p>
    <w:p w14:paraId="20B4F593">
      <w:pPr>
        <w:pStyle w:val="35"/>
        <w:numPr>
          <w:ilvl w:val="2"/>
          <w:numId w:val="8"/>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本标段建设地点：见投标人须知前附表。</w:t>
      </w:r>
    </w:p>
    <w:p w14:paraId="593DD0C8">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资金来源和落实情况</w:t>
      </w:r>
    </w:p>
    <w:p w14:paraId="337F7454">
      <w:pPr>
        <w:pStyle w:val="35"/>
        <w:numPr>
          <w:ilvl w:val="2"/>
          <w:numId w:val="8"/>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本招标项目的资金来源及比例：见投标人须知前附表。</w:t>
      </w:r>
    </w:p>
    <w:p w14:paraId="3B9E9508">
      <w:pPr>
        <w:pStyle w:val="35"/>
        <w:numPr>
          <w:ilvl w:val="2"/>
          <w:numId w:val="8"/>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本招标项目的资金落实情况：见投标人须知前附表。</w:t>
      </w:r>
    </w:p>
    <w:p w14:paraId="4DC81791">
      <w:pPr>
        <w:pStyle w:val="5"/>
        <w:keepNext w:val="0"/>
        <w:keepLines w:val="0"/>
        <w:numPr>
          <w:ilvl w:val="1"/>
          <w:numId w:val="8"/>
        </w:numPr>
        <w:tabs>
          <w:tab w:val="left" w:pos="1100"/>
          <w:tab w:val="left" w:pos="1760"/>
        </w:tabs>
        <w:adjustRightInd/>
        <w:spacing w:before="0" w:after="0" w:line="240" w:lineRule="auto"/>
        <w:ind w:left="19" w:leftChars="8" w:right="-53" w:rightChars="-22" w:firstLine="358" w:firstLineChars="15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招标范围、计划工期和质量标准</w:t>
      </w:r>
    </w:p>
    <w:p w14:paraId="103CF058">
      <w:pPr>
        <w:pStyle w:val="35"/>
        <w:numPr>
          <w:ilvl w:val="2"/>
          <w:numId w:val="8"/>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本次招标范围：见投标人须知前附表。</w:t>
      </w:r>
    </w:p>
    <w:p w14:paraId="0CDD0B35">
      <w:pPr>
        <w:pStyle w:val="35"/>
        <w:numPr>
          <w:ilvl w:val="2"/>
          <w:numId w:val="8"/>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本标段的计划工期：见投标人须知前附表。</w:t>
      </w:r>
    </w:p>
    <w:p w14:paraId="17039C51">
      <w:pPr>
        <w:pStyle w:val="35"/>
        <w:numPr>
          <w:ilvl w:val="2"/>
          <w:numId w:val="8"/>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质量标准：见投标人须知前附表。</w:t>
      </w:r>
    </w:p>
    <w:p w14:paraId="00907B6A">
      <w:pPr>
        <w:pStyle w:val="5"/>
        <w:keepNext w:val="0"/>
        <w:keepLines w:val="0"/>
        <w:numPr>
          <w:ilvl w:val="1"/>
          <w:numId w:val="9"/>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76" w:name="1.4_投标人资格要求（适用于未进行资格预审的）"/>
      <w:bookmarkEnd w:id="76"/>
      <w:bookmarkStart w:id="77" w:name="1.4_投标人资格要求（适用于已进行资格预审的）"/>
      <w:bookmarkEnd w:id="77"/>
      <w:r>
        <w:rPr>
          <w:rFonts w:hint="eastAsia" w:ascii="宋体" w:hAnsi="宋体" w:eastAsia="宋体" w:cs="宋体"/>
          <w:color w:val="auto"/>
          <w:sz w:val="24"/>
          <w:szCs w:val="24"/>
          <w:highlight w:val="none"/>
        </w:rPr>
        <w:t>投标人资格要求</w:t>
      </w:r>
    </w:p>
    <w:p w14:paraId="41DB3686">
      <w:pPr>
        <w:pStyle w:val="35"/>
        <w:numPr>
          <w:ilvl w:val="2"/>
          <w:numId w:val="9"/>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投标人应具备承担本招标项目资质条件、能力和信誉。</w:t>
      </w:r>
    </w:p>
    <w:p w14:paraId="11C7822F">
      <w:pPr>
        <w:pStyle w:val="35"/>
        <w:numPr>
          <w:ilvl w:val="0"/>
          <w:numId w:val="10"/>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资质要求：见投标人须知前附表；</w:t>
      </w:r>
    </w:p>
    <w:p w14:paraId="2DD9F94D">
      <w:pPr>
        <w:pStyle w:val="35"/>
        <w:numPr>
          <w:ilvl w:val="0"/>
          <w:numId w:val="10"/>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业绩要求：见投标人须知前附表；</w:t>
      </w:r>
    </w:p>
    <w:p w14:paraId="1E3DC99B">
      <w:pPr>
        <w:pStyle w:val="35"/>
        <w:numPr>
          <w:ilvl w:val="0"/>
          <w:numId w:val="10"/>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项目负责人的资格要求：具体要求见投标人须知前附表；</w:t>
      </w:r>
    </w:p>
    <w:p w14:paraId="436BEF7D">
      <w:pPr>
        <w:pStyle w:val="35"/>
        <w:numPr>
          <w:ilvl w:val="0"/>
          <w:numId w:val="10"/>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施工负责人的资格要求：具体要求见投标人须知前附表；</w:t>
      </w:r>
    </w:p>
    <w:p w14:paraId="1ECF6062">
      <w:pPr>
        <w:pStyle w:val="35"/>
        <w:numPr>
          <w:ilvl w:val="0"/>
          <w:numId w:val="10"/>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设计负责人的资格要求：具体要求见投标人须知前附表；</w:t>
      </w:r>
    </w:p>
    <w:p w14:paraId="14B15E81">
      <w:pPr>
        <w:pStyle w:val="35"/>
        <w:numPr>
          <w:ilvl w:val="2"/>
          <w:numId w:val="9"/>
        </w:numPr>
        <w:tabs>
          <w:tab w:val="left" w:pos="1100"/>
          <w:tab w:val="left" w:pos="1992"/>
        </w:tabs>
        <w:adjustRightInd/>
        <w:ind w:left="19" w:leftChars="8" w:right="-53" w:rightChars="-22" w:firstLine="354" w:firstLineChars="150"/>
        <w:rPr>
          <w:rFonts w:hint="eastAsia" w:ascii="宋体" w:hAnsi="宋体" w:cs="宋体"/>
          <w:color w:val="auto"/>
          <w:highlight w:val="none"/>
        </w:rPr>
      </w:pPr>
      <w:r>
        <w:rPr>
          <w:rFonts w:hint="eastAsia" w:ascii="宋体" w:hAnsi="宋体" w:cs="宋体"/>
          <w:color w:val="auto"/>
          <w:spacing w:val="-2"/>
          <w:highlight w:val="none"/>
        </w:rPr>
        <w:t>投标人须知前附表规定接受联合体投标的，除应符合本章第</w:t>
      </w:r>
      <w:r>
        <w:rPr>
          <w:rFonts w:hint="eastAsia" w:ascii="宋体" w:hAnsi="宋体" w:cs="宋体"/>
          <w:color w:val="auto"/>
          <w:highlight w:val="none"/>
        </w:rPr>
        <w:t>1.4.1</w:t>
      </w:r>
      <w:r>
        <w:rPr>
          <w:rFonts w:hint="eastAsia" w:ascii="宋体" w:hAnsi="宋体" w:cs="宋体"/>
          <w:color w:val="auto"/>
          <w:spacing w:val="-14"/>
          <w:highlight w:val="none"/>
        </w:rPr>
        <w:t>和投标人须知前附表的要求外，还应遵守以下规定：</w:t>
      </w:r>
    </w:p>
    <w:p w14:paraId="7383389A">
      <w:pPr>
        <w:pStyle w:val="35"/>
        <w:numPr>
          <w:ilvl w:val="0"/>
          <w:numId w:val="11"/>
        </w:numPr>
        <w:tabs>
          <w:tab w:val="left" w:pos="1100"/>
          <w:tab w:val="left" w:pos="1888"/>
        </w:tabs>
        <w:adjustRightInd/>
        <w:ind w:left="19" w:leftChars="8" w:right="-53" w:rightChars="-22" w:firstLine="369" w:firstLineChars="150"/>
        <w:rPr>
          <w:rFonts w:hint="eastAsia" w:ascii="宋体" w:hAnsi="宋体" w:cs="宋体"/>
          <w:color w:val="auto"/>
          <w:spacing w:val="3"/>
          <w:highlight w:val="none"/>
        </w:rPr>
      </w:pPr>
      <w:r>
        <w:rPr>
          <w:rFonts w:hint="eastAsia" w:ascii="宋体" w:hAnsi="宋体" w:cs="宋体"/>
          <w:color w:val="auto"/>
          <w:spacing w:val="3"/>
          <w:highlight w:val="none"/>
        </w:rPr>
        <w:t>联合体各方应按招标文件提供的格式签订联合体协议书，明确联合体牵头人和各方的权利义务，并承诺就中标项目向招标人承担连带责任；</w:t>
      </w:r>
    </w:p>
    <w:p w14:paraId="0C1F5F90">
      <w:pPr>
        <w:pStyle w:val="35"/>
        <w:numPr>
          <w:ilvl w:val="0"/>
          <w:numId w:val="11"/>
        </w:numPr>
        <w:tabs>
          <w:tab w:val="left" w:pos="1100"/>
          <w:tab w:val="left" w:pos="1888"/>
        </w:tabs>
        <w:adjustRightInd/>
        <w:ind w:left="19" w:leftChars="8" w:right="-53" w:rightChars="-22" w:firstLine="369" w:firstLineChars="150"/>
        <w:rPr>
          <w:rFonts w:hint="eastAsia" w:ascii="宋体" w:hAnsi="宋体" w:cs="宋体"/>
          <w:color w:val="auto"/>
          <w:highlight w:val="none"/>
        </w:rPr>
      </w:pPr>
      <w:r>
        <w:rPr>
          <w:rFonts w:hint="eastAsia" w:ascii="宋体" w:hAnsi="宋体" w:cs="宋体"/>
          <w:color w:val="auto"/>
          <w:spacing w:val="3"/>
          <w:highlight w:val="none"/>
        </w:rPr>
        <w:t>联合体各方不得再以自己名义单独或参加其他联合体在本招标项目中投标。</w:t>
      </w:r>
    </w:p>
    <w:p w14:paraId="2AA1D548">
      <w:pPr>
        <w:pStyle w:val="35"/>
        <w:numPr>
          <w:ilvl w:val="0"/>
          <w:numId w:val="11"/>
        </w:numPr>
        <w:tabs>
          <w:tab w:val="left" w:pos="1100"/>
          <w:tab w:val="left" w:pos="1888"/>
        </w:tabs>
        <w:adjustRightInd/>
        <w:ind w:left="19" w:leftChars="8" w:right="-53" w:rightChars="-22" w:firstLine="360" w:firstLineChars="150"/>
        <w:rPr>
          <w:rFonts w:hint="eastAsia" w:ascii="宋体" w:hAnsi="宋体" w:cs="宋体"/>
          <w:color w:val="auto"/>
          <w:highlight w:val="none"/>
        </w:rPr>
      </w:pPr>
      <w:r>
        <w:rPr>
          <w:rFonts w:ascii="宋体" w:hAnsi="宋体" w:cs="宋体"/>
          <w:color w:val="auto"/>
          <w:highlight w:val="none"/>
        </w:rPr>
        <w:t>联合体投标</w:t>
      </w:r>
      <w:r>
        <w:rPr>
          <w:rFonts w:hint="eastAsia" w:ascii="宋体" w:hAnsi="宋体" w:cs="宋体"/>
          <w:color w:val="auto"/>
          <w:highlight w:val="none"/>
        </w:rPr>
        <w:t>其他要求见投标人须知</w:t>
      </w:r>
      <w:r>
        <w:rPr>
          <w:rFonts w:ascii="宋体" w:hAnsi="宋体" w:cs="宋体"/>
          <w:color w:val="auto"/>
          <w:highlight w:val="none"/>
        </w:rPr>
        <w:t>前附表</w:t>
      </w:r>
      <w:r>
        <w:rPr>
          <w:rFonts w:hint="eastAsia" w:ascii="宋体" w:hAnsi="宋体" w:cs="宋体"/>
          <w:color w:val="auto"/>
          <w:highlight w:val="none"/>
        </w:rPr>
        <w:t>。</w:t>
      </w:r>
    </w:p>
    <w:p w14:paraId="1D7FE6F4">
      <w:pPr>
        <w:pStyle w:val="35"/>
        <w:numPr>
          <w:ilvl w:val="2"/>
          <w:numId w:val="9"/>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投标人（投标人是联合体的，指联合体各方）不得存在下列情形之一：</w:t>
      </w:r>
    </w:p>
    <w:p w14:paraId="4ECBD02B">
      <w:pPr>
        <w:pStyle w:val="35"/>
        <w:numPr>
          <w:ilvl w:val="0"/>
          <w:numId w:val="12"/>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为招标人不具有独立法人资格的附属机构（单位）；</w:t>
      </w:r>
    </w:p>
    <w:p w14:paraId="7BFDDDEE">
      <w:pPr>
        <w:pStyle w:val="35"/>
        <w:numPr>
          <w:ilvl w:val="0"/>
          <w:numId w:val="12"/>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Ansi="Times New Roman"/>
          <w:color w:val="auto"/>
          <w:highlight w:val="none"/>
        </w:rPr>
        <w:t>为</w:t>
      </w:r>
      <w:r>
        <w:rPr>
          <w:rFonts w:hAnsi="Times New Roman"/>
          <w:color w:val="auto"/>
          <w:spacing w:val="-5"/>
          <w:highlight w:val="none"/>
        </w:rPr>
        <w:t>与招标人存在利害关系可能影响招标公正性的法人、其他组织或者个人</w:t>
      </w:r>
      <w:r>
        <w:rPr>
          <w:rFonts w:hint="eastAsia" w:hAnsi="Times New Roman"/>
          <w:color w:val="auto"/>
          <w:spacing w:val="-5"/>
          <w:highlight w:val="none"/>
        </w:rPr>
        <w:t>；</w:t>
      </w:r>
    </w:p>
    <w:p w14:paraId="5537EB45">
      <w:pPr>
        <w:pStyle w:val="35"/>
        <w:numPr>
          <w:ilvl w:val="0"/>
          <w:numId w:val="12"/>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Ansi="Times New Roman"/>
          <w:color w:val="auto"/>
          <w:highlight w:val="none"/>
        </w:rPr>
        <w:t>不同投标人的单位负责人为同一人或者互相存在控股、管理关系的</w:t>
      </w:r>
      <w:r>
        <w:rPr>
          <w:rFonts w:hint="eastAsia" w:hAnsi="Times New Roman"/>
          <w:color w:val="auto"/>
          <w:highlight w:val="none"/>
        </w:rPr>
        <w:t>；</w:t>
      </w:r>
    </w:p>
    <w:p w14:paraId="5D49A0FD">
      <w:pPr>
        <w:pStyle w:val="35"/>
        <w:numPr>
          <w:ilvl w:val="0"/>
          <w:numId w:val="12"/>
        </w:numPr>
        <w:tabs>
          <w:tab w:val="left" w:pos="1100"/>
          <w:tab w:val="left" w:pos="1870"/>
        </w:tabs>
        <w:adjustRightInd/>
        <w:ind w:left="19" w:leftChars="8" w:right="-53" w:rightChars="-22" w:firstLine="351" w:firstLineChars="150"/>
        <w:rPr>
          <w:rFonts w:hint="eastAsia" w:ascii="宋体" w:hAnsi="宋体" w:cs="宋体"/>
          <w:color w:val="auto"/>
          <w:highlight w:val="none"/>
        </w:rPr>
      </w:pPr>
      <w:r>
        <w:rPr>
          <w:rFonts w:hint="eastAsia" w:ascii="宋体" w:hAnsi="宋体" w:cs="宋体"/>
          <w:color w:val="auto"/>
          <w:spacing w:val="-3"/>
          <w:highlight w:val="none"/>
        </w:rPr>
        <w:t>为</w:t>
      </w:r>
      <w:r>
        <w:rPr>
          <w:rFonts w:hint="eastAsia" w:ascii="宋体" w:hAnsi="宋体" w:cs="宋体"/>
          <w:color w:val="auto"/>
          <w:highlight w:val="none"/>
        </w:rPr>
        <w:t>本标段</w:t>
      </w:r>
      <w:r>
        <w:rPr>
          <w:rFonts w:hint="eastAsia" w:ascii="宋体" w:hAnsi="宋体" w:cs="宋体"/>
          <w:color w:val="auto"/>
          <w:spacing w:val="-3"/>
          <w:highlight w:val="none"/>
        </w:rPr>
        <w:t>前期工作提供咨询服务的，但</w:t>
      </w:r>
      <w:r>
        <w:rPr>
          <w:rFonts w:hint="eastAsia" w:ascii="宋体" w:hAnsi="宋体" w:cs="宋体"/>
          <w:strike/>
          <w:color w:val="auto"/>
          <w:spacing w:val="-3"/>
          <w:highlight w:val="none"/>
        </w:rPr>
        <w:t>政府投资项目</w:t>
      </w:r>
      <w:r>
        <w:rPr>
          <w:rFonts w:hint="eastAsia" w:ascii="宋体" w:hAnsi="宋体" w:cs="宋体"/>
          <w:color w:val="auto"/>
          <w:spacing w:val="-3"/>
          <w:highlight w:val="none"/>
        </w:rPr>
        <w:t>已公开项目建议书、可行性研究</w:t>
      </w:r>
      <w:r>
        <w:rPr>
          <w:rFonts w:hint="eastAsia" w:ascii="宋体" w:hAnsi="宋体" w:cs="宋体"/>
          <w:color w:val="auto"/>
          <w:highlight w:val="none"/>
        </w:rPr>
        <w:t>报告及初步设计文件的可研、勘察设计</w:t>
      </w:r>
      <w:r>
        <w:rPr>
          <w:rFonts w:hint="eastAsia"/>
          <w:color w:val="auto"/>
          <w:highlight w:val="none"/>
        </w:rPr>
        <w:t>编制单位</w:t>
      </w:r>
      <w:r>
        <w:rPr>
          <w:rFonts w:hint="eastAsia"/>
          <w:strike/>
          <w:color w:val="auto"/>
          <w:highlight w:val="none"/>
        </w:rPr>
        <w:t>及其评估单位</w:t>
      </w:r>
      <w:r>
        <w:rPr>
          <w:rFonts w:hint="eastAsia" w:ascii="宋体" w:hAnsi="宋体" w:cs="宋体"/>
          <w:color w:val="auto"/>
          <w:highlight w:val="none"/>
        </w:rPr>
        <w:t>除外；</w:t>
      </w:r>
    </w:p>
    <w:p w14:paraId="6CB1EB77">
      <w:pPr>
        <w:pStyle w:val="35"/>
        <w:numPr>
          <w:ilvl w:val="0"/>
          <w:numId w:val="12"/>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为本标段的监理人；</w:t>
      </w:r>
    </w:p>
    <w:p w14:paraId="00A3211B">
      <w:pPr>
        <w:pStyle w:val="35"/>
        <w:numPr>
          <w:ilvl w:val="0"/>
          <w:numId w:val="12"/>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为本标段的代建人；</w:t>
      </w:r>
    </w:p>
    <w:p w14:paraId="0D39B971">
      <w:pPr>
        <w:pStyle w:val="35"/>
        <w:numPr>
          <w:ilvl w:val="0"/>
          <w:numId w:val="12"/>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为本标段提供招标代理服务的；</w:t>
      </w:r>
    </w:p>
    <w:p w14:paraId="7A8BD31B">
      <w:pPr>
        <w:pStyle w:val="35"/>
        <w:numPr>
          <w:ilvl w:val="0"/>
          <w:numId w:val="12"/>
        </w:numPr>
        <w:tabs>
          <w:tab w:val="left" w:pos="1100"/>
          <w:tab w:val="left" w:pos="199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与本标段的监理人或代建人或招标代理机构同为一个法定代表人的；</w:t>
      </w:r>
    </w:p>
    <w:p w14:paraId="612E9AD8">
      <w:pPr>
        <w:pStyle w:val="35"/>
        <w:numPr>
          <w:ilvl w:val="0"/>
          <w:numId w:val="12"/>
        </w:numPr>
        <w:tabs>
          <w:tab w:val="left" w:pos="1100"/>
          <w:tab w:val="left" w:pos="199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与本标段的监理人或代建人或招标代理机构相互控股或参股的；</w:t>
      </w:r>
    </w:p>
    <w:p w14:paraId="53F74595">
      <w:pPr>
        <w:pStyle w:val="35"/>
        <w:numPr>
          <w:ilvl w:val="0"/>
          <w:numId w:val="12"/>
        </w:numPr>
        <w:tabs>
          <w:tab w:val="left" w:pos="1100"/>
          <w:tab w:val="left" w:pos="199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与本标段的监理人或代建人或招标代理机构相互任职或工作的；</w:t>
      </w:r>
    </w:p>
    <w:p w14:paraId="50353B4C">
      <w:pPr>
        <w:pStyle w:val="35"/>
        <w:numPr>
          <w:ilvl w:val="0"/>
          <w:numId w:val="12"/>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被责令停产停业、暂扣或者吊销许可证、暂扣或者吊销执照的；</w:t>
      </w:r>
    </w:p>
    <w:p w14:paraId="2530A81B">
      <w:pPr>
        <w:pStyle w:val="35"/>
        <w:numPr>
          <w:ilvl w:val="0"/>
          <w:numId w:val="12"/>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进入清算程序，或被宣告破产的；</w:t>
      </w:r>
    </w:p>
    <w:p w14:paraId="56ADD0F3">
      <w:pPr>
        <w:pStyle w:val="35"/>
        <w:numPr>
          <w:ilvl w:val="0"/>
          <w:numId w:val="12"/>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被依法暂停或取消投标资格的；</w:t>
      </w:r>
    </w:p>
    <w:p w14:paraId="6535DC82">
      <w:pPr>
        <w:pStyle w:val="35"/>
        <w:numPr>
          <w:ilvl w:val="0"/>
          <w:numId w:val="12"/>
        </w:numPr>
        <w:tabs>
          <w:tab w:val="left" w:pos="1100"/>
          <w:tab w:val="left" w:pos="1990"/>
        </w:tabs>
        <w:adjustRightInd/>
        <w:ind w:left="19" w:leftChars="8" w:right="-53" w:rightChars="-22" w:firstLine="360" w:firstLineChars="150"/>
        <w:rPr>
          <w:rFonts w:hint="eastAsia" w:ascii="宋体" w:hAnsi="宋体" w:cs="宋体"/>
          <w:color w:val="auto"/>
          <w:highlight w:val="none"/>
        </w:rPr>
      </w:pPr>
      <w:r>
        <w:rPr>
          <w:color w:val="auto"/>
          <w:highlight w:val="none"/>
        </w:rPr>
        <w:t>法律法规或投标人须知前附表规定的其他情形</w:t>
      </w:r>
      <w:r>
        <w:rPr>
          <w:rFonts w:hint="eastAsia"/>
          <w:color w:val="auto"/>
          <w:highlight w:val="none"/>
        </w:rPr>
        <w:t>。</w:t>
      </w:r>
    </w:p>
    <w:p w14:paraId="5E594616">
      <w:pPr>
        <w:pStyle w:val="5"/>
        <w:keepNext w:val="0"/>
        <w:keepLines w:val="0"/>
        <w:numPr>
          <w:ilvl w:val="1"/>
          <w:numId w:val="9"/>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费用承担和设计成果补偿</w:t>
      </w:r>
    </w:p>
    <w:p w14:paraId="21E2922F">
      <w:pPr>
        <w:pStyle w:val="35"/>
        <w:numPr>
          <w:ilvl w:val="2"/>
          <w:numId w:val="9"/>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投标人准备和参加投标活动发生的费用自理。</w:t>
      </w:r>
    </w:p>
    <w:p w14:paraId="0C0EE6E6">
      <w:pPr>
        <w:pStyle w:val="35"/>
        <w:numPr>
          <w:ilvl w:val="2"/>
          <w:numId w:val="9"/>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招标人对符合招标文件规定的未中标人的设计成果进行补偿的，按投标人须知前附表规定给予补偿。</w:t>
      </w:r>
    </w:p>
    <w:p w14:paraId="32BCC685">
      <w:pPr>
        <w:pStyle w:val="5"/>
        <w:keepNext w:val="0"/>
        <w:keepLines w:val="0"/>
        <w:numPr>
          <w:ilvl w:val="1"/>
          <w:numId w:val="9"/>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78" w:name="1.6_保密"/>
      <w:bookmarkEnd w:id="78"/>
      <w:r>
        <w:rPr>
          <w:rFonts w:hint="eastAsia" w:ascii="宋体" w:hAnsi="宋体" w:eastAsia="宋体" w:cs="宋体"/>
          <w:color w:val="auto"/>
          <w:sz w:val="24"/>
          <w:szCs w:val="24"/>
          <w:highlight w:val="none"/>
        </w:rPr>
        <w:t>保密</w:t>
      </w:r>
    </w:p>
    <w:p w14:paraId="0F18A24E">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参与招标投标活动的各方应对招标文件和投标文件中的商业和技术等秘密保密，否则应承担相应的法律责任。</w:t>
      </w:r>
    </w:p>
    <w:p w14:paraId="3F17307A">
      <w:pPr>
        <w:pStyle w:val="5"/>
        <w:keepNext w:val="0"/>
        <w:keepLines w:val="0"/>
        <w:numPr>
          <w:ilvl w:val="1"/>
          <w:numId w:val="9"/>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79" w:name="1.7_语言文字"/>
      <w:bookmarkEnd w:id="79"/>
      <w:r>
        <w:rPr>
          <w:rFonts w:hint="eastAsia" w:ascii="宋体" w:hAnsi="宋体" w:eastAsia="宋体" w:cs="宋体"/>
          <w:color w:val="auto"/>
          <w:sz w:val="24"/>
          <w:szCs w:val="24"/>
          <w:highlight w:val="none"/>
        </w:rPr>
        <w:t>语言文字</w:t>
      </w:r>
    </w:p>
    <w:p w14:paraId="77AB7D40">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除专用术语外，与招标投标有关的语言均使用中文。必要时专用术语应附有中文注释。</w:t>
      </w:r>
    </w:p>
    <w:p w14:paraId="08F104A7">
      <w:pPr>
        <w:pStyle w:val="5"/>
        <w:keepNext w:val="0"/>
        <w:keepLines w:val="0"/>
        <w:numPr>
          <w:ilvl w:val="1"/>
          <w:numId w:val="9"/>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计量单位</w:t>
      </w:r>
    </w:p>
    <w:p w14:paraId="214C2CA6">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所有计量均采用中华人民共和国法定计量单位。</w:t>
      </w:r>
    </w:p>
    <w:p w14:paraId="025995B4">
      <w:pPr>
        <w:pStyle w:val="5"/>
        <w:keepNext w:val="0"/>
        <w:keepLines w:val="0"/>
        <w:numPr>
          <w:ilvl w:val="1"/>
          <w:numId w:val="9"/>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80" w:name="1.9_踏勘现场"/>
      <w:bookmarkEnd w:id="80"/>
      <w:r>
        <w:rPr>
          <w:rFonts w:hint="eastAsia" w:ascii="宋体" w:hAnsi="宋体" w:eastAsia="宋体" w:cs="宋体"/>
          <w:color w:val="auto"/>
          <w:sz w:val="24"/>
          <w:szCs w:val="24"/>
          <w:highlight w:val="none"/>
        </w:rPr>
        <w:t>踏勘现场</w:t>
      </w:r>
    </w:p>
    <w:p w14:paraId="41D0D31D">
      <w:pPr>
        <w:pStyle w:val="35"/>
        <w:numPr>
          <w:ilvl w:val="2"/>
          <w:numId w:val="9"/>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投标人须知前附表规定组织踏勘现场的，招标人按投标人须知前附表规定的时间、地点组织投标人踏勘项目现场。</w:t>
      </w:r>
    </w:p>
    <w:p w14:paraId="033FC646">
      <w:pPr>
        <w:pStyle w:val="35"/>
        <w:numPr>
          <w:ilvl w:val="2"/>
          <w:numId w:val="9"/>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投标人踏勘现场发生的费用自理。</w:t>
      </w:r>
    </w:p>
    <w:p w14:paraId="40A62187">
      <w:pPr>
        <w:pStyle w:val="35"/>
        <w:numPr>
          <w:ilvl w:val="2"/>
          <w:numId w:val="9"/>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除招标人的原因外，投标人在踏勘现场中所发生的人员伤亡和财产损失自行负责。</w:t>
      </w:r>
    </w:p>
    <w:p w14:paraId="4061176E">
      <w:pPr>
        <w:pStyle w:val="35"/>
        <w:numPr>
          <w:ilvl w:val="2"/>
          <w:numId w:val="9"/>
        </w:numPr>
        <w:tabs>
          <w:tab w:val="left" w:pos="1100"/>
          <w:tab w:val="left" w:pos="198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招标人在踏勘现场中介绍的工程场地和相关的周边环境情况，供投标人在编制投标文件时参考，招标人不对投标人据此作出的判断和决策负责。</w:t>
      </w:r>
    </w:p>
    <w:p w14:paraId="67CCAA34">
      <w:pPr>
        <w:pStyle w:val="5"/>
        <w:keepNext w:val="0"/>
        <w:keepLines w:val="0"/>
        <w:numPr>
          <w:ilvl w:val="1"/>
          <w:numId w:val="9"/>
        </w:numPr>
        <w:tabs>
          <w:tab w:val="left" w:pos="1100"/>
          <w:tab w:val="left" w:pos="1872"/>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81" w:name="1.10_投标预备会"/>
      <w:bookmarkEnd w:id="81"/>
      <w:r>
        <w:rPr>
          <w:rFonts w:hint="eastAsia" w:ascii="宋体" w:hAnsi="宋体" w:eastAsia="宋体" w:cs="宋体"/>
          <w:color w:val="auto"/>
          <w:sz w:val="24"/>
          <w:szCs w:val="24"/>
          <w:highlight w:val="none"/>
        </w:rPr>
        <w:t>投标预备会</w:t>
      </w:r>
    </w:p>
    <w:p w14:paraId="31AA8587">
      <w:pPr>
        <w:pStyle w:val="35"/>
        <w:numPr>
          <w:ilvl w:val="2"/>
          <w:numId w:val="9"/>
        </w:numPr>
        <w:tabs>
          <w:tab w:val="left" w:pos="1100"/>
          <w:tab w:val="left" w:pos="2109"/>
        </w:tabs>
        <w:adjustRightInd/>
        <w:ind w:left="19" w:leftChars="8" w:right="-53" w:rightChars="-22" w:firstLine="351" w:firstLineChars="150"/>
        <w:rPr>
          <w:rFonts w:hint="eastAsia" w:ascii="宋体" w:hAnsi="宋体" w:cs="宋体"/>
          <w:color w:val="auto"/>
          <w:highlight w:val="none"/>
        </w:rPr>
      </w:pPr>
      <w:r>
        <w:rPr>
          <w:rFonts w:hint="eastAsia" w:ascii="宋体" w:hAnsi="宋体" w:cs="宋体"/>
          <w:color w:val="auto"/>
          <w:spacing w:val="-3"/>
          <w:highlight w:val="none"/>
        </w:rPr>
        <w:t>投标人须知前附表规定召开投标预备会的，招标人按投标人须知前附表</w:t>
      </w:r>
      <w:r>
        <w:rPr>
          <w:rFonts w:hint="eastAsia" w:ascii="宋体" w:hAnsi="宋体" w:cs="宋体"/>
          <w:color w:val="auto"/>
          <w:highlight w:val="none"/>
        </w:rPr>
        <w:t>规定的时间和地点召开投标预备会，澄清投标人提出的问题。</w:t>
      </w:r>
    </w:p>
    <w:p w14:paraId="75D15073">
      <w:pPr>
        <w:pStyle w:val="35"/>
        <w:numPr>
          <w:ilvl w:val="2"/>
          <w:numId w:val="9"/>
        </w:numPr>
        <w:tabs>
          <w:tab w:val="left" w:pos="1100"/>
          <w:tab w:val="left" w:pos="210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投标人提出问题的截止时间、上传疑问方式：见投标人须知前附表。</w:t>
      </w:r>
    </w:p>
    <w:p w14:paraId="7A0845C2">
      <w:pPr>
        <w:pStyle w:val="35"/>
        <w:numPr>
          <w:ilvl w:val="2"/>
          <w:numId w:val="9"/>
        </w:numPr>
        <w:tabs>
          <w:tab w:val="left" w:pos="1100"/>
          <w:tab w:val="left" w:pos="2109"/>
        </w:tabs>
        <w:adjustRightInd/>
        <w:ind w:left="19" w:leftChars="8" w:right="-53" w:rightChars="-22" w:firstLine="321" w:firstLineChars="150"/>
        <w:rPr>
          <w:rFonts w:hint="eastAsia" w:ascii="宋体" w:hAnsi="宋体" w:cs="宋体"/>
          <w:color w:val="auto"/>
          <w:highlight w:val="none"/>
        </w:rPr>
      </w:pPr>
      <w:r>
        <w:rPr>
          <w:rFonts w:hint="eastAsia" w:ascii="宋体" w:hAnsi="宋体" w:cs="宋体"/>
          <w:color w:val="auto"/>
          <w:spacing w:val="-13"/>
          <w:highlight w:val="none"/>
        </w:rPr>
        <w:t>招标文件的澄清、补充、修改的时间及下载网址：见投标人须知前附表。</w:t>
      </w:r>
    </w:p>
    <w:p w14:paraId="2A691897">
      <w:pPr>
        <w:pStyle w:val="5"/>
        <w:keepNext w:val="0"/>
        <w:keepLines w:val="0"/>
        <w:numPr>
          <w:ilvl w:val="1"/>
          <w:numId w:val="9"/>
        </w:numPr>
        <w:tabs>
          <w:tab w:val="left" w:pos="1100"/>
          <w:tab w:val="left" w:pos="1872"/>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82" w:name="1.11_分包"/>
      <w:bookmarkEnd w:id="82"/>
      <w:r>
        <w:rPr>
          <w:rFonts w:hint="eastAsia" w:ascii="宋体" w:hAnsi="宋体" w:eastAsia="宋体" w:cs="宋体"/>
          <w:color w:val="auto"/>
          <w:sz w:val="24"/>
          <w:szCs w:val="24"/>
          <w:highlight w:val="none"/>
        </w:rPr>
        <w:t>分包</w:t>
      </w:r>
    </w:p>
    <w:p w14:paraId="1CE12F1A">
      <w:pPr>
        <w:pStyle w:val="9"/>
        <w:tabs>
          <w:tab w:val="left" w:pos="1100"/>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投标人拟在中标后将中标项目的部分非主体、非关键性工作进行分包的，应符合投标人须知前附表规定的分包内容、分包金额和接受分包的第三人资质要求等限制性条件。</w:t>
      </w:r>
    </w:p>
    <w:p w14:paraId="05D8AE8C">
      <w:pPr>
        <w:pStyle w:val="5"/>
        <w:keepNext w:val="0"/>
        <w:keepLines w:val="0"/>
        <w:numPr>
          <w:ilvl w:val="1"/>
          <w:numId w:val="9"/>
        </w:numPr>
        <w:tabs>
          <w:tab w:val="left" w:pos="1100"/>
          <w:tab w:val="left" w:pos="1872"/>
        </w:tabs>
        <w:adjustRightInd/>
        <w:spacing w:before="0" w:after="0" w:line="240" w:lineRule="auto"/>
        <w:ind w:left="19" w:leftChars="8" w:right="-53" w:rightChars="-22" w:firstLine="361" w:firstLineChars="150"/>
        <w:jc w:val="both"/>
        <w:rPr>
          <w:rFonts w:hint="eastAsia" w:ascii="宋体" w:hAnsi="宋体" w:eastAsia="宋体" w:cs="宋体"/>
          <w:color w:val="auto"/>
          <w:sz w:val="24"/>
          <w:szCs w:val="24"/>
          <w:highlight w:val="none"/>
        </w:rPr>
      </w:pPr>
      <w:bookmarkStart w:id="83" w:name="1.12_偏离"/>
      <w:bookmarkEnd w:id="83"/>
      <w:r>
        <w:rPr>
          <w:rFonts w:hint="eastAsia" w:ascii="宋体" w:hAnsi="宋体" w:eastAsia="宋体" w:cs="宋体"/>
          <w:color w:val="auto"/>
          <w:sz w:val="24"/>
          <w:szCs w:val="24"/>
          <w:highlight w:val="none"/>
        </w:rPr>
        <w:t>偏差</w:t>
      </w:r>
    </w:p>
    <w:p w14:paraId="64ACE9E1">
      <w:pPr>
        <w:pStyle w:val="9"/>
        <w:numPr>
          <w:ilvl w:val="2"/>
          <w:numId w:val="13"/>
        </w:numPr>
        <w:kinsoku w:val="0"/>
        <w:ind w:left="0" w:firstLine="480" w:firstLineChars="200"/>
        <w:rPr>
          <w:rFonts w:hint="eastAsia" w:ascii="宋体" w:hAnsi="宋体" w:cs="宋体"/>
          <w:color w:val="auto"/>
          <w:spacing w:val="-1"/>
          <w:highlight w:val="none"/>
        </w:rPr>
      </w:pPr>
      <w:r>
        <w:rPr>
          <w:rFonts w:hint="eastAsia" w:ascii="宋体" w:hAnsi="宋体" w:cs="宋体"/>
          <w:color w:val="auto"/>
          <w:highlight w:val="none"/>
        </w:rPr>
        <w:t>投标文件应当对招标文件的实质性要求和条件作出满足性或更有利于招标人的响应，否则，投标人的投标将被否决。实质性要求和条件见投标人须知前附表。</w:t>
      </w:r>
    </w:p>
    <w:p w14:paraId="58953F58">
      <w:pPr>
        <w:pStyle w:val="9"/>
        <w:numPr>
          <w:ilvl w:val="2"/>
          <w:numId w:val="13"/>
        </w:numPr>
        <w:kinsoku w:val="0"/>
        <w:ind w:left="0" w:firstLine="480" w:firstLineChars="200"/>
        <w:rPr>
          <w:rFonts w:hint="eastAsia" w:ascii="宋体" w:hAnsi="宋体" w:cs="宋体"/>
          <w:color w:val="auto"/>
          <w:highlight w:val="none"/>
        </w:rPr>
      </w:pPr>
      <w:r>
        <w:rPr>
          <w:rFonts w:hint="eastAsia" w:ascii="宋体" w:hAnsi="宋体" w:cs="宋体"/>
          <w:color w:val="auto"/>
          <w:highlight w:val="none"/>
        </w:rPr>
        <w:t>投标人须知前附表允许投标文件偏差招标文件某些要求的，偏离应当符合招标文件规定的偏差范围和幅度。投标人应响应评标委员会要求，对存在的细微偏差在评标结束前予以补正。拒不补正的，在详细评审时可以细微偏差作不利于该投标人的量化。</w:t>
      </w:r>
    </w:p>
    <w:p w14:paraId="70ABEE4E">
      <w:pPr>
        <w:pStyle w:val="5"/>
        <w:keepNext w:val="0"/>
        <w:keepLines w:val="0"/>
        <w:numPr>
          <w:ilvl w:val="0"/>
          <w:numId w:val="8"/>
        </w:numPr>
        <w:tabs>
          <w:tab w:val="left" w:pos="1100"/>
          <w:tab w:val="left" w:pos="1629"/>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84" w:name="2._招标文件"/>
      <w:bookmarkEnd w:id="84"/>
      <w:bookmarkStart w:id="85" w:name="_bookmark5"/>
      <w:bookmarkEnd w:id="85"/>
      <w:r>
        <w:rPr>
          <w:rFonts w:hint="eastAsia" w:ascii="宋体" w:hAnsi="宋体" w:eastAsia="宋体" w:cs="宋体"/>
          <w:color w:val="auto"/>
          <w:sz w:val="24"/>
          <w:szCs w:val="24"/>
          <w:highlight w:val="none"/>
        </w:rPr>
        <w:t>招标文件</w:t>
      </w:r>
    </w:p>
    <w:p w14:paraId="0EE2104A">
      <w:pPr>
        <w:pStyle w:val="35"/>
        <w:numPr>
          <w:ilvl w:val="1"/>
          <w:numId w:val="8"/>
        </w:numPr>
        <w:tabs>
          <w:tab w:val="left" w:pos="1100"/>
          <w:tab w:val="left" w:pos="1760"/>
        </w:tabs>
        <w:adjustRightInd/>
        <w:ind w:left="19" w:leftChars="8" w:right="-53" w:rightChars="-22" w:firstLine="361" w:firstLineChars="150"/>
        <w:rPr>
          <w:rFonts w:hint="eastAsia" w:ascii="宋体" w:hAnsi="宋体" w:cs="宋体"/>
          <w:color w:val="auto"/>
          <w:highlight w:val="none"/>
        </w:rPr>
      </w:pPr>
      <w:bookmarkStart w:id="86" w:name="2.1_招标文件的组成"/>
      <w:bookmarkEnd w:id="86"/>
      <w:r>
        <w:rPr>
          <w:rFonts w:hint="eastAsia" w:ascii="宋体" w:hAnsi="宋体" w:cs="宋体"/>
          <w:b/>
          <w:color w:val="auto"/>
          <w:highlight w:val="none"/>
        </w:rPr>
        <w:t>招标文件的组成</w:t>
      </w:r>
    </w:p>
    <w:p w14:paraId="1197945E">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本招标文件包括：</w:t>
      </w:r>
    </w:p>
    <w:p w14:paraId="7F239770">
      <w:pPr>
        <w:pStyle w:val="35"/>
        <w:numPr>
          <w:ilvl w:val="0"/>
          <w:numId w:val="14"/>
        </w:numPr>
        <w:tabs>
          <w:tab w:val="left" w:pos="1100"/>
          <w:tab w:val="left" w:pos="1798"/>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招标公告</w:t>
      </w:r>
      <w:r>
        <w:rPr>
          <w:rFonts w:hint="eastAsia" w:ascii="宋体" w:hAnsi="宋体" w:cs="宋体"/>
          <w:strike/>
          <w:color w:val="auto"/>
          <w:highlight w:val="none"/>
        </w:rPr>
        <w:t>（或投标邀请书）</w:t>
      </w:r>
      <w:r>
        <w:rPr>
          <w:rFonts w:hint="eastAsia" w:ascii="宋体" w:hAnsi="宋体" w:cs="宋体"/>
          <w:color w:val="auto"/>
          <w:highlight w:val="none"/>
        </w:rPr>
        <w:t>；</w:t>
      </w:r>
    </w:p>
    <w:p w14:paraId="137593DC">
      <w:pPr>
        <w:pStyle w:val="35"/>
        <w:numPr>
          <w:ilvl w:val="0"/>
          <w:numId w:val="14"/>
        </w:numPr>
        <w:tabs>
          <w:tab w:val="left" w:pos="1100"/>
          <w:tab w:val="left" w:pos="1798"/>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投标人须知；</w:t>
      </w:r>
    </w:p>
    <w:p w14:paraId="20B60F41">
      <w:pPr>
        <w:pStyle w:val="35"/>
        <w:numPr>
          <w:ilvl w:val="0"/>
          <w:numId w:val="14"/>
        </w:numPr>
        <w:tabs>
          <w:tab w:val="left" w:pos="1100"/>
          <w:tab w:val="left" w:pos="1798"/>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评标办法；</w:t>
      </w:r>
    </w:p>
    <w:p w14:paraId="0373EA2A">
      <w:pPr>
        <w:pStyle w:val="35"/>
        <w:numPr>
          <w:ilvl w:val="0"/>
          <w:numId w:val="14"/>
        </w:numPr>
        <w:tabs>
          <w:tab w:val="left" w:pos="1100"/>
          <w:tab w:val="left" w:pos="1798"/>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合同条款及格式；</w:t>
      </w:r>
    </w:p>
    <w:p w14:paraId="10EAED8E">
      <w:pPr>
        <w:pStyle w:val="35"/>
        <w:numPr>
          <w:ilvl w:val="0"/>
          <w:numId w:val="14"/>
        </w:numPr>
        <w:tabs>
          <w:tab w:val="left" w:pos="1100"/>
          <w:tab w:val="left" w:pos="1798"/>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发包人要求；</w:t>
      </w:r>
    </w:p>
    <w:p w14:paraId="1FA81F14">
      <w:pPr>
        <w:pStyle w:val="35"/>
        <w:numPr>
          <w:ilvl w:val="0"/>
          <w:numId w:val="14"/>
        </w:numPr>
        <w:tabs>
          <w:tab w:val="left" w:pos="1100"/>
          <w:tab w:val="left" w:pos="1798"/>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发包人提供的资料和条件；</w:t>
      </w:r>
    </w:p>
    <w:p w14:paraId="0FBD087A">
      <w:pPr>
        <w:pStyle w:val="35"/>
        <w:numPr>
          <w:ilvl w:val="0"/>
          <w:numId w:val="14"/>
        </w:numPr>
        <w:tabs>
          <w:tab w:val="left" w:pos="1100"/>
          <w:tab w:val="left" w:pos="1798"/>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投标文件格式；</w:t>
      </w:r>
    </w:p>
    <w:p w14:paraId="61FAEB5D">
      <w:pPr>
        <w:pStyle w:val="35"/>
        <w:numPr>
          <w:ilvl w:val="0"/>
          <w:numId w:val="14"/>
        </w:numPr>
        <w:tabs>
          <w:tab w:val="left" w:pos="1100"/>
          <w:tab w:val="left" w:pos="1798"/>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其他资料（详见投标人须知前附表）</w:t>
      </w:r>
    </w:p>
    <w:p w14:paraId="72242DB7">
      <w:pPr>
        <w:pStyle w:val="9"/>
        <w:tabs>
          <w:tab w:val="left" w:pos="1100"/>
        </w:tabs>
        <w:adjustRightInd/>
        <w:ind w:left="19" w:leftChars="8" w:right="-53" w:rightChars="-22" w:firstLine="333" w:firstLineChars="150"/>
        <w:jc w:val="both"/>
        <w:rPr>
          <w:rFonts w:hint="eastAsia" w:ascii="宋体" w:hAnsi="宋体" w:cs="宋体"/>
          <w:color w:val="auto"/>
          <w:highlight w:val="none"/>
        </w:rPr>
      </w:pPr>
      <w:r>
        <w:rPr>
          <w:rFonts w:hint="eastAsia" w:ascii="宋体" w:hAnsi="宋体" w:cs="宋体"/>
          <w:color w:val="auto"/>
          <w:spacing w:val="-9"/>
          <w:highlight w:val="none"/>
        </w:rPr>
        <w:t>根据本章第1.10和第2.2对招标文件所作的澄清、修改，构成招标</w:t>
      </w:r>
      <w:r>
        <w:rPr>
          <w:rFonts w:hint="eastAsia" w:ascii="宋体" w:hAnsi="宋体" w:cs="宋体"/>
          <w:color w:val="auto"/>
          <w:highlight w:val="none"/>
        </w:rPr>
        <w:t>文件的组成部分。招标文件、招标文件的澄清或修改等在同一内容的表述上不一致时，以最后发出的书面文件为准。</w:t>
      </w:r>
    </w:p>
    <w:p w14:paraId="70FACB00">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87" w:name="2.2_招标文件的澄清和修改"/>
      <w:bookmarkEnd w:id="87"/>
      <w:r>
        <w:rPr>
          <w:rFonts w:hint="eastAsia" w:ascii="宋体" w:hAnsi="宋体" w:eastAsia="宋体" w:cs="宋体"/>
          <w:color w:val="auto"/>
          <w:sz w:val="24"/>
          <w:szCs w:val="24"/>
          <w:highlight w:val="none"/>
        </w:rPr>
        <w:t>招标文件的澄清和修改</w:t>
      </w:r>
    </w:p>
    <w:p w14:paraId="604AB336">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投标人应仔细阅读和检查招标文件的全部内容。如发现缺页或附件不全，应及时向招标人提出，以便补齐。如有疑问，应在投标人须知前附表第1.10.2规定的时间前通过</w:t>
      </w:r>
      <w:r>
        <w:rPr>
          <w:rFonts w:hint="eastAsia" w:ascii="宋体" w:hAnsi="宋体" w:cs="宋体"/>
          <w:color w:val="auto"/>
          <w:highlight w:val="none"/>
          <w:u w:val="single"/>
        </w:rPr>
        <w:t>邮箱：248452213@qq.com提出</w:t>
      </w:r>
      <w:r>
        <w:rPr>
          <w:rFonts w:hint="eastAsia" w:ascii="宋体" w:hAnsi="宋体" w:cs="宋体"/>
          <w:color w:val="auto"/>
          <w:highlight w:val="none"/>
        </w:rPr>
        <w:t>，要求招标人对招标文件予以澄清。</w:t>
      </w:r>
    </w:p>
    <w:p w14:paraId="2CCA1455">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招标文件的澄清、修改可能影响投标文件编制的，招标人将在投标人须</w:t>
      </w:r>
      <w:r>
        <w:rPr>
          <w:rFonts w:hint="eastAsia" w:ascii="宋体" w:hAnsi="宋体" w:cs="宋体"/>
          <w:color w:val="auto"/>
          <w:spacing w:val="-5"/>
          <w:highlight w:val="none"/>
        </w:rPr>
        <w:t>知前附表规定的投标截止时间</w:t>
      </w:r>
      <w:r>
        <w:rPr>
          <w:rFonts w:hint="eastAsia" w:ascii="宋体" w:hAnsi="宋体" w:cs="宋体"/>
          <w:color w:val="auto"/>
          <w:highlight w:val="none"/>
        </w:rPr>
        <w:t>15</w:t>
      </w:r>
      <w:r>
        <w:rPr>
          <w:rFonts w:hint="eastAsia" w:ascii="宋体" w:hAnsi="宋体" w:cs="宋体"/>
          <w:color w:val="auto"/>
          <w:spacing w:val="-11"/>
          <w:highlight w:val="none"/>
        </w:rPr>
        <w:t>日前通过</w:t>
      </w:r>
      <w:r>
        <w:rPr>
          <w:rFonts w:hint="eastAsia" w:ascii="宋体" w:hAnsi="宋体" w:cs="宋体"/>
          <w:color w:val="auto"/>
          <w:highlight w:val="none"/>
          <w:u w:val="single"/>
        </w:rPr>
        <w:t>交易中心电子招投标交易平台（http://www.sxyc.gov.cn/col/col1229671312/index.html)</w:t>
      </w:r>
      <w:r>
        <w:rPr>
          <w:rFonts w:hint="eastAsia" w:ascii="宋体" w:hAnsi="宋体" w:cs="宋体"/>
          <w:color w:val="auto"/>
          <w:highlight w:val="none"/>
        </w:rPr>
        <w:t>进行发布，但不指明澄清问题的来源。如果澄清发出</w:t>
      </w:r>
      <w:r>
        <w:rPr>
          <w:rFonts w:hint="eastAsia" w:ascii="宋体" w:hAnsi="宋体" w:cs="宋体"/>
          <w:color w:val="auto"/>
          <w:spacing w:val="-5"/>
          <w:highlight w:val="none"/>
        </w:rPr>
        <w:t>的时间距投标截止时间不足</w:t>
      </w:r>
      <w:r>
        <w:rPr>
          <w:rFonts w:hint="eastAsia" w:ascii="宋体" w:hAnsi="宋体" w:cs="宋体"/>
          <w:color w:val="auto"/>
          <w:highlight w:val="none"/>
        </w:rPr>
        <w:t>15</w:t>
      </w:r>
      <w:r>
        <w:rPr>
          <w:rFonts w:hint="eastAsia" w:ascii="宋体" w:hAnsi="宋体" w:cs="宋体"/>
          <w:color w:val="auto"/>
          <w:spacing w:val="-8"/>
          <w:highlight w:val="none"/>
        </w:rPr>
        <w:t>日，相应延长投标截止时间。</w:t>
      </w:r>
    </w:p>
    <w:p w14:paraId="5F7AC211">
      <w:pPr>
        <w:pStyle w:val="35"/>
        <w:numPr>
          <w:ilvl w:val="2"/>
          <w:numId w:val="8"/>
        </w:numPr>
        <w:tabs>
          <w:tab w:val="left" w:pos="1100"/>
          <w:tab w:val="left" w:pos="1989"/>
        </w:tabs>
        <w:adjustRightInd/>
        <w:ind w:left="19" w:leftChars="8" w:right="-53" w:rightChars="-22" w:firstLine="354" w:firstLineChars="150"/>
        <w:rPr>
          <w:rFonts w:hint="eastAsia" w:ascii="宋体" w:hAnsi="宋体" w:cs="宋体"/>
          <w:color w:val="auto"/>
          <w:highlight w:val="none"/>
        </w:rPr>
      </w:pPr>
      <w:r>
        <w:rPr>
          <w:rFonts w:hint="eastAsia" w:ascii="宋体" w:hAnsi="宋体" w:cs="宋体"/>
          <w:color w:val="auto"/>
          <w:spacing w:val="-2"/>
          <w:highlight w:val="none"/>
        </w:rPr>
        <w:t>投标人确认收到招标文件澄清和修改内容的时间：见投标人须知前附表。</w:t>
      </w:r>
    </w:p>
    <w:p w14:paraId="0373E111">
      <w:pPr>
        <w:pStyle w:val="5"/>
        <w:keepNext w:val="0"/>
        <w:keepLines w:val="0"/>
        <w:numPr>
          <w:ilvl w:val="0"/>
          <w:numId w:val="8"/>
        </w:numPr>
        <w:tabs>
          <w:tab w:val="left" w:pos="1100"/>
          <w:tab w:val="left" w:pos="1629"/>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88" w:name="_bookmark6"/>
      <w:bookmarkEnd w:id="88"/>
      <w:bookmarkStart w:id="89" w:name="3._投标文件"/>
      <w:bookmarkEnd w:id="89"/>
      <w:r>
        <w:rPr>
          <w:rFonts w:hint="eastAsia" w:ascii="宋体" w:hAnsi="宋体" w:eastAsia="宋体" w:cs="宋体"/>
          <w:color w:val="auto"/>
          <w:sz w:val="24"/>
          <w:szCs w:val="24"/>
          <w:highlight w:val="none"/>
        </w:rPr>
        <w:t>投标文件</w:t>
      </w:r>
    </w:p>
    <w:p w14:paraId="0F8E0951">
      <w:pPr>
        <w:pStyle w:val="35"/>
        <w:numPr>
          <w:ilvl w:val="1"/>
          <w:numId w:val="8"/>
        </w:numPr>
        <w:tabs>
          <w:tab w:val="left" w:pos="1100"/>
          <w:tab w:val="left" w:pos="1760"/>
        </w:tabs>
        <w:adjustRightInd/>
        <w:ind w:left="19" w:leftChars="8" w:right="-53" w:rightChars="-22" w:firstLine="361" w:firstLineChars="150"/>
        <w:rPr>
          <w:rFonts w:hint="eastAsia" w:ascii="宋体" w:hAnsi="宋体" w:cs="宋体"/>
          <w:b/>
          <w:color w:val="auto"/>
          <w:highlight w:val="none"/>
        </w:rPr>
      </w:pPr>
      <w:bookmarkStart w:id="90" w:name="3.1_投标文件的组成"/>
      <w:bookmarkEnd w:id="90"/>
      <w:r>
        <w:rPr>
          <w:rFonts w:hint="eastAsia" w:ascii="宋体" w:hAnsi="宋体" w:cs="宋体"/>
          <w:b/>
          <w:color w:val="auto"/>
          <w:highlight w:val="none"/>
        </w:rPr>
        <w:t>投标文件的组成</w:t>
      </w:r>
    </w:p>
    <w:p w14:paraId="57082E7C">
      <w:pPr>
        <w:pStyle w:val="35"/>
        <w:adjustRightInd/>
        <w:ind w:firstLine="468"/>
        <w:jc w:val="both"/>
        <w:rPr>
          <w:rFonts w:ascii="Times New Roman" w:hAnsi="Times New Roman"/>
          <w:bCs/>
          <w:color w:val="auto"/>
          <w:highlight w:val="none"/>
        </w:rPr>
      </w:pPr>
      <w:r>
        <w:rPr>
          <w:rFonts w:hint="eastAsia" w:ascii="宋体" w:hAnsi="宋体" w:cs="宋体"/>
          <w:color w:val="auto"/>
          <w:spacing w:val="-3"/>
          <w:highlight w:val="none"/>
        </w:rPr>
        <w:t>投标文件根据评标办法由投标文件商务标、技术标、资信标、资格审查资料组成。（招标人可将投标人须知前附表3.1投标资料按相应的评标办法进行组合）</w:t>
      </w:r>
    </w:p>
    <w:p w14:paraId="6FEC1E84">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91" w:name="3.2_投标报价"/>
      <w:bookmarkEnd w:id="91"/>
      <w:r>
        <w:rPr>
          <w:rFonts w:hint="eastAsia" w:ascii="宋体" w:hAnsi="宋体" w:eastAsia="宋体" w:cs="宋体"/>
          <w:color w:val="auto"/>
          <w:sz w:val="24"/>
          <w:szCs w:val="24"/>
          <w:highlight w:val="none"/>
        </w:rPr>
        <w:t>投标报价</w:t>
      </w:r>
    </w:p>
    <w:p w14:paraId="505B9521">
      <w:pPr>
        <w:pStyle w:val="35"/>
        <w:tabs>
          <w:tab w:val="left" w:pos="1100"/>
          <w:tab w:val="left" w:pos="1989"/>
        </w:tabs>
        <w:adjustRightInd/>
        <w:ind w:right="-53" w:rightChars="-22" w:firstLine="468"/>
        <w:rPr>
          <w:rFonts w:hint="eastAsia" w:ascii="宋体" w:hAnsi="宋体" w:cs="宋体"/>
          <w:color w:val="auto"/>
          <w:spacing w:val="-3"/>
          <w:highlight w:val="none"/>
        </w:rPr>
      </w:pPr>
      <w:r>
        <w:rPr>
          <w:rFonts w:hint="eastAsia" w:ascii="宋体" w:hAnsi="宋体" w:cs="宋体"/>
          <w:color w:val="auto"/>
          <w:spacing w:val="-3"/>
          <w:highlight w:val="none"/>
        </w:rPr>
        <w:t>3.2.1投标人应按第七章“投标文件格式”的要求填写项目清单。</w:t>
      </w:r>
    </w:p>
    <w:p w14:paraId="6474F179">
      <w:pPr>
        <w:pStyle w:val="35"/>
        <w:tabs>
          <w:tab w:val="left" w:pos="1100"/>
          <w:tab w:val="left" w:pos="1989"/>
        </w:tabs>
        <w:adjustRightInd/>
        <w:ind w:right="-53" w:rightChars="-22" w:firstLine="468"/>
        <w:rPr>
          <w:rFonts w:hint="eastAsia" w:ascii="宋体" w:hAnsi="宋体" w:cs="宋体"/>
          <w:color w:val="auto"/>
          <w:spacing w:val="-3"/>
          <w:highlight w:val="none"/>
        </w:rPr>
      </w:pPr>
      <w:r>
        <w:rPr>
          <w:rFonts w:hint="eastAsia" w:ascii="宋体" w:hAnsi="宋体" w:cs="宋体"/>
          <w:color w:val="auto"/>
          <w:spacing w:val="-3"/>
          <w:highlight w:val="none"/>
        </w:rPr>
        <w:t>3.2.2投标人应充分了解施工场地的位置、周边环境、道路、装卸、保管、安装限制以及影响投标报价的其他要素。投标人根据投标设计，结合市场情况进行投标报价。</w:t>
      </w:r>
    </w:p>
    <w:p w14:paraId="75608AAB">
      <w:pPr>
        <w:pStyle w:val="35"/>
        <w:tabs>
          <w:tab w:val="left" w:pos="1100"/>
          <w:tab w:val="left" w:pos="1989"/>
        </w:tabs>
        <w:adjustRightInd/>
        <w:ind w:right="-53" w:rightChars="-22" w:firstLine="468"/>
        <w:rPr>
          <w:rFonts w:hint="eastAsia" w:ascii="宋体" w:hAnsi="宋体" w:cs="宋体"/>
          <w:color w:val="auto"/>
          <w:spacing w:val="-3"/>
          <w:highlight w:val="none"/>
        </w:rPr>
      </w:pPr>
      <w:r>
        <w:rPr>
          <w:rFonts w:hint="eastAsia" w:ascii="宋体" w:hAnsi="宋体" w:cs="宋体"/>
          <w:color w:val="auto"/>
          <w:spacing w:val="-3"/>
          <w:highlight w:val="none"/>
        </w:rPr>
        <w:t>3.2.3投标人在投标截止时间前修改投标函中的投标报价总额，应同时修改投标文件“项目清单”中的相应报价，投标报价总额为各分项金额之和。此修改须符合本章第4.3的有关要求。</w:t>
      </w:r>
    </w:p>
    <w:p w14:paraId="13B4A88D">
      <w:pPr>
        <w:pStyle w:val="35"/>
        <w:tabs>
          <w:tab w:val="left" w:pos="1100"/>
          <w:tab w:val="left" w:pos="1989"/>
        </w:tabs>
        <w:adjustRightInd/>
        <w:ind w:right="-53" w:rightChars="-22" w:firstLine="464"/>
        <w:rPr>
          <w:rFonts w:hint="eastAsia" w:ascii="宋体" w:hAnsi="宋体" w:cs="宋体"/>
          <w:color w:val="auto"/>
          <w:highlight w:val="none"/>
        </w:rPr>
      </w:pPr>
      <w:r>
        <w:rPr>
          <w:rFonts w:hint="eastAsia" w:ascii="宋体" w:hAnsi="宋体" w:cs="宋体"/>
          <w:color w:val="auto"/>
          <w:spacing w:val="-4"/>
          <w:highlight w:val="none"/>
        </w:rPr>
        <w:t>3.2.4招标人设有最高投标限价的，投标人的投标报价不得超过最高投标限价，</w:t>
      </w:r>
      <w:r>
        <w:rPr>
          <w:rFonts w:hint="eastAsia" w:ascii="宋体" w:hAnsi="宋体" w:cs="宋体"/>
          <w:color w:val="auto"/>
          <w:highlight w:val="none"/>
        </w:rPr>
        <w:t>最高投标限价或其计算方法见投标人须知前附表。</w:t>
      </w:r>
    </w:p>
    <w:p w14:paraId="14B2E864">
      <w:pPr>
        <w:pStyle w:val="35"/>
        <w:tabs>
          <w:tab w:val="left" w:pos="1100"/>
          <w:tab w:val="left" w:pos="1989"/>
        </w:tabs>
        <w:adjustRightInd/>
        <w:ind w:right="-53" w:rightChars="-22" w:firstLine="464"/>
        <w:rPr>
          <w:rFonts w:hint="eastAsia" w:ascii="宋体" w:hAnsi="宋体" w:cs="宋体"/>
          <w:color w:val="auto"/>
          <w:spacing w:val="-4"/>
          <w:highlight w:val="none"/>
        </w:rPr>
      </w:pPr>
      <w:r>
        <w:rPr>
          <w:rFonts w:hint="eastAsia" w:ascii="宋体" w:hAnsi="宋体" w:cs="宋体"/>
          <w:color w:val="auto"/>
          <w:spacing w:val="-4"/>
          <w:highlight w:val="none"/>
        </w:rPr>
        <w:t>3.2.5投标报价的其他要求见投标人须知前附表。</w:t>
      </w:r>
    </w:p>
    <w:p w14:paraId="2E89FC87">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92" w:name="3.3_投标有效期"/>
      <w:bookmarkEnd w:id="92"/>
      <w:r>
        <w:rPr>
          <w:rFonts w:hint="eastAsia" w:ascii="宋体" w:hAnsi="宋体" w:eastAsia="宋体" w:cs="宋体"/>
          <w:color w:val="auto"/>
          <w:sz w:val="24"/>
          <w:szCs w:val="24"/>
          <w:highlight w:val="none"/>
        </w:rPr>
        <w:t>投标有效期</w:t>
      </w:r>
    </w:p>
    <w:p w14:paraId="7EA9835B">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在投标人须知前附表规定的投标有效期内，投标人不得要求撤销或修改其投标文件。</w:t>
      </w:r>
    </w:p>
    <w:p w14:paraId="482142BA">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在投标有效期内，投标人撤销投标文件的，应承担招标文件和法律规定的责任。</w:t>
      </w:r>
    </w:p>
    <w:p w14:paraId="3F09BF66">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出现特殊情况需要延长投标有效期的，招标人通过</w:t>
      </w:r>
      <w:r>
        <w:rPr>
          <w:rFonts w:hint="eastAsia" w:ascii="宋体" w:hAnsi="宋体" w:cs="宋体"/>
          <w:color w:val="auto"/>
          <w:highlight w:val="none"/>
          <w:u w:val="single"/>
        </w:rPr>
        <w:t>书面形式（或电子交易平台）</w:t>
      </w:r>
      <w:r>
        <w:rPr>
          <w:rFonts w:hint="eastAsia" w:ascii="宋体" w:hAnsi="宋体" w:cs="宋体"/>
          <w:color w:val="auto"/>
          <w:highlight w:val="none"/>
        </w:rPr>
        <w:t>通知所有投标人延长投标有效期。投标人同意延长的，应相应延长其投标保证金的有效期，但不得要求或被允许修改或撤销其投标文件；投标人拒绝延长的，其投标失效，但投标人有权收回其投标保证金及银行同期存款利息。</w:t>
      </w:r>
    </w:p>
    <w:p w14:paraId="7400801F">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jc w:val="both"/>
        <w:rPr>
          <w:rFonts w:hint="eastAsia" w:ascii="宋体" w:hAnsi="宋体" w:eastAsia="宋体" w:cs="宋体"/>
          <w:color w:val="auto"/>
          <w:sz w:val="24"/>
          <w:szCs w:val="24"/>
          <w:highlight w:val="none"/>
        </w:rPr>
      </w:pPr>
      <w:bookmarkStart w:id="93" w:name="3.4_投标保证金"/>
      <w:bookmarkEnd w:id="93"/>
      <w:r>
        <w:rPr>
          <w:rFonts w:hint="eastAsia" w:ascii="宋体" w:hAnsi="宋体" w:eastAsia="宋体" w:cs="宋体"/>
          <w:color w:val="auto"/>
          <w:sz w:val="24"/>
          <w:szCs w:val="24"/>
          <w:highlight w:val="none"/>
        </w:rPr>
        <w:t>投标保证金</w:t>
      </w:r>
    </w:p>
    <w:p w14:paraId="52401DD2">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投标人在递交投标文件的同时，应按投标人须知前附表规定的金额、担保形式和第七章“投标文件格式”规定的投标保证金格式递交投标保证金，并作为其投标文件的组成部分。联合体投标的，其投标保证金由牵头人递交，并应符合投标人须知前附表的规定。</w:t>
      </w:r>
    </w:p>
    <w:p w14:paraId="00C4E52C">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投标人不按本章第3.4.1要求提交投标保证金的，其投标文件作否决投标处理。</w:t>
      </w:r>
    </w:p>
    <w:p w14:paraId="1C988155">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有下列情形之一的，投标保证金将不予退还：</w:t>
      </w:r>
    </w:p>
    <w:p w14:paraId="21A66423">
      <w:pPr>
        <w:pStyle w:val="9"/>
        <w:numPr>
          <w:ilvl w:val="0"/>
          <w:numId w:val="15"/>
        </w:numPr>
        <w:kinsoku w:val="0"/>
        <w:snapToGrid w:val="0"/>
        <w:ind w:left="0" w:firstLine="480" w:firstLineChars="200"/>
        <w:rPr>
          <w:rFonts w:hint="eastAsia" w:ascii="宋体" w:hAnsi="宋体" w:cs="宋体"/>
          <w:color w:val="auto"/>
          <w:highlight w:val="none"/>
        </w:rPr>
      </w:pPr>
      <w:r>
        <w:rPr>
          <w:rFonts w:hint="eastAsia" w:ascii="宋体" w:hAnsi="宋体" w:cs="宋体"/>
          <w:color w:val="auto"/>
          <w:highlight w:val="none"/>
        </w:rPr>
        <w:t>在提交投标文件截止时间后到招标文件规定的投标有效期终止之前，投标人撤销其投标文件的；</w:t>
      </w:r>
    </w:p>
    <w:p w14:paraId="075C51EC">
      <w:pPr>
        <w:pStyle w:val="9"/>
        <w:numPr>
          <w:ilvl w:val="0"/>
          <w:numId w:val="15"/>
        </w:numPr>
        <w:kinsoku w:val="0"/>
        <w:snapToGrid w:val="0"/>
        <w:ind w:left="0" w:firstLine="480" w:firstLineChars="200"/>
        <w:rPr>
          <w:rFonts w:hint="eastAsia" w:ascii="宋体" w:hAnsi="宋体" w:cs="宋体"/>
          <w:color w:val="auto"/>
          <w:highlight w:val="none"/>
        </w:rPr>
      </w:pPr>
      <w:r>
        <w:rPr>
          <w:rFonts w:hint="eastAsia" w:ascii="宋体" w:hAnsi="宋体" w:cs="宋体"/>
          <w:color w:val="auto"/>
          <w:highlight w:val="none"/>
        </w:rPr>
        <w:t>中标人在收到中标通知书后，无正当理由不与招标人订立合同，在签订合同时向招标人提出附加条件，或者不按照招标文件要求提交履约担保；</w:t>
      </w:r>
    </w:p>
    <w:p w14:paraId="7BBF733B">
      <w:pPr>
        <w:pStyle w:val="9"/>
        <w:numPr>
          <w:ilvl w:val="0"/>
          <w:numId w:val="15"/>
        </w:numPr>
        <w:kinsoku w:val="0"/>
        <w:snapToGrid w:val="0"/>
        <w:ind w:left="0" w:firstLine="480" w:firstLineChars="200"/>
        <w:rPr>
          <w:rFonts w:hint="eastAsia" w:ascii="宋体" w:hAnsi="宋体" w:cs="宋体"/>
          <w:color w:val="auto"/>
          <w:highlight w:val="none"/>
        </w:rPr>
      </w:pPr>
      <w:r>
        <w:rPr>
          <w:rFonts w:hint="eastAsia" w:ascii="宋体" w:hAnsi="宋体" w:cs="宋体"/>
          <w:color w:val="auto"/>
          <w:highlight w:val="none"/>
        </w:rPr>
        <w:t>投标人须知前附表规定的其他情形。</w:t>
      </w:r>
    </w:p>
    <w:p w14:paraId="7AB4923B">
      <w:pPr>
        <w:pStyle w:val="5"/>
        <w:keepNext w:val="0"/>
        <w:keepLines w:val="0"/>
        <w:numPr>
          <w:ilvl w:val="1"/>
          <w:numId w:val="16"/>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94" w:name="3.5_资格审查资料（适用于未进行资格预审的）"/>
      <w:bookmarkEnd w:id="94"/>
      <w:bookmarkStart w:id="95" w:name="3.5_资格审查资料（适用于已进行资格预审的）"/>
      <w:bookmarkEnd w:id="95"/>
      <w:r>
        <w:rPr>
          <w:rFonts w:hint="eastAsia" w:ascii="宋体" w:hAnsi="宋体" w:eastAsia="宋体" w:cs="宋体"/>
          <w:color w:val="auto"/>
          <w:sz w:val="24"/>
          <w:szCs w:val="24"/>
          <w:highlight w:val="none"/>
        </w:rPr>
        <w:t>实质性响应招标文件资料</w:t>
      </w:r>
    </w:p>
    <w:p w14:paraId="7C5AEA53">
      <w:pPr>
        <w:ind w:firstLine="464" w:firstLineChars="200"/>
        <w:rPr>
          <w:rFonts w:hint="eastAsia" w:ascii="宋体" w:hAnsi="宋体" w:cs="宋体"/>
          <w:color w:val="auto"/>
          <w:spacing w:val="-6"/>
          <w:highlight w:val="none"/>
        </w:rPr>
      </w:pPr>
      <w:r>
        <w:rPr>
          <w:rFonts w:hint="eastAsia" w:ascii="宋体" w:hAnsi="宋体" w:cs="宋体"/>
          <w:color w:val="auto"/>
          <w:spacing w:val="-4"/>
          <w:highlight w:val="none"/>
        </w:rPr>
        <w:t>实质性响应招标文件资料见投标人须知前附表</w:t>
      </w:r>
      <w:r>
        <w:rPr>
          <w:rFonts w:hint="eastAsia" w:ascii="宋体" w:hAnsi="宋体" w:cs="宋体"/>
          <w:color w:val="auto"/>
          <w:spacing w:val="-6"/>
          <w:highlight w:val="none"/>
        </w:rPr>
        <w:t>。</w:t>
      </w:r>
    </w:p>
    <w:p w14:paraId="46DC6CF6">
      <w:pPr>
        <w:pStyle w:val="5"/>
        <w:keepNext w:val="0"/>
        <w:keepLines w:val="0"/>
        <w:numPr>
          <w:ilvl w:val="1"/>
          <w:numId w:val="16"/>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备选投标方案</w:t>
      </w:r>
    </w:p>
    <w:p w14:paraId="114CE81F">
      <w:pPr>
        <w:pStyle w:val="9"/>
        <w:tabs>
          <w:tab w:val="left" w:pos="1100"/>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4E719D11">
      <w:pPr>
        <w:pStyle w:val="5"/>
        <w:keepNext w:val="0"/>
        <w:keepLines w:val="0"/>
        <w:numPr>
          <w:ilvl w:val="1"/>
          <w:numId w:val="16"/>
        </w:numPr>
        <w:tabs>
          <w:tab w:val="left" w:pos="1100"/>
          <w:tab w:val="left" w:pos="1760"/>
        </w:tabs>
        <w:adjustRightInd/>
        <w:spacing w:before="0" w:after="0" w:line="240" w:lineRule="auto"/>
        <w:ind w:left="19" w:leftChars="8" w:right="-53" w:rightChars="-22" w:firstLine="361" w:firstLineChars="150"/>
        <w:jc w:val="both"/>
        <w:rPr>
          <w:rFonts w:hint="eastAsia" w:ascii="宋体" w:hAnsi="宋体" w:eastAsia="宋体" w:cs="宋体"/>
          <w:color w:val="auto"/>
          <w:sz w:val="24"/>
          <w:szCs w:val="24"/>
          <w:highlight w:val="none"/>
        </w:rPr>
      </w:pPr>
      <w:bookmarkStart w:id="96" w:name="3.7_投标文件的编制"/>
      <w:bookmarkEnd w:id="96"/>
      <w:r>
        <w:rPr>
          <w:rFonts w:hint="eastAsia" w:ascii="宋体" w:hAnsi="宋体" w:eastAsia="宋体" w:cs="宋体"/>
          <w:color w:val="auto"/>
          <w:sz w:val="24"/>
          <w:szCs w:val="24"/>
          <w:highlight w:val="none"/>
        </w:rPr>
        <w:t>投标文件的编制</w:t>
      </w:r>
    </w:p>
    <w:p w14:paraId="77A36AAA">
      <w:pPr>
        <w:pStyle w:val="35"/>
        <w:numPr>
          <w:ilvl w:val="2"/>
          <w:numId w:val="16"/>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投标文件应按第七章“投标文件格式”进行编写，如有必要，可以增加附页，作为投标文件的组成部分。其中，投标函附录在满足招标文件实质性要求的基础上，可以提出比招标文件要求更有利于招标人的承诺。</w:t>
      </w:r>
    </w:p>
    <w:p w14:paraId="534005A0">
      <w:pPr>
        <w:pStyle w:val="35"/>
        <w:numPr>
          <w:ilvl w:val="2"/>
          <w:numId w:val="16"/>
        </w:numPr>
        <w:tabs>
          <w:tab w:val="left" w:pos="1100"/>
          <w:tab w:val="left" w:pos="1989"/>
        </w:tabs>
        <w:adjustRightInd/>
        <w:ind w:left="19" w:leftChars="8" w:right="-53" w:rightChars="-22" w:firstLine="348" w:firstLineChars="150"/>
        <w:rPr>
          <w:rFonts w:hint="eastAsia" w:ascii="宋体" w:hAnsi="宋体" w:cs="宋体"/>
          <w:color w:val="auto"/>
          <w:highlight w:val="none"/>
        </w:rPr>
      </w:pPr>
      <w:r>
        <w:rPr>
          <w:rFonts w:hint="eastAsia" w:ascii="宋体" w:hAnsi="宋体" w:cs="宋体"/>
          <w:color w:val="auto"/>
          <w:spacing w:val="-4"/>
          <w:highlight w:val="none"/>
        </w:rPr>
        <w:t>投标文件应当对招标文件有关招标范围、投标有效期、工期、质量标准</w:t>
      </w:r>
      <w:r>
        <w:rPr>
          <w:rFonts w:hint="eastAsia" w:ascii="宋体" w:hAnsi="宋体" w:cs="宋体"/>
          <w:color w:val="auto"/>
          <w:highlight w:val="none"/>
        </w:rPr>
        <w:t>等实质性内容作出响应。</w:t>
      </w:r>
    </w:p>
    <w:p w14:paraId="5A24AD5B">
      <w:pPr>
        <w:pStyle w:val="35"/>
        <w:numPr>
          <w:ilvl w:val="2"/>
          <w:numId w:val="16"/>
        </w:numPr>
        <w:tabs>
          <w:tab w:val="left" w:pos="1100"/>
          <w:tab w:val="left" w:pos="192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投标文件签字或盖章的具体要求见投标人须知前附表。</w:t>
      </w:r>
    </w:p>
    <w:p w14:paraId="4C1B5AEB">
      <w:pPr>
        <w:pStyle w:val="35"/>
        <w:numPr>
          <w:ilvl w:val="2"/>
          <w:numId w:val="16"/>
        </w:numPr>
        <w:tabs>
          <w:tab w:val="left" w:pos="1100"/>
          <w:tab w:val="left" w:pos="192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投标文件份数的具体要求见投标人须知前附表。</w:t>
      </w:r>
    </w:p>
    <w:p w14:paraId="507BC190">
      <w:pPr>
        <w:pStyle w:val="5"/>
        <w:keepNext w:val="0"/>
        <w:keepLines w:val="0"/>
        <w:numPr>
          <w:ilvl w:val="0"/>
          <w:numId w:val="8"/>
        </w:numPr>
        <w:tabs>
          <w:tab w:val="left" w:pos="1100"/>
          <w:tab w:val="left" w:pos="1629"/>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97" w:name="_bookmark7"/>
      <w:bookmarkEnd w:id="97"/>
      <w:r>
        <w:rPr>
          <w:rFonts w:hint="eastAsia" w:ascii="宋体" w:hAnsi="宋体" w:eastAsia="宋体" w:cs="宋体"/>
          <w:color w:val="auto"/>
          <w:sz w:val="24"/>
          <w:szCs w:val="24"/>
          <w:highlight w:val="none"/>
        </w:rPr>
        <w:t>投标</w:t>
      </w:r>
    </w:p>
    <w:p w14:paraId="36BD8323">
      <w:pPr>
        <w:pStyle w:val="5"/>
        <w:keepNext w:val="0"/>
        <w:keepLines w:val="0"/>
        <w:tabs>
          <w:tab w:val="left" w:pos="1100"/>
          <w:tab w:val="left" w:pos="1629"/>
        </w:tabs>
        <w:adjustRightInd/>
        <w:spacing w:before="0" w:after="0" w:line="240" w:lineRule="auto"/>
        <w:ind w:left="379" w:leftChars="158" w:right="-53" w:rightChars="-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4.1投标文件的密封和标记</w:t>
      </w:r>
    </w:p>
    <w:p w14:paraId="1F5C96AE">
      <w:pPr>
        <w:pStyle w:val="5"/>
        <w:keepNext w:val="0"/>
        <w:keepLines w:val="0"/>
        <w:tabs>
          <w:tab w:val="left" w:pos="1100"/>
          <w:tab w:val="left" w:pos="1629"/>
        </w:tabs>
        <w:adjustRightInd/>
        <w:spacing w:before="0" w:after="0" w:line="240" w:lineRule="auto"/>
        <w:ind w:left="379" w:leftChars="158" w:right="-53" w:rightChars="-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4.1.1纸质投标文件的密封及标记要求见投标人须知前附表。</w:t>
      </w:r>
    </w:p>
    <w:p w14:paraId="3E0D5732">
      <w:pPr>
        <w:pStyle w:val="5"/>
        <w:keepNext w:val="0"/>
        <w:keepLines w:val="0"/>
        <w:tabs>
          <w:tab w:val="left" w:pos="1100"/>
          <w:tab w:val="left" w:pos="1629"/>
        </w:tabs>
        <w:adjustRightInd/>
        <w:spacing w:before="0" w:after="0" w:line="240" w:lineRule="auto"/>
        <w:ind w:left="379" w:leftChars="158" w:right="-53" w:rightChars="-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4.1.2投标文件封套上应写明的内容见投标人须知前附表。</w:t>
      </w:r>
    </w:p>
    <w:p w14:paraId="20D6E5AB">
      <w:pPr>
        <w:pStyle w:val="5"/>
        <w:keepNext w:val="0"/>
        <w:keepLines w:val="0"/>
        <w:tabs>
          <w:tab w:val="left" w:pos="1100"/>
          <w:tab w:val="left" w:pos="1629"/>
        </w:tabs>
        <w:adjustRightInd/>
        <w:spacing w:before="0" w:after="0" w:line="240" w:lineRule="auto"/>
        <w:ind w:left="379" w:leftChars="158" w:right="-53" w:rightChars="-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4.2投标文件的递交</w:t>
      </w:r>
    </w:p>
    <w:p w14:paraId="6F35960D">
      <w:pPr>
        <w:pStyle w:val="5"/>
        <w:keepNext w:val="0"/>
        <w:keepLines w:val="0"/>
        <w:tabs>
          <w:tab w:val="left" w:pos="1100"/>
          <w:tab w:val="left" w:pos="1629"/>
        </w:tabs>
        <w:adjustRightInd/>
        <w:spacing w:before="0" w:after="0" w:line="240" w:lineRule="auto"/>
        <w:ind w:left="379" w:leftChars="158" w:right="-53" w:rightChars="-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4.2.1投标人应在投标人须知前附表2.2.2规定的投标截止时间前递交投标文件。</w:t>
      </w:r>
    </w:p>
    <w:p w14:paraId="75CA751E">
      <w:pPr>
        <w:pStyle w:val="5"/>
        <w:keepNext w:val="0"/>
        <w:keepLines w:val="0"/>
        <w:tabs>
          <w:tab w:val="left" w:pos="1100"/>
          <w:tab w:val="left" w:pos="1629"/>
        </w:tabs>
        <w:adjustRightInd/>
        <w:spacing w:before="0" w:after="0" w:line="240" w:lineRule="auto"/>
        <w:ind w:left="379" w:leftChars="158" w:right="-53" w:rightChars="-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4.2.2投标人递交投标文件的地点：见投标人须知前附表。投标人通过下载招标文件的电子招标投标交易平台递交电子投标文件。</w:t>
      </w:r>
    </w:p>
    <w:p w14:paraId="72FBFE99">
      <w:pPr>
        <w:pStyle w:val="5"/>
        <w:keepNext w:val="0"/>
        <w:keepLines w:val="0"/>
        <w:tabs>
          <w:tab w:val="left" w:pos="1100"/>
          <w:tab w:val="left" w:pos="1629"/>
        </w:tabs>
        <w:adjustRightInd/>
        <w:spacing w:before="0" w:after="0" w:line="240" w:lineRule="auto"/>
        <w:ind w:left="379" w:leftChars="158" w:right="-53" w:rightChars="-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4.2.3除投标人须知前附表另有规定外，投标人所递交的投标文件不予退还。</w:t>
      </w:r>
    </w:p>
    <w:p w14:paraId="486339C7">
      <w:pPr>
        <w:pStyle w:val="5"/>
        <w:keepNext w:val="0"/>
        <w:keepLines w:val="0"/>
        <w:tabs>
          <w:tab w:val="left" w:pos="1100"/>
          <w:tab w:val="left" w:pos="1629"/>
        </w:tabs>
        <w:adjustRightInd/>
        <w:spacing w:before="0" w:after="0" w:line="240" w:lineRule="auto"/>
        <w:ind w:right="-53" w:rightChars="-22"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4.2.4投标人完成电子投标文件上传后，电子招标投标交易平台即时向投标人发出递交回执通知。递交时间以递交回执通知载明的传输完成时间为准。</w:t>
      </w:r>
    </w:p>
    <w:p w14:paraId="21AC6D6C">
      <w:pPr>
        <w:pStyle w:val="5"/>
        <w:keepNext w:val="0"/>
        <w:keepLines w:val="0"/>
        <w:tabs>
          <w:tab w:val="left" w:pos="1100"/>
          <w:tab w:val="left" w:pos="1629"/>
        </w:tabs>
        <w:adjustRightInd/>
        <w:spacing w:before="0" w:after="0" w:line="240" w:lineRule="auto"/>
        <w:ind w:left="379" w:leftChars="158" w:right="-53" w:rightChars="-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4.2.5投标文件的拒收情形：见投标人须知前附表。</w:t>
      </w:r>
    </w:p>
    <w:p w14:paraId="6EEE91D0">
      <w:pPr>
        <w:pStyle w:val="5"/>
        <w:keepNext w:val="0"/>
        <w:keepLines w:val="0"/>
        <w:tabs>
          <w:tab w:val="left" w:pos="1100"/>
          <w:tab w:val="left" w:pos="1629"/>
        </w:tabs>
        <w:adjustRightInd/>
        <w:spacing w:before="0" w:after="0" w:line="240" w:lineRule="auto"/>
        <w:ind w:left="379" w:leftChars="158" w:right="-53" w:rightChars="-2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4.3投标文件的修改与撤回</w:t>
      </w:r>
    </w:p>
    <w:p w14:paraId="515CC0A3">
      <w:pPr>
        <w:pStyle w:val="5"/>
        <w:keepNext w:val="0"/>
        <w:keepLines w:val="0"/>
        <w:tabs>
          <w:tab w:val="left" w:pos="1100"/>
          <w:tab w:val="left" w:pos="1629"/>
        </w:tabs>
        <w:adjustRightInd/>
        <w:spacing w:before="0" w:after="0" w:line="240" w:lineRule="auto"/>
        <w:ind w:right="-53" w:rightChars="-22"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4.3.1在本章第4.2.1规定的投标截止时间前，投标人可以修改或撤回已递交的投标文件，但应以书面形式通知招标人。</w:t>
      </w:r>
    </w:p>
    <w:p w14:paraId="6E571297">
      <w:pPr>
        <w:pStyle w:val="5"/>
        <w:keepNext w:val="0"/>
        <w:keepLines w:val="0"/>
        <w:tabs>
          <w:tab w:val="left" w:pos="1100"/>
          <w:tab w:val="left" w:pos="1629"/>
        </w:tabs>
        <w:adjustRightInd/>
        <w:spacing w:before="0" w:after="0" w:line="240" w:lineRule="auto"/>
        <w:ind w:right="-53" w:rightChars="-22"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4.3.2投标人修改或撤回已递交投标文件的通知，应按照本章第3.7.3的要求加盖电子印章。电子招标投标交易平台收到通知后，即时向投标人发出确认回执通知。</w:t>
      </w:r>
    </w:p>
    <w:p w14:paraId="1D7121D8">
      <w:pPr>
        <w:pStyle w:val="5"/>
        <w:keepNext w:val="0"/>
        <w:keepLines w:val="0"/>
        <w:tabs>
          <w:tab w:val="left" w:pos="1100"/>
          <w:tab w:val="left" w:pos="1629"/>
        </w:tabs>
        <w:adjustRightInd/>
        <w:spacing w:before="0" w:after="0" w:line="240" w:lineRule="auto"/>
        <w:ind w:right="-53" w:rightChars="-22"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4.3.3投标人撤回投标文件的，招标人自收到投标人书面撤回通知之日起5日内退还已收取的投标担保。</w:t>
      </w:r>
    </w:p>
    <w:p w14:paraId="182C2008">
      <w:pPr>
        <w:pStyle w:val="5"/>
        <w:keepNext w:val="0"/>
        <w:keepLines w:val="0"/>
        <w:tabs>
          <w:tab w:val="left" w:pos="1100"/>
          <w:tab w:val="left" w:pos="1629"/>
        </w:tabs>
        <w:adjustRightInd/>
        <w:spacing w:before="0" w:after="0" w:line="240" w:lineRule="auto"/>
        <w:ind w:right="-53" w:rightChars="-22"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4.3.4修改的内容为投标文件的组成部分。修改的投标文件应按照本章第3条、第4条的规定进行编制、密封、标记和递交，并标明“修改”字样。</w:t>
      </w:r>
    </w:p>
    <w:p w14:paraId="6FD58E19">
      <w:pPr>
        <w:pStyle w:val="5"/>
        <w:keepNext w:val="0"/>
        <w:keepLines w:val="0"/>
        <w:numPr>
          <w:ilvl w:val="0"/>
          <w:numId w:val="8"/>
        </w:numPr>
        <w:tabs>
          <w:tab w:val="left" w:pos="1100"/>
          <w:tab w:val="left" w:pos="1629"/>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98" w:name="_bookmark8"/>
      <w:bookmarkEnd w:id="98"/>
      <w:r>
        <w:rPr>
          <w:rFonts w:hint="eastAsia" w:ascii="宋体" w:hAnsi="宋体" w:eastAsia="宋体" w:cs="宋体"/>
          <w:color w:val="auto"/>
          <w:sz w:val="24"/>
          <w:szCs w:val="24"/>
          <w:highlight w:val="none"/>
        </w:rPr>
        <w:t>开标</w:t>
      </w:r>
    </w:p>
    <w:p w14:paraId="6EB941F3">
      <w:pPr>
        <w:pStyle w:val="35"/>
        <w:numPr>
          <w:ilvl w:val="1"/>
          <w:numId w:val="8"/>
        </w:numPr>
        <w:tabs>
          <w:tab w:val="left" w:pos="1100"/>
          <w:tab w:val="left" w:pos="1760"/>
        </w:tabs>
        <w:adjustRightInd/>
        <w:ind w:left="19" w:leftChars="8" w:right="-53" w:rightChars="-22" w:firstLine="361" w:firstLineChars="150"/>
        <w:rPr>
          <w:rFonts w:hint="eastAsia" w:ascii="宋体" w:hAnsi="宋体" w:cs="宋体"/>
          <w:b/>
          <w:color w:val="auto"/>
          <w:highlight w:val="none"/>
        </w:rPr>
      </w:pPr>
      <w:r>
        <w:rPr>
          <w:rFonts w:hint="eastAsia" w:ascii="宋体" w:hAnsi="宋体" w:cs="宋体"/>
          <w:b/>
          <w:color w:val="auto"/>
          <w:highlight w:val="none"/>
        </w:rPr>
        <w:t>开标时间和地点</w:t>
      </w:r>
    </w:p>
    <w:p w14:paraId="542404A2">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招标人在本章第2.2.2规定的投标截止时间（开标时间）和投标人须知前附表规定的地点和要求公开开标。参加开标会议的要求见投标人须知前附表。</w:t>
      </w:r>
    </w:p>
    <w:p w14:paraId="04D29059">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99" w:name="5.2_开标程序"/>
      <w:bookmarkEnd w:id="99"/>
      <w:r>
        <w:rPr>
          <w:rFonts w:hint="eastAsia" w:ascii="宋体" w:hAnsi="宋体" w:eastAsia="宋体" w:cs="宋体"/>
          <w:color w:val="auto"/>
          <w:sz w:val="24"/>
          <w:szCs w:val="24"/>
          <w:highlight w:val="none"/>
        </w:rPr>
        <w:t>开标程序</w:t>
      </w:r>
    </w:p>
    <w:p w14:paraId="1CF8637A">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5.2.1 开标程序</w:t>
      </w:r>
    </w:p>
    <w:p w14:paraId="000CFB31">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（一）宣布开标</w:t>
      </w:r>
    </w:p>
    <w:p w14:paraId="0D0D3F4D">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至投标截止时间，招标人（或其招标代理机构）宣布开始开标，宣读开标项目名称、招标人代表、监标人等有关人员姓名。</w:t>
      </w:r>
    </w:p>
    <w:p w14:paraId="50421ECD">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（二）公布投标人数量</w:t>
      </w:r>
    </w:p>
    <w:p w14:paraId="13A47DF4">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招标人公布投标人数量及保证金缴纳情况。若递交投标文件的单位数量少于3家，招标人公布已递交投标文件单位名称，宣布本次招标失败。</w:t>
      </w:r>
    </w:p>
    <w:p w14:paraId="2880B4FC">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（三）投标人解密（投标文件解密在60分钟内完成，具体以电子招投标交易平台系统时间为准）</w:t>
      </w:r>
    </w:p>
    <w:p w14:paraId="6CABFBFD">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递交投标文件的投标人数量大于等于3家，进入投标人解密环节。</w:t>
      </w:r>
    </w:p>
    <w:p w14:paraId="1CEF0DF3">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投标人解密方式：投标人登录不见面开标大厅：</w:t>
      </w:r>
      <w:r>
        <w:rPr>
          <w:rFonts w:hint="eastAsia" w:ascii="宋体" w:hAnsi="宋体"/>
          <w:i/>
          <w:iCs/>
          <w:color w:val="auto"/>
          <w:highlight w:val="none"/>
          <w:u w:val="single"/>
        </w:rPr>
        <w:t>http://bjm.sxyc.gov.cn/BidOpening/bidopeninghallaction/hall/login(越城区不见面开标大厅)</w:t>
      </w:r>
      <w:r>
        <w:rPr>
          <w:rFonts w:hint="eastAsia" w:ascii="宋体" w:hAnsi="宋体"/>
          <w:i/>
          <w:iCs/>
          <w:color w:val="auto"/>
          <w:highlight w:val="none"/>
        </w:rPr>
        <w:t>。</w:t>
      </w:r>
      <w:r>
        <w:rPr>
          <w:rFonts w:hint="eastAsia" w:ascii="宋体" w:hAnsi="宋体"/>
          <w:color w:val="auto"/>
          <w:highlight w:val="none"/>
        </w:rPr>
        <w:t>待招标人点击解密指令后，投标人使用生成投标文件的CA数字证书在线解密，解密失败的，不再导入非加密电子投标文件。</w:t>
      </w:r>
    </w:p>
    <w:p w14:paraId="19F6F2A1">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若成功解密的投标人少于3家，招标人宣布本次招标失败。</w:t>
      </w:r>
    </w:p>
    <w:p w14:paraId="31C6CBAD">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（四）清单、参数录入，抽取评标基准价计算方法。（若有）</w:t>
      </w:r>
    </w:p>
    <w:p w14:paraId="328086BD">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录入最高投标限价，抽取评标基准价计算方法等。</w:t>
      </w:r>
    </w:p>
    <w:p w14:paraId="07BDC0CD">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（五）公布开标结果</w:t>
      </w:r>
    </w:p>
    <w:p w14:paraId="159A3E89">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投标人解密完成后，开标系统公布投标报价、工期、质量目标等内容。</w:t>
      </w:r>
    </w:p>
    <w:p w14:paraId="595DBAE0">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（六）开标结束</w:t>
      </w:r>
    </w:p>
    <w:p w14:paraId="7BD70A8C">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招标人宣布本次开标结束。</w:t>
      </w:r>
    </w:p>
    <w:p w14:paraId="03BCA1A3">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 xml:space="preserve"> 5.2.2 不见面开标软硬件要求</w:t>
      </w:r>
    </w:p>
    <w:p w14:paraId="76919898">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（一）建议电脑配置：4G以上内存，MicrosoftWindows7以上操作系统，正版office软件，及相应的配套硬件设备（摄像头、耳机、麦克风等）。</w:t>
      </w:r>
    </w:p>
    <w:p w14:paraId="4A97E9C4">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（二） 50M 以上网络带宽连接。</w:t>
      </w:r>
    </w:p>
    <w:p w14:paraId="40EFE96E">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（三）安装浙江省公共资源交易CA签章互认驱动及开标大厅直播播放器。相关软件可在</w:t>
      </w:r>
      <w:r>
        <w:rPr>
          <w:rFonts w:hint="eastAsia" w:ascii="宋体" w:hAnsi="宋体"/>
          <w:b/>
          <w:bCs/>
          <w:i/>
          <w:iCs/>
          <w:color w:val="auto"/>
          <w:highlight w:val="none"/>
          <w:u w:val="single"/>
        </w:rPr>
        <w:t>越城区人民政府网公共资源交易栏目</w:t>
      </w:r>
      <w:r>
        <w:rPr>
          <w:rFonts w:hint="eastAsia" w:ascii="宋体" w:hAnsi="宋体"/>
          <w:color w:val="auto"/>
          <w:highlight w:val="none"/>
        </w:rPr>
        <w:t>下载专区页面下载。</w:t>
      </w:r>
    </w:p>
    <w:p w14:paraId="4EDB0A03">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（四）使用MicrosoftInternetExplorer11（IE 11）及以上浏览器，加入可信任站点，添加兼容性视图设置修改 Activex控件和插件设置，关闭弹出窗口拦截。</w:t>
      </w:r>
    </w:p>
    <w:p w14:paraId="441BE1E4">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5.2.3 特殊情况的处置</w:t>
      </w:r>
    </w:p>
    <w:p w14:paraId="7CB5C8A2">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1、特殊情况的处置</w:t>
      </w:r>
    </w:p>
    <w:p w14:paraId="64DEE2C4">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（一）因网络、系统、电力等不可抗力因素延期开标的，需更新制作投标文件并按招标文件要求重新递交。</w:t>
      </w:r>
    </w:p>
    <w:p w14:paraId="55AE530B">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（二）因电子交易系统故障、投标人数量过多等非投标人原因，导致投标文件不能在规定时间内完成解密的，招标人可向监管部门申请并征得同意后延长解密时间，告知在线的投标人。</w:t>
      </w:r>
    </w:p>
    <w:p w14:paraId="1BB49EAC">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（三）投标人电脑终端的硬件设备和软件系统配置必须符合不见面开标技术要求并运行正常，否则投标人自行承担不利后果。</w:t>
      </w:r>
    </w:p>
    <w:p w14:paraId="7B37DF82">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2、开标特别说明</w:t>
      </w:r>
    </w:p>
    <w:p w14:paraId="298672D1">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（一）开标解密使用投标人上传的加密电子投标文件。</w:t>
      </w:r>
    </w:p>
    <w:p w14:paraId="25EF87AE">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（二）因投标人原因造成其电子文件未解密的，视为撤销其投标文件；投标截止时间前未完成投标文件传输的，视为撤回其投标文件；因投标人之外的原因造成电子投标文件未解密的，视为撤回其投标文件。</w:t>
      </w:r>
    </w:p>
    <w:p w14:paraId="7134EA30">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（三）部分投标人的电子文件无法解密的，其他投标文件的开标可以继续进行。</w:t>
      </w:r>
    </w:p>
    <w:p w14:paraId="16091453">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（四）投标人必须使用生成电子文件的CA数字证书解密电子投标文件。（投标人应特别注意CA数字证书的有效性，包括但不限于以下情形：1.介质CA数字证书延期、补办后，虽硬件介质不变但证书 Key 号发生改变，视为不同证书，会导致开标时无法解密投标文件。2.移动CA数字证书需在有效期内进行续费操作，过期后只能重新申领，重新申领的移动CA数字证书不能解密申领之前加密的投标文件。）</w:t>
      </w:r>
    </w:p>
    <w:p w14:paraId="755D6261">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五）投标人应实时关注不见面开标系统页面，观看开标全过程，并根据需要，使用不见面开标系统与招标人进行互动交流、澄清、异议、投标文件解密等活动。投标人登录不见面开标系统，参与在线开标活动，均被视为是投标人的法定代表人或其委托代理人，承担相应的法律责任。</w:t>
      </w:r>
    </w:p>
    <w:p w14:paraId="1A942637">
      <w:pPr>
        <w:pStyle w:val="9"/>
        <w:kinsoku w:val="0"/>
        <w:snapToGrid w:val="0"/>
        <w:spacing w:after="0"/>
        <w:ind w:firstLine="480" w:firstLineChars="200"/>
        <w:jc w:val="both"/>
        <w:rPr>
          <w:rFonts w:hint="eastAsia" w:ascii="宋体" w:hAnsi="宋体"/>
          <w:color w:val="auto"/>
          <w:highlight w:val="none"/>
        </w:rPr>
      </w:pPr>
      <w:r>
        <w:rPr>
          <w:rFonts w:hint="eastAsia" w:ascii="宋体" w:hAnsi="宋体"/>
          <w:color w:val="auto"/>
          <w:highlight w:val="none"/>
        </w:rPr>
        <w:t>未及时登录不见面开标系统参与在线开标，投标人将无法及时获取解密指令、废标、澄清、唱标、评审结果等实时情况。投标人应自行承担由此引起的相关风险。</w:t>
      </w:r>
    </w:p>
    <w:p w14:paraId="408AD2F0">
      <w:pPr>
        <w:numPr>
          <w:ilvl w:val="1"/>
          <w:numId w:val="0"/>
        </w:numPr>
        <w:ind w:firstLine="236" w:firstLineChars="98"/>
        <w:rPr>
          <w:rFonts w:hint="eastAsia" w:ascii="宋体" w:hAnsi="宋体" w:cs="宋体"/>
          <w:b/>
          <w:color w:val="auto"/>
          <w:highlight w:val="none"/>
        </w:rPr>
      </w:pPr>
      <w:bookmarkStart w:id="100" w:name="bookmark57"/>
      <w:bookmarkEnd w:id="100"/>
      <w:r>
        <w:rPr>
          <w:rFonts w:ascii="宋体" w:hAnsi="宋体" w:cs="宋体"/>
          <w:b/>
          <w:color w:val="auto"/>
          <w:highlight w:val="none"/>
        </w:rPr>
        <w:t>5.</w:t>
      </w:r>
      <w:r>
        <w:rPr>
          <w:rFonts w:hint="eastAsia" w:ascii="宋体" w:hAnsi="宋体" w:cs="宋体"/>
          <w:b/>
          <w:color w:val="auto"/>
          <w:highlight w:val="none"/>
        </w:rPr>
        <w:t>3</w:t>
      </w:r>
      <w:r>
        <w:rPr>
          <w:rFonts w:ascii="宋体" w:hAnsi="宋体" w:cs="宋体"/>
          <w:b/>
          <w:color w:val="auto"/>
          <w:highlight w:val="none"/>
        </w:rPr>
        <w:t xml:space="preserve"> </w:t>
      </w:r>
      <w:r>
        <w:rPr>
          <w:rFonts w:hint="eastAsia" w:ascii="宋体" w:hAnsi="宋体" w:cs="宋体"/>
          <w:b/>
          <w:color w:val="auto"/>
          <w:highlight w:val="none"/>
        </w:rPr>
        <w:t>开标异议</w:t>
      </w:r>
    </w:p>
    <w:p w14:paraId="28CB1B8E">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olor w:val="auto"/>
          <w:highlight w:val="none"/>
        </w:rPr>
        <w:t>投标人对开标有异议的，应当在开标时提出，招标人当场作出答复，并制作记录。</w:t>
      </w:r>
    </w:p>
    <w:p w14:paraId="12ECCC50">
      <w:pPr>
        <w:pStyle w:val="5"/>
        <w:keepNext w:val="0"/>
        <w:keepLines w:val="0"/>
        <w:numPr>
          <w:ilvl w:val="0"/>
          <w:numId w:val="8"/>
        </w:numPr>
        <w:tabs>
          <w:tab w:val="left" w:pos="1100"/>
          <w:tab w:val="left" w:pos="1629"/>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101" w:name="_bookmark9"/>
      <w:bookmarkEnd w:id="101"/>
      <w:r>
        <w:rPr>
          <w:rFonts w:hint="eastAsia" w:ascii="宋体" w:hAnsi="宋体" w:eastAsia="宋体" w:cs="宋体"/>
          <w:color w:val="auto"/>
          <w:sz w:val="24"/>
          <w:szCs w:val="24"/>
          <w:highlight w:val="none"/>
        </w:rPr>
        <w:t>评标</w:t>
      </w:r>
    </w:p>
    <w:p w14:paraId="2166D59B">
      <w:pPr>
        <w:pStyle w:val="35"/>
        <w:numPr>
          <w:ilvl w:val="1"/>
          <w:numId w:val="8"/>
        </w:numPr>
        <w:tabs>
          <w:tab w:val="left" w:pos="1100"/>
          <w:tab w:val="left" w:pos="1760"/>
        </w:tabs>
        <w:adjustRightInd/>
        <w:ind w:left="19" w:leftChars="8" w:right="-53" w:rightChars="-22" w:firstLine="361" w:firstLineChars="150"/>
        <w:rPr>
          <w:rFonts w:hint="eastAsia" w:ascii="宋体" w:hAnsi="宋体" w:cs="宋体"/>
          <w:b/>
          <w:color w:val="auto"/>
          <w:highlight w:val="none"/>
        </w:rPr>
      </w:pPr>
      <w:r>
        <w:rPr>
          <w:rFonts w:hint="eastAsia" w:ascii="宋体" w:hAnsi="宋体" w:cs="宋体"/>
          <w:b/>
          <w:color w:val="auto"/>
          <w:highlight w:val="none"/>
        </w:rPr>
        <w:t>评标委员会</w:t>
      </w:r>
    </w:p>
    <w:p w14:paraId="011D6C29">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0CB13FE">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评标委员会成员有下列情形之一的，应当回避：</w:t>
      </w:r>
    </w:p>
    <w:p w14:paraId="69CAF2D4">
      <w:pPr>
        <w:pStyle w:val="35"/>
        <w:numPr>
          <w:ilvl w:val="0"/>
          <w:numId w:val="17"/>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投标人或投标人主要负责人的近亲属；</w:t>
      </w:r>
    </w:p>
    <w:p w14:paraId="29D2A87A">
      <w:pPr>
        <w:pStyle w:val="35"/>
        <w:numPr>
          <w:ilvl w:val="0"/>
          <w:numId w:val="17"/>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项目主管部门或者行政监督部门的人员；</w:t>
      </w:r>
    </w:p>
    <w:p w14:paraId="119614A8">
      <w:pPr>
        <w:pStyle w:val="35"/>
        <w:numPr>
          <w:ilvl w:val="0"/>
          <w:numId w:val="17"/>
        </w:numPr>
        <w:tabs>
          <w:tab w:val="left" w:pos="1100"/>
          <w:tab w:val="left" w:pos="187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与投标人有经济利益关系，可能影响对投标公正评审的；</w:t>
      </w:r>
    </w:p>
    <w:p w14:paraId="45A33DAF">
      <w:pPr>
        <w:pStyle w:val="35"/>
        <w:numPr>
          <w:ilvl w:val="0"/>
          <w:numId w:val="17"/>
        </w:numPr>
        <w:tabs>
          <w:tab w:val="left" w:pos="1100"/>
          <w:tab w:val="left" w:pos="1870"/>
        </w:tabs>
        <w:adjustRightInd/>
        <w:ind w:left="19" w:leftChars="8" w:right="-53" w:rightChars="-22" w:firstLine="348" w:firstLineChars="150"/>
        <w:rPr>
          <w:rFonts w:hint="eastAsia" w:ascii="宋体" w:hAnsi="宋体" w:cs="宋体"/>
          <w:color w:val="auto"/>
          <w:highlight w:val="none"/>
        </w:rPr>
      </w:pPr>
      <w:r>
        <w:rPr>
          <w:rFonts w:hint="eastAsia" w:ascii="宋体" w:hAnsi="宋体" w:cs="宋体"/>
          <w:color w:val="auto"/>
          <w:spacing w:val="-4"/>
          <w:highlight w:val="none"/>
        </w:rPr>
        <w:t>曾因在招标、评标以及其他与招标投标有关活动中从事违法行为而受过行</w:t>
      </w:r>
      <w:r>
        <w:rPr>
          <w:rFonts w:hint="eastAsia" w:ascii="宋体" w:hAnsi="宋体" w:cs="宋体"/>
          <w:color w:val="auto"/>
          <w:highlight w:val="none"/>
        </w:rPr>
        <w:t>政处罚或刑事处罚的。</w:t>
      </w:r>
    </w:p>
    <w:p w14:paraId="22823572">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评标原则</w:t>
      </w:r>
    </w:p>
    <w:p w14:paraId="78492C34">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评标活动遵循公平、公正、科学和择优的原则。</w:t>
      </w:r>
    </w:p>
    <w:p w14:paraId="2A31C645">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p>
    <w:p w14:paraId="529016D0">
      <w:pPr>
        <w:pStyle w:val="9"/>
        <w:tabs>
          <w:tab w:val="left" w:pos="1100"/>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6.3.1评标委员会按照第三章“评标办法”规定的方法、评审因素、标准和程序对投标文件进行评审。第三章“评标办法”没有规定的方法、评审因素和标准，不作为评标依据。</w:t>
      </w:r>
    </w:p>
    <w:p w14:paraId="7CC809EB">
      <w:pPr>
        <w:pStyle w:val="10"/>
        <w:ind w:firstLine="480" w:firstLineChars="200"/>
        <w:rPr>
          <w:color w:val="auto"/>
          <w:highlight w:val="none"/>
        </w:rPr>
      </w:pPr>
      <w:r>
        <w:rPr>
          <w:rFonts w:hint="eastAsia" w:ascii="宋体" w:hAnsi="宋体" w:cs="宋体"/>
          <w:color w:val="auto"/>
          <w:sz w:val="24"/>
          <w:szCs w:val="24"/>
          <w:highlight w:val="none"/>
        </w:rPr>
        <w:t>6.3.2评标委员会推荐中标候选人的人数和是否排序见投标人须知前附表。</w:t>
      </w:r>
    </w:p>
    <w:p w14:paraId="21316CD7">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中标候选人公示</w:t>
      </w:r>
    </w:p>
    <w:p w14:paraId="00294050">
      <w:pPr>
        <w:pStyle w:val="9"/>
        <w:tabs>
          <w:tab w:val="left" w:pos="1100"/>
        </w:tabs>
        <w:adjustRightInd/>
        <w:ind w:left="19" w:leftChars="8" w:right="-53" w:rightChars="-22" w:firstLine="348" w:firstLineChars="150"/>
        <w:jc w:val="both"/>
        <w:rPr>
          <w:rFonts w:hint="eastAsia" w:ascii="宋体" w:hAnsi="宋体" w:cs="宋体"/>
          <w:color w:val="auto"/>
          <w:highlight w:val="none"/>
        </w:rPr>
      </w:pPr>
      <w:r>
        <w:rPr>
          <w:rFonts w:hint="eastAsia" w:ascii="宋体" w:hAnsi="宋体" w:cs="宋体"/>
          <w:color w:val="auto"/>
          <w:spacing w:val="-4"/>
          <w:highlight w:val="none"/>
        </w:rPr>
        <w:t>招标人自收到评标报告之日起</w:t>
      </w:r>
      <w:r>
        <w:rPr>
          <w:rFonts w:hint="eastAsia" w:ascii="宋体" w:hAnsi="宋体" w:cs="宋体"/>
          <w:color w:val="auto"/>
          <w:highlight w:val="none"/>
        </w:rPr>
        <w:t>3</w:t>
      </w:r>
      <w:r>
        <w:rPr>
          <w:rFonts w:hint="eastAsia" w:ascii="宋体" w:hAnsi="宋体" w:cs="宋体"/>
          <w:color w:val="auto"/>
          <w:spacing w:val="-10"/>
          <w:highlight w:val="none"/>
        </w:rPr>
        <w:t>日内公示中标候选人，公示期不少于</w:t>
      </w:r>
      <w:r>
        <w:rPr>
          <w:rFonts w:hint="eastAsia" w:ascii="宋体" w:hAnsi="宋体" w:cs="宋体"/>
          <w:color w:val="auto"/>
          <w:highlight w:val="none"/>
        </w:rPr>
        <w:t>3</w:t>
      </w:r>
      <w:r>
        <w:rPr>
          <w:rFonts w:hint="eastAsia" w:ascii="宋体" w:hAnsi="宋体" w:cs="宋体"/>
          <w:color w:val="auto"/>
          <w:spacing w:val="-12"/>
          <w:highlight w:val="none"/>
        </w:rPr>
        <w:t>日，公示媒介详见投标人须知前附表。</w:t>
      </w:r>
    </w:p>
    <w:p w14:paraId="4994E61F">
      <w:pPr>
        <w:pStyle w:val="5"/>
        <w:keepNext w:val="0"/>
        <w:keepLines w:val="0"/>
        <w:numPr>
          <w:ilvl w:val="0"/>
          <w:numId w:val="8"/>
        </w:numPr>
        <w:tabs>
          <w:tab w:val="left" w:pos="1100"/>
          <w:tab w:val="left" w:pos="1629"/>
        </w:tabs>
        <w:adjustRightInd/>
        <w:spacing w:before="0" w:after="0" w:line="240" w:lineRule="auto"/>
        <w:ind w:left="19" w:leftChars="8" w:right="-53" w:rightChars="-22" w:firstLine="361" w:firstLineChars="150"/>
        <w:jc w:val="both"/>
        <w:rPr>
          <w:rFonts w:hint="eastAsia" w:ascii="宋体" w:hAnsi="宋体" w:eastAsia="宋体" w:cs="宋体"/>
          <w:color w:val="auto"/>
          <w:sz w:val="24"/>
          <w:szCs w:val="24"/>
          <w:highlight w:val="none"/>
        </w:rPr>
      </w:pPr>
      <w:bookmarkStart w:id="102" w:name="_bookmark10"/>
      <w:bookmarkEnd w:id="102"/>
      <w:r>
        <w:rPr>
          <w:rFonts w:hint="eastAsia" w:ascii="宋体" w:hAnsi="宋体" w:eastAsia="宋体" w:cs="宋体"/>
          <w:color w:val="auto"/>
          <w:sz w:val="24"/>
          <w:szCs w:val="24"/>
          <w:highlight w:val="none"/>
        </w:rPr>
        <w:t>合同授予</w:t>
      </w:r>
    </w:p>
    <w:p w14:paraId="704D21C8">
      <w:pPr>
        <w:pStyle w:val="35"/>
        <w:numPr>
          <w:ilvl w:val="1"/>
          <w:numId w:val="8"/>
        </w:numPr>
        <w:tabs>
          <w:tab w:val="left" w:pos="1100"/>
          <w:tab w:val="left" w:pos="1760"/>
        </w:tabs>
        <w:adjustRightInd/>
        <w:ind w:left="19" w:leftChars="8" w:right="-53" w:rightChars="-22" w:firstLine="361" w:firstLineChars="150"/>
        <w:jc w:val="both"/>
        <w:rPr>
          <w:rFonts w:hint="eastAsia" w:ascii="宋体" w:hAnsi="宋体" w:cs="宋体"/>
          <w:b/>
          <w:color w:val="auto"/>
          <w:highlight w:val="none"/>
        </w:rPr>
      </w:pPr>
      <w:r>
        <w:rPr>
          <w:rFonts w:hint="eastAsia" w:ascii="宋体" w:hAnsi="宋体" w:cs="宋体"/>
          <w:b/>
          <w:color w:val="auto"/>
          <w:highlight w:val="none"/>
        </w:rPr>
        <w:t>定标方式</w:t>
      </w:r>
    </w:p>
    <w:p w14:paraId="5A15DACF">
      <w:pPr>
        <w:pStyle w:val="9"/>
        <w:tabs>
          <w:tab w:val="left" w:pos="1100"/>
        </w:tabs>
        <w:ind w:left="19" w:leftChars="8" w:right="-53" w:rightChars="-22" w:firstLine="348" w:firstLineChars="150"/>
        <w:rPr>
          <w:rFonts w:hint="eastAsia" w:ascii="宋体" w:hAnsi="宋体" w:cs="宋体"/>
          <w:strike/>
          <w:color w:val="auto"/>
          <w:spacing w:val="-4"/>
          <w:highlight w:val="none"/>
        </w:rPr>
      </w:pPr>
      <w:r>
        <w:rPr>
          <w:rFonts w:hint="eastAsia" w:ascii="宋体" w:hAnsi="宋体" w:cs="宋体"/>
          <w:strike/>
          <w:color w:val="auto"/>
          <w:spacing w:val="-4"/>
          <w:highlight w:val="none"/>
        </w:rPr>
        <w:t>7.1.1招标人授权评标委员会确定中标人或根据评标委员会推荐招标人确定招标人的（评定分离除外），国有资金占控股或者主导地位的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1378196F">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7.1.2 定标原则：</w:t>
      </w:r>
      <w:r>
        <w:rPr>
          <w:rFonts w:hint="eastAsia" w:ascii="Times New Roman" w:hAnsi="宋体"/>
          <w:color w:val="auto"/>
          <w:highlight w:val="none"/>
        </w:rPr>
        <w:t>招标人负责制、公开透明、诚信守约的原则。</w:t>
      </w:r>
    </w:p>
    <w:p w14:paraId="01746FD3">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7.1.3定标会议时间和地点：招标人在投标人须知前附表7.1.3规定的时间和地点召开定标会议，招标人的纪检监察部门应对招标投标活动的全过程进行监督。</w:t>
      </w:r>
    </w:p>
    <w:p w14:paraId="6AF2A37A">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7.1.4 招标人可在投标人须知前附表7.1.3规定的时间前对所有中标候选人进行考察、质询。考察、质询小组应由投标人须知前附表7.1.4规定的人数组成。考察、质询小组应如实记录考察、质询情况，并出具考察、质询报告作为定标要素之一。考察、质询报告应客观公正，不得有明示或暗示中标人的内容。</w:t>
      </w:r>
    </w:p>
    <w:p w14:paraId="79767781">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7.1.5 定标委员会由招标人负责组建。定标委员会由投标人须知前附表7.2.5规定的人数组成。定标委员会成员与中标候选人有利害关系的应主动说明并申请回避，定标委员会名单在中标结果确定前保密。</w:t>
      </w:r>
    </w:p>
    <w:p w14:paraId="50D382BA">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7.1.6标人在定标会议中可对中标候选人开展现场面试，中标候选人拟派项目负责人，以及投标人（联合体投标的，为联合体牵头人）持有安全生产考核合格证书的企业主要负责人（法定代表人、企业经理、企业分管安全生产的副经理、企业技术负责人中任意一人）参加现场面试。</w:t>
      </w:r>
    </w:p>
    <w:p w14:paraId="5D4B04F1">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7.1.7 定标要素应参考评标委员会评标报告、质询或考察报告、现场面试情况，此外，还可以包含以下要素：</w:t>
      </w:r>
    </w:p>
    <w:p w14:paraId="2209768E">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（1）价格因素：主要包括商务报价高低、主要材料报价的合理性、不平衡报价情况等；</w:t>
      </w:r>
    </w:p>
    <w:p w14:paraId="6015F9BB">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（2）企业实力：主要包括企业规模、资质等级、专业技术人员规模、近年的财务状况、过往业绩（含业绩影响力、难易程度）等；</w:t>
      </w:r>
    </w:p>
    <w:p w14:paraId="461A5419">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3）企业信誉：主要包括企业信用情况、过往业绩履约情况、建设单位履约评价情况等（可查询全国和浙江省建筑市场监管公共服务系统、浙江省交通运输信用综合管理服务系统、全国或浙江省水利建设市场监管服务平台等）；</w:t>
      </w:r>
    </w:p>
    <w:p w14:paraId="7B1922C3">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（4）投标方案：主要包括技术标情况、工程建设重难点解决方案、主要材料品牌等；</w:t>
      </w:r>
    </w:p>
    <w:p w14:paraId="0E579152">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（5）拟派团队能力与水平：主要包括团队主要负责人类似工程业绩、拟派项目团队人员的资信实力等；</w:t>
      </w:r>
    </w:p>
    <w:p w14:paraId="506EC1A4">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（6）联合体投标的，联合体组成情况；</w:t>
      </w:r>
    </w:p>
    <w:p w14:paraId="44079C06">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（7）企业质量安全、无欠薪管理情况；</w:t>
      </w:r>
    </w:p>
    <w:p w14:paraId="72F97E26">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（8）企业项目班组人员到岗履职等管理情况；</w:t>
      </w:r>
    </w:p>
    <w:p w14:paraId="68696E30">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（9）工程保修维护等后续服务便利；</w:t>
      </w:r>
    </w:p>
    <w:p w14:paraId="2FB52757">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（10）落实建筑业高质量发展政策；</w:t>
      </w:r>
    </w:p>
    <w:p w14:paraId="53B310C4">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（11）落实政府其他政策；</w:t>
      </w:r>
    </w:p>
    <w:p w14:paraId="17971914">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（12）招标人认为需要考量的其他因素。</w:t>
      </w:r>
    </w:p>
    <w:p w14:paraId="1AA9E0FF">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7.1.8定标方法可采用下列方法或者下列方法的组合：</w:t>
      </w:r>
    </w:p>
    <w:p w14:paraId="02294A1E">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票决法。由定标委员会以直接票决或者逐轮票决的方式确定中标人。</w:t>
      </w:r>
    </w:p>
    <w:p w14:paraId="050D0C36">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集体议事法。由定标委员会进行集体商议，定标委员会成员各自发表意见，由定标委员会组长最终确定中标人。所有参加会议的定标委员会成员的意见应当作书面记录，并由定标委员会成员签字确认。</w:t>
      </w:r>
    </w:p>
    <w:p w14:paraId="609A26A5">
      <w:pPr>
        <w:pStyle w:val="9"/>
        <w:tabs>
          <w:tab w:val="left" w:pos="1100"/>
        </w:tabs>
        <w:ind w:left="19" w:leftChars="8" w:right="-53" w:rightChars="-22" w:firstLine="348" w:firstLineChars="150"/>
        <w:rPr>
          <w:rFonts w:hint="eastAsia" w:ascii="宋体" w:hAnsi="宋体" w:cs="宋体"/>
          <w:color w:val="auto"/>
          <w:spacing w:val="-4"/>
          <w:highlight w:val="none"/>
        </w:rPr>
      </w:pPr>
      <w:r>
        <w:rPr>
          <w:rFonts w:hint="eastAsia" w:ascii="宋体" w:hAnsi="宋体" w:cs="宋体"/>
          <w:color w:val="auto"/>
          <w:spacing w:val="-4"/>
          <w:highlight w:val="none"/>
        </w:rPr>
        <w:t>投标人须知前附表7.1.8规定的其他定标办法。</w:t>
      </w:r>
    </w:p>
    <w:p w14:paraId="14C96D2A">
      <w:pPr>
        <w:pStyle w:val="9"/>
        <w:tabs>
          <w:tab w:val="left" w:pos="1100"/>
        </w:tabs>
        <w:ind w:left="19" w:leftChars="8" w:right="-53" w:rightChars="-22" w:firstLine="348" w:firstLineChars="150"/>
        <w:rPr>
          <w:rFonts w:hint="eastAsia" w:ascii="宋体" w:hAnsi="宋体" w:cs="宋体"/>
          <w:color w:val="auto"/>
          <w:highlight w:val="none"/>
        </w:rPr>
      </w:pPr>
      <w:r>
        <w:rPr>
          <w:rFonts w:hint="eastAsia" w:ascii="宋体" w:hAnsi="宋体" w:cs="宋体"/>
          <w:color w:val="auto"/>
          <w:spacing w:val="-4"/>
          <w:highlight w:val="none"/>
        </w:rPr>
        <w:t>7.1.9招标人应当将中标结果情况在投标人须知前附表7.1.9规定的媒介上公告不少于3日。</w:t>
      </w:r>
    </w:p>
    <w:p w14:paraId="0E6D97A9">
      <w:pPr>
        <w:pStyle w:val="10"/>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7.1.10定标后有下列情形之一的，招标人可以组织原定标委员会从其他中标候选人中按原定标方法确定中标人：</w:t>
      </w:r>
    </w:p>
    <w:p w14:paraId="1D5FF91A">
      <w:pPr>
        <w:pStyle w:val="10"/>
        <w:ind w:firstLine="240"/>
        <w:rPr>
          <w:rFonts w:hint="eastAsia" w:ascii="宋体" w:hAnsi="宋体" w:cs="宋体"/>
          <w:color w:val="auto"/>
          <w:sz w:val="24"/>
          <w:szCs w:val="24"/>
          <w:highlight w:val="none"/>
        </w:rPr>
      </w:pPr>
      <w:r>
        <w:rPr>
          <w:rFonts w:hint="eastAsia" w:ascii="宋体" w:hAnsi="宋体" w:cs="宋体"/>
          <w:color w:val="auto"/>
          <w:sz w:val="24"/>
          <w:szCs w:val="24"/>
          <w:highlight w:val="none"/>
        </w:rPr>
        <w:t>中标人放弃中标资格或者拒不签订合同的；</w:t>
      </w:r>
    </w:p>
    <w:p w14:paraId="05E41199">
      <w:pPr>
        <w:pStyle w:val="10"/>
        <w:ind w:firstLine="240"/>
        <w:rPr>
          <w:rFonts w:hint="eastAsia" w:ascii="宋体" w:hAnsi="宋体" w:cs="宋体"/>
          <w:color w:val="auto"/>
          <w:sz w:val="24"/>
          <w:szCs w:val="24"/>
          <w:highlight w:val="none"/>
        </w:rPr>
      </w:pPr>
      <w:r>
        <w:rPr>
          <w:rFonts w:hint="eastAsia" w:ascii="宋体" w:hAnsi="宋体" w:cs="宋体"/>
          <w:color w:val="auto"/>
          <w:sz w:val="24"/>
          <w:szCs w:val="24"/>
          <w:highlight w:val="none"/>
        </w:rPr>
        <w:t>中标人被查实存在违法行为影响中标结果的；</w:t>
      </w:r>
    </w:p>
    <w:p w14:paraId="1983C212">
      <w:pPr>
        <w:pStyle w:val="10"/>
        <w:ind w:firstLine="240"/>
        <w:rPr>
          <w:rFonts w:hint="eastAsia" w:ascii="宋体" w:hAnsi="宋体" w:cs="宋体"/>
          <w:color w:val="auto"/>
          <w:sz w:val="24"/>
          <w:szCs w:val="24"/>
          <w:highlight w:val="none"/>
        </w:rPr>
      </w:pPr>
      <w:r>
        <w:rPr>
          <w:rFonts w:hint="eastAsia" w:ascii="宋体" w:hAnsi="宋体" w:cs="宋体"/>
          <w:color w:val="auto"/>
          <w:sz w:val="24"/>
          <w:szCs w:val="24"/>
          <w:highlight w:val="none"/>
        </w:rPr>
        <w:t>投标人须知前附表7.1.10规定的其他情形。</w:t>
      </w:r>
    </w:p>
    <w:p w14:paraId="6EB8FBD0">
      <w:pPr>
        <w:pStyle w:val="10"/>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7.1.11定标后有下列情形之一的，应重新定标：</w:t>
      </w:r>
    </w:p>
    <w:p w14:paraId="49A13B25">
      <w:pPr>
        <w:pStyle w:val="10"/>
        <w:ind w:firstLine="240"/>
        <w:rPr>
          <w:rFonts w:hint="eastAsia" w:ascii="宋体" w:hAnsi="宋体" w:cs="宋体"/>
          <w:color w:val="auto"/>
          <w:sz w:val="24"/>
          <w:szCs w:val="24"/>
          <w:highlight w:val="none"/>
        </w:rPr>
      </w:pPr>
      <w:r>
        <w:rPr>
          <w:rFonts w:hint="eastAsia" w:ascii="宋体" w:hAnsi="宋体" w:cs="宋体"/>
          <w:color w:val="auto"/>
          <w:sz w:val="24"/>
          <w:szCs w:val="24"/>
          <w:highlight w:val="none"/>
        </w:rPr>
        <w:t>（1）查实定标委员会未按定标办法公正履职的；</w:t>
      </w:r>
    </w:p>
    <w:p w14:paraId="4966D986">
      <w:pPr>
        <w:pStyle w:val="10"/>
        <w:ind w:firstLine="240"/>
        <w:rPr>
          <w:rFonts w:hint="eastAsia" w:ascii="宋体" w:hAnsi="宋体" w:cs="宋体"/>
          <w:color w:val="auto"/>
          <w:sz w:val="24"/>
          <w:szCs w:val="24"/>
          <w:highlight w:val="none"/>
        </w:rPr>
      </w:pPr>
      <w:r>
        <w:rPr>
          <w:rFonts w:hint="eastAsia" w:ascii="宋体" w:hAnsi="宋体" w:cs="宋体"/>
          <w:color w:val="auto"/>
          <w:sz w:val="24"/>
          <w:szCs w:val="24"/>
          <w:highlight w:val="none"/>
        </w:rPr>
        <w:t>（2）有定标委员会成员与中标候选人有利害关系且未申请回避的；</w:t>
      </w:r>
    </w:p>
    <w:p w14:paraId="09B3D6C7">
      <w:pPr>
        <w:pStyle w:val="10"/>
        <w:ind w:firstLine="240"/>
        <w:rPr>
          <w:rFonts w:hint="eastAsia" w:ascii="宋体" w:hAnsi="宋体" w:cs="宋体"/>
          <w:color w:val="auto"/>
          <w:sz w:val="24"/>
          <w:szCs w:val="24"/>
          <w:highlight w:val="none"/>
        </w:rPr>
      </w:pPr>
      <w:r>
        <w:rPr>
          <w:rFonts w:hint="eastAsia" w:ascii="宋体" w:hAnsi="宋体" w:cs="宋体"/>
          <w:color w:val="auto"/>
          <w:sz w:val="24"/>
          <w:szCs w:val="24"/>
          <w:highlight w:val="none"/>
        </w:rPr>
        <w:t>（3）投标人须知前附表7.1.11规定的其他情形。</w:t>
      </w:r>
    </w:p>
    <w:p w14:paraId="534355C0">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w:t>
      </w:r>
    </w:p>
    <w:p w14:paraId="593D8F33">
      <w:pPr>
        <w:pStyle w:val="9"/>
        <w:tabs>
          <w:tab w:val="left" w:pos="1100"/>
        </w:tabs>
        <w:adjustRightInd/>
        <w:ind w:left="19" w:leftChars="8" w:right="-53" w:rightChars="-22" w:firstLine="336" w:firstLineChars="150"/>
        <w:jc w:val="both"/>
        <w:rPr>
          <w:rFonts w:hint="eastAsia" w:ascii="宋体" w:hAnsi="宋体" w:cs="宋体"/>
          <w:color w:val="auto"/>
          <w:highlight w:val="none"/>
        </w:rPr>
      </w:pPr>
      <w:r>
        <w:rPr>
          <w:rFonts w:hint="eastAsia" w:ascii="宋体" w:hAnsi="宋体" w:cs="宋体"/>
          <w:color w:val="auto"/>
          <w:spacing w:val="-8"/>
          <w:highlight w:val="none"/>
        </w:rPr>
        <w:t>在本章第3.3款规定的投标有效期内，招标人以书面形式向中标人发出中标通知书，同时将中标结果通知未中标的投标人。</w:t>
      </w:r>
    </w:p>
    <w:p w14:paraId="29AB794F">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jc w:val="both"/>
        <w:rPr>
          <w:rFonts w:hint="eastAsia" w:ascii="宋体" w:hAnsi="宋体" w:eastAsia="宋体" w:cs="宋体"/>
          <w:color w:val="auto"/>
          <w:sz w:val="24"/>
          <w:szCs w:val="24"/>
          <w:highlight w:val="none"/>
        </w:rPr>
      </w:pPr>
      <w:bookmarkStart w:id="103" w:name="7.3_履约担保"/>
      <w:bookmarkEnd w:id="103"/>
      <w:r>
        <w:rPr>
          <w:rFonts w:hint="eastAsia" w:ascii="宋体" w:hAnsi="宋体" w:eastAsia="宋体" w:cs="宋体"/>
          <w:color w:val="auto"/>
          <w:sz w:val="24"/>
          <w:szCs w:val="24"/>
          <w:highlight w:val="none"/>
        </w:rPr>
        <w:t>履约担保</w:t>
      </w:r>
    </w:p>
    <w:p w14:paraId="3259A71D">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在签订合同前，中标人应按投标人须知前附表规定的金额、形式向招标人递交履约保证金，并应符合招标文件第四章“合同条款及格式”规定的履约保证金要求。联合体中标的，其履约保证金由牵头人递交。招标人要求中标人提供履约担保的，招标人也应当同时向中标人提供工程款支付担保。</w:t>
      </w:r>
    </w:p>
    <w:p w14:paraId="346CCE17">
      <w:pPr>
        <w:pStyle w:val="35"/>
        <w:numPr>
          <w:ilvl w:val="2"/>
          <w:numId w:val="8"/>
        </w:numPr>
        <w:tabs>
          <w:tab w:val="left" w:pos="1100"/>
          <w:tab w:val="left" w:pos="1989"/>
        </w:tabs>
        <w:adjustRightInd/>
        <w:ind w:left="19" w:leftChars="8" w:right="-53" w:rightChars="-22" w:firstLine="342" w:firstLineChars="150"/>
        <w:jc w:val="both"/>
        <w:rPr>
          <w:rFonts w:hint="eastAsia" w:ascii="宋体" w:hAnsi="宋体" w:cs="宋体"/>
          <w:color w:val="auto"/>
          <w:highlight w:val="none"/>
        </w:rPr>
      </w:pPr>
      <w:r>
        <w:rPr>
          <w:rFonts w:hint="eastAsia" w:ascii="宋体" w:hAnsi="宋体" w:cs="宋体"/>
          <w:color w:val="auto"/>
          <w:spacing w:val="-6"/>
          <w:highlight w:val="none"/>
        </w:rPr>
        <w:t>中标人不能按本章第</w:t>
      </w:r>
      <w:r>
        <w:rPr>
          <w:rFonts w:hint="eastAsia" w:ascii="宋体" w:hAnsi="宋体" w:cs="宋体"/>
          <w:color w:val="auto"/>
          <w:highlight w:val="none"/>
        </w:rPr>
        <w:t>7.3.1</w:t>
      </w:r>
      <w:r>
        <w:rPr>
          <w:rFonts w:hint="eastAsia" w:ascii="宋体" w:hAnsi="宋体" w:cs="宋体"/>
          <w:color w:val="auto"/>
          <w:spacing w:val="-1"/>
          <w:highlight w:val="none"/>
        </w:rPr>
        <w:t>要求</w:t>
      </w:r>
      <w:r>
        <w:rPr>
          <w:rFonts w:hint="eastAsia" w:ascii="宋体" w:hAnsi="宋体" w:cs="宋体"/>
          <w:color w:val="auto"/>
          <w:highlight w:val="none"/>
        </w:rPr>
        <w:t>递交</w:t>
      </w:r>
      <w:r>
        <w:rPr>
          <w:rFonts w:hint="eastAsia" w:ascii="宋体" w:hAnsi="宋体" w:cs="宋体"/>
          <w:color w:val="auto"/>
          <w:spacing w:val="-1"/>
          <w:highlight w:val="none"/>
        </w:rPr>
        <w:t>履约保证金的，视为放弃中标，</w:t>
      </w:r>
      <w:r>
        <w:rPr>
          <w:rFonts w:hint="eastAsia" w:ascii="宋体" w:hAnsi="宋体" w:cs="宋体"/>
          <w:color w:val="auto"/>
          <w:highlight w:val="none"/>
        </w:rPr>
        <w:t>其投标保证金不予退还，给招标人造成的损失超过投标保证金数额的，中标人还应当对超过部分予以赔偿。</w:t>
      </w:r>
    </w:p>
    <w:p w14:paraId="4D2B17EE">
      <w:pPr>
        <w:pStyle w:val="5"/>
        <w:keepNext w:val="0"/>
        <w:keepLines w:val="0"/>
        <w:numPr>
          <w:ilvl w:val="1"/>
          <w:numId w:val="8"/>
        </w:numPr>
        <w:tabs>
          <w:tab w:val="left" w:pos="1100"/>
          <w:tab w:val="left" w:pos="1760"/>
        </w:tabs>
        <w:adjustRightInd/>
        <w:spacing w:before="0" w:after="0" w:line="240" w:lineRule="auto"/>
        <w:ind w:left="19" w:leftChars="8" w:right="-53" w:rightChars="-22" w:firstLine="361" w:firstLineChars="150"/>
        <w:jc w:val="both"/>
        <w:rPr>
          <w:rFonts w:hint="eastAsia" w:ascii="宋体" w:hAnsi="宋体" w:eastAsia="宋体" w:cs="宋体"/>
          <w:color w:val="auto"/>
          <w:sz w:val="24"/>
          <w:szCs w:val="24"/>
          <w:highlight w:val="none"/>
        </w:rPr>
      </w:pPr>
      <w:bookmarkStart w:id="104" w:name="7.4_签订合同"/>
      <w:bookmarkEnd w:id="104"/>
      <w:r>
        <w:rPr>
          <w:rFonts w:hint="eastAsia" w:ascii="宋体" w:hAnsi="宋体" w:eastAsia="宋体" w:cs="宋体"/>
          <w:color w:val="auto"/>
          <w:sz w:val="24"/>
          <w:szCs w:val="24"/>
          <w:highlight w:val="none"/>
        </w:rPr>
        <w:t>签订合同</w:t>
      </w:r>
    </w:p>
    <w:p w14:paraId="0941DB8F">
      <w:pPr>
        <w:pStyle w:val="35"/>
        <w:numPr>
          <w:ilvl w:val="2"/>
          <w:numId w:val="8"/>
        </w:numPr>
        <w:tabs>
          <w:tab w:val="left" w:pos="1100"/>
          <w:tab w:val="left" w:pos="1989"/>
        </w:tabs>
        <w:adjustRightInd/>
        <w:ind w:left="19" w:leftChars="8" w:right="-53" w:rightChars="-22" w:firstLine="351" w:firstLineChars="150"/>
        <w:jc w:val="both"/>
        <w:rPr>
          <w:rFonts w:hint="eastAsia" w:ascii="宋体" w:hAnsi="宋体" w:cs="宋体"/>
          <w:color w:val="auto"/>
          <w:highlight w:val="none"/>
        </w:rPr>
      </w:pPr>
      <w:r>
        <w:rPr>
          <w:rFonts w:hint="eastAsia" w:ascii="宋体" w:hAnsi="宋体" w:cs="宋体"/>
          <w:color w:val="auto"/>
          <w:spacing w:val="-3"/>
          <w:highlight w:val="none"/>
        </w:rPr>
        <w:t>招标人和中标人应当自中标通知书发出之日起</w:t>
      </w:r>
      <w:r>
        <w:rPr>
          <w:rFonts w:hint="eastAsia" w:ascii="宋体" w:hAnsi="宋体" w:cs="宋体"/>
          <w:color w:val="auto"/>
          <w:highlight w:val="none"/>
        </w:rPr>
        <w:t>30</w:t>
      </w:r>
      <w:r>
        <w:rPr>
          <w:rFonts w:hint="eastAsia" w:ascii="宋体" w:hAnsi="宋体" w:cs="宋体"/>
          <w:color w:val="auto"/>
          <w:spacing w:val="-12"/>
          <w:highlight w:val="none"/>
        </w:rPr>
        <w:t>日内，根据招标</w:t>
      </w:r>
      <w:r>
        <w:rPr>
          <w:rFonts w:hint="eastAsia" w:ascii="宋体" w:hAnsi="宋体" w:cs="宋体"/>
          <w:color w:val="auto"/>
          <w:highlight w:val="none"/>
        </w:rPr>
        <w:t>文件和中标人的投标文件订立合同。中标人无正当理由拒签合同的或在签订合同时向招标人提出附加条件的，招标人取消其中标资格，其投标保证金不予退还；给招标人造成的损失超过投标保证金数额的，中标人还应当对超过部分予以赔偿。</w:t>
      </w:r>
    </w:p>
    <w:p w14:paraId="3E90A51C">
      <w:pPr>
        <w:pStyle w:val="35"/>
        <w:numPr>
          <w:ilvl w:val="2"/>
          <w:numId w:val="8"/>
        </w:numPr>
        <w:tabs>
          <w:tab w:val="left" w:pos="1100"/>
          <w:tab w:val="left" w:pos="1989"/>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发出中标通知书后，招标人无正当理由拒签合同的，招标人向中标人退还投标保证金及银行同期存款利息；给中标人造成损失的，还应当赔偿损失。</w:t>
      </w:r>
      <w:bookmarkStart w:id="105" w:name="8．重新招标和不再招标"/>
      <w:bookmarkEnd w:id="105"/>
    </w:p>
    <w:p w14:paraId="4E1B0ACC">
      <w:pPr>
        <w:tabs>
          <w:tab w:val="left" w:pos="1100"/>
        </w:tabs>
        <w:adjustRightInd/>
        <w:ind w:left="19" w:leftChars="8" w:right="-53" w:rightChars="-22" w:firstLine="361" w:firstLineChars="150"/>
        <w:rPr>
          <w:rFonts w:hint="eastAsia" w:ascii="宋体" w:hAnsi="宋体" w:cs="宋体"/>
          <w:b/>
          <w:color w:val="auto"/>
          <w:highlight w:val="none"/>
        </w:rPr>
      </w:pPr>
      <w:r>
        <w:rPr>
          <w:rFonts w:hint="eastAsia" w:ascii="宋体" w:hAnsi="宋体" w:cs="宋体"/>
          <w:b/>
          <w:color w:val="auto"/>
          <w:highlight w:val="none"/>
        </w:rPr>
        <w:t>8．重新招标和不再招标</w:t>
      </w:r>
    </w:p>
    <w:p w14:paraId="7E7A15F6">
      <w:pPr>
        <w:pStyle w:val="5"/>
        <w:keepNext w:val="0"/>
        <w:keepLines w:val="0"/>
        <w:numPr>
          <w:ilvl w:val="1"/>
          <w:numId w:val="18"/>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106" w:name="8.1_重新招标"/>
      <w:bookmarkEnd w:id="106"/>
      <w:r>
        <w:rPr>
          <w:rFonts w:hint="eastAsia" w:ascii="宋体" w:hAnsi="宋体" w:eastAsia="宋体" w:cs="宋体"/>
          <w:color w:val="auto"/>
          <w:sz w:val="24"/>
          <w:szCs w:val="24"/>
          <w:highlight w:val="none"/>
        </w:rPr>
        <w:t>重新招标</w:t>
      </w:r>
    </w:p>
    <w:p w14:paraId="2CA9871D">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有下列情形之一的，招标人将重新招标：</w:t>
      </w:r>
    </w:p>
    <w:p w14:paraId="7EB12A0A">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(l）投标截止时间止，投标人少于3个的；</w:t>
      </w:r>
    </w:p>
    <w:p w14:paraId="6DA6BEE9">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(2）经评标委员会评审后否决所有投标的；</w:t>
      </w:r>
    </w:p>
    <w:p w14:paraId="30F6E576">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(3）其他情形：详见投标人须知前附表。</w:t>
      </w:r>
    </w:p>
    <w:p w14:paraId="0ACD9A3D">
      <w:pPr>
        <w:pStyle w:val="5"/>
        <w:keepNext w:val="0"/>
        <w:keepLines w:val="0"/>
        <w:numPr>
          <w:ilvl w:val="1"/>
          <w:numId w:val="18"/>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107" w:name="8.2_不再招标"/>
      <w:bookmarkEnd w:id="107"/>
      <w:r>
        <w:rPr>
          <w:rFonts w:hint="eastAsia" w:ascii="宋体" w:hAnsi="宋体" w:eastAsia="宋体" w:cs="宋体"/>
          <w:color w:val="auto"/>
          <w:sz w:val="24"/>
          <w:szCs w:val="24"/>
          <w:highlight w:val="none"/>
        </w:rPr>
        <w:t>不再招标</w:t>
      </w:r>
    </w:p>
    <w:p w14:paraId="0CA2DCBF">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重新招标后投标人仍少于3个或者所有投标被否决的，属于必须审批或核准的工程建设项目，经原审批或核准部门批准后可以不再进行招标。</w:t>
      </w:r>
    </w:p>
    <w:p w14:paraId="5EFB42E8">
      <w:pPr>
        <w:pStyle w:val="5"/>
        <w:keepNext w:val="0"/>
        <w:keepLines w:val="0"/>
        <w:numPr>
          <w:ilvl w:val="0"/>
          <w:numId w:val="19"/>
        </w:numPr>
        <w:tabs>
          <w:tab w:val="left" w:pos="1100"/>
          <w:tab w:val="left" w:pos="1629"/>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108" w:name="_bookmark11"/>
      <w:bookmarkEnd w:id="108"/>
      <w:r>
        <w:rPr>
          <w:rFonts w:hint="eastAsia" w:ascii="宋体" w:hAnsi="宋体" w:eastAsia="宋体" w:cs="宋体"/>
          <w:color w:val="auto"/>
          <w:sz w:val="24"/>
          <w:szCs w:val="24"/>
          <w:highlight w:val="none"/>
        </w:rPr>
        <w:t>纪律和监督</w:t>
      </w:r>
    </w:p>
    <w:p w14:paraId="6842AEF9">
      <w:pPr>
        <w:pStyle w:val="35"/>
        <w:numPr>
          <w:ilvl w:val="1"/>
          <w:numId w:val="19"/>
        </w:numPr>
        <w:tabs>
          <w:tab w:val="left" w:pos="1100"/>
          <w:tab w:val="left" w:pos="1760"/>
        </w:tabs>
        <w:adjustRightInd/>
        <w:ind w:left="19" w:leftChars="8" w:right="-53" w:rightChars="-22" w:firstLine="361" w:firstLineChars="150"/>
        <w:rPr>
          <w:rFonts w:hint="eastAsia" w:ascii="宋体" w:hAnsi="宋体" w:cs="宋体"/>
          <w:b/>
          <w:color w:val="auto"/>
          <w:highlight w:val="none"/>
        </w:rPr>
      </w:pPr>
      <w:r>
        <w:rPr>
          <w:rFonts w:hint="eastAsia" w:ascii="宋体" w:hAnsi="宋体" w:cs="宋体"/>
          <w:b/>
          <w:color w:val="auto"/>
          <w:highlight w:val="none"/>
        </w:rPr>
        <w:t>对招标人的纪律要求</w:t>
      </w:r>
    </w:p>
    <w:p w14:paraId="613F677D">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招标人不得泄漏招标投标活动中应当保密的情况和资料，不得与投标人串通损害国家利益、社会公共利益或者他人合法权益。</w:t>
      </w:r>
    </w:p>
    <w:p w14:paraId="587208DD">
      <w:pPr>
        <w:pStyle w:val="5"/>
        <w:keepNext w:val="0"/>
        <w:keepLines w:val="0"/>
        <w:numPr>
          <w:ilvl w:val="1"/>
          <w:numId w:val="19"/>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对投标人的纪律要求</w:t>
      </w:r>
    </w:p>
    <w:p w14:paraId="29CAFA0D">
      <w:pPr>
        <w:pStyle w:val="9"/>
        <w:tabs>
          <w:tab w:val="left" w:pos="1100"/>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AE7908C">
      <w:pPr>
        <w:pStyle w:val="5"/>
        <w:keepNext w:val="0"/>
        <w:keepLines w:val="0"/>
        <w:numPr>
          <w:ilvl w:val="1"/>
          <w:numId w:val="19"/>
        </w:numPr>
        <w:tabs>
          <w:tab w:val="left" w:pos="1100"/>
          <w:tab w:val="left" w:pos="1760"/>
        </w:tabs>
        <w:adjustRightInd/>
        <w:spacing w:before="0" w:after="0" w:line="240" w:lineRule="auto"/>
        <w:ind w:left="19" w:leftChars="8" w:right="-53" w:rightChars="-22" w:firstLine="361" w:firstLineChars="1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对评标委员会成员的纪律要求</w:t>
      </w:r>
    </w:p>
    <w:p w14:paraId="50A1442B">
      <w:pPr>
        <w:pStyle w:val="9"/>
        <w:tabs>
          <w:tab w:val="left" w:pos="1100"/>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评标委员会成员不得收受他人的财物或者其他好处，不得向他人透漏对投标文</w:t>
      </w:r>
      <w:r>
        <w:rPr>
          <w:rFonts w:hint="eastAsia" w:ascii="宋体" w:hAnsi="宋体" w:cs="宋体"/>
          <w:color w:val="auto"/>
          <w:spacing w:val="-5"/>
          <w:highlight w:val="none"/>
        </w:rPr>
        <w:t>件的评审和比较、中标候选人的推荐情况以及评标有关的其他情况。在评标活动中，</w:t>
      </w:r>
      <w:r>
        <w:rPr>
          <w:rFonts w:hint="eastAsia" w:ascii="宋体" w:hAnsi="宋体" w:cs="宋体"/>
          <w:color w:val="auto"/>
          <w:highlight w:val="none"/>
        </w:rPr>
        <w:t>评标委员会成员应当客观、公正地履行职责，遵守职业道德，不得擅离职守，影响评标程序正常进行，不得使用第三章“评标办法”没有规定的评审因素和标准进行评标。</w:t>
      </w:r>
    </w:p>
    <w:p w14:paraId="55C10275">
      <w:pPr>
        <w:pStyle w:val="5"/>
        <w:keepNext w:val="0"/>
        <w:keepLines w:val="0"/>
        <w:numPr>
          <w:ilvl w:val="1"/>
          <w:numId w:val="19"/>
        </w:numPr>
        <w:tabs>
          <w:tab w:val="left" w:pos="1100"/>
          <w:tab w:val="left" w:pos="1760"/>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对与评标活动有关的工作人员的纪律要求</w:t>
      </w:r>
    </w:p>
    <w:p w14:paraId="68881E5D">
      <w:pPr>
        <w:pStyle w:val="9"/>
        <w:tabs>
          <w:tab w:val="left" w:pos="1100"/>
        </w:tabs>
        <w:adjustRightInd/>
        <w:ind w:left="19" w:leftChars="8" w:right="-53" w:rightChars="-22" w:firstLine="360" w:firstLineChars="150"/>
        <w:jc w:val="both"/>
        <w:rPr>
          <w:rFonts w:hint="eastAsia" w:ascii="宋体" w:hAnsi="宋体" w:cs="宋体"/>
          <w:color w:val="auto"/>
          <w:highlight w:val="none"/>
        </w:rPr>
      </w:pPr>
      <w:r>
        <w:rPr>
          <w:rFonts w:hint="eastAsia" w:ascii="宋体" w:hAnsi="宋体" w:cs="宋体"/>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901CA26">
      <w:pPr>
        <w:pStyle w:val="5"/>
        <w:keepNext w:val="0"/>
        <w:keepLines w:val="0"/>
        <w:numPr>
          <w:ilvl w:val="0"/>
          <w:numId w:val="19"/>
        </w:numPr>
        <w:tabs>
          <w:tab w:val="left" w:pos="1100"/>
          <w:tab w:val="left" w:pos="1633"/>
        </w:tabs>
        <w:adjustRightInd/>
        <w:spacing w:before="0" w:after="0" w:line="240" w:lineRule="auto"/>
        <w:ind w:left="19" w:leftChars="8" w:right="-53" w:rightChars="-22" w:firstLine="361" w:firstLineChars="150"/>
        <w:rPr>
          <w:rFonts w:hint="eastAsia" w:ascii="宋体" w:hAnsi="宋体" w:eastAsia="宋体" w:cs="宋体"/>
          <w:color w:val="auto"/>
          <w:sz w:val="24"/>
          <w:szCs w:val="24"/>
          <w:highlight w:val="none"/>
        </w:rPr>
      </w:pPr>
      <w:bookmarkStart w:id="109" w:name="_bookmark12"/>
      <w:bookmarkEnd w:id="109"/>
      <w:r>
        <w:rPr>
          <w:rFonts w:hint="eastAsia" w:ascii="宋体" w:hAnsi="宋体" w:eastAsia="宋体" w:cs="宋体"/>
          <w:color w:val="auto"/>
          <w:sz w:val="24"/>
          <w:szCs w:val="24"/>
          <w:highlight w:val="none"/>
        </w:rPr>
        <w:t>需要补充的其他内容</w:t>
      </w:r>
    </w:p>
    <w:p w14:paraId="64B4F103">
      <w:pPr>
        <w:pStyle w:val="35"/>
        <w:numPr>
          <w:ilvl w:val="1"/>
          <w:numId w:val="19"/>
        </w:numPr>
        <w:tabs>
          <w:tab w:val="left" w:pos="1100"/>
          <w:tab w:val="left" w:pos="180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否决投标的情形：见投标人须知前附表。</w:t>
      </w:r>
    </w:p>
    <w:p w14:paraId="0C8EFECC">
      <w:pPr>
        <w:pStyle w:val="35"/>
        <w:numPr>
          <w:ilvl w:val="1"/>
          <w:numId w:val="19"/>
        </w:numPr>
        <w:tabs>
          <w:tab w:val="left" w:pos="1100"/>
          <w:tab w:val="left" w:pos="180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异议和投诉：见投标人须知前附表。</w:t>
      </w:r>
    </w:p>
    <w:p w14:paraId="64D19181">
      <w:pPr>
        <w:pStyle w:val="35"/>
        <w:numPr>
          <w:ilvl w:val="1"/>
          <w:numId w:val="19"/>
        </w:numPr>
        <w:tabs>
          <w:tab w:val="left" w:pos="1100"/>
          <w:tab w:val="left" w:pos="180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定标：见投标人须知前附表。</w:t>
      </w:r>
    </w:p>
    <w:p w14:paraId="56C7E0F2">
      <w:pPr>
        <w:pStyle w:val="35"/>
        <w:numPr>
          <w:ilvl w:val="1"/>
          <w:numId w:val="19"/>
        </w:numPr>
        <w:tabs>
          <w:tab w:val="left" w:pos="1100"/>
          <w:tab w:val="left" w:pos="180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在建合同工程的认定及变更证明：见投标人须知前附表。</w:t>
      </w:r>
    </w:p>
    <w:p w14:paraId="4D0D9102">
      <w:pPr>
        <w:pStyle w:val="35"/>
        <w:numPr>
          <w:ilvl w:val="1"/>
          <w:numId w:val="19"/>
        </w:numPr>
        <w:tabs>
          <w:tab w:val="left" w:pos="1100"/>
          <w:tab w:val="left" w:pos="180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特别说明：见投标人须知前附表。</w:t>
      </w:r>
    </w:p>
    <w:p w14:paraId="1C80E58D">
      <w:pPr>
        <w:pStyle w:val="35"/>
        <w:numPr>
          <w:ilvl w:val="1"/>
          <w:numId w:val="19"/>
        </w:numPr>
        <w:tabs>
          <w:tab w:val="left" w:pos="1100"/>
          <w:tab w:val="left" w:pos="1809"/>
        </w:tabs>
        <w:adjustRightInd/>
        <w:ind w:left="19" w:leftChars="8" w:right="-53" w:rightChars="-22" w:firstLine="360" w:firstLineChars="150"/>
        <w:rPr>
          <w:rFonts w:hint="eastAsia" w:ascii="宋体" w:hAnsi="宋体" w:cs="宋体"/>
          <w:color w:val="auto"/>
          <w:highlight w:val="none"/>
        </w:rPr>
      </w:pPr>
      <w:r>
        <w:rPr>
          <w:rFonts w:hint="eastAsia" w:ascii="宋体" w:hAnsi="宋体" w:cs="宋体"/>
          <w:color w:val="auto"/>
          <w:highlight w:val="none"/>
        </w:rPr>
        <w:t>其他：见投标人须知前附表。</w:t>
      </w:r>
    </w:p>
    <w:p w14:paraId="17F31450">
      <w:pPr>
        <w:pStyle w:val="35"/>
        <w:tabs>
          <w:tab w:val="left" w:pos="1100"/>
          <w:tab w:val="left" w:pos="1809"/>
        </w:tabs>
        <w:adjustRightInd/>
        <w:spacing w:line="360" w:lineRule="auto"/>
        <w:ind w:left="379" w:leftChars="158" w:right="-53" w:rightChars="-22" w:firstLine="0" w:firstLineChars="0"/>
        <w:rPr>
          <w:rFonts w:hint="eastAsia" w:ascii="宋体" w:hAnsi="宋体" w:cs="宋体"/>
          <w:color w:val="auto"/>
          <w:highlight w:val="none"/>
        </w:rPr>
      </w:pPr>
    </w:p>
    <w:p w14:paraId="635EFC7B">
      <w:pPr>
        <w:pStyle w:val="9"/>
        <w:spacing w:before="1"/>
        <w:rPr>
          <w:rFonts w:hint="eastAsia" w:ascii="宋体" w:hAnsi="宋体" w:cs="宋体"/>
          <w:color w:val="auto"/>
          <w:sz w:val="19"/>
          <w:highlight w:val="none"/>
        </w:rPr>
      </w:pPr>
    </w:p>
    <w:p w14:paraId="4E08D618">
      <w:pPr>
        <w:rPr>
          <w:rFonts w:hint="eastAsia" w:ascii="宋体" w:hAnsi="宋体" w:cs="宋体"/>
          <w:b/>
          <w:bCs/>
          <w:color w:val="auto"/>
          <w:highlight w:val="none"/>
        </w:rPr>
      </w:pPr>
      <w:r>
        <w:rPr>
          <w:rFonts w:hint="eastAsia" w:ascii="宋体" w:hAnsi="宋体" w:cs="宋体"/>
          <w:color w:val="auto"/>
          <w:highlight w:val="none"/>
        </w:rPr>
        <w:br w:type="page"/>
      </w:r>
      <w:r>
        <w:rPr>
          <w:rFonts w:hint="eastAsia" w:ascii="宋体" w:hAnsi="宋体" w:cs="宋体"/>
          <w:b/>
          <w:bCs/>
          <w:color w:val="auto"/>
          <w:highlight w:val="none"/>
        </w:rPr>
        <w:t>附件一：开标记录表</w:t>
      </w:r>
    </w:p>
    <w:p w14:paraId="440A47A3">
      <w:pPr>
        <w:pStyle w:val="5"/>
        <w:spacing w:before="199"/>
        <w:ind w:left="22" w:right="-50" w:hanging="22" w:hangingChars="6"/>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u w:val="single"/>
        </w:rPr>
        <w:t>（项目名称）</w:t>
      </w:r>
      <w:r>
        <w:rPr>
          <w:rFonts w:hint="eastAsia" w:ascii="宋体" w:hAnsi="宋体" w:eastAsia="宋体" w:cs="宋体"/>
          <w:color w:val="auto"/>
          <w:sz w:val="36"/>
          <w:szCs w:val="36"/>
          <w:highlight w:val="none"/>
        </w:rPr>
        <w:t>工程总承包招标开标记录表</w:t>
      </w:r>
    </w:p>
    <w:p w14:paraId="596B07CA">
      <w:pPr>
        <w:pStyle w:val="9"/>
        <w:tabs>
          <w:tab w:val="left" w:pos="4400"/>
          <w:tab w:val="left" w:pos="5500"/>
          <w:tab w:val="left" w:pos="6160"/>
          <w:tab w:val="left" w:pos="6820"/>
          <w:tab w:val="left" w:pos="8298"/>
        </w:tabs>
        <w:spacing w:after="45"/>
        <w:jc w:val="center"/>
        <w:rPr>
          <w:rFonts w:hint="eastAsia" w:ascii="宋体" w:hAnsi="宋体" w:cs="宋体"/>
          <w:color w:val="auto"/>
          <w:highlight w:val="none"/>
        </w:rPr>
      </w:pPr>
      <w:r>
        <w:rPr>
          <w:rFonts w:hint="eastAsia" w:ascii="宋体" w:hAnsi="宋体" w:cs="宋体"/>
          <w:color w:val="auto"/>
          <w:highlight w:val="none"/>
        </w:rPr>
        <w:t xml:space="preserve">                              开标时间：</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r>
        <w:rPr>
          <w:rFonts w:hint="eastAsia" w:ascii="宋体" w:hAnsi="宋体" w:cs="宋体"/>
          <w:color w:val="auto"/>
          <w:highlight w:val="none"/>
          <w:u w:val="single"/>
        </w:rPr>
        <w:t xml:space="preserve">   </w:t>
      </w:r>
      <w:r>
        <w:rPr>
          <w:rFonts w:hint="eastAsia" w:ascii="宋体" w:hAnsi="宋体" w:cs="宋体"/>
          <w:color w:val="auto"/>
          <w:highlight w:val="none"/>
        </w:rPr>
        <w:t>时</w:t>
      </w:r>
      <w:r>
        <w:rPr>
          <w:rFonts w:hint="eastAsia" w:ascii="宋体" w:hAnsi="宋体" w:cs="宋体"/>
          <w:color w:val="auto"/>
          <w:highlight w:val="none"/>
          <w:u w:val="single"/>
        </w:rPr>
        <w:t xml:space="preserve">   </w:t>
      </w:r>
      <w:r>
        <w:rPr>
          <w:rFonts w:hint="eastAsia" w:ascii="宋体" w:hAnsi="宋体" w:cs="宋体"/>
          <w:color w:val="auto"/>
          <w:highlight w:val="none"/>
        </w:rPr>
        <w:t>分</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7"/>
        <w:gridCol w:w="615"/>
        <w:gridCol w:w="615"/>
        <w:gridCol w:w="855"/>
        <w:gridCol w:w="625"/>
        <w:gridCol w:w="790"/>
        <w:gridCol w:w="672"/>
        <w:gridCol w:w="820"/>
        <w:gridCol w:w="940"/>
        <w:gridCol w:w="880"/>
        <w:gridCol w:w="714"/>
        <w:gridCol w:w="806"/>
      </w:tblGrid>
      <w:tr w14:paraId="66828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497" w:type="dxa"/>
            <w:vMerge w:val="restart"/>
            <w:vAlign w:val="center"/>
          </w:tcPr>
          <w:p w14:paraId="7A16A679">
            <w:pPr>
              <w:pStyle w:val="44"/>
              <w:jc w:val="both"/>
              <w:rPr>
                <w:rFonts w:hint="eastAsia"/>
                <w:color w:val="auto"/>
                <w:highlight w:val="none"/>
              </w:rPr>
            </w:pPr>
            <w:r>
              <w:rPr>
                <w:rFonts w:hint="eastAsia"/>
                <w:color w:val="auto"/>
                <w:highlight w:val="none"/>
              </w:rPr>
              <w:t>序号</w:t>
            </w:r>
          </w:p>
        </w:tc>
        <w:tc>
          <w:tcPr>
            <w:tcW w:w="1230" w:type="dxa"/>
            <w:gridSpan w:val="2"/>
            <w:vAlign w:val="center"/>
          </w:tcPr>
          <w:p w14:paraId="51FD64D8">
            <w:pPr>
              <w:pStyle w:val="44"/>
              <w:spacing w:before="1"/>
              <w:ind w:left="144"/>
              <w:jc w:val="center"/>
              <w:rPr>
                <w:rFonts w:hint="eastAsia"/>
                <w:color w:val="auto"/>
                <w:highlight w:val="none"/>
              </w:rPr>
            </w:pPr>
            <w:r>
              <w:rPr>
                <w:rFonts w:hint="eastAsia"/>
                <w:color w:val="auto"/>
                <w:highlight w:val="none"/>
              </w:rPr>
              <w:t>投标人</w:t>
            </w:r>
          </w:p>
        </w:tc>
        <w:tc>
          <w:tcPr>
            <w:tcW w:w="855" w:type="dxa"/>
            <w:vMerge w:val="restart"/>
            <w:vAlign w:val="center"/>
          </w:tcPr>
          <w:p w14:paraId="01129A19">
            <w:pPr>
              <w:pStyle w:val="44"/>
              <w:spacing w:line="312" w:lineRule="auto"/>
              <w:ind w:right="-35"/>
              <w:jc w:val="center"/>
              <w:rPr>
                <w:rFonts w:hint="eastAsia"/>
                <w:color w:val="auto"/>
                <w:highlight w:val="none"/>
              </w:rPr>
            </w:pPr>
            <w:r>
              <w:rPr>
                <w:rFonts w:hint="eastAsia"/>
                <w:color w:val="auto"/>
                <w:highlight w:val="none"/>
              </w:rPr>
              <w:t>投标保证金缴纳情况</w:t>
            </w:r>
          </w:p>
        </w:tc>
        <w:tc>
          <w:tcPr>
            <w:tcW w:w="625" w:type="dxa"/>
            <w:vMerge w:val="restart"/>
            <w:vAlign w:val="center"/>
          </w:tcPr>
          <w:p w14:paraId="41AE6C93">
            <w:pPr>
              <w:pStyle w:val="44"/>
              <w:spacing w:line="312" w:lineRule="auto"/>
              <w:ind w:right="131"/>
              <w:jc w:val="center"/>
              <w:rPr>
                <w:rFonts w:hint="eastAsia"/>
                <w:color w:val="auto"/>
                <w:highlight w:val="none"/>
              </w:rPr>
            </w:pPr>
            <w:r>
              <w:rPr>
                <w:rFonts w:hint="eastAsia"/>
                <w:color w:val="auto"/>
                <w:spacing w:val="-9"/>
                <w:highlight w:val="none"/>
              </w:rPr>
              <w:t>投标报价</w:t>
            </w:r>
            <w:r>
              <w:rPr>
                <w:rFonts w:hint="eastAsia"/>
                <w:color w:val="auto"/>
                <w:highlight w:val="none"/>
              </w:rPr>
              <w:t>（元</w:t>
            </w:r>
            <w:r>
              <w:rPr>
                <w:rFonts w:hint="eastAsia"/>
                <w:color w:val="auto"/>
                <w:spacing w:val="-17"/>
                <w:highlight w:val="none"/>
              </w:rPr>
              <w:t>）</w:t>
            </w:r>
          </w:p>
        </w:tc>
        <w:tc>
          <w:tcPr>
            <w:tcW w:w="790" w:type="dxa"/>
            <w:vMerge w:val="restart"/>
            <w:vAlign w:val="center"/>
          </w:tcPr>
          <w:p w14:paraId="5B8825C8">
            <w:pPr>
              <w:pStyle w:val="44"/>
              <w:spacing w:before="184" w:line="312" w:lineRule="auto"/>
              <w:ind w:left="134" w:right="123"/>
              <w:jc w:val="center"/>
              <w:rPr>
                <w:rFonts w:hint="eastAsia"/>
                <w:color w:val="auto"/>
                <w:highlight w:val="none"/>
              </w:rPr>
            </w:pPr>
            <w:r>
              <w:rPr>
                <w:rFonts w:hint="eastAsia"/>
                <w:color w:val="auto"/>
                <w:highlight w:val="none"/>
              </w:rPr>
              <w:t>质量标准</w:t>
            </w:r>
          </w:p>
        </w:tc>
        <w:tc>
          <w:tcPr>
            <w:tcW w:w="672" w:type="dxa"/>
            <w:vMerge w:val="restart"/>
            <w:vAlign w:val="center"/>
          </w:tcPr>
          <w:p w14:paraId="111E61EB">
            <w:pPr>
              <w:pStyle w:val="44"/>
              <w:ind w:left="150"/>
              <w:jc w:val="center"/>
              <w:rPr>
                <w:rFonts w:hint="eastAsia"/>
                <w:color w:val="auto"/>
                <w:highlight w:val="none"/>
              </w:rPr>
            </w:pPr>
            <w:r>
              <w:rPr>
                <w:rFonts w:hint="eastAsia"/>
                <w:color w:val="auto"/>
                <w:highlight w:val="none"/>
              </w:rPr>
              <w:t>工期</w:t>
            </w:r>
          </w:p>
        </w:tc>
        <w:tc>
          <w:tcPr>
            <w:tcW w:w="820" w:type="dxa"/>
            <w:vMerge w:val="restart"/>
            <w:vAlign w:val="center"/>
          </w:tcPr>
          <w:p w14:paraId="559F3C4D">
            <w:pPr>
              <w:pStyle w:val="44"/>
              <w:spacing w:before="184" w:line="312" w:lineRule="auto"/>
              <w:ind w:left="119" w:right="108"/>
              <w:jc w:val="center"/>
              <w:rPr>
                <w:rFonts w:hint="eastAsia"/>
                <w:color w:val="auto"/>
                <w:highlight w:val="none"/>
              </w:rPr>
            </w:pPr>
            <w:r>
              <w:rPr>
                <w:rFonts w:hint="eastAsia"/>
                <w:color w:val="auto"/>
                <w:highlight w:val="none"/>
              </w:rPr>
              <w:t>项目负责人</w:t>
            </w:r>
          </w:p>
        </w:tc>
        <w:tc>
          <w:tcPr>
            <w:tcW w:w="940" w:type="dxa"/>
            <w:vMerge w:val="restart"/>
            <w:vAlign w:val="center"/>
          </w:tcPr>
          <w:p w14:paraId="58D93E32">
            <w:pPr>
              <w:pStyle w:val="44"/>
              <w:spacing w:before="184" w:line="312" w:lineRule="auto"/>
              <w:ind w:left="200" w:right="192"/>
              <w:jc w:val="center"/>
              <w:rPr>
                <w:rFonts w:hint="eastAsia"/>
                <w:color w:val="auto"/>
                <w:highlight w:val="none"/>
              </w:rPr>
            </w:pPr>
            <w:r>
              <w:rPr>
                <w:rFonts w:hint="eastAsia"/>
                <w:color w:val="auto"/>
                <w:highlight w:val="none"/>
              </w:rPr>
              <w:t>施工负责人</w:t>
            </w:r>
          </w:p>
        </w:tc>
        <w:tc>
          <w:tcPr>
            <w:tcW w:w="880" w:type="dxa"/>
            <w:vMerge w:val="restart"/>
            <w:vAlign w:val="center"/>
          </w:tcPr>
          <w:p w14:paraId="2133F768">
            <w:pPr>
              <w:pStyle w:val="44"/>
              <w:spacing w:before="184" w:line="312" w:lineRule="auto"/>
              <w:ind w:left="172" w:right="160"/>
              <w:jc w:val="center"/>
              <w:rPr>
                <w:rFonts w:hint="eastAsia"/>
                <w:color w:val="auto"/>
                <w:highlight w:val="none"/>
              </w:rPr>
            </w:pPr>
            <w:r>
              <w:rPr>
                <w:rFonts w:hint="eastAsia"/>
                <w:color w:val="auto"/>
                <w:highlight w:val="none"/>
              </w:rPr>
              <w:t>设计负责人</w:t>
            </w:r>
          </w:p>
        </w:tc>
        <w:tc>
          <w:tcPr>
            <w:tcW w:w="714" w:type="dxa"/>
            <w:vMerge w:val="restart"/>
            <w:vAlign w:val="center"/>
          </w:tcPr>
          <w:p w14:paraId="61A71231">
            <w:pPr>
              <w:pStyle w:val="44"/>
              <w:jc w:val="both"/>
              <w:rPr>
                <w:rFonts w:hint="eastAsia"/>
                <w:color w:val="auto"/>
                <w:highlight w:val="none"/>
              </w:rPr>
            </w:pPr>
            <w:r>
              <w:rPr>
                <w:rFonts w:hint="eastAsia"/>
                <w:color w:val="auto"/>
                <w:highlight w:val="none"/>
              </w:rPr>
              <w:t>备注</w:t>
            </w:r>
          </w:p>
        </w:tc>
        <w:tc>
          <w:tcPr>
            <w:tcW w:w="806" w:type="dxa"/>
            <w:vMerge w:val="restart"/>
            <w:vAlign w:val="center"/>
          </w:tcPr>
          <w:p w14:paraId="6171D198">
            <w:pPr>
              <w:pStyle w:val="44"/>
              <w:spacing w:line="312" w:lineRule="auto"/>
              <w:ind w:right="212"/>
              <w:jc w:val="center"/>
              <w:rPr>
                <w:rFonts w:hint="eastAsia"/>
                <w:color w:val="auto"/>
                <w:highlight w:val="none"/>
              </w:rPr>
            </w:pPr>
            <w:r>
              <w:rPr>
                <w:rFonts w:hint="eastAsia"/>
                <w:color w:val="auto"/>
                <w:highlight w:val="none"/>
              </w:rPr>
              <w:t>投标人确认</w:t>
            </w:r>
          </w:p>
        </w:tc>
      </w:tr>
      <w:tr w14:paraId="4CB8A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7" w:type="dxa"/>
            <w:vMerge w:val="continue"/>
            <w:tcBorders>
              <w:top w:val="nil"/>
            </w:tcBorders>
          </w:tcPr>
          <w:p w14:paraId="399C269B">
            <w:pPr>
              <w:rPr>
                <w:rFonts w:hint="eastAsia" w:ascii="宋体" w:hAnsi="宋体" w:cs="宋体"/>
                <w:color w:val="auto"/>
                <w:highlight w:val="none"/>
              </w:rPr>
            </w:pPr>
          </w:p>
        </w:tc>
        <w:tc>
          <w:tcPr>
            <w:tcW w:w="615" w:type="dxa"/>
            <w:vAlign w:val="center"/>
          </w:tcPr>
          <w:p w14:paraId="3681D137">
            <w:pPr>
              <w:pStyle w:val="44"/>
              <w:spacing w:before="81" w:line="312" w:lineRule="auto"/>
              <w:ind w:right="84"/>
              <w:jc w:val="center"/>
              <w:rPr>
                <w:rFonts w:hint="eastAsia"/>
                <w:color w:val="auto"/>
                <w:highlight w:val="none"/>
                <w:lang w:val="en-US"/>
              </w:rPr>
            </w:pPr>
            <w:r>
              <w:rPr>
                <w:rFonts w:hint="eastAsia"/>
                <w:color w:val="auto"/>
                <w:highlight w:val="none"/>
              </w:rPr>
              <w:t>联合体牵头人</w:t>
            </w:r>
            <w:r>
              <w:rPr>
                <w:rFonts w:hint="eastAsia"/>
                <w:color w:val="auto"/>
                <w:highlight w:val="none"/>
                <w:lang w:val="en-US"/>
              </w:rPr>
              <w:t>(如联合体投标)</w:t>
            </w:r>
          </w:p>
        </w:tc>
        <w:tc>
          <w:tcPr>
            <w:tcW w:w="615" w:type="dxa"/>
            <w:vAlign w:val="center"/>
          </w:tcPr>
          <w:p w14:paraId="2D43FAB5">
            <w:pPr>
              <w:pStyle w:val="44"/>
              <w:spacing w:before="1" w:line="312" w:lineRule="auto"/>
              <w:ind w:right="-55"/>
              <w:jc w:val="center"/>
              <w:rPr>
                <w:rFonts w:hint="eastAsia"/>
                <w:color w:val="auto"/>
                <w:highlight w:val="none"/>
                <w:lang w:val="en-US"/>
              </w:rPr>
            </w:pPr>
            <w:r>
              <w:rPr>
                <w:rFonts w:hint="eastAsia"/>
                <w:color w:val="auto"/>
                <w:highlight w:val="none"/>
              </w:rPr>
              <w:t>联合体成员</w:t>
            </w:r>
            <w:r>
              <w:rPr>
                <w:rFonts w:hint="eastAsia"/>
                <w:color w:val="auto"/>
                <w:highlight w:val="none"/>
                <w:lang w:val="en-US"/>
              </w:rPr>
              <w:t>(如联合体投标)</w:t>
            </w:r>
          </w:p>
        </w:tc>
        <w:tc>
          <w:tcPr>
            <w:tcW w:w="855" w:type="dxa"/>
            <w:vMerge w:val="continue"/>
            <w:tcBorders>
              <w:top w:val="nil"/>
            </w:tcBorders>
            <w:vAlign w:val="center"/>
          </w:tcPr>
          <w:p w14:paraId="23F5AF6C">
            <w:pPr>
              <w:jc w:val="center"/>
              <w:rPr>
                <w:rFonts w:hint="eastAsia" w:ascii="宋体" w:hAnsi="宋体" w:cs="宋体"/>
                <w:color w:val="auto"/>
                <w:highlight w:val="none"/>
              </w:rPr>
            </w:pPr>
          </w:p>
        </w:tc>
        <w:tc>
          <w:tcPr>
            <w:tcW w:w="625" w:type="dxa"/>
            <w:vMerge w:val="continue"/>
            <w:tcBorders>
              <w:top w:val="nil"/>
            </w:tcBorders>
            <w:vAlign w:val="center"/>
          </w:tcPr>
          <w:p w14:paraId="23578885">
            <w:pPr>
              <w:jc w:val="center"/>
              <w:rPr>
                <w:rFonts w:hint="eastAsia" w:ascii="宋体" w:hAnsi="宋体" w:cs="宋体"/>
                <w:color w:val="auto"/>
                <w:highlight w:val="none"/>
              </w:rPr>
            </w:pPr>
          </w:p>
        </w:tc>
        <w:tc>
          <w:tcPr>
            <w:tcW w:w="790" w:type="dxa"/>
            <w:vMerge w:val="continue"/>
            <w:tcBorders>
              <w:top w:val="nil"/>
            </w:tcBorders>
            <w:vAlign w:val="center"/>
          </w:tcPr>
          <w:p w14:paraId="701D1853">
            <w:pPr>
              <w:jc w:val="center"/>
              <w:rPr>
                <w:rFonts w:hint="eastAsia" w:ascii="宋体" w:hAnsi="宋体" w:cs="宋体"/>
                <w:color w:val="auto"/>
                <w:highlight w:val="none"/>
              </w:rPr>
            </w:pPr>
          </w:p>
        </w:tc>
        <w:tc>
          <w:tcPr>
            <w:tcW w:w="672" w:type="dxa"/>
            <w:vMerge w:val="continue"/>
            <w:tcBorders>
              <w:top w:val="nil"/>
            </w:tcBorders>
            <w:vAlign w:val="center"/>
          </w:tcPr>
          <w:p w14:paraId="273B2955">
            <w:pPr>
              <w:jc w:val="center"/>
              <w:rPr>
                <w:rFonts w:hint="eastAsia" w:ascii="宋体" w:hAnsi="宋体" w:cs="宋体"/>
                <w:color w:val="auto"/>
                <w:highlight w:val="none"/>
              </w:rPr>
            </w:pPr>
          </w:p>
        </w:tc>
        <w:tc>
          <w:tcPr>
            <w:tcW w:w="820" w:type="dxa"/>
            <w:vMerge w:val="continue"/>
            <w:tcBorders>
              <w:top w:val="nil"/>
            </w:tcBorders>
            <w:vAlign w:val="center"/>
          </w:tcPr>
          <w:p w14:paraId="23AD5B0D">
            <w:pPr>
              <w:jc w:val="center"/>
              <w:rPr>
                <w:rFonts w:hint="eastAsia" w:ascii="宋体" w:hAnsi="宋体" w:cs="宋体"/>
                <w:color w:val="auto"/>
                <w:highlight w:val="none"/>
              </w:rPr>
            </w:pPr>
          </w:p>
        </w:tc>
        <w:tc>
          <w:tcPr>
            <w:tcW w:w="940" w:type="dxa"/>
            <w:vMerge w:val="continue"/>
            <w:tcBorders>
              <w:top w:val="nil"/>
            </w:tcBorders>
            <w:vAlign w:val="center"/>
          </w:tcPr>
          <w:p w14:paraId="4C8ACBE7">
            <w:pPr>
              <w:jc w:val="center"/>
              <w:rPr>
                <w:rFonts w:hint="eastAsia" w:ascii="宋体" w:hAnsi="宋体" w:cs="宋体"/>
                <w:color w:val="auto"/>
                <w:highlight w:val="none"/>
              </w:rPr>
            </w:pPr>
          </w:p>
        </w:tc>
        <w:tc>
          <w:tcPr>
            <w:tcW w:w="880" w:type="dxa"/>
            <w:vMerge w:val="continue"/>
            <w:tcBorders>
              <w:top w:val="nil"/>
            </w:tcBorders>
            <w:vAlign w:val="center"/>
          </w:tcPr>
          <w:p w14:paraId="03BD3004">
            <w:pPr>
              <w:jc w:val="center"/>
              <w:rPr>
                <w:rFonts w:hint="eastAsia" w:ascii="宋体" w:hAnsi="宋体" w:cs="宋体"/>
                <w:color w:val="auto"/>
                <w:highlight w:val="none"/>
              </w:rPr>
            </w:pPr>
          </w:p>
        </w:tc>
        <w:tc>
          <w:tcPr>
            <w:tcW w:w="714" w:type="dxa"/>
            <w:vMerge w:val="continue"/>
            <w:tcBorders>
              <w:top w:val="nil"/>
            </w:tcBorders>
            <w:vAlign w:val="center"/>
          </w:tcPr>
          <w:p w14:paraId="0BE7CDCB">
            <w:pPr>
              <w:jc w:val="center"/>
              <w:rPr>
                <w:rFonts w:hint="eastAsia" w:ascii="宋体" w:hAnsi="宋体" w:cs="宋体"/>
                <w:color w:val="auto"/>
                <w:highlight w:val="none"/>
              </w:rPr>
            </w:pPr>
          </w:p>
        </w:tc>
        <w:tc>
          <w:tcPr>
            <w:tcW w:w="806" w:type="dxa"/>
            <w:vMerge w:val="continue"/>
            <w:tcBorders>
              <w:top w:val="nil"/>
            </w:tcBorders>
            <w:vAlign w:val="center"/>
          </w:tcPr>
          <w:p w14:paraId="56CE8B09">
            <w:pPr>
              <w:jc w:val="center"/>
              <w:rPr>
                <w:rFonts w:hint="eastAsia" w:ascii="宋体" w:hAnsi="宋体" w:cs="宋体"/>
                <w:color w:val="auto"/>
                <w:highlight w:val="none"/>
              </w:rPr>
            </w:pPr>
          </w:p>
        </w:tc>
      </w:tr>
      <w:tr w14:paraId="07B7A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497" w:type="dxa"/>
          </w:tcPr>
          <w:p w14:paraId="638A59DF">
            <w:pPr>
              <w:pStyle w:val="44"/>
              <w:rPr>
                <w:rFonts w:hint="eastAsia"/>
                <w:color w:val="auto"/>
                <w:highlight w:val="none"/>
              </w:rPr>
            </w:pPr>
          </w:p>
        </w:tc>
        <w:tc>
          <w:tcPr>
            <w:tcW w:w="615" w:type="dxa"/>
          </w:tcPr>
          <w:p w14:paraId="4DA69907">
            <w:pPr>
              <w:pStyle w:val="44"/>
              <w:rPr>
                <w:rFonts w:hint="eastAsia"/>
                <w:color w:val="auto"/>
                <w:highlight w:val="none"/>
              </w:rPr>
            </w:pPr>
          </w:p>
        </w:tc>
        <w:tc>
          <w:tcPr>
            <w:tcW w:w="615" w:type="dxa"/>
          </w:tcPr>
          <w:p w14:paraId="0B49734B">
            <w:pPr>
              <w:pStyle w:val="44"/>
              <w:rPr>
                <w:rFonts w:hint="eastAsia"/>
                <w:color w:val="auto"/>
                <w:highlight w:val="none"/>
              </w:rPr>
            </w:pPr>
          </w:p>
        </w:tc>
        <w:tc>
          <w:tcPr>
            <w:tcW w:w="855" w:type="dxa"/>
          </w:tcPr>
          <w:p w14:paraId="1BD8BE3E">
            <w:pPr>
              <w:pStyle w:val="44"/>
              <w:rPr>
                <w:rFonts w:hint="eastAsia"/>
                <w:color w:val="auto"/>
                <w:highlight w:val="none"/>
              </w:rPr>
            </w:pPr>
          </w:p>
        </w:tc>
        <w:tc>
          <w:tcPr>
            <w:tcW w:w="625" w:type="dxa"/>
          </w:tcPr>
          <w:p w14:paraId="65071AA0">
            <w:pPr>
              <w:pStyle w:val="44"/>
              <w:rPr>
                <w:rFonts w:hint="eastAsia"/>
                <w:color w:val="auto"/>
                <w:highlight w:val="none"/>
              </w:rPr>
            </w:pPr>
          </w:p>
        </w:tc>
        <w:tc>
          <w:tcPr>
            <w:tcW w:w="790" w:type="dxa"/>
          </w:tcPr>
          <w:p w14:paraId="5C955E9D">
            <w:pPr>
              <w:pStyle w:val="44"/>
              <w:rPr>
                <w:rFonts w:hint="eastAsia"/>
                <w:color w:val="auto"/>
                <w:highlight w:val="none"/>
              </w:rPr>
            </w:pPr>
          </w:p>
        </w:tc>
        <w:tc>
          <w:tcPr>
            <w:tcW w:w="672" w:type="dxa"/>
          </w:tcPr>
          <w:p w14:paraId="695B9BDA">
            <w:pPr>
              <w:pStyle w:val="44"/>
              <w:rPr>
                <w:rFonts w:hint="eastAsia"/>
                <w:color w:val="auto"/>
                <w:highlight w:val="none"/>
              </w:rPr>
            </w:pPr>
          </w:p>
        </w:tc>
        <w:tc>
          <w:tcPr>
            <w:tcW w:w="820" w:type="dxa"/>
          </w:tcPr>
          <w:p w14:paraId="7A76ECD5">
            <w:pPr>
              <w:pStyle w:val="44"/>
              <w:rPr>
                <w:rFonts w:hint="eastAsia"/>
                <w:color w:val="auto"/>
                <w:highlight w:val="none"/>
              </w:rPr>
            </w:pPr>
          </w:p>
        </w:tc>
        <w:tc>
          <w:tcPr>
            <w:tcW w:w="940" w:type="dxa"/>
          </w:tcPr>
          <w:p w14:paraId="3F68A423">
            <w:pPr>
              <w:pStyle w:val="44"/>
              <w:rPr>
                <w:rFonts w:hint="eastAsia"/>
                <w:color w:val="auto"/>
                <w:highlight w:val="none"/>
              </w:rPr>
            </w:pPr>
          </w:p>
        </w:tc>
        <w:tc>
          <w:tcPr>
            <w:tcW w:w="880" w:type="dxa"/>
          </w:tcPr>
          <w:p w14:paraId="2C6D96D4">
            <w:pPr>
              <w:pStyle w:val="44"/>
              <w:rPr>
                <w:rFonts w:hint="eastAsia"/>
                <w:color w:val="auto"/>
                <w:highlight w:val="none"/>
              </w:rPr>
            </w:pPr>
          </w:p>
        </w:tc>
        <w:tc>
          <w:tcPr>
            <w:tcW w:w="714" w:type="dxa"/>
          </w:tcPr>
          <w:p w14:paraId="033FFAC4">
            <w:pPr>
              <w:pStyle w:val="44"/>
              <w:rPr>
                <w:rFonts w:hint="eastAsia"/>
                <w:color w:val="auto"/>
                <w:highlight w:val="none"/>
              </w:rPr>
            </w:pPr>
          </w:p>
        </w:tc>
        <w:tc>
          <w:tcPr>
            <w:tcW w:w="806" w:type="dxa"/>
          </w:tcPr>
          <w:p w14:paraId="4883EA13">
            <w:pPr>
              <w:pStyle w:val="44"/>
              <w:rPr>
                <w:rFonts w:hint="eastAsia"/>
                <w:color w:val="auto"/>
                <w:highlight w:val="none"/>
              </w:rPr>
            </w:pPr>
          </w:p>
        </w:tc>
      </w:tr>
      <w:tr w14:paraId="19639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497" w:type="dxa"/>
          </w:tcPr>
          <w:p w14:paraId="2CD76EA0">
            <w:pPr>
              <w:pStyle w:val="44"/>
              <w:rPr>
                <w:rFonts w:hint="eastAsia"/>
                <w:color w:val="auto"/>
                <w:highlight w:val="none"/>
              </w:rPr>
            </w:pPr>
          </w:p>
        </w:tc>
        <w:tc>
          <w:tcPr>
            <w:tcW w:w="615" w:type="dxa"/>
          </w:tcPr>
          <w:p w14:paraId="5FBBA9E5">
            <w:pPr>
              <w:pStyle w:val="44"/>
              <w:rPr>
                <w:rFonts w:hint="eastAsia"/>
                <w:color w:val="auto"/>
                <w:highlight w:val="none"/>
              </w:rPr>
            </w:pPr>
          </w:p>
        </w:tc>
        <w:tc>
          <w:tcPr>
            <w:tcW w:w="615" w:type="dxa"/>
          </w:tcPr>
          <w:p w14:paraId="3D7191C1">
            <w:pPr>
              <w:pStyle w:val="44"/>
              <w:rPr>
                <w:rFonts w:hint="eastAsia"/>
                <w:color w:val="auto"/>
                <w:highlight w:val="none"/>
              </w:rPr>
            </w:pPr>
          </w:p>
        </w:tc>
        <w:tc>
          <w:tcPr>
            <w:tcW w:w="855" w:type="dxa"/>
          </w:tcPr>
          <w:p w14:paraId="48F1719A">
            <w:pPr>
              <w:pStyle w:val="44"/>
              <w:rPr>
                <w:rFonts w:hint="eastAsia"/>
                <w:color w:val="auto"/>
                <w:highlight w:val="none"/>
              </w:rPr>
            </w:pPr>
          </w:p>
        </w:tc>
        <w:tc>
          <w:tcPr>
            <w:tcW w:w="625" w:type="dxa"/>
          </w:tcPr>
          <w:p w14:paraId="71A00EA3">
            <w:pPr>
              <w:pStyle w:val="44"/>
              <w:rPr>
                <w:rFonts w:hint="eastAsia"/>
                <w:color w:val="auto"/>
                <w:highlight w:val="none"/>
              </w:rPr>
            </w:pPr>
          </w:p>
        </w:tc>
        <w:tc>
          <w:tcPr>
            <w:tcW w:w="790" w:type="dxa"/>
          </w:tcPr>
          <w:p w14:paraId="245E806C">
            <w:pPr>
              <w:pStyle w:val="44"/>
              <w:rPr>
                <w:rFonts w:hint="eastAsia"/>
                <w:color w:val="auto"/>
                <w:highlight w:val="none"/>
              </w:rPr>
            </w:pPr>
          </w:p>
        </w:tc>
        <w:tc>
          <w:tcPr>
            <w:tcW w:w="672" w:type="dxa"/>
          </w:tcPr>
          <w:p w14:paraId="587176CA">
            <w:pPr>
              <w:pStyle w:val="44"/>
              <w:rPr>
                <w:rFonts w:hint="eastAsia"/>
                <w:color w:val="auto"/>
                <w:highlight w:val="none"/>
              </w:rPr>
            </w:pPr>
          </w:p>
        </w:tc>
        <w:tc>
          <w:tcPr>
            <w:tcW w:w="820" w:type="dxa"/>
          </w:tcPr>
          <w:p w14:paraId="13E70F22">
            <w:pPr>
              <w:pStyle w:val="44"/>
              <w:rPr>
                <w:rFonts w:hint="eastAsia"/>
                <w:color w:val="auto"/>
                <w:highlight w:val="none"/>
              </w:rPr>
            </w:pPr>
          </w:p>
        </w:tc>
        <w:tc>
          <w:tcPr>
            <w:tcW w:w="940" w:type="dxa"/>
          </w:tcPr>
          <w:p w14:paraId="223C4679">
            <w:pPr>
              <w:pStyle w:val="44"/>
              <w:rPr>
                <w:rFonts w:hint="eastAsia"/>
                <w:color w:val="auto"/>
                <w:highlight w:val="none"/>
              </w:rPr>
            </w:pPr>
          </w:p>
        </w:tc>
        <w:tc>
          <w:tcPr>
            <w:tcW w:w="880" w:type="dxa"/>
          </w:tcPr>
          <w:p w14:paraId="7D684F7E">
            <w:pPr>
              <w:pStyle w:val="44"/>
              <w:rPr>
                <w:rFonts w:hint="eastAsia"/>
                <w:color w:val="auto"/>
                <w:highlight w:val="none"/>
              </w:rPr>
            </w:pPr>
          </w:p>
        </w:tc>
        <w:tc>
          <w:tcPr>
            <w:tcW w:w="714" w:type="dxa"/>
          </w:tcPr>
          <w:p w14:paraId="25BE962D">
            <w:pPr>
              <w:pStyle w:val="44"/>
              <w:rPr>
                <w:rFonts w:hint="eastAsia"/>
                <w:color w:val="auto"/>
                <w:highlight w:val="none"/>
              </w:rPr>
            </w:pPr>
          </w:p>
        </w:tc>
        <w:tc>
          <w:tcPr>
            <w:tcW w:w="806" w:type="dxa"/>
          </w:tcPr>
          <w:p w14:paraId="1B940A80">
            <w:pPr>
              <w:pStyle w:val="44"/>
              <w:rPr>
                <w:rFonts w:hint="eastAsia"/>
                <w:color w:val="auto"/>
                <w:highlight w:val="none"/>
              </w:rPr>
            </w:pPr>
          </w:p>
        </w:tc>
      </w:tr>
      <w:tr w14:paraId="5CE63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497" w:type="dxa"/>
          </w:tcPr>
          <w:p w14:paraId="1C62E19F">
            <w:pPr>
              <w:pStyle w:val="44"/>
              <w:rPr>
                <w:rFonts w:hint="eastAsia"/>
                <w:color w:val="auto"/>
                <w:highlight w:val="none"/>
              </w:rPr>
            </w:pPr>
          </w:p>
        </w:tc>
        <w:tc>
          <w:tcPr>
            <w:tcW w:w="615" w:type="dxa"/>
          </w:tcPr>
          <w:p w14:paraId="18764AE9">
            <w:pPr>
              <w:pStyle w:val="44"/>
              <w:rPr>
                <w:rFonts w:hint="eastAsia"/>
                <w:color w:val="auto"/>
                <w:highlight w:val="none"/>
              </w:rPr>
            </w:pPr>
          </w:p>
        </w:tc>
        <w:tc>
          <w:tcPr>
            <w:tcW w:w="615" w:type="dxa"/>
          </w:tcPr>
          <w:p w14:paraId="0D247E53">
            <w:pPr>
              <w:pStyle w:val="44"/>
              <w:rPr>
                <w:rFonts w:hint="eastAsia"/>
                <w:color w:val="auto"/>
                <w:highlight w:val="none"/>
              </w:rPr>
            </w:pPr>
          </w:p>
        </w:tc>
        <w:tc>
          <w:tcPr>
            <w:tcW w:w="855" w:type="dxa"/>
          </w:tcPr>
          <w:p w14:paraId="4C0EFA09">
            <w:pPr>
              <w:pStyle w:val="44"/>
              <w:rPr>
                <w:rFonts w:hint="eastAsia"/>
                <w:color w:val="auto"/>
                <w:highlight w:val="none"/>
              </w:rPr>
            </w:pPr>
          </w:p>
        </w:tc>
        <w:tc>
          <w:tcPr>
            <w:tcW w:w="625" w:type="dxa"/>
          </w:tcPr>
          <w:p w14:paraId="759B1AD6">
            <w:pPr>
              <w:pStyle w:val="44"/>
              <w:rPr>
                <w:rFonts w:hint="eastAsia"/>
                <w:color w:val="auto"/>
                <w:highlight w:val="none"/>
              </w:rPr>
            </w:pPr>
          </w:p>
        </w:tc>
        <w:tc>
          <w:tcPr>
            <w:tcW w:w="790" w:type="dxa"/>
          </w:tcPr>
          <w:p w14:paraId="5A616F57">
            <w:pPr>
              <w:pStyle w:val="44"/>
              <w:rPr>
                <w:rFonts w:hint="eastAsia"/>
                <w:color w:val="auto"/>
                <w:highlight w:val="none"/>
              </w:rPr>
            </w:pPr>
          </w:p>
        </w:tc>
        <w:tc>
          <w:tcPr>
            <w:tcW w:w="672" w:type="dxa"/>
          </w:tcPr>
          <w:p w14:paraId="66F93026">
            <w:pPr>
              <w:pStyle w:val="44"/>
              <w:rPr>
                <w:rFonts w:hint="eastAsia"/>
                <w:color w:val="auto"/>
                <w:highlight w:val="none"/>
              </w:rPr>
            </w:pPr>
          </w:p>
        </w:tc>
        <w:tc>
          <w:tcPr>
            <w:tcW w:w="820" w:type="dxa"/>
          </w:tcPr>
          <w:p w14:paraId="00B90FF4">
            <w:pPr>
              <w:pStyle w:val="44"/>
              <w:rPr>
                <w:rFonts w:hint="eastAsia"/>
                <w:color w:val="auto"/>
                <w:highlight w:val="none"/>
              </w:rPr>
            </w:pPr>
          </w:p>
        </w:tc>
        <w:tc>
          <w:tcPr>
            <w:tcW w:w="940" w:type="dxa"/>
          </w:tcPr>
          <w:p w14:paraId="56A5B791">
            <w:pPr>
              <w:pStyle w:val="44"/>
              <w:rPr>
                <w:rFonts w:hint="eastAsia"/>
                <w:color w:val="auto"/>
                <w:highlight w:val="none"/>
              </w:rPr>
            </w:pPr>
          </w:p>
        </w:tc>
        <w:tc>
          <w:tcPr>
            <w:tcW w:w="880" w:type="dxa"/>
          </w:tcPr>
          <w:p w14:paraId="2E800ACC">
            <w:pPr>
              <w:pStyle w:val="44"/>
              <w:rPr>
                <w:rFonts w:hint="eastAsia"/>
                <w:color w:val="auto"/>
                <w:highlight w:val="none"/>
              </w:rPr>
            </w:pPr>
          </w:p>
        </w:tc>
        <w:tc>
          <w:tcPr>
            <w:tcW w:w="714" w:type="dxa"/>
          </w:tcPr>
          <w:p w14:paraId="012B003E">
            <w:pPr>
              <w:pStyle w:val="44"/>
              <w:rPr>
                <w:rFonts w:hint="eastAsia"/>
                <w:color w:val="auto"/>
                <w:highlight w:val="none"/>
              </w:rPr>
            </w:pPr>
          </w:p>
        </w:tc>
        <w:tc>
          <w:tcPr>
            <w:tcW w:w="806" w:type="dxa"/>
          </w:tcPr>
          <w:p w14:paraId="69B4EC9D">
            <w:pPr>
              <w:pStyle w:val="44"/>
              <w:rPr>
                <w:rFonts w:hint="eastAsia"/>
                <w:color w:val="auto"/>
                <w:highlight w:val="none"/>
              </w:rPr>
            </w:pPr>
          </w:p>
        </w:tc>
      </w:tr>
      <w:tr w14:paraId="1D462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497" w:type="dxa"/>
          </w:tcPr>
          <w:p w14:paraId="06A60FB5">
            <w:pPr>
              <w:pStyle w:val="44"/>
              <w:rPr>
                <w:rFonts w:hint="eastAsia"/>
                <w:color w:val="auto"/>
                <w:highlight w:val="none"/>
              </w:rPr>
            </w:pPr>
          </w:p>
        </w:tc>
        <w:tc>
          <w:tcPr>
            <w:tcW w:w="615" w:type="dxa"/>
          </w:tcPr>
          <w:p w14:paraId="2BB54EC6">
            <w:pPr>
              <w:pStyle w:val="44"/>
              <w:rPr>
                <w:rFonts w:hint="eastAsia"/>
                <w:color w:val="auto"/>
                <w:highlight w:val="none"/>
              </w:rPr>
            </w:pPr>
          </w:p>
        </w:tc>
        <w:tc>
          <w:tcPr>
            <w:tcW w:w="615" w:type="dxa"/>
          </w:tcPr>
          <w:p w14:paraId="659BC85C">
            <w:pPr>
              <w:pStyle w:val="44"/>
              <w:rPr>
                <w:rFonts w:hint="eastAsia"/>
                <w:color w:val="auto"/>
                <w:highlight w:val="none"/>
              </w:rPr>
            </w:pPr>
          </w:p>
        </w:tc>
        <w:tc>
          <w:tcPr>
            <w:tcW w:w="855" w:type="dxa"/>
          </w:tcPr>
          <w:p w14:paraId="246267BC">
            <w:pPr>
              <w:pStyle w:val="44"/>
              <w:rPr>
                <w:rFonts w:hint="eastAsia"/>
                <w:color w:val="auto"/>
                <w:highlight w:val="none"/>
              </w:rPr>
            </w:pPr>
          </w:p>
        </w:tc>
        <w:tc>
          <w:tcPr>
            <w:tcW w:w="625" w:type="dxa"/>
          </w:tcPr>
          <w:p w14:paraId="6E3269DE">
            <w:pPr>
              <w:pStyle w:val="44"/>
              <w:rPr>
                <w:rFonts w:hint="eastAsia"/>
                <w:color w:val="auto"/>
                <w:highlight w:val="none"/>
              </w:rPr>
            </w:pPr>
          </w:p>
        </w:tc>
        <w:tc>
          <w:tcPr>
            <w:tcW w:w="790" w:type="dxa"/>
          </w:tcPr>
          <w:p w14:paraId="1F1449EF">
            <w:pPr>
              <w:pStyle w:val="44"/>
              <w:rPr>
                <w:rFonts w:hint="eastAsia"/>
                <w:color w:val="auto"/>
                <w:highlight w:val="none"/>
              </w:rPr>
            </w:pPr>
          </w:p>
        </w:tc>
        <w:tc>
          <w:tcPr>
            <w:tcW w:w="672" w:type="dxa"/>
          </w:tcPr>
          <w:p w14:paraId="68651908">
            <w:pPr>
              <w:pStyle w:val="44"/>
              <w:rPr>
                <w:rFonts w:hint="eastAsia"/>
                <w:color w:val="auto"/>
                <w:highlight w:val="none"/>
              </w:rPr>
            </w:pPr>
          </w:p>
        </w:tc>
        <w:tc>
          <w:tcPr>
            <w:tcW w:w="820" w:type="dxa"/>
          </w:tcPr>
          <w:p w14:paraId="097E457D">
            <w:pPr>
              <w:pStyle w:val="44"/>
              <w:rPr>
                <w:rFonts w:hint="eastAsia"/>
                <w:color w:val="auto"/>
                <w:highlight w:val="none"/>
              </w:rPr>
            </w:pPr>
          </w:p>
        </w:tc>
        <w:tc>
          <w:tcPr>
            <w:tcW w:w="940" w:type="dxa"/>
          </w:tcPr>
          <w:p w14:paraId="4C3C905F">
            <w:pPr>
              <w:pStyle w:val="44"/>
              <w:rPr>
                <w:rFonts w:hint="eastAsia"/>
                <w:color w:val="auto"/>
                <w:highlight w:val="none"/>
              </w:rPr>
            </w:pPr>
          </w:p>
        </w:tc>
        <w:tc>
          <w:tcPr>
            <w:tcW w:w="880" w:type="dxa"/>
          </w:tcPr>
          <w:p w14:paraId="4A7B5CAF">
            <w:pPr>
              <w:pStyle w:val="44"/>
              <w:rPr>
                <w:rFonts w:hint="eastAsia"/>
                <w:color w:val="auto"/>
                <w:highlight w:val="none"/>
              </w:rPr>
            </w:pPr>
          </w:p>
        </w:tc>
        <w:tc>
          <w:tcPr>
            <w:tcW w:w="714" w:type="dxa"/>
          </w:tcPr>
          <w:p w14:paraId="799F8D0C">
            <w:pPr>
              <w:pStyle w:val="44"/>
              <w:rPr>
                <w:rFonts w:hint="eastAsia"/>
                <w:color w:val="auto"/>
                <w:highlight w:val="none"/>
              </w:rPr>
            </w:pPr>
          </w:p>
        </w:tc>
        <w:tc>
          <w:tcPr>
            <w:tcW w:w="806" w:type="dxa"/>
          </w:tcPr>
          <w:p w14:paraId="78F2FFA4">
            <w:pPr>
              <w:pStyle w:val="44"/>
              <w:rPr>
                <w:rFonts w:hint="eastAsia"/>
                <w:color w:val="auto"/>
                <w:highlight w:val="none"/>
              </w:rPr>
            </w:pPr>
          </w:p>
        </w:tc>
      </w:tr>
      <w:tr w14:paraId="7B82A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497" w:type="dxa"/>
          </w:tcPr>
          <w:p w14:paraId="26748DA7">
            <w:pPr>
              <w:pStyle w:val="44"/>
              <w:rPr>
                <w:rFonts w:hint="eastAsia"/>
                <w:color w:val="auto"/>
                <w:highlight w:val="none"/>
              </w:rPr>
            </w:pPr>
          </w:p>
        </w:tc>
        <w:tc>
          <w:tcPr>
            <w:tcW w:w="615" w:type="dxa"/>
          </w:tcPr>
          <w:p w14:paraId="606AF743">
            <w:pPr>
              <w:pStyle w:val="44"/>
              <w:rPr>
                <w:rFonts w:hint="eastAsia"/>
                <w:color w:val="auto"/>
                <w:highlight w:val="none"/>
              </w:rPr>
            </w:pPr>
          </w:p>
        </w:tc>
        <w:tc>
          <w:tcPr>
            <w:tcW w:w="615" w:type="dxa"/>
          </w:tcPr>
          <w:p w14:paraId="029CBD01">
            <w:pPr>
              <w:pStyle w:val="44"/>
              <w:rPr>
                <w:rFonts w:hint="eastAsia"/>
                <w:color w:val="auto"/>
                <w:highlight w:val="none"/>
              </w:rPr>
            </w:pPr>
          </w:p>
        </w:tc>
        <w:tc>
          <w:tcPr>
            <w:tcW w:w="855" w:type="dxa"/>
          </w:tcPr>
          <w:p w14:paraId="520B85E9">
            <w:pPr>
              <w:pStyle w:val="44"/>
              <w:rPr>
                <w:rFonts w:hint="eastAsia"/>
                <w:color w:val="auto"/>
                <w:highlight w:val="none"/>
              </w:rPr>
            </w:pPr>
          </w:p>
        </w:tc>
        <w:tc>
          <w:tcPr>
            <w:tcW w:w="625" w:type="dxa"/>
          </w:tcPr>
          <w:p w14:paraId="1F1D1E7B">
            <w:pPr>
              <w:pStyle w:val="44"/>
              <w:rPr>
                <w:rFonts w:hint="eastAsia"/>
                <w:color w:val="auto"/>
                <w:highlight w:val="none"/>
              </w:rPr>
            </w:pPr>
          </w:p>
        </w:tc>
        <w:tc>
          <w:tcPr>
            <w:tcW w:w="790" w:type="dxa"/>
          </w:tcPr>
          <w:p w14:paraId="3B270F34">
            <w:pPr>
              <w:pStyle w:val="44"/>
              <w:rPr>
                <w:rFonts w:hint="eastAsia"/>
                <w:color w:val="auto"/>
                <w:highlight w:val="none"/>
              </w:rPr>
            </w:pPr>
          </w:p>
        </w:tc>
        <w:tc>
          <w:tcPr>
            <w:tcW w:w="672" w:type="dxa"/>
          </w:tcPr>
          <w:p w14:paraId="647F1268">
            <w:pPr>
              <w:pStyle w:val="44"/>
              <w:rPr>
                <w:rFonts w:hint="eastAsia"/>
                <w:color w:val="auto"/>
                <w:highlight w:val="none"/>
              </w:rPr>
            </w:pPr>
          </w:p>
        </w:tc>
        <w:tc>
          <w:tcPr>
            <w:tcW w:w="820" w:type="dxa"/>
          </w:tcPr>
          <w:p w14:paraId="79F21BC9">
            <w:pPr>
              <w:pStyle w:val="44"/>
              <w:rPr>
                <w:rFonts w:hint="eastAsia"/>
                <w:color w:val="auto"/>
                <w:highlight w:val="none"/>
              </w:rPr>
            </w:pPr>
          </w:p>
        </w:tc>
        <w:tc>
          <w:tcPr>
            <w:tcW w:w="940" w:type="dxa"/>
          </w:tcPr>
          <w:p w14:paraId="5820DF76">
            <w:pPr>
              <w:pStyle w:val="44"/>
              <w:rPr>
                <w:rFonts w:hint="eastAsia"/>
                <w:color w:val="auto"/>
                <w:highlight w:val="none"/>
              </w:rPr>
            </w:pPr>
          </w:p>
        </w:tc>
        <w:tc>
          <w:tcPr>
            <w:tcW w:w="880" w:type="dxa"/>
          </w:tcPr>
          <w:p w14:paraId="00298C03">
            <w:pPr>
              <w:pStyle w:val="44"/>
              <w:rPr>
                <w:rFonts w:hint="eastAsia"/>
                <w:color w:val="auto"/>
                <w:highlight w:val="none"/>
              </w:rPr>
            </w:pPr>
          </w:p>
        </w:tc>
        <w:tc>
          <w:tcPr>
            <w:tcW w:w="714" w:type="dxa"/>
          </w:tcPr>
          <w:p w14:paraId="54ECEFE8">
            <w:pPr>
              <w:pStyle w:val="44"/>
              <w:rPr>
                <w:rFonts w:hint="eastAsia"/>
                <w:color w:val="auto"/>
                <w:highlight w:val="none"/>
              </w:rPr>
            </w:pPr>
          </w:p>
        </w:tc>
        <w:tc>
          <w:tcPr>
            <w:tcW w:w="806" w:type="dxa"/>
          </w:tcPr>
          <w:p w14:paraId="20BC868E">
            <w:pPr>
              <w:pStyle w:val="44"/>
              <w:rPr>
                <w:rFonts w:hint="eastAsia"/>
                <w:color w:val="auto"/>
                <w:highlight w:val="none"/>
              </w:rPr>
            </w:pPr>
          </w:p>
        </w:tc>
      </w:tr>
      <w:tr w14:paraId="0637B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497" w:type="dxa"/>
          </w:tcPr>
          <w:p w14:paraId="5F40751C">
            <w:pPr>
              <w:pStyle w:val="44"/>
              <w:rPr>
                <w:rFonts w:hint="eastAsia"/>
                <w:color w:val="auto"/>
                <w:highlight w:val="none"/>
              </w:rPr>
            </w:pPr>
          </w:p>
        </w:tc>
        <w:tc>
          <w:tcPr>
            <w:tcW w:w="615" w:type="dxa"/>
          </w:tcPr>
          <w:p w14:paraId="46D9AE47">
            <w:pPr>
              <w:pStyle w:val="44"/>
              <w:rPr>
                <w:rFonts w:hint="eastAsia"/>
                <w:color w:val="auto"/>
                <w:highlight w:val="none"/>
              </w:rPr>
            </w:pPr>
          </w:p>
        </w:tc>
        <w:tc>
          <w:tcPr>
            <w:tcW w:w="615" w:type="dxa"/>
          </w:tcPr>
          <w:p w14:paraId="27FFC458">
            <w:pPr>
              <w:pStyle w:val="44"/>
              <w:rPr>
                <w:rFonts w:hint="eastAsia"/>
                <w:color w:val="auto"/>
                <w:highlight w:val="none"/>
              </w:rPr>
            </w:pPr>
          </w:p>
        </w:tc>
        <w:tc>
          <w:tcPr>
            <w:tcW w:w="855" w:type="dxa"/>
          </w:tcPr>
          <w:p w14:paraId="1A1C22B0">
            <w:pPr>
              <w:pStyle w:val="44"/>
              <w:rPr>
                <w:rFonts w:hint="eastAsia"/>
                <w:color w:val="auto"/>
                <w:highlight w:val="none"/>
              </w:rPr>
            </w:pPr>
          </w:p>
        </w:tc>
        <w:tc>
          <w:tcPr>
            <w:tcW w:w="625" w:type="dxa"/>
          </w:tcPr>
          <w:p w14:paraId="446B6EB0">
            <w:pPr>
              <w:pStyle w:val="44"/>
              <w:rPr>
                <w:rFonts w:hint="eastAsia"/>
                <w:color w:val="auto"/>
                <w:highlight w:val="none"/>
              </w:rPr>
            </w:pPr>
          </w:p>
        </w:tc>
        <w:tc>
          <w:tcPr>
            <w:tcW w:w="790" w:type="dxa"/>
          </w:tcPr>
          <w:p w14:paraId="68822AFB">
            <w:pPr>
              <w:pStyle w:val="44"/>
              <w:rPr>
                <w:rFonts w:hint="eastAsia"/>
                <w:color w:val="auto"/>
                <w:highlight w:val="none"/>
              </w:rPr>
            </w:pPr>
          </w:p>
        </w:tc>
        <w:tc>
          <w:tcPr>
            <w:tcW w:w="672" w:type="dxa"/>
          </w:tcPr>
          <w:p w14:paraId="64B7BF3D">
            <w:pPr>
              <w:pStyle w:val="44"/>
              <w:rPr>
                <w:rFonts w:hint="eastAsia"/>
                <w:color w:val="auto"/>
                <w:highlight w:val="none"/>
              </w:rPr>
            </w:pPr>
          </w:p>
        </w:tc>
        <w:tc>
          <w:tcPr>
            <w:tcW w:w="820" w:type="dxa"/>
          </w:tcPr>
          <w:p w14:paraId="7830821D">
            <w:pPr>
              <w:pStyle w:val="44"/>
              <w:rPr>
                <w:rFonts w:hint="eastAsia"/>
                <w:color w:val="auto"/>
                <w:highlight w:val="none"/>
              </w:rPr>
            </w:pPr>
          </w:p>
        </w:tc>
        <w:tc>
          <w:tcPr>
            <w:tcW w:w="940" w:type="dxa"/>
          </w:tcPr>
          <w:p w14:paraId="77FC9582">
            <w:pPr>
              <w:pStyle w:val="44"/>
              <w:rPr>
                <w:rFonts w:hint="eastAsia"/>
                <w:color w:val="auto"/>
                <w:highlight w:val="none"/>
              </w:rPr>
            </w:pPr>
          </w:p>
        </w:tc>
        <w:tc>
          <w:tcPr>
            <w:tcW w:w="880" w:type="dxa"/>
          </w:tcPr>
          <w:p w14:paraId="3000898C">
            <w:pPr>
              <w:pStyle w:val="44"/>
              <w:rPr>
                <w:rFonts w:hint="eastAsia"/>
                <w:color w:val="auto"/>
                <w:highlight w:val="none"/>
              </w:rPr>
            </w:pPr>
          </w:p>
        </w:tc>
        <w:tc>
          <w:tcPr>
            <w:tcW w:w="714" w:type="dxa"/>
          </w:tcPr>
          <w:p w14:paraId="1FA99A4D">
            <w:pPr>
              <w:pStyle w:val="44"/>
              <w:rPr>
                <w:rFonts w:hint="eastAsia"/>
                <w:color w:val="auto"/>
                <w:highlight w:val="none"/>
              </w:rPr>
            </w:pPr>
          </w:p>
        </w:tc>
        <w:tc>
          <w:tcPr>
            <w:tcW w:w="806" w:type="dxa"/>
          </w:tcPr>
          <w:p w14:paraId="489138AA">
            <w:pPr>
              <w:pStyle w:val="44"/>
              <w:rPr>
                <w:rFonts w:hint="eastAsia"/>
                <w:color w:val="auto"/>
                <w:highlight w:val="none"/>
              </w:rPr>
            </w:pPr>
          </w:p>
        </w:tc>
      </w:tr>
      <w:tr w14:paraId="3C8CD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497" w:type="dxa"/>
          </w:tcPr>
          <w:p w14:paraId="217C95B8">
            <w:pPr>
              <w:pStyle w:val="44"/>
              <w:rPr>
                <w:rFonts w:hint="eastAsia"/>
                <w:color w:val="auto"/>
                <w:highlight w:val="none"/>
              </w:rPr>
            </w:pPr>
          </w:p>
        </w:tc>
        <w:tc>
          <w:tcPr>
            <w:tcW w:w="615" w:type="dxa"/>
          </w:tcPr>
          <w:p w14:paraId="438889C9">
            <w:pPr>
              <w:pStyle w:val="44"/>
              <w:rPr>
                <w:rFonts w:hint="eastAsia"/>
                <w:color w:val="auto"/>
                <w:highlight w:val="none"/>
              </w:rPr>
            </w:pPr>
          </w:p>
        </w:tc>
        <w:tc>
          <w:tcPr>
            <w:tcW w:w="615" w:type="dxa"/>
          </w:tcPr>
          <w:p w14:paraId="681ACAF8">
            <w:pPr>
              <w:pStyle w:val="44"/>
              <w:rPr>
                <w:rFonts w:hint="eastAsia"/>
                <w:color w:val="auto"/>
                <w:highlight w:val="none"/>
              </w:rPr>
            </w:pPr>
          </w:p>
        </w:tc>
        <w:tc>
          <w:tcPr>
            <w:tcW w:w="855" w:type="dxa"/>
          </w:tcPr>
          <w:p w14:paraId="66E97BF6">
            <w:pPr>
              <w:pStyle w:val="44"/>
              <w:rPr>
                <w:rFonts w:hint="eastAsia"/>
                <w:color w:val="auto"/>
                <w:highlight w:val="none"/>
              </w:rPr>
            </w:pPr>
          </w:p>
        </w:tc>
        <w:tc>
          <w:tcPr>
            <w:tcW w:w="625" w:type="dxa"/>
          </w:tcPr>
          <w:p w14:paraId="26456D7A">
            <w:pPr>
              <w:pStyle w:val="44"/>
              <w:rPr>
                <w:rFonts w:hint="eastAsia"/>
                <w:color w:val="auto"/>
                <w:highlight w:val="none"/>
              </w:rPr>
            </w:pPr>
          </w:p>
        </w:tc>
        <w:tc>
          <w:tcPr>
            <w:tcW w:w="790" w:type="dxa"/>
          </w:tcPr>
          <w:p w14:paraId="5085A461">
            <w:pPr>
              <w:pStyle w:val="44"/>
              <w:rPr>
                <w:rFonts w:hint="eastAsia"/>
                <w:color w:val="auto"/>
                <w:highlight w:val="none"/>
              </w:rPr>
            </w:pPr>
          </w:p>
        </w:tc>
        <w:tc>
          <w:tcPr>
            <w:tcW w:w="672" w:type="dxa"/>
          </w:tcPr>
          <w:p w14:paraId="32000CE2">
            <w:pPr>
              <w:pStyle w:val="44"/>
              <w:rPr>
                <w:rFonts w:hint="eastAsia"/>
                <w:color w:val="auto"/>
                <w:highlight w:val="none"/>
              </w:rPr>
            </w:pPr>
          </w:p>
        </w:tc>
        <w:tc>
          <w:tcPr>
            <w:tcW w:w="820" w:type="dxa"/>
          </w:tcPr>
          <w:p w14:paraId="46FB064E">
            <w:pPr>
              <w:pStyle w:val="44"/>
              <w:rPr>
                <w:rFonts w:hint="eastAsia"/>
                <w:color w:val="auto"/>
                <w:highlight w:val="none"/>
              </w:rPr>
            </w:pPr>
          </w:p>
        </w:tc>
        <w:tc>
          <w:tcPr>
            <w:tcW w:w="940" w:type="dxa"/>
          </w:tcPr>
          <w:p w14:paraId="272DADC3">
            <w:pPr>
              <w:pStyle w:val="44"/>
              <w:rPr>
                <w:rFonts w:hint="eastAsia"/>
                <w:color w:val="auto"/>
                <w:highlight w:val="none"/>
              </w:rPr>
            </w:pPr>
          </w:p>
        </w:tc>
        <w:tc>
          <w:tcPr>
            <w:tcW w:w="880" w:type="dxa"/>
          </w:tcPr>
          <w:p w14:paraId="1E6FDA00">
            <w:pPr>
              <w:pStyle w:val="44"/>
              <w:rPr>
                <w:rFonts w:hint="eastAsia"/>
                <w:color w:val="auto"/>
                <w:highlight w:val="none"/>
              </w:rPr>
            </w:pPr>
          </w:p>
        </w:tc>
        <w:tc>
          <w:tcPr>
            <w:tcW w:w="714" w:type="dxa"/>
          </w:tcPr>
          <w:p w14:paraId="440AE267">
            <w:pPr>
              <w:pStyle w:val="44"/>
              <w:rPr>
                <w:rFonts w:hint="eastAsia"/>
                <w:color w:val="auto"/>
                <w:highlight w:val="none"/>
              </w:rPr>
            </w:pPr>
          </w:p>
        </w:tc>
        <w:tc>
          <w:tcPr>
            <w:tcW w:w="806" w:type="dxa"/>
          </w:tcPr>
          <w:p w14:paraId="709C704B">
            <w:pPr>
              <w:pStyle w:val="44"/>
              <w:rPr>
                <w:rFonts w:hint="eastAsia"/>
                <w:color w:val="auto"/>
                <w:highlight w:val="none"/>
              </w:rPr>
            </w:pPr>
          </w:p>
        </w:tc>
      </w:tr>
    </w:tbl>
    <w:p w14:paraId="02002EAC">
      <w:pPr>
        <w:pStyle w:val="9"/>
        <w:tabs>
          <w:tab w:val="left" w:pos="3068"/>
          <w:tab w:val="left" w:pos="4868"/>
          <w:tab w:val="left" w:pos="6727"/>
        </w:tabs>
        <w:ind w:left="788"/>
        <w:rPr>
          <w:rFonts w:hint="eastAsia" w:ascii="宋体" w:hAnsi="宋体" w:cs="宋体"/>
          <w:color w:val="auto"/>
          <w:highlight w:val="none"/>
        </w:rPr>
      </w:pPr>
      <w:r>
        <w:rPr>
          <w:rFonts w:hint="eastAsia" w:ascii="宋体" w:hAnsi="宋体" w:cs="宋体"/>
          <w:color w:val="auto"/>
          <w:highlight w:val="none"/>
        </w:rPr>
        <w:t>招标人代表：</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记录人：</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spacing w:val="-1"/>
          <w:highlight w:val="none"/>
        </w:rPr>
        <w:t>监</w:t>
      </w:r>
      <w:r>
        <w:rPr>
          <w:rFonts w:hint="eastAsia" w:ascii="宋体" w:hAnsi="宋体" w:cs="宋体"/>
          <w:color w:val="auto"/>
          <w:highlight w:val="none"/>
        </w:rPr>
        <w:t>标人：</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p>
    <w:p w14:paraId="5C0B3F2B">
      <w:pPr>
        <w:pStyle w:val="9"/>
        <w:tabs>
          <w:tab w:val="left" w:pos="360"/>
          <w:tab w:val="left" w:pos="960"/>
          <w:tab w:val="left" w:pos="1560"/>
        </w:tabs>
        <w:spacing w:before="67"/>
        <w:ind w:right="1126"/>
        <w:jc w:val="right"/>
        <w:rPr>
          <w:rFonts w:hint="eastAsia"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日</w:t>
      </w:r>
    </w:p>
    <w:p w14:paraId="368347CA">
      <w:pPr>
        <w:rPr>
          <w:rFonts w:hint="eastAsia" w:ascii="宋体" w:hAnsi="宋体" w:cs="宋体"/>
          <w:b/>
          <w:bCs/>
          <w:color w:val="auto"/>
          <w:highlight w:val="none"/>
        </w:rPr>
      </w:pPr>
      <w:r>
        <w:rPr>
          <w:rFonts w:hint="eastAsia" w:ascii="宋体" w:hAnsi="宋体" w:cs="宋体"/>
          <w:b/>
          <w:bCs/>
          <w:color w:val="auto"/>
          <w:highlight w:val="none"/>
        </w:rPr>
        <w:br w:type="page"/>
      </w:r>
      <w:r>
        <w:rPr>
          <w:rFonts w:hint="eastAsia" w:ascii="宋体" w:hAnsi="宋体" w:cs="宋体"/>
          <w:b/>
          <w:bCs/>
          <w:color w:val="auto"/>
          <w:highlight w:val="none"/>
        </w:rPr>
        <w:t>附件二：问题澄清通知</w:t>
      </w:r>
    </w:p>
    <w:p w14:paraId="6565E1D4">
      <w:pPr>
        <w:pStyle w:val="9"/>
        <w:spacing w:before="66" w:line="436" w:lineRule="auto"/>
        <w:ind w:right="-50"/>
        <w:jc w:val="center"/>
        <w:rPr>
          <w:rFonts w:ascii="黑体" w:eastAsia="黑体"/>
          <w:color w:val="auto"/>
          <w:sz w:val="36"/>
          <w:szCs w:val="36"/>
          <w:highlight w:val="none"/>
          <w:lang w:val="zh-CN"/>
        </w:rPr>
      </w:pPr>
      <w:r>
        <w:rPr>
          <w:rFonts w:hint="eastAsia" w:ascii="黑体" w:eastAsia="黑体"/>
          <w:color w:val="auto"/>
          <w:sz w:val="36"/>
          <w:szCs w:val="36"/>
          <w:highlight w:val="none"/>
          <w:lang w:val="zh-CN"/>
        </w:rPr>
        <w:t>问题澄清通知</w:t>
      </w:r>
    </w:p>
    <w:p w14:paraId="10956CDE">
      <w:pPr>
        <w:wordWrap w:val="0"/>
        <w:spacing w:before="66" w:line="436" w:lineRule="auto"/>
        <w:ind w:right="-50"/>
        <w:jc w:val="right"/>
        <w:rPr>
          <w:rFonts w:hint="eastAsia" w:ascii="宋体" w:hAnsi="宋体" w:cs="宋体"/>
          <w:color w:val="auto"/>
          <w:highlight w:val="none"/>
          <w:u w:val="single"/>
        </w:rPr>
      </w:pPr>
      <w:r>
        <w:rPr>
          <w:rFonts w:hint="eastAsia" w:ascii="宋体" w:hAnsi="宋体" w:cs="宋体"/>
          <w:color w:val="auto"/>
          <w:highlight w:val="none"/>
        </w:rPr>
        <w:t>编号：</w:t>
      </w:r>
      <w:r>
        <w:rPr>
          <w:rFonts w:hint="eastAsia" w:ascii="宋体" w:hAnsi="宋体" w:cs="宋体"/>
          <w:color w:val="auto"/>
          <w:highlight w:val="none"/>
          <w:u w:val="single"/>
        </w:rPr>
        <w:t xml:space="preserve">      </w:t>
      </w:r>
    </w:p>
    <w:p w14:paraId="4F7E34DF">
      <w:pPr>
        <w:pStyle w:val="9"/>
        <w:spacing w:before="66"/>
        <w:rPr>
          <w:rFonts w:hint="eastAsia" w:ascii="宋体" w:hAnsi="宋体" w:cs="宋体"/>
          <w:color w:val="auto"/>
          <w:highlight w:val="none"/>
        </w:rPr>
      </w:pPr>
      <w:r>
        <w:rPr>
          <w:rFonts w:hint="eastAsia" w:ascii="宋体" w:hAnsi="宋体" w:cs="宋体"/>
          <w:color w:val="auto"/>
          <w:highlight w:val="none"/>
          <w:u w:val="single"/>
        </w:rPr>
        <w:t>（投标人名称）</w:t>
      </w:r>
      <w:r>
        <w:rPr>
          <w:rFonts w:hint="eastAsia" w:ascii="宋体" w:hAnsi="宋体" w:cs="宋体"/>
          <w:color w:val="auto"/>
          <w:highlight w:val="none"/>
        </w:rPr>
        <w:t>：</w:t>
      </w:r>
    </w:p>
    <w:p w14:paraId="37BF4001">
      <w:pPr>
        <w:pStyle w:val="9"/>
        <w:spacing w:before="11"/>
        <w:rPr>
          <w:rFonts w:hint="eastAsia" w:ascii="宋体" w:hAnsi="宋体" w:cs="宋体"/>
          <w:color w:val="auto"/>
          <w:highlight w:val="none"/>
        </w:rPr>
      </w:pPr>
    </w:p>
    <w:p w14:paraId="3F073CE8">
      <w:pPr>
        <w:pStyle w:val="9"/>
        <w:tabs>
          <w:tab w:val="left" w:pos="3296"/>
        </w:tabs>
        <w:spacing w:before="74" w:line="439" w:lineRule="auto"/>
        <w:ind w:right="-53" w:rightChars="-22" w:firstLine="439" w:firstLineChars="183"/>
        <w:rPr>
          <w:rFonts w:hint="eastAsia"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u w:val="single"/>
        </w:rPr>
        <w:t>（项目名称</w:t>
      </w:r>
      <w:r>
        <w:rPr>
          <w:rFonts w:hint="eastAsia" w:ascii="宋体" w:hAnsi="宋体" w:cs="宋体"/>
          <w:color w:val="auto"/>
          <w:spacing w:val="-10"/>
          <w:highlight w:val="none"/>
          <w:u w:val="single"/>
        </w:rPr>
        <w:t>）</w:t>
      </w:r>
      <w:r>
        <w:rPr>
          <w:rFonts w:hint="eastAsia" w:ascii="宋体" w:hAnsi="宋体" w:cs="宋体"/>
          <w:color w:val="auto"/>
          <w:spacing w:val="-2"/>
          <w:highlight w:val="none"/>
        </w:rPr>
        <w:t>工程总承包招标的评标委员会，对你方的投标</w:t>
      </w:r>
      <w:r>
        <w:rPr>
          <w:rFonts w:hint="eastAsia" w:ascii="宋体" w:hAnsi="宋体" w:cs="宋体"/>
          <w:color w:val="auto"/>
          <w:highlight w:val="none"/>
        </w:rPr>
        <w:t>文件进行了仔细的审查，现需你方对下列问题以书面形式予以澄清：</w:t>
      </w:r>
    </w:p>
    <w:p w14:paraId="13B86241">
      <w:pPr>
        <w:pStyle w:val="9"/>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1.</w:t>
      </w:r>
    </w:p>
    <w:p w14:paraId="239E2684">
      <w:pPr>
        <w:pStyle w:val="9"/>
        <w:spacing w:before="7"/>
        <w:ind w:right="-53" w:rightChars="-22" w:firstLine="439" w:firstLineChars="183"/>
        <w:rPr>
          <w:rFonts w:hint="eastAsia" w:ascii="宋体" w:hAnsi="宋体" w:cs="宋体"/>
          <w:color w:val="auto"/>
          <w:highlight w:val="none"/>
        </w:rPr>
      </w:pPr>
    </w:p>
    <w:p w14:paraId="053853B3">
      <w:pPr>
        <w:pStyle w:val="9"/>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2.</w:t>
      </w:r>
    </w:p>
    <w:p w14:paraId="5CEFA0EA">
      <w:pPr>
        <w:pStyle w:val="9"/>
        <w:spacing w:before="10"/>
        <w:ind w:right="-53" w:rightChars="-22" w:firstLine="439" w:firstLineChars="183"/>
        <w:rPr>
          <w:rFonts w:hint="eastAsia" w:ascii="宋体" w:hAnsi="宋体" w:cs="宋体"/>
          <w:color w:val="auto"/>
          <w:highlight w:val="none"/>
        </w:rPr>
      </w:pPr>
    </w:p>
    <w:p w14:paraId="6FFD1542">
      <w:pPr>
        <w:pStyle w:val="9"/>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w:t>
      </w:r>
    </w:p>
    <w:p w14:paraId="5B258687">
      <w:pPr>
        <w:pStyle w:val="9"/>
        <w:ind w:right="-53" w:rightChars="-22" w:firstLine="439" w:firstLineChars="183"/>
        <w:rPr>
          <w:rFonts w:hint="eastAsia" w:ascii="宋体" w:hAnsi="宋体" w:cs="宋体"/>
          <w:color w:val="auto"/>
          <w:highlight w:val="none"/>
        </w:rPr>
      </w:pPr>
    </w:p>
    <w:p w14:paraId="49A6C521">
      <w:pPr>
        <w:pStyle w:val="9"/>
        <w:tabs>
          <w:tab w:val="left" w:pos="4059"/>
          <w:tab w:val="left" w:pos="4669"/>
          <w:tab w:val="left" w:pos="5276"/>
          <w:tab w:val="left" w:pos="5886"/>
        </w:tabs>
        <w:spacing w:before="231" w:line="436" w:lineRule="auto"/>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请将上述问题的澄清于</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日</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时前通过交易中心电子招标投</w:t>
      </w:r>
      <w:r>
        <w:rPr>
          <w:rFonts w:hint="eastAsia" w:ascii="宋体" w:hAnsi="宋体" w:cs="宋体"/>
          <w:color w:val="auto"/>
          <w:spacing w:val="-12"/>
          <w:highlight w:val="none"/>
        </w:rPr>
        <w:t>标</w:t>
      </w:r>
      <w:r>
        <w:rPr>
          <w:rFonts w:hint="eastAsia" w:ascii="宋体" w:hAnsi="宋体" w:cs="宋体"/>
          <w:color w:val="auto"/>
          <w:highlight w:val="none"/>
        </w:rPr>
        <w:t>交易平台反馈。</w:t>
      </w:r>
    </w:p>
    <w:p w14:paraId="1DE565E5">
      <w:pPr>
        <w:pStyle w:val="9"/>
        <w:ind w:right="-53" w:rightChars="-22" w:firstLine="439" w:firstLineChars="183"/>
        <w:rPr>
          <w:rFonts w:hint="eastAsia" w:ascii="宋体" w:hAnsi="宋体" w:cs="宋体"/>
          <w:color w:val="auto"/>
          <w:highlight w:val="none"/>
        </w:rPr>
      </w:pPr>
    </w:p>
    <w:p w14:paraId="0482D30B">
      <w:pPr>
        <w:pStyle w:val="9"/>
        <w:spacing w:before="197"/>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评标委员会负责人：</w:t>
      </w:r>
      <w:r>
        <w:rPr>
          <w:rFonts w:hint="eastAsia" w:ascii="宋体" w:hAnsi="宋体" w:cs="宋体"/>
          <w:color w:val="auto"/>
          <w:highlight w:val="none"/>
          <w:u w:val="single"/>
        </w:rPr>
        <w:t>（签字）</w:t>
      </w:r>
    </w:p>
    <w:p w14:paraId="29E70019">
      <w:pPr>
        <w:pStyle w:val="9"/>
        <w:spacing w:before="6"/>
        <w:ind w:right="-53" w:rightChars="-22" w:firstLine="439" w:firstLineChars="183"/>
        <w:rPr>
          <w:rFonts w:hint="eastAsia" w:ascii="宋体" w:hAnsi="宋体" w:cs="宋体"/>
          <w:color w:val="auto"/>
          <w:highlight w:val="none"/>
        </w:rPr>
      </w:pPr>
    </w:p>
    <w:p w14:paraId="1DFB9447">
      <w:pPr>
        <w:pStyle w:val="9"/>
        <w:tabs>
          <w:tab w:val="left" w:pos="360"/>
          <w:tab w:val="left" w:pos="960"/>
          <w:tab w:val="left" w:pos="1560"/>
        </w:tabs>
        <w:spacing w:before="67"/>
        <w:ind w:right="-53" w:rightChars="-22" w:firstLine="717" w:firstLineChars="299"/>
        <w:jc w:val="right"/>
        <w:rPr>
          <w:rFonts w:hint="eastAsia"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日</w:t>
      </w:r>
    </w:p>
    <w:p w14:paraId="57742F6C">
      <w:pPr>
        <w:rPr>
          <w:rFonts w:hint="eastAsia" w:ascii="宋体" w:hAnsi="宋体" w:cs="宋体"/>
          <w:color w:val="auto"/>
          <w:highlight w:val="none"/>
        </w:rPr>
      </w:pPr>
      <w:r>
        <w:rPr>
          <w:rFonts w:hint="eastAsia" w:ascii="宋体" w:hAnsi="宋体" w:cs="宋体"/>
          <w:color w:val="auto"/>
          <w:highlight w:val="none"/>
        </w:rPr>
        <w:br w:type="page"/>
      </w:r>
    </w:p>
    <w:p w14:paraId="1F4C34F4">
      <w:pPr>
        <w:pStyle w:val="9"/>
        <w:spacing w:before="66"/>
        <w:rPr>
          <w:rFonts w:hint="eastAsia" w:ascii="宋体" w:hAnsi="宋体" w:cs="宋体"/>
          <w:b/>
          <w:bCs/>
          <w:color w:val="auto"/>
          <w:highlight w:val="none"/>
        </w:rPr>
      </w:pPr>
      <w:r>
        <w:rPr>
          <w:rFonts w:hint="eastAsia" w:ascii="宋体" w:hAnsi="宋体" w:cs="宋体"/>
          <w:b/>
          <w:bCs/>
          <w:color w:val="auto"/>
          <w:highlight w:val="none"/>
        </w:rPr>
        <w:t>附件三：问题的澄清</w:t>
      </w:r>
    </w:p>
    <w:p w14:paraId="49982BA3">
      <w:pPr>
        <w:pStyle w:val="9"/>
        <w:spacing w:before="4"/>
        <w:rPr>
          <w:rFonts w:hint="eastAsia" w:ascii="宋体" w:hAnsi="宋体" w:cs="宋体"/>
          <w:color w:val="auto"/>
          <w:highlight w:val="none"/>
        </w:rPr>
      </w:pPr>
    </w:p>
    <w:p w14:paraId="6DCEF27D">
      <w:pPr>
        <w:pStyle w:val="9"/>
        <w:spacing w:before="66" w:line="436" w:lineRule="auto"/>
        <w:ind w:right="-50"/>
        <w:jc w:val="center"/>
        <w:rPr>
          <w:rFonts w:ascii="黑体" w:eastAsia="黑体"/>
          <w:color w:val="auto"/>
          <w:sz w:val="36"/>
          <w:szCs w:val="36"/>
          <w:highlight w:val="none"/>
          <w:lang w:val="zh-CN"/>
        </w:rPr>
      </w:pPr>
      <w:r>
        <w:rPr>
          <w:rFonts w:hint="eastAsia" w:ascii="黑体" w:eastAsia="黑体"/>
          <w:color w:val="auto"/>
          <w:sz w:val="36"/>
          <w:szCs w:val="36"/>
          <w:highlight w:val="none"/>
          <w:lang w:val="zh-CN"/>
        </w:rPr>
        <w:t>问题的澄清</w:t>
      </w:r>
    </w:p>
    <w:p w14:paraId="3739A34A">
      <w:pPr>
        <w:wordWrap w:val="0"/>
        <w:spacing w:before="66" w:line="436" w:lineRule="auto"/>
        <w:ind w:right="-50"/>
        <w:jc w:val="right"/>
        <w:rPr>
          <w:rFonts w:hint="eastAsia" w:ascii="宋体" w:hAnsi="宋体" w:cs="宋体"/>
          <w:color w:val="auto"/>
          <w:highlight w:val="none"/>
          <w:u w:val="single"/>
        </w:rPr>
      </w:pPr>
      <w:r>
        <w:rPr>
          <w:rFonts w:hint="eastAsia" w:ascii="宋体" w:hAnsi="宋体" w:cs="宋体"/>
          <w:color w:val="auto"/>
          <w:highlight w:val="none"/>
        </w:rPr>
        <w:t>编号：</w:t>
      </w:r>
      <w:r>
        <w:rPr>
          <w:rFonts w:hint="eastAsia" w:ascii="宋体" w:hAnsi="宋体" w:cs="宋体"/>
          <w:color w:val="auto"/>
          <w:highlight w:val="none"/>
          <w:u w:val="single"/>
        </w:rPr>
        <w:t xml:space="preserve">    </w:t>
      </w:r>
    </w:p>
    <w:p w14:paraId="393A2DB8">
      <w:pPr>
        <w:pStyle w:val="9"/>
        <w:rPr>
          <w:rFonts w:hint="eastAsia" w:ascii="宋体" w:hAnsi="宋体" w:cs="宋体"/>
          <w:color w:val="auto"/>
          <w:highlight w:val="none"/>
        </w:rPr>
      </w:pPr>
    </w:p>
    <w:p w14:paraId="07F8AB89">
      <w:pPr>
        <w:pStyle w:val="9"/>
        <w:ind w:right="-53" w:rightChars="-22"/>
        <w:rPr>
          <w:rFonts w:hint="eastAsia" w:ascii="宋体" w:hAnsi="宋体" w:cs="宋体"/>
          <w:color w:val="auto"/>
          <w:highlight w:val="none"/>
        </w:rPr>
      </w:pPr>
      <w:r>
        <w:rPr>
          <w:rFonts w:hint="eastAsia" w:ascii="宋体" w:hAnsi="宋体" w:cs="宋体"/>
          <w:color w:val="auto"/>
          <w:highlight w:val="none"/>
          <w:u w:val="single"/>
        </w:rPr>
        <w:t>（项目名称）</w:t>
      </w:r>
      <w:r>
        <w:rPr>
          <w:rFonts w:hint="eastAsia" w:ascii="宋体" w:hAnsi="宋体" w:cs="宋体"/>
          <w:color w:val="auto"/>
          <w:highlight w:val="none"/>
        </w:rPr>
        <w:t>工程总承包招标评标委员会：</w:t>
      </w:r>
    </w:p>
    <w:p w14:paraId="69D96961">
      <w:pPr>
        <w:pStyle w:val="9"/>
        <w:spacing w:before="8"/>
        <w:ind w:right="-53" w:rightChars="-22" w:firstLine="439" w:firstLineChars="183"/>
        <w:rPr>
          <w:rFonts w:hint="eastAsia" w:ascii="宋体" w:hAnsi="宋体" w:cs="宋体"/>
          <w:color w:val="auto"/>
          <w:highlight w:val="none"/>
        </w:rPr>
      </w:pPr>
    </w:p>
    <w:p w14:paraId="54AC9A6F">
      <w:pPr>
        <w:pStyle w:val="9"/>
        <w:tabs>
          <w:tab w:val="left" w:pos="4268"/>
        </w:tabs>
        <w:ind w:right="-53" w:rightChars="-22" w:firstLine="480" w:firstLineChars="200"/>
        <w:rPr>
          <w:rFonts w:hint="eastAsia" w:ascii="宋体" w:hAnsi="宋体" w:cs="宋体"/>
          <w:color w:val="auto"/>
          <w:highlight w:val="none"/>
        </w:rPr>
      </w:pPr>
      <w:r>
        <w:rPr>
          <w:rFonts w:hint="eastAsia" w:ascii="宋体" w:hAnsi="宋体" w:cs="宋体"/>
          <w:color w:val="auto"/>
          <w:highlight w:val="none"/>
        </w:rPr>
        <w:t>问题澄清通知（编号：</w:t>
      </w:r>
      <w:r>
        <w:rPr>
          <w:rFonts w:hint="eastAsia" w:ascii="宋体" w:hAnsi="宋体" w:cs="宋体"/>
          <w:color w:val="auto"/>
          <w:highlight w:val="none"/>
          <w:u w:val="single"/>
        </w:rPr>
        <w:t xml:space="preserve"> </w:t>
      </w:r>
      <w:r>
        <w:rPr>
          <w:rFonts w:hint="eastAsia" w:ascii="宋体" w:hAnsi="宋体" w:cs="宋体"/>
          <w:color w:val="auto"/>
          <w:highlight w:val="none"/>
          <w:u w:val="single"/>
        </w:rPr>
        <w:tab/>
      </w:r>
      <w:r>
        <w:rPr>
          <w:rFonts w:hint="eastAsia" w:ascii="宋体" w:hAnsi="宋体" w:cs="宋体"/>
          <w:color w:val="auto"/>
          <w:highlight w:val="none"/>
        </w:rPr>
        <w:t>）已收悉，现澄清如下：</w:t>
      </w:r>
    </w:p>
    <w:p w14:paraId="7CAD7940">
      <w:pPr>
        <w:pStyle w:val="9"/>
        <w:spacing w:before="12"/>
        <w:ind w:right="-53" w:rightChars="-22" w:firstLine="439" w:firstLineChars="183"/>
        <w:rPr>
          <w:rFonts w:hint="eastAsia" w:ascii="宋体" w:hAnsi="宋体" w:cs="宋体"/>
          <w:color w:val="auto"/>
          <w:highlight w:val="none"/>
        </w:rPr>
      </w:pPr>
    </w:p>
    <w:p w14:paraId="26117FCB">
      <w:pPr>
        <w:pStyle w:val="9"/>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1.</w:t>
      </w:r>
    </w:p>
    <w:p w14:paraId="086045D2">
      <w:pPr>
        <w:pStyle w:val="9"/>
        <w:spacing w:before="9"/>
        <w:ind w:right="-53" w:rightChars="-22" w:firstLine="439" w:firstLineChars="183"/>
        <w:rPr>
          <w:rFonts w:hint="eastAsia" w:ascii="宋体" w:hAnsi="宋体" w:cs="宋体"/>
          <w:color w:val="auto"/>
          <w:highlight w:val="none"/>
        </w:rPr>
      </w:pPr>
    </w:p>
    <w:p w14:paraId="7063502B">
      <w:pPr>
        <w:pStyle w:val="9"/>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2.</w:t>
      </w:r>
    </w:p>
    <w:p w14:paraId="2D077B62">
      <w:pPr>
        <w:pStyle w:val="9"/>
        <w:spacing w:before="8"/>
        <w:ind w:right="-53" w:rightChars="-22" w:firstLine="439" w:firstLineChars="183"/>
        <w:rPr>
          <w:rFonts w:hint="eastAsia" w:ascii="宋体" w:hAnsi="宋体" w:cs="宋体"/>
          <w:color w:val="auto"/>
          <w:highlight w:val="none"/>
        </w:rPr>
      </w:pPr>
    </w:p>
    <w:p w14:paraId="13151886">
      <w:pPr>
        <w:pStyle w:val="9"/>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w:t>
      </w:r>
    </w:p>
    <w:p w14:paraId="2B5A8FD1">
      <w:pPr>
        <w:pStyle w:val="9"/>
        <w:spacing w:before="2"/>
        <w:ind w:right="-53" w:rightChars="-22" w:firstLine="439" w:firstLineChars="183"/>
        <w:rPr>
          <w:rFonts w:hint="eastAsia" w:ascii="宋体" w:hAnsi="宋体" w:cs="宋体"/>
          <w:color w:val="auto"/>
          <w:highlight w:val="none"/>
        </w:rPr>
      </w:pPr>
    </w:p>
    <w:p w14:paraId="4C4C152C">
      <w:pPr>
        <w:pStyle w:val="9"/>
        <w:spacing w:before="8" w:line="360" w:lineRule="auto"/>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 xml:space="preserve">                        投标人：</w:t>
      </w:r>
      <w:r>
        <w:rPr>
          <w:rFonts w:hint="eastAsia" w:ascii="宋体" w:hAnsi="宋体" w:cs="宋体"/>
          <w:color w:val="auto"/>
          <w:highlight w:val="none"/>
          <w:u w:val="single"/>
        </w:rPr>
        <w:t xml:space="preserve">                        </w:t>
      </w:r>
      <w:r>
        <w:rPr>
          <w:rFonts w:hint="eastAsia" w:ascii="宋体" w:hAnsi="宋体" w:cs="宋体"/>
          <w:color w:val="auto"/>
          <w:highlight w:val="none"/>
        </w:rPr>
        <w:t xml:space="preserve">（单位名称）             </w:t>
      </w:r>
    </w:p>
    <w:p w14:paraId="1DD5276E">
      <w:pPr>
        <w:pStyle w:val="9"/>
        <w:spacing w:before="8" w:line="360" w:lineRule="auto"/>
        <w:ind w:right="-53" w:rightChars="-22" w:firstLine="3360" w:firstLineChars="1400"/>
        <w:rPr>
          <w:rFonts w:hint="eastAsia" w:ascii="宋体" w:hAnsi="宋体" w:cs="宋体"/>
          <w:color w:val="auto"/>
          <w:highlight w:val="none"/>
        </w:rPr>
      </w:pPr>
      <w:r>
        <w:rPr>
          <w:rFonts w:hint="eastAsia" w:ascii="宋体" w:hAnsi="宋体" w:cs="宋体"/>
          <w:color w:val="auto"/>
          <w:highlight w:val="none"/>
        </w:rPr>
        <w:t>法定代表人或其委托代理人：</w:t>
      </w:r>
      <w:r>
        <w:rPr>
          <w:rFonts w:hint="eastAsia" w:ascii="宋体" w:hAnsi="宋体" w:cs="宋体"/>
          <w:color w:val="auto"/>
          <w:highlight w:val="none"/>
          <w:u w:val="single"/>
        </w:rPr>
        <w:t xml:space="preserve">      </w:t>
      </w:r>
      <w:r>
        <w:rPr>
          <w:rFonts w:hint="eastAsia" w:ascii="宋体" w:hAnsi="宋体" w:cs="宋体"/>
          <w:color w:val="auto"/>
          <w:highlight w:val="none"/>
        </w:rPr>
        <w:t xml:space="preserve">（签字或盖章）      </w:t>
      </w:r>
    </w:p>
    <w:p w14:paraId="155676C3">
      <w:pPr>
        <w:pStyle w:val="9"/>
        <w:spacing w:before="8" w:line="360" w:lineRule="auto"/>
        <w:ind w:right="-53" w:rightChars="-22" w:firstLine="439" w:firstLineChars="183"/>
        <w:rPr>
          <w:rFonts w:hint="eastAsia"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3116DB7A">
      <w:pPr>
        <w:rPr>
          <w:rFonts w:hint="eastAsia" w:ascii="宋体" w:hAnsi="宋体" w:cs="宋体"/>
          <w:b/>
          <w:bCs/>
          <w:color w:val="auto"/>
          <w:highlight w:val="none"/>
        </w:rPr>
      </w:pPr>
      <w:r>
        <w:rPr>
          <w:rFonts w:hint="eastAsia" w:ascii="宋体" w:hAnsi="宋体" w:cs="宋体"/>
          <w:color w:val="auto"/>
          <w:highlight w:val="none"/>
        </w:rPr>
        <w:br w:type="page"/>
      </w:r>
      <w:r>
        <w:rPr>
          <w:rFonts w:hint="eastAsia" w:ascii="宋体" w:hAnsi="宋体" w:cs="宋体"/>
          <w:b/>
          <w:bCs/>
          <w:color w:val="auto"/>
          <w:highlight w:val="none"/>
        </w:rPr>
        <w:t>附件四：中标通知书</w:t>
      </w:r>
    </w:p>
    <w:p w14:paraId="54EE997B">
      <w:pPr>
        <w:spacing w:before="240" w:beforeLines="100" w:after="240" w:afterLines="100"/>
        <w:jc w:val="center"/>
        <w:rPr>
          <w:rFonts w:ascii="黑体" w:eastAsia="黑体"/>
          <w:color w:val="auto"/>
          <w:sz w:val="36"/>
          <w:szCs w:val="36"/>
          <w:highlight w:val="none"/>
        </w:rPr>
      </w:pPr>
      <w:r>
        <w:rPr>
          <w:rFonts w:hint="eastAsia" w:ascii="黑体" w:eastAsia="黑体"/>
          <w:color w:val="auto"/>
          <w:sz w:val="36"/>
          <w:szCs w:val="36"/>
          <w:highlight w:val="none"/>
        </w:rPr>
        <w:t>中标通知书</w:t>
      </w:r>
    </w:p>
    <w:p w14:paraId="6082EC6F">
      <w:pPr>
        <w:adjustRightInd/>
        <w:spacing w:line="360" w:lineRule="auto"/>
        <w:rPr>
          <w:rFonts w:hint="eastAsia" w:ascii="宋体" w:hAnsi="宋体" w:cs="宋体"/>
          <w:color w:val="auto"/>
          <w:highlight w:val="none"/>
        </w:rPr>
      </w:pPr>
      <w:r>
        <w:rPr>
          <w:rFonts w:hint="eastAsia" w:ascii="宋体" w:hAnsi="宋体" w:cs="宋体"/>
          <w:color w:val="auto"/>
          <w:highlight w:val="none"/>
          <w:u w:val="single"/>
        </w:rPr>
        <w:t xml:space="preserve">               （中标人名称）</w:t>
      </w:r>
      <w:r>
        <w:rPr>
          <w:rFonts w:hint="eastAsia" w:ascii="宋体" w:hAnsi="宋体" w:cs="宋体"/>
          <w:color w:val="auto"/>
          <w:highlight w:val="none"/>
        </w:rPr>
        <w:t>：</w:t>
      </w:r>
    </w:p>
    <w:p w14:paraId="19B5359E">
      <w:pPr>
        <w:adjustRightInd/>
        <w:spacing w:line="360" w:lineRule="auto"/>
        <w:ind w:firstLine="480" w:firstLineChars="200"/>
        <w:rPr>
          <w:rFonts w:hint="eastAsia" w:ascii="宋体" w:hAnsi="宋体" w:cs="宋体"/>
          <w:color w:val="auto"/>
          <w:highlight w:val="none"/>
        </w:rPr>
      </w:pPr>
    </w:p>
    <w:p w14:paraId="57D6B953">
      <w:pPr>
        <w:adjustRightInd/>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你方于</w:t>
      </w:r>
      <w:r>
        <w:rPr>
          <w:rFonts w:hint="eastAsia" w:ascii="宋体" w:hAnsi="宋体" w:cs="宋体"/>
          <w:color w:val="auto"/>
          <w:highlight w:val="none"/>
          <w:u w:val="single"/>
        </w:rPr>
        <w:t xml:space="preserve">             （投标日期）</w:t>
      </w:r>
      <w:r>
        <w:rPr>
          <w:rFonts w:hint="eastAsia" w:ascii="宋体" w:hAnsi="宋体" w:cs="宋体"/>
          <w:color w:val="auto"/>
          <w:highlight w:val="none"/>
        </w:rPr>
        <w:t>所递交的</w:t>
      </w:r>
      <w:r>
        <w:rPr>
          <w:rFonts w:hint="eastAsia" w:ascii="宋体" w:hAnsi="宋体" w:cs="宋体"/>
          <w:color w:val="auto"/>
          <w:highlight w:val="none"/>
          <w:u w:val="single"/>
        </w:rPr>
        <w:t xml:space="preserve">          （项目名称）       </w:t>
      </w:r>
      <w:r>
        <w:rPr>
          <w:rFonts w:hint="eastAsia" w:ascii="宋体" w:hAnsi="宋体" w:cs="宋体"/>
          <w:color w:val="auto"/>
          <w:highlight w:val="none"/>
        </w:rPr>
        <w:t>标段工程总承包投标文件已被我方接受，被确定为中标人。</w:t>
      </w:r>
    </w:p>
    <w:p w14:paraId="63909791">
      <w:pPr>
        <w:adjustRightInd/>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中    标    价：</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3D137D87">
      <w:pPr>
        <w:adjustRightInd/>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工          期：</w:t>
      </w:r>
      <w:r>
        <w:rPr>
          <w:rFonts w:hint="eastAsia" w:ascii="宋体" w:hAnsi="宋体" w:cs="宋体"/>
          <w:color w:val="auto"/>
          <w:highlight w:val="none"/>
          <w:u w:val="single"/>
        </w:rPr>
        <w:t xml:space="preserve">                            </w:t>
      </w:r>
      <w:r>
        <w:rPr>
          <w:rFonts w:hint="eastAsia" w:ascii="宋体" w:hAnsi="宋体" w:cs="宋体"/>
          <w:color w:val="auto"/>
          <w:highlight w:val="none"/>
        </w:rPr>
        <w:t>日历天。</w:t>
      </w:r>
    </w:p>
    <w:p w14:paraId="2FC37471">
      <w:pPr>
        <w:adjustRightInd/>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项 目 负 责 人：</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856E911">
      <w:pPr>
        <w:pStyle w:val="17"/>
        <w:ind w:firstLine="480" w:firstLineChars="200"/>
        <w:jc w:val="both"/>
        <w:rPr>
          <w:rFonts w:hint="eastAsia" w:cs="宋体"/>
          <w:color w:val="auto"/>
          <w:highlight w:val="none"/>
        </w:rPr>
      </w:pPr>
      <w:r>
        <w:rPr>
          <w:rFonts w:hint="eastAsia" w:cs="宋体"/>
          <w:color w:val="auto"/>
          <w:highlight w:val="none"/>
        </w:rPr>
        <w:t>设 计 负 责 人：</w:t>
      </w:r>
      <w:r>
        <w:rPr>
          <w:rFonts w:hint="eastAsia" w:cs="宋体"/>
          <w:color w:val="auto"/>
          <w:highlight w:val="none"/>
          <w:u w:val="single"/>
        </w:rPr>
        <w:t xml:space="preserve">                                </w:t>
      </w:r>
      <w:r>
        <w:rPr>
          <w:rFonts w:hint="eastAsia" w:cs="宋体"/>
          <w:color w:val="auto"/>
          <w:highlight w:val="none"/>
        </w:rPr>
        <w:t>。</w:t>
      </w:r>
    </w:p>
    <w:p w14:paraId="39381F19">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施 工 负 责 人：</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90DC78B">
      <w:pPr>
        <w:pStyle w:val="17"/>
        <w:ind w:firstLine="480" w:firstLineChars="200"/>
        <w:jc w:val="both"/>
        <w:rPr>
          <w:rFonts w:hint="eastAsia" w:cs="宋体"/>
          <w:color w:val="auto"/>
          <w:highlight w:val="none"/>
          <w:u w:val="single"/>
        </w:rPr>
      </w:pPr>
      <w:r>
        <w:rPr>
          <w:rFonts w:hint="eastAsia" w:cs="宋体"/>
          <w:color w:val="auto"/>
          <w:highlight w:val="none"/>
        </w:rPr>
        <w:t>中标内容范围：</w:t>
      </w:r>
      <w:r>
        <w:rPr>
          <w:rFonts w:hint="eastAsia" w:cs="宋体"/>
          <w:color w:val="auto"/>
          <w:highlight w:val="none"/>
          <w:u w:val="single"/>
        </w:rPr>
        <w:t xml:space="preserve">（应与招标公告、招标文件内容一致） </w:t>
      </w:r>
      <w:r>
        <w:rPr>
          <w:rFonts w:hint="eastAsia" w:cs="宋体"/>
          <w:color w:val="auto"/>
          <w:highlight w:val="none"/>
        </w:rPr>
        <w:t>。</w:t>
      </w:r>
    </w:p>
    <w:p w14:paraId="60ACE195">
      <w:pPr>
        <w:adjustRightInd/>
        <w:spacing w:line="36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请你方在接到本通知书后的</w:t>
      </w:r>
      <w:r>
        <w:rPr>
          <w:rFonts w:hint="eastAsia" w:ascii="宋体" w:hAnsi="宋体" w:cs="宋体"/>
          <w:color w:val="auto"/>
          <w:highlight w:val="none"/>
          <w:u w:val="single"/>
        </w:rPr>
        <w:t xml:space="preserve">      </w:t>
      </w:r>
      <w:r>
        <w:rPr>
          <w:rFonts w:hint="eastAsia" w:ascii="宋体" w:hAnsi="宋体" w:cs="宋体"/>
          <w:color w:val="auto"/>
          <w:highlight w:val="none"/>
        </w:rPr>
        <w:t>日内到</w:t>
      </w:r>
      <w:r>
        <w:rPr>
          <w:rFonts w:hint="eastAsia" w:ascii="宋体" w:hAnsi="宋体" w:cs="宋体"/>
          <w:color w:val="auto"/>
          <w:highlight w:val="none"/>
          <w:u w:val="single"/>
        </w:rPr>
        <w:t xml:space="preserve">                         </w:t>
      </w:r>
      <w:r>
        <w:rPr>
          <w:rFonts w:hint="eastAsia" w:ascii="宋体" w:hAnsi="宋体" w:cs="宋体"/>
          <w:color w:val="auto"/>
          <w:highlight w:val="none"/>
        </w:rPr>
        <w:t>（指定地点）与我方签订工程总承包合同，在此之前按招标文件第二章“投标人须知”第7.3款规定向我方提交履约担保。</w:t>
      </w:r>
    </w:p>
    <w:p w14:paraId="6356F2E9">
      <w:pPr>
        <w:adjustRightInd/>
        <w:spacing w:line="36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特此通知。</w:t>
      </w:r>
    </w:p>
    <w:p w14:paraId="19B1B00F">
      <w:pPr>
        <w:adjustRightInd/>
        <w:spacing w:line="360" w:lineRule="auto"/>
        <w:ind w:firstLine="3840" w:firstLineChars="1600"/>
        <w:rPr>
          <w:rFonts w:ascii="Times New Roman" w:hAnsi="Times New Roman"/>
          <w:color w:val="auto"/>
          <w:highlight w:val="none"/>
          <w:u w:val="single"/>
        </w:rPr>
      </w:pPr>
      <w:r>
        <w:rPr>
          <w:rFonts w:ascii="Times New Roman" w:hAnsi="Times New Roman" w:eastAsia="黑体"/>
          <w:color w:val="auto"/>
          <w:highlight w:val="none"/>
        </w:rPr>
        <w:t>招</w:t>
      </w:r>
      <w:r>
        <w:rPr>
          <w:rFonts w:hint="eastAsia" w:ascii="Times New Roman" w:hAnsi="Times New Roman" w:eastAsia="黑体"/>
          <w:color w:val="auto"/>
          <w:highlight w:val="none"/>
        </w:rPr>
        <w:t xml:space="preserve">    </w:t>
      </w:r>
      <w:r>
        <w:rPr>
          <w:rFonts w:ascii="Times New Roman" w:hAnsi="Times New Roman" w:eastAsia="黑体"/>
          <w:color w:val="auto"/>
          <w:highlight w:val="none"/>
        </w:rPr>
        <w:t>标</w:t>
      </w:r>
      <w:r>
        <w:rPr>
          <w:rFonts w:hint="eastAsia" w:ascii="Times New Roman" w:hAnsi="Times New Roman" w:eastAsia="黑体"/>
          <w:color w:val="auto"/>
          <w:highlight w:val="none"/>
        </w:rPr>
        <w:t xml:space="preserve">    </w:t>
      </w:r>
      <w:r>
        <w:rPr>
          <w:rFonts w:ascii="Times New Roman" w:hAnsi="Times New Roman" w:eastAsia="黑体"/>
          <w:color w:val="auto"/>
          <w:highlight w:val="none"/>
        </w:rPr>
        <w:t>人：</w:t>
      </w:r>
      <w:r>
        <w:rPr>
          <w:rFonts w:ascii="Times New Roman" w:hAnsi="Times New Roman"/>
          <w:color w:val="auto"/>
          <w:highlight w:val="none"/>
          <w:u w:val="single"/>
        </w:rPr>
        <w:t xml:space="preserve">                </w:t>
      </w:r>
      <w:r>
        <w:rPr>
          <w:rFonts w:ascii="Times New Roman"/>
          <w:color w:val="auto"/>
          <w:highlight w:val="none"/>
          <w:u w:val="single"/>
        </w:rPr>
        <w:t>（单位盖章）</w:t>
      </w:r>
      <w:r>
        <w:rPr>
          <w:rFonts w:hint="eastAsia" w:ascii="Times New Roman"/>
          <w:color w:val="auto"/>
          <w:highlight w:val="none"/>
          <w:u w:val="single"/>
        </w:rPr>
        <w:t xml:space="preserve">    </w:t>
      </w:r>
      <w:r>
        <w:rPr>
          <w:rFonts w:ascii="Times New Roman" w:hAnsi="Times New Roman"/>
          <w:color w:val="auto"/>
          <w:highlight w:val="none"/>
          <w:u w:val="single"/>
        </w:rPr>
        <w:t xml:space="preserve"> </w:t>
      </w:r>
    </w:p>
    <w:p w14:paraId="50BBFA01">
      <w:pPr>
        <w:adjustRightInd/>
        <w:spacing w:line="360" w:lineRule="auto"/>
        <w:ind w:firstLine="3840" w:firstLineChars="1600"/>
        <w:jc w:val="both"/>
        <w:rPr>
          <w:rFonts w:ascii="Times New Roman" w:hAnsi="Times New Roman"/>
          <w:color w:val="auto"/>
          <w:highlight w:val="none"/>
        </w:rPr>
      </w:pPr>
      <w:r>
        <w:rPr>
          <w:rFonts w:ascii="Times New Roman" w:hAnsi="Times New Roman" w:eastAsia="黑体"/>
          <w:color w:val="auto"/>
          <w:highlight w:val="none"/>
        </w:rPr>
        <w:t>法</w:t>
      </w:r>
      <w:r>
        <w:rPr>
          <w:rFonts w:hint="eastAsia" w:ascii="Times New Roman" w:hAnsi="Times New Roman" w:eastAsia="黑体"/>
          <w:color w:val="auto"/>
          <w:highlight w:val="none"/>
        </w:rPr>
        <w:t xml:space="preserve"> </w:t>
      </w:r>
      <w:r>
        <w:rPr>
          <w:rFonts w:ascii="Times New Roman" w:hAnsi="Times New Roman" w:eastAsia="黑体"/>
          <w:color w:val="auto"/>
          <w:highlight w:val="none"/>
        </w:rPr>
        <w:t>定</w:t>
      </w:r>
      <w:r>
        <w:rPr>
          <w:rFonts w:hint="eastAsia" w:ascii="Times New Roman" w:hAnsi="Times New Roman" w:eastAsia="黑体"/>
          <w:color w:val="auto"/>
          <w:highlight w:val="none"/>
        </w:rPr>
        <w:t xml:space="preserve"> </w:t>
      </w:r>
      <w:r>
        <w:rPr>
          <w:rFonts w:ascii="Times New Roman" w:hAnsi="Times New Roman" w:eastAsia="黑体"/>
          <w:color w:val="auto"/>
          <w:highlight w:val="none"/>
        </w:rPr>
        <w:t>代</w:t>
      </w:r>
      <w:r>
        <w:rPr>
          <w:rFonts w:hint="eastAsia" w:ascii="Times New Roman" w:hAnsi="Times New Roman" w:eastAsia="黑体"/>
          <w:color w:val="auto"/>
          <w:highlight w:val="none"/>
        </w:rPr>
        <w:t xml:space="preserve"> </w:t>
      </w:r>
      <w:r>
        <w:rPr>
          <w:rFonts w:ascii="Times New Roman" w:hAnsi="Times New Roman" w:eastAsia="黑体"/>
          <w:color w:val="auto"/>
          <w:highlight w:val="none"/>
        </w:rPr>
        <w:t>表</w:t>
      </w:r>
      <w:r>
        <w:rPr>
          <w:rFonts w:hint="eastAsia" w:ascii="Times New Roman" w:hAnsi="Times New Roman" w:eastAsia="黑体"/>
          <w:color w:val="auto"/>
          <w:highlight w:val="none"/>
        </w:rPr>
        <w:t xml:space="preserve"> </w:t>
      </w:r>
      <w:r>
        <w:rPr>
          <w:rFonts w:ascii="Times New Roman" w:hAnsi="Times New Roman" w:eastAsia="黑体"/>
          <w:color w:val="auto"/>
          <w:highlight w:val="none"/>
        </w:rPr>
        <w:t>人：</w:t>
      </w:r>
      <w:r>
        <w:rPr>
          <w:rFonts w:ascii="Times New Roman" w:hAnsi="Times New Roman"/>
          <w:color w:val="auto"/>
          <w:highlight w:val="none"/>
          <w:u w:val="single"/>
        </w:rPr>
        <w:t xml:space="preserve">               </w:t>
      </w:r>
      <w:r>
        <w:rPr>
          <w:rFonts w:ascii="Times New Roman"/>
          <w:color w:val="auto"/>
          <w:highlight w:val="none"/>
          <w:u w:val="single"/>
        </w:rPr>
        <w:t>（签字或盖章</w:t>
      </w:r>
      <w:r>
        <w:rPr>
          <w:rFonts w:ascii="Times New Roman" w:hAnsi="宋体"/>
          <w:color w:val="auto"/>
          <w:highlight w:val="none"/>
          <w:u w:val="single"/>
        </w:rPr>
        <w:t>）</w:t>
      </w:r>
      <w:r>
        <w:rPr>
          <w:rFonts w:hint="eastAsia" w:ascii="Times New Roman" w:hAnsi="宋体"/>
          <w:color w:val="auto"/>
          <w:highlight w:val="none"/>
          <w:u w:val="single"/>
        </w:rPr>
        <w:t xml:space="preserve">    </w:t>
      </w:r>
    </w:p>
    <w:p w14:paraId="5672C7F0">
      <w:pPr>
        <w:adjustRightInd/>
        <w:spacing w:line="360" w:lineRule="auto"/>
        <w:ind w:firstLine="3840" w:firstLineChars="1600"/>
        <w:rPr>
          <w:rFonts w:ascii="Times New Roman" w:hAnsi="Times New Roman" w:eastAsia="黑体"/>
          <w:color w:val="auto"/>
          <w:highlight w:val="none"/>
          <w:u w:val="single"/>
        </w:rPr>
      </w:pPr>
      <w:r>
        <w:rPr>
          <w:rFonts w:ascii="Times New Roman" w:hAnsi="黑体" w:eastAsia="黑体"/>
          <w:color w:val="auto"/>
          <w:highlight w:val="none"/>
        </w:rPr>
        <w:t>联</w:t>
      </w:r>
      <w:r>
        <w:rPr>
          <w:rFonts w:hint="eastAsia" w:ascii="Times New Roman" w:hAnsi="Times New Roman" w:eastAsia="黑体"/>
          <w:color w:val="auto"/>
          <w:highlight w:val="none"/>
        </w:rPr>
        <w:t xml:space="preserve">    </w:t>
      </w:r>
      <w:r>
        <w:rPr>
          <w:rFonts w:ascii="Times New Roman" w:hAnsi="黑体" w:eastAsia="黑体"/>
          <w:color w:val="auto"/>
          <w:highlight w:val="none"/>
        </w:rPr>
        <w:t>系</w:t>
      </w:r>
      <w:r>
        <w:rPr>
          <w:rFonts w:hint="eastAsia" w:ascii="Times New Roman" w:hAnsi="Times New Roman" w:eastAsia="黑体"/>
          <w:color w:val="auto"/>
          <w:highlight w:val="none"/>
        </w:rPr>
        <w:t xml:space="preserve">    </w:t>
      </w:r>
      <w:r>
        <w:rPr>
          <w:rFonts w:ascii="Times New Roman" w:hAnsi="黑体" w:eastAsia="黑体"/>
          <w:color w:val="auto"/>
          <w:highlight w:val="none"/>
        </w:rPr>
        <w:t>人：</w:t>
      </w:r>
      <w:r>
        <w:rPr>
          <w:rFonts w:ascii="Times New Roman" w:hAnsi="Times New Roman" w:eastAsia="黑体"/>
          <w:color w:val="auto"/>
          <w:highlight w:val="none"/>
          <w:u w:val="single"/>
        </w:rPr>
        <w:t xml:space="preserve">                 </w:t>
      </w:r>
      <w:r>
        <w:rPr>
          <w:rFonts w:hint="eastAsia" w:ascii="Times New Roman" w:hAnsi="Times New Roman" w:eastAsia="黑体"/>
          <w:color w:val="auto"/>
          <w:highlight w:val="none"/>
          <w:u w:val="single"/>
        </w:rPr>
        <w:t xml:space="preserve">                          </w:t>
      </w:r>
      <w:r>
        <w:rPr>
          <w:rFonts w:ascii="Times New Roman" w:hAnsi="Times New Roman" w:eastAsia="黑体"/>
          <w:color w:val="auto"/>
          <w:highlight w:val="none"/>
          <w:u w:val="single"/>
        </w:rPr>
        <w:t xml:space="preserve">    </w:t>
      </w:r>
    </w:p>
    <w:p w14:paraId="0C6D1849">
      <w:pPr>
        <w:adjustRightInd/>
        <w:spacing w:line="360" w:lineRule="auto"/>
        <w:ind w:firstLine="3840" w:firstLineChars="1600"/>
        <w:rPr>
          <w:rFonts w:ascii="Times New Roman" w:hAnsi="Times New Roman" w:eastAsia="黑体"/>
          <w:color w:val="auto"/>
          <w:highlight w:val="none"/>
        </w:rPr>
      </w:pPr>
      <w:r>
        <w:rPr>
          <w:rFonts w:ascii="Times New Roman" w:hAnsi="黑体" w:eastAsia="黑体"/>
          <w:color w:val="auto"/>
          <w:highlight w:val="none"/>
        </w:rPr>
        <w:t>联</w:t>
      </w:r>
      <w:r>
        <w:rPr>
          <w:rFonts w:hint="eastAsia" w:ascii="Times New Roman" w:hAnsi="黑体" w:eastAsia="黑体"/>
          <w:color w:val="auto"/>
          <w:highlight w:val="none"/>
        </w:rPr>
        <w:t xml:space="preserve"> </w:t>
      </w:r>
      <w:r>
        <w:rPr>
          <w:rFonts w:hint="eastAsia" w:ascii="Times New Roman" w:hAnsi="Times New Roman" w:eastAsia="黑体"/>
          <w:color w:val="auto"/>
          <w:sz w:val="14"/>
          <w:szCs w:val="14"/>
          <w:highlight w:val="none"/>
        </w:rPr>
        <w:t xml:space="preserve">  </w:t>
      </w:r>
      <w:r>
        <w:rPr>
          <w:rFonts w:ascii="Times New Roman" w:hAnsi="黑体" w:eastAsia="黑体"/>
          <w:color w:val="auto"/>
          <w:highlight w:val="none"/>
        </w:rPr>
        <w:t>系</w:t>
      </w:r>
      <w:r>
        <w:rPr>
          <w:rFonts w:hint="eastAsia" w:ascii="Times New Roman" w:hAnsi="Times New Roman" w:eastAsia="黑体"/>
          <w:color w:val="auto"/>
          <w:sz w:val="14"/>
          <w:szCs w:val="14"/>
          <w:highlight w:val="none"/>
        </w:rPr>
        <w:t xml:space="preserve">   </w:t>
      </w:r>
      <w:r>
        <w:rPr>
          <w:rFonts w:ascii="Times New Roman" w:hAnsi="黑体" w:eastAsia="黑体"/>
          <w:color w:val="auto"/>
          <w:highlight w:val="none"/>
        </w:rPr>
        <w:t>电</w:t>
      </w:r>
      <w:r>
        <w:rPr>
          <w:rFonts w:hint="eastAsia" w:ascii="Times New Roman" w:hAnsi="黑体" w:eastAsia="黑体"/>
          <w:color w:val="auto"/>
          <w:highlight w:val="none"/>
        </w:rPr>
        <w:t xml:space="preserve"> </w:t>
      </w:r>
      <w:r>
        <w:rPr>
          <w:rFonts w:hint="eastAsia" w:ascii="Times New Roman" w:hAnsi="Times New Roman" w:eastAsia="黑体"/>
          <w:color w:val="auto"/>
          <w:sz w:val="14"/>
          <w:szCs w:val="14"/>
          <w:highlight w:val="none"/>
        </w:rPr>
        <w:t xml:space="preserve">  </w:t>
      </w:r>
      <w:r>
        <w:rPr>
          <w:rFonts w:ascii="Times New Roman" w:hAnsi="黑体" w:eastAsia="黑体"/>
          <w:color w:val="auto"/>
          <w:highlight w:val="none"/>
        </w:rPr>
        <w:t>话：</w:t>
      </w:r>
      <w:r>
        <w:rPr>
          <w:rFonts w:ascii="Times New Roman" w:hAnsi="Times New Roman" w:eastAsia="黑体"/>
          <w:color w:val="auto"/>
          <w:highlight w:val="none"/>
          <w:u w:val="single"/>
        </w:rPr>
        <w:t xml:space="preserve">         </w:t>
      </w:r>
      <w:r>
        <w:rPr>
          <w:rFonts w:hint="eastAsia" w:ascii="Times New Roman" w:hAnsi="Times New Roman" w:eastAsia="黑体"/>
          <w:color w:val="auto"/>
          <w:highlight w:val="none"/>
          <w:u w:val="single"/>
        </w:rPr>
        <w:t xml:space="preserve">                             </w:t>
      </w:r>
      <w:r>
        <w:rPr>
          <w:rFonts w:ascii="Times New Roman" w:hAnsi="Times New Roman" w:eastAsia="黑体"/>
          <w:color w:val="auto"/>
          <w:highlight w:val="none"/>
          <w:u w:val="single"/>
        </w:rPr>
        <w:t xml:space="preserve">           </w:t>
      </w:r>
    </w:p>
    <w:p w14:paraId="504950AE">
      <w:pPr>
        <w:adjustRightInd/>
        <w:spacing w:line="360" w:lineRule="auto"/>
        <w:ind w:right="480" w:rightChars="200" w:firstLine="480" w:firstLineChars="200"/>
        <w:jc w:val="right"/>
        <w:rPr>
          <w:rFonts w:ascii="Times New Roman" w:hAnsi="Times New Roman"/>
          <w:color w:val="auto"/>
          <w:highlight w:val="none"/>
        </w:rPr>
      </w:pPr>
      <w:r>
        <w:rPr>
          <w:rFonts w:ascii="Times New Roman" w:hAnsi="Times New Roman"/>
          <w:color w:val="auto"/>
          <w:highlight w:val="none"/>
        </w:rPr>
        <w:t xml:space="preserve"> </w:t>
      </w:r>
      <w:r>
        <w:rPr>
          <w:rFonts w:ascii="Times New Roman" w:hAnsi="Times New Roman"/>
          <w:color w:val="auto"/>
          <w:highlight w:val="none"/>
          <w:u w:val="single"/>
        </w:rPr>
        <w:t xml:space="preserve">        </w:t>
      </w:r>
      <w:r>
        <w:rPr>
          <w:rFonts w:ascii="Times New Roman"/>
          <w:color w:val="auto"/>
          <w:highlight w:val="none"/>
        </w:rPr>
        <w:t>年</w:t>
      </w:r>
      <w:r>
        <w:rPr>
          <w:rFonts w:ascii="Times New Roman" w:hAnsi="Times New Roman"/>
          <w:color w:val="auto"/>
          <w:highlight w:val="none"/>
          <w:u w:val="single"/>
        </w:rPr>
        <w:t xml:space="preserve">     </w:t>
      </w:r>
      <w:r>
        <w:rPr>
          <w:rFonts w:ascii="Times New Roman"/>
          <w:color w:val="auto"/>
          <w:highlight w:val="none"/>
        </w:rPr>
        <w:t>月</w:t>
      </w:r>
      <w:r>
        <w:rPr>
          <w:rFonts w:ascii="Times New Roman" w:hAnsi="Times New Roman"/>
          <w:color w:val="auto"/>
          <w:highlight w:val="none"/>
          <w:u w:val="single"/>
        </w:rPr>
        <w:t xml:space="preserve">     </w:t>
      </w:r>
      <w:r>
        <w:rPr>
          <w:rFonts w:ascii="Times New Roman"/>
          <w:color w:val="auto"/>
          <w:highlight w:val="none"/>
        </w:rPr>
        <w:t>日</w:t>
      </w:r>
    </w:p>
    <w:p w14:paraId="27A90AD7">
      <w:pPr>
        <w:widowControl/>
        <w:numPr>
          <w:ilvl w:val="0"/>
          <w:numId w:val="20"/>
        </w:numPr>
        <w:autoSpaceDE/>
        <w:autoSpaceDN/>
        <w:adjustRightInd/>
        <w:jc w:val="center"/>
        <w:rPr>
          <w:rFonts w:hint="eastAsia" w:ascii="宋体" w:hAnsi="宋体" w:cs="宋体"/>
          <w:b/>
          <w:bCs/>
          <w:color w:val="auto"/>
          <w:kern w:val="44"/>
          <w:sz w:val="44"/>
          <w:szCs w:val="44"/>
          <w:highlight w:val="none"/>
        </w:rPr>
      </w:pPr>
      <w:bookmarkStart w:id="110" w:name="_Toc45697243"/>
      <w:bookmarkStart w:id="111" w:name="_Toc67589035"/>
      <w:r>
        <w:rPr>
          <w:rFonts w:ascii="宋体" w:hAnsi="宋体" w:cs="宋体"/>
          <w:b/>
          <w:bCs/>
          <w:color w:val="auto"/>
          <w:kern w:val="44"/>
          <w:sz w:val="44"/>
          <w:szCs w:val="44"/>
          <w:highlight w:val="none"/>
        </w:rPr>
        <w:br w:type="page"/>
      </w:r>
      <w:r>
        <w:rPr>
          <w:rFonts w:hint="eastAsia" w:ascii="宋体" w:hAnsi="宋体" w:cs="宋体"/>
          <w:b/>
          <w:bCs/>
          <w:color w:val="auto"/>
          <w:kern w:val="44"/>
          <w:sz w:val="44"/>
          <w:szCs w:val="44"/>
          <w:highlight w:val="none"/>
        </w:rPr>
        <w:t>评标定标办法</w:t>
      </w:r>
    </w:p>
    <w:p w14:paraId="1B11959A">
      <w:pPr>
        <w:pStyle w:val="3"/>
        <w:spacing w:line="240" w:lineRule="auto"/>
        <w:ind w:firstLine="281"/>
        <w:jc w:val="center"/>
        <w:rPr>
          <w:rFonts w:ascii="Times New Roman" w:hAnsi="Times New Roman"/>
          <w:color w:val="auto"/>
          <w:sz w:val="24"/>
          <w:szCs w:val="24"/>
          <w:highlight w:val="none"/>
        </w:rPr>
      </w:pPr>
      <w:bookmarkStart w:id="112" w:name="_Toc493511448"/>
      <w:bookmarkStart w:id="113" w:name="_Toc23880"/>
      <w:r>
        <w:rPr>
          <w:rFonts w:ascii="Times New Roman" w:hAnsi="Times New Roman"/>
          <w:color w:val="auto"/>
          <w:highlight w:val="none"/>
        </w:rPr>
        <w:t>第一节 评标办法</w:t>
      </w:r>
      <w:bookmarkEnd w:id="112"/>
      <w:bookmarkEnd w:id="113"/>
    </w:p>
    <w:p w14:paraId="0CA4F0F7">
      <w:pPr>
        <w:ind w:firstLine="570"/>
        <w:jc w:val="center"/>
        <w:rPr>
          <w:rFonts w:hint="eastAsia" w:ascii="宋体" w:hAnsi="宋体" w:cs="宋体"/>
          <w:bCs/>
          <w:color w:val="auto"/>
          <w:sz w:val="28"/>
          <w:szCs w:val="28"/>
          <w:highlight w:val="none"/>
        </w:rPr>
      </w:pPr>
      <w:r>
        <w:rPr>
          <w:rFonts w:hint="eastAsia" w:hAnsi="宋体"/>
          <w:color w:val="auto"/>
          <w:sz w:val="44"/>
          <w:szCs w:val="44"/>
          <w:highlight w:val="none"/>
        </w:rPr>
        <w:t>☑</w:t>
      </w:r>
      <w:r>
        <w:rPr>
          <w:rFonts w:hint="eastAsia" w:ascii="宋体" w:hAnsi="宋体" w:cs="宋体"/>
          <w:bCs/>
          <w:color w:val="auto"/>
          <w:sz w:val="28"/>
          <w:szCs w:val="28"/>
          <w:highlight w:val="none"/>
        </w:rPr>
        <w:t>一、综合评估法（适用于技术标明标）</w:t>
      </w:r>
    </w:p>
    <w:p w14:paraId="2EBCFA2A">
      <w:pPr>
        <w:ind w:firstLine="570"/>
        <w:rPr>
          <w:rFonts w:hint="eastAsia" w:ascii="宋体" w:hAnsi="宋体" w:cs="宋体"/>
          <w:bCs/>
          <w:color w:val="auto"/>
          <w:highlight w:val="none"/>
        </w:rPr>
      </w:pPr>
      <w:r>
        <w:rPr>
          <w:rFonts w:hint="eastAsia" w:ascii="宋体" w:hAnsi="宋体" w:cs="宋体"/>
          <w:bCs/>
          <w:color w:val="auto"/>
          <w:highlight w:val="none"/>
        </w:rPr>
        <w:t>工程总承包综合评估法应先对投标人进行资格审查，已通过资格审查的，采用百分制记分法对投标人分别进行技术、资信、商务报价评分，按总分从高到低进行排序，并按照排序推荐中标候选人。评标应遵循公平、公正、科学、择优的原则。</w:t>
      </w:r>
    </w:p>
    <w:p w14:paraId="22D5ED35">
      <w:pPr>
        <w:ind w:firstLine="48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b/>
          <w:color w:val="auto"/>
          <w:highlight w:val="none"/>
        </w:rPr>
        <w:t>总分</w:t>
      </w:r>
      <w:r>
        <w:rPr>
          <w:rFonts w:hint="eastAsia" w:ascii="宋体" w:hAnsi="宋体" w:cs="宋体"/>
          <w:color w:val="auto"/>
          <w:highlight w:val="none"/>
        </w:rPr>
        <w:t>（100分）</w:t>
      </w:r>
      <w:r>
        <w:rPr>
          <w:rFonts w:hint="eastAsia" w:ascii="宋体" w:hAnsi="宋体" w:cs="宋体"/>
          <w:color w:val="auto"/>
          <w:highlight w:val="none"/>
          <w:u w:val="single"/>
        </w:rPr>
        <w:t>100</w:t>
      </w:r>
      <w:r>
        <w:rPr>
          <w:rFonts w:hint="eastAsia" w:ascii="宋体" w:hAnsi="宋体" w:cs="宋体"/>
          <w:color w:val="auto"/>
          <w:highlight w:val="none"/>
        </w:rPr>
        <w:t>分</w:t>
      </w:r>
      <w:r>
        <w:rPr>
          <w:rFonts w:hint="eastAsia" w:ascii="宋体" w:hAnsi="宋体" w:cs="宋体"/>
          <w:color w:val="auto"/>
          <w:highlight w:val="none"/>
        </w:rPr>
        <w:t>：技术标评分（≤30分）</w:t>
      </w:r>
      <w:r>
        <w:rPr>
          <w:rFonts w:hint="eastAsia" w:ascii="宋体" w:hAnsi="宋体" w:cs="宋体"/>
          <w:color w:val="auto"/>
          <w:highlight w:val="none"/>
          <w:u w:val="single"/>
        </w:rPr>
        <w:t>30</w:t>
      </w:r>
      <w:r>
        <w:rPr>
          <w:rFonts w:hint="eastAsia" w:ascii="宋体" w:hAnsi="宋体" w:cs="宋体"/>
          <w:color w:val="auto"/>
          <w:highlight w:val="none"/>
        </w:rPr>
        <w:t>分,资信标评分</w:t>
      </w:r>
      <w:r>
        <w:rPr>
          <w:rFonts w:hint="eastAsia" w:ascii="宋体" w:hAnsi="宋体" w:cs="宋体"/>
          <w:color w:val="auto"/>
          <w:highlight w:val="none"/>
          <w:u w:val="single"/>
        </w:rPr>
        <w:t>（3-10分）6</w:t>
      </w:r>
      <w:r>
        <w:rPr>
          <w:rFonts w:hint="eastAsia" w:ascii="宋体" w:hAnsi="宋体" w:cs="宋体"/>
          <w:color w:val="auto"/>
          <w:highlight w:val="none"/>
        </w:rPr>
        <w:t>分,商务标评分（≥60分）</w:t>
      </w:r>
      <w:r>
        <w:rPr>
          <w:rFonts w:hint="eastAsia" w:ascii="宋体" w:hAnsi="宋体" w:cs="宋体"/>
          <w:color w:val="auto"/>
          <w:highlight w:val="none"/>
          <w:u w:val="single"/>
        </w:rPr>
        <w:t xml:space="preserve"> 64 </w:t>
      </w:r>
      <w:r>
        <w:rPr>
          <w:rFonts w:hint="eastAsia" w:ascii="宋体" w:hAnsi="宋体" w:cs="宋体"/>
          <w:color w:val="auto"/>
          <w:highlight w:val="none"/>
        </w:rPr>
        <w:t>分之和（具体分值由当地招投标主管部门和招标人确定，</w:t>
      </w:r>
      <w:r>
        <w:rPr>
          <w:rFonts w:hint="eastAsia" w:ascii="宋体" w:hAnsi="宋体" w:cs="宋体"/>
          <w:bCs/>
          <w:color w:val="auto"/>
          <w:highlight w:val="none"/>
        </w:rPr>
        <w:t>适用于技术复杂项目）</w:t>
      </w:r>
    </w:p>
    <w:p w14:paraId="03F9DCD4">
      <w:pPr>
        <w:ind w:firstLine="48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b/>
          <w:color w:val="auto"/>
          <w:highlight w:val="none"/>
        </w:rPr>
        <w:t>总分</w:t>
      </w:r>
      <w:r>
        <w:rPr>
          <w:rFonts w:hint="eastAsia" w:ascii="宋体" w:hAnsi="宋体" w:cs="宋体"/>
          <w:color w:val="auto"/>
          <w:highlight w:val="none"/>
        </w:rPr>
        <w:t>（100分）：技术标评分（≤20分）</w:t>
      </w:r>
      <w:r>
        <w:rPr>
          <w:rFonts w:hint="eastAsia" w:ascii="宋体" w:hAnsi="宋体" w:cs="宋体"/>
          <w:color w:val="auto"/>
          <w:highlight w:val="none"/>
          <w:u w:val="single"/>
        </w:rPr>
        <w:t xml:space="preserve">    </w:t>
      </w:r>
      <w:r>
        <w:rPr>
          <w:rFonts w:hint="eastAsia" w:ascii="宋体" w:hAnsi="宋体" w:cs="宋体"/>
          <w:color w:val="auto"/>
          <w:highlight w:val="none"/>
        </w:rPr>
        <w:t>分,资信标评分</w:t>
      </w:r>
      <w:r>
        <w:rPr>
          <w:rFonts w:hint="eastAsia" w:ascii="宋体" w:hAnsi="宋体" w:cs="宋体"/>
          <w:color w:val="auto"/>
          <w:highlight w:val="none"/>
          <w:u w:val="single"/>
        </w:rPr>
        <w:t xml:space="preserve">（3-10分）    </w:t>
      </w:r>
      <w:r>
        <w:rPr>
          <w:rFonts w:hint="eastAsia" w:ascii="宋体" w:hAnsi="宋体" w:cs="宋体"/>
          <w:color w:val="auto"/>
          <w:highlight w:val="none"/>
        </w:rPr>
        <w:t>分,商务标评分（≥70分）</w:t>
      </w:r>
      <w:r>
        <w:rPr>
          <w:rFonts w:hint="eastAsia" w:ascii="宋体" w:hAnsi="宋体" w:cs="宋体"/>
          <w:color w:val="auto"/>
          <w:highlight w:val="none"/>
          <w:u w:val="single"/>
        </w:rPr>
        <w:t xml:space="preserve">     </w:t>
      </w:r>
      <w:r>
        <w:rPr>
          <w:rFonts w:hint="eastAsia" w:ascii="宋体" w:hAnsi="宋体" w:cs="宋体"/>
          <w:color w:val="auto"/>
          <w:highlight w:val="none"/>
        </w:rPr>
        <w:t>分之和（具体分值由当地招投标主管部门和招标人确定，</w:t>
      </w:r>
      <w:r>
        <w:rPr>
          <w:rFonts w:hint="eastAsia" w:ascii="宋体" w:hAnsi="宋体" w:cs="宋体"/>
          <w:bCs/>
          <w:color w:val="auto"/>
          <w:highlight w:val="none"/>
        </w:rPr>
        <w:t>适用于非技术复杂项目</w:t>
      </w:r>
      <w:r>
        <w:rPr>
          <w:rFonts w:hint="eastAsia" w:ascii="宋体" w:hAnsi="宋体" w:cs="宋体"/>
          <w:color w:val="auto"/>
          <w:highlight w:val="none"/>
        </w:rPr>
        <w:t>）</w:t>
      </w:r>
    </w:p>
    <w:p w14:paraId="23996AF0">
      <w:pPr>
        <w:pStyle w:val="37"/>
        <w:ind w:firstLine="480" w:firstLineChars="200"/>
        <w:rPr>
          <w:rFonts w:hint="eastAsia" w:cs="宋体"/>
          <w:color w:val="auto"/>
          <w:szCs w:val="24"/>
          <w:highlight w:val="none"/>
        </w:rPr>
      </w:pPr>
      <w:r>
        <w:rPr>
          <w:rFonts w:hint="eastAsia" w:cs="宋体"/>
          <w:color w:val="auto"/>
          <w:szCs w:val="24"/>
          <w:highlight w:val="none"/>
          <w:lang w:val="en-US"/>
        </w:rPr>
        <w:t>评标工作由招标人依法组建的评标委员会负责，评标委员会的组建见投标人须知前附表6.1.1。</w:t>
      </w:r>
    </w:p>
    <w:p w14:paraId="4FA83C53">
      <w:pPr>
        <w:pStyle w:val="36"/>
        <w:numPr>
          <w:ilvl w:val="0"/>
          <w:numId w:val="21"/>
        </w:numPr>
        <w:snapToGrid w:val="0"/>
        <w:ind w:left="0" w:firstLine="482" w:firstLineChars="200"/>
        <w:rPr>
          <w:rFonts w:hint="eastAsia" w:ascii="宋体" w:hAnsi="宋体" w:cs="宋体"/>
          <w:color w:val="auto"/>
          <w:highlight w:val="none"/>
        </w:rPr>
      </w:pPr>
      <w:r>
        <w:rPr>
          <w:rFonts w:hint="eastAsia" w:ascii="宋体" w:hAnsi="宋体" w:cs="宋体"/>
          <w:b/>
          <w:color w:val="auto"/>
          <w:highlight w:val="none"/>
        </w:rPr>
        <w:t>评标程序</w:t>
      </w:r>
    </w:p>
    <w:p w14:paraId="041F0C68">
      <w:pPr>
        <w:pStyle w:val="35"/>
        <w:ind w:firstLine="480"/>
        <w:rPr>
          <w:rFonts w:hint="eastAsia" w:ascii="宋体" w:hAnsi="宋体" w:cs="宋体"/>
          <w:color w:val="auto"/>
          <w:highlight w:val="none"/>
        </w:rPr>
      </w:pPr>
      <w:r>
        <w:rPr>
          <w:rFonts w:hint="eastAsia" w:ascii="宋体" w:hAnsi="宋体" w:cs="宋体"/>
          <w:color w:val="auto"/>
          <w:highlight w:val="none"/>
        </w:rPr>
        <w:t>1.熟悉招标文件和评标办法；</w:t>
      </w:r>
    </w:p>
    <w:p w14:paraId="362B9380">
      <w:pPr>
        <w:pStyle w:val="35"/>
        <w:ind w:firstLine="480"/>
        <w:rPr>
          <w:rFonts w:hint="eastAsia" w:ascii="宋体" w:hAnsi="宋体" w:cs="宋体"/>
          <w:color w:val="auto"/>
          <w:highlight w:val="none"/>
        </w:rPr>
      </w:pPr>
      <w:r>
        <w:rPr>
          <w:rFonts w:hint="eastAsia" w:ascii="宋体" w:hAnsi="宋体" w:cs="宋体"/>
          <w:color w:val="auto"/>
          <w:highlight w:val="none"/>
        </w:rPr>
        <w:t>2.初步评审；</w:t>
      </w:r>
    </w:p>
    <w:p w14:paraId="40C6654D">
      <w:pPr>
        <w:pStyle w:val="35"/>
        <w:ind w:firstLine="480"/>
        <w:rPr>
          <w:rFonts w:hint="eastAsia" w:ascii="宋体" w:hAnsi="宋体" w:cs="宋体"/>
          <w:color w:val="auto"/>
          <w:highlight w:val="none"/>
        </w:rPr>
      </w:pPr>
      <w:r>
        <w:rPr>
          <w:rFonts w:hint="eastAsia" w:ascii="宋体" w:hAnsi="宋体" w:cs="宋体"/>
          <w:color w:val="auto"/>
          <w:highlight w:val="none"/>
        </w:rPr>
        <w:t>3.技术标评审；</w:t>
      </w:r>
    </w:p>
    <w:p w14:paraId="1628FF9C">
      <w:pPr>
        <w:pStyle w:val="35"/>
        <w:ind w:firstLine="480"/>
        <w:rPr>
          <w:rFonts w:hint="eastAsia" w:ascii="宋体" w:hAnsi="宋体" w:cs="宋体"/>
          <w:color w:val="auto"/>
          <w:highlight w:val="none"/>
        </w:rPr>
      </w:pPr>
      <w:r>
        <w:rPr>
          <w:rFonts w:hint="eastAsia" w:ascii="宋体" w:hAnsi="宋体" w:cs="宋体"/>
          <w:color w:val="auto"/>
          <w:highlight w:val="none"/>
        </w:rPr>
        <w:t>4.资信标评审；</w:t>
      </w:r>
    </w:p>
    <w:p w14:paraId="3DE2C5D6">
      <w:pPr>
        <w:pStyle w:val="35"/>
        <w:ind w:firstLine="480"/>
        <w:rPr>
          <w:rFonts w:hint="eastAsia" w:ascii="宋体" w:hAnsi="宋体" w:cs="宋体"/>
          <w:color w:val="auto"/>
          <w:highlight w:val="none"/>
        </w:rPr>
      </w:pPr>
      <w:r>
        <w:rPr>
          <w:rFonts w:hint="eastAsia" w:ascii="宋体" w:hAnsi="宋体" w:cs="宋体"/>
          <w:color w:val="auto"/>
          <w:highlight w:val="none"/>
        </w:rPr>
        <w:t>5.商务标评审；</w:t>
      </w:r>
    </w:p>
    <w:p w14:paraId="3FCC6521">
      <w:pPr>
        <w:pStyle w:val="35"/>
        <w:ind w:firstLine="480"/>
        <w:rPr>
          <w:rFonts w:hint="eastAsia" w:ascii="宋体" w:hAnsi="宋体" w:cs="宋体"/>
          <w:color w:val="auto"/>
          <w:highlight w:val="none"/>
        </w:rPr>
      </w:pPr>
      <w:r>
        <w:rPr>
          <w:rFonts w:hint="eastAsia" w:ascii="宋体" w:hAnsi="宋体" w:cs="宋体"/>
          <w:color w:val="auto"/>
          <w:highlight w:val="none"/>
        </w:rPr>
        <w:t>6.对投标文件进行综合评分、排序，推荐中标候选人；</w:t>
      </w:r>
    </w:p>
    <w:p w14:paraId="1F507A48">
      <w:pPr>
        <w:pStyle w:val="35"/>
        <w:ind w:firstLine="480"/>
        <w:rPr>
          <w:rFonts w:hint="eastAsia" w:ascii="宋体" w:hAnsi="宋体" w:cs="宋体"/>
          <w:color w:val="auto"/>
          <w:highlight w:val="none"/>
        </w:rPr>
      </w:pPr>
      <w:r>
        <w:rPr>
          <w:rFonts w:hint="eastAsia" w:ascii="宋体" w:hAnsi="宋体" w:cs="宋体"/>
          <w:color w:val="auto"/>
          <w:highlight w:val="none"/>
        </w:rPr>
        <w:t>7.出具评标报告。</w:t>
      </w:r>
    </w:p>
    <w:p w14:paraId="6D6FE715">
      <w:pPr>
        <w:ind w:firstLine="480" w:firstLineChars="200"/>
        <w:rPr>
          <w:rFonts w:hint="eastAsia" w:ascii="宋体" w:hAnsi="宋体" w:cs="宋体"/>
          <w:color w:val="auto"/>
          <w:highlight w:val="none"/>
        </w:rPr>
      </w:pPr>
      <w:r>
        <w:rPr>
          <w:rFonts w:hint="eastAsia" w:ascii="宋体" w:hAnsi="宋体" w:cs="宋体"/>
          <w:color w:val="auto"/>
          <w:highlight w:val="none"/>
        </w:rPr>
        <w:t>询标：（1）投标文件中有含义不明确的内容、明显文字或计算错误，评标委员会认为需要投标人作出必要澄清、说明的，应当组织询标。</w:t>
      </w:r>
    </w:p>
    <w:p w14:paraId="7901030B">
      <w:pPr>
        <w:ind w:firstLine="480" w:firstLineChars="200"/>
        <w:rPr>
          <w:rFonts w:hint="eastAsia" w:ascii="宋体" w:hAnsi="宋体" w:cs="宋体"/>
          <w:color w:val="auto"/>
          <w:highlight w:val="none"/>
        </w:rPr>
      </w:pPr>
      <w:r>
        <w:rPr>
          <w:rFonts w:hint="eastAsia" w:ascii="宋体" w:hAnsi="宋体" w:cs="宋体"/>
          <w:color w:val="auto"/>
          <w:highlight w:val="none"/>
        </w:rPr>
        <w:t>（2）凡是评标委员会拟作出否决投标决定的，须组织相关投标人询问核实。未进行询问核实的，不得作出否决投标的决定，投标人放弃询问核实机会的除外。投标人应自行关注评标委员会发出的澄清并及时答复，在规定的时限内投标人不参加核实或不予答复的，视为放弃接受询问核实的机会。</w:t>
      </w:r>
    </w:p>
    <w:p w14:paraId="36DEA4EC">
      <w:pPr>
        <w:ind w:firstLine="480" w:firstLineChars="200"/>
        <w:rPr>
          <w:rFonts w:hint="eastAsia" w:ascii="宋体" w:hAnsi="宋体" w:cs="宋体"/>
          <w:color w:val="auto"/>
          <w:highlight w:val="none"/>
        </w:rPr>
      </w:pPr>
      <w:r>
        <w:rPr>
          <w:rFonts w:hint="eastAsia" w:ascii="宋体" w:hAnsi="宋体" w:cs="宋体"/>
          <w:color w:val="auto"/>
          <w:highlight w:val="none"/>
        </w:rPr>
        <w:t>（3）询标问题及投标人的澄清、说明应当采用书面形式，并不得超出投标文件的范围或者改变投标文件的实质性内容。</w:t>
      </w:r>
    </w:p>
    <w:p w14:paraId="1669C92E">
      <w:pPr>
        <w:ind w:firstLine="480" w:firstLineChars="200"/>
        <w:rPr>
          <w:rFonts w:hint="eastAsia" w:ascii="宋体" w:hAnsi="宋体" w:cs="宋体"/>
          <w:color w:val="auto"/>
          <w:highlight w:val="none"/>
        </w:rPr>
      </w:pPr>
      <w:r>
        <w:rPr>
          <w:rFonts w:hint="eastAsia" w:ascii="宋体" w:hAnsi="宋体" w:cs="宋体"/>
          <w:color w:val="auto"/>
          <w:highlight w:val="none"/>
        </w:rPr>
        <w:t>（4）评标委员会不得暗示或者诱导投标人作出澄清、说明，不得接受投标人主动提出的澄清、说明。</w:t>
      </w:r>
    </w:p>
    <w:p w14:paraId="73579C36">
      <w:pPr>
        <w:ind w:firstLine="480" w:firstLineChars="200"/>
        <w:rPr>
          <w:rFonts w:hint="eastAsia" w:ascii="宋体" w:hAnsi="宋体" w:cs="宋体"/>
          <w:color w:val="auto"/>
          <w:highlight w:val="none"/>
        </w:rPr>
      </w:pPr>
      <w:r>
        <w:rPr>
          <w:rFonts w:hint="eastAsia" w:ascii="宋体" w:hAnsi="宋体" w:cs="宋体"/>
          <w:color w:val="auto"/>
          <w:highlight w:val="none"/>
        </w:rPr>
        <w:t>（5）投标人不得通过补充、修改或撤销投标文件中的内容使其成为实质性响应的投标，投标人在投标截止时间以后不得提交任何资料作为评标依据。</w:t>
      </w:r>
    </w:p>
    <w:p w14:paraId="0310ADCB">
      <w:pPr>
        <w:pStyle w:val="36"/>
        <w:numPr>
          <w:ilvl w:val="0"/>
          <w:numId w:val="21"/>
        </w:numPr>
        <w:snapToGrid w:val="0"/>
        <w:ind w:left="0" w:firstLine="482" w:firstLineChars="200"/>
        <w:rPr>
          <w:rFonts w:hint="eastAsia" w:ascii="宋体" w:hAnsi="宋体" w:cs="宋体"/>
          <w:b/>
          <w:color w:val="auto"/>
          <w:highlight w:val="none"/>
        </w:rPr>
      </w:pPr>
      <w:r>
        <w:rPr>
          <w:rFonts w:hint="eastAsia" w:ascii="宋体" w:hAnsi="宋体" w:cs="宋体"/>
          <w:b/>
          <w:color w:val="auto"/>
          <w:highlight w:val="none"/>
        </w:rPr>
        <w:t>评审细则</w:t>
      </w:r>
    </w:p>
    <w:p w14:paraId="31E8070F">
      <w:pPr>
        <w:ind w:firstLine="482" w:firstLineChars="200"/>
        <w:rPr>
          <w:rFonts w:hint="eastAsia" w:ascii="宋体" w:hAnsi="宋体" w:cs="宋体"/>
          <w:b/>
          <w:color w:val="auto"/>
          <w:highlight w:val="none"/>
        </w:rPr>
      </w:pPr>
      <w:r>
        <w:rPr>
          <w:rFonts w:hint="eastAsia" w:ascii="宋体" w:hAnsi="宋体" w:cs="宋体"/>
          <w:b/>
          <w:color w:val="auto"/>
          <w:highlight w:val="none"/>
        </w:rPr>
        <w:t>（一）投标文件的初步评审</w:t>
      </w:r>
    </w:p>
    <w:p w14:paraId="2D639AC7">
      <w:pPr>
        <w:ind w:firstLine="480" w:firstLineChars="200"/>
        <w:rPr>
          <w:rFonts w:hint="eastAsia" w:ascii="宋体" w:hAnsi="宋体" w:cs="宋体"/>
          <w:color w:val="auto"/>
          <w:highlight w:val="none"/>
        </w:rPr>
      </w:pPr>
      <w:r>
        <w:rPr>
          <w:rFonts w:hint="eastAsia" w:ascii="宋体" w:hAnsi="宋体" w:cs="宋体"/>
          <w:color w:val="auto"/>
          <w:highlight w:val="none"/>
        </w:rPr>
        <w:t>1.评标委员会应依照招标文件的要求和规定，对投标人的投标资格和投标文件进行初步评审。</w:t>
      </w:r>
    </w:p>
    <w:p w14:paraId="613583FB">
      <w:pPr>
        <w:ind w:firstLine="480" w:firstLineChars="200"/>
        <w:rPr>
          <w:rFonts w:hint="eastAsia" w:ascii="宋体" w:hAnsi="宋体" w:cs="宋体"/>
          <w:color w:val="auto"/>
          <w:highlight w:val="none"/>
        </w:rPr>
      </w:pPr>
      <w:r>
        <w:rPr>
          <w:rFonts w:hint="eastAsia" w:ascii="宋体" w:hAnsi="宋体" w:cs="宋体"/>
          <w:color w:val="auto"/>
          <w:highlight w:val="none"/>
        </w:rPr>
        <w:t>评标委员会应审查，投标人符合投标所需资质条件在“浙江省建筑市场监管公共服务系统”动态核结果处于“合格”状态证明截图复制件。</w:t>
      </w:r>
    </w:p>
    <w:p w14:paraId="5D151D28">
      <w:pPr>
        <w:ind w:firstLine="480" w:firstLineChars="200"/>
        <w:rPr>
          <w:rFonts w:hint="eastAsia" w:ascii="宋体" w:hAnsi="宋体" w:cs="宋体"/>
          <w:color w:val="auto"/>
          <w:highlight w:val="none"/>
        </w:rPr>
      </w:pPr>
      <w:r>
        <w:rPr>
          <w:rFonts w:hint="eastAsia" w:ascii="宋体" w:hAnsi="宋体" w:cs="宋体"/>
          <w:color w:val="auto"/>
          <w:highlight w:val="none"/>
        </w:rPr>
        <w:t>如评标委员会发现投标文件存在招标文件投标人须知前附表10.1“否决投标的情形”符合性内容之一的，经询问核实并认定后，即可判定该投标文件初步评审不通过，应予以否决，不再进入后续评审程序。</w:t>
      </w:r>
    </w:p>
    <w:p w14:paraId="0E0C73BB">
      <w:pPr>
        <w:pStyle w:val="9"/>
        <w:tabs>
          <w:tab w:val="left" w:pos="1343"/>
          <w:tab w:val="left" w:pos="2697"/>
          <w:tab w:val="left" w:pos="3264"/>
          <w:tab w:val="left" w:pos="4896"/>
          <w:tab w:val="left" w:pos="6005"/>
          <w:tab w:val="left" w:pos="7085"/>
          <w:tab w:val="left" w:pos="7498"/>
        </w:tabs>
        <w:adjustRightInd/>
        <w:ind w:firstLine="480" w:firstLineChars="200"/>
        <w:jc w:val="both"/>
        <w:rPr>
          <w:rFonts w:ascii="Times New Roman" w:hAnsi="Times New Roman"/>
          <w:color w:val="auto"/>
          <w:highlight w:val="none"/>
        </w:rPr>
      </w:pPr>
      <w:r>
        <w:rPr>
          <w:rFonts w:hint="eastAsia"/>
          <w:color w:val="auto"/>
          <w:highlight w:val="none"/>
        </w:rPr>
        <w:t>评标委员会应审查投标人须知前附表3.5规定要求</w:t>
      </w:r>
      <w:r>
        <w:rPr>
          <w:rFonts w:hint="eastAsia" w:ascii="宋体" w:hAnsi="宋体"/>
          <w:color w:val="auto"/>
          <w:spacing w:val="-4"/>
          <w:highlight w:val="none"/>
        </w:rPr>
        <w:t>的“资质动态核查结果证明”</w:t>
      </w:r>
      <w:r>
        <w:rPr>
          <w:rFonts w:hint="eastAsia" w:hAnsi="宋体"/>
          <w:color w:val="auto"/>
          <w:highlight w:val="none"/>
        </w:rPr>
        <w:t>。</w:t>
      </w:r>
    </w:p>
    <w:p w14:paraId="0EC08B81">
      <w:pPr>
        <w:ind w:firstLine="570"/>
        <w:rPr>
          <w:rFonts w:hint="eastAsia" w:ascii="宋体" w:hAnsi="宋体" w:cs="宋体"/>
          <w:b/>
          <w:color w:val="auto"/>
          <w:highlight w:val="none"/>
        </w:rPr>
      </w:pPr>
      <w:r>
        <w:rPr>
          <w:rFonts w:hint="eastAsia" w:ascii="宋体" w:hAnsi="宋体" w:cs="宋体"/>
          <w:b/>
          <w:color w:val="auto"/>
          <w:highlight w:val="none"/>
        </w:rPr>
        <w:t>（二）投标文件的技术标评审</w:t>
      </w:r>
    </w:p>
    <w:p w14:paraId="0BB47AAE">
      <w:pPr>
        <w:ind w:firstLine="570"/>
        <w:rPr>
          <w:rFonts w:hint="eastAsia" w:ascii="宋体" w:hAnsi="宋体" w:cs="宋体"/>
          <w:color w:val="auto"/>
          <w:highlight w:val="none"/>
        </w:rPr>
      </w:pPr>
      <w:r>
        <w:rPr>
          <w:rFonts w:hint="eastAsia" w:ascii="宋体" w:hAnsi="宋体" w:cs="宋体"/>
          <w:color w:val="auto"/>
          <w:highlight w:val="none"/>
        </w:rPr>
        <w:t>1、投标文件存在投标人须知前附表10.1情形技术性内容之一的，评标委员会组织投标人询问核实后，情况属实的，技术标评审不予通过，否决其投标，不再进入后续评审程序。</w:t>
      </w:r>
    </w:p>
    <w:p w14:paraId="25D31C23">
      <w:pPr>
        <w:ind w:firstLine="570"/>
        <w:rPr>
          <w:rFonts w:hint="eastAsia" w:ascii="宋体" w:hAnsi="宋体" w:cs="宋体"/>
          <w:color w:val="auto"/>
          <w:highlight w:val="none"/>
        </w:rPr>
      </w:pPr>
      <w:r>
        <w:rPr>
          <w:rFonts w:hint="eastAsia" w:ascii="宋体" w:hAnsi="宋体" w:cs="宋体"/>
          <w:color w:val="auto"/>
          <w:highlight w:val="none"/>
        </w:rPr>
        <w:t>2、技术标评分（☑≤30分，</w:t>
      </w:r>
      <w:r>
        <w:rPr>
          <w:rFonts w:hint="eastAsia" w:ascii="宋体" w:hAnsi="宋体" w:cs="宋体"/>
          <w:bCs/>
          <w:color w:val="auto"/>
          <w:highlight w:val="none"/>
        </w:rPr>
        <w:t>适用于技术复杂项目；</w:t>
      </w:r>
      <w:r>
        <w:rPr>
          <w:rFonts w:hint="eastAsia" w:ascii="宋体" w:hAnsi="宋体" w:cs="宋体"/>
          <w:color w:val="auto"/>
          <w:highlight w:val="none"/>
        </w:rPr>
        <w:t>□≤20分，</w:t>
      </w:r>
      <w:r>
        <w:rPr>
          <w:rFonts w:hint="eastAsia" w:ascii="宋体" w:hAnsi="宋体" w:cs="宋体"/>
          <w:bCs/>
          <w:color w:val="auto"/>
          <w:highlight w:val="none"/>
        </w:rPr>
        <w:t>适用于非技</w:t>
      </w:r>
      <w:r>
        <w:rPr>
          <w:rFonts w:hint="eastAsia" w:ascii="宋体" w:hAnsi="宋体" w:cs="宋体"/>
          <w:bCs/>
          <w:color w:val="auto"/>
          <w:highlight w:val="none"/>
        </w:rPr>
        <w:t>术复杂项目）</w:t>
      </w:r>
    </w:p>
    <w:p w14:paraId="2EEB23A9">
      <w:pPr>
        <w:ind w:firstLine="570"/>
        <w:rPr>
          <w:rFonts w:hint="eastAsia" w:ascii="宋体" w:hAnsi="宋体" w:cs="宋体"/>
          <w:color w:val="auto"/>
          <w:highlight w:val="none"/>
        </w:rPr>
      </w:pPr>
      <w:r>
        <w:rPr>
          <w:rFonts w:hint="eastAsia" w:ascii="宋体" w:hAnsi="宋体" w:cs="宋体"/>
          <w:color w:val="auto"/>
          <w:highlight w:val="none"/>
        </w:rPr>
        <w:t>（1）由评标委员会各成员按评审因素和评分标准进行独立评分（保留2位小数）并署名。单项评分最大范围在A分（A=B</w:t>
      </w:r>
      <w:r>
        <w:rPr>
          <w:rFonts w:ascii="Arial" w:hAnsi="Arial" w:cs="Arial"/>
          <w:color w:val="auto"/>
          <w:highlight w:val="none"/>
        </w:rPr>
        <w:t>×</w:t>
      </w:r>
      <w:r>
        <w:rPr>
          <w:rFonts w:hint="eastAsia" w:ascii="Arial" w:hAnsi="Arial" w:cs="Arial"/>
          <w:color w:val="auto"/>
          <w:highlight w:val="none"/>
        </w:rPr>
        <w:t>比值</w:t>
      </w:r>
      <w:r>
        <w:rPr>
          <w:rFonts w:hint="eastAsia" w:ascii="宋体" w:hAnsi="宋体" w:cs="宋体"/>
          <w:color w:val="auto"/>
          <w:highlight w:val="none"/>
        </w:rPr>
        <w:t>）至B分（B=技术分满分</w:t>
      </w:r>
      <w:r>
        <w:rPr>
          <w:rFonts w:ascii="Arial" w:hAnsi="Arial" w:cs="Arial"/>
          <w:color w:val="auto"/>
          <w:highlight w:val="none"/>
        </w:rPr>
        <w:t>×</w:t>
      </w:r>
      <w:r>
        <w:rPr>
          <w:rFonts w:hint="eastAsia" w:ascii="宋体" w:hAnsi="宋体" w:cs="宋体"/>
          <w:color w:val="auto"/>
          <w:highlight w:val="none"/>
        </w:rPr>
        <w:t>分值权重</w:t>
      </w:r>
      <w:r>
        <w:rPr>
          <w:rFonts w:hint="eastAsia" w:ascii="Arial" w:hAnsi="Arial" w:cs="Arial"/>
          <w:color w:val="auto"/>
          <w:highlight w:val="none"/>
        </w:rPr>
        <w:t>）</w:t>
      </w:r>
      <w:r>
        <w:rPr>
          <w:rFonts w:hint="eastAsia" w:ascii="宋体" w:hAnsi="宋体" w:cs="宋体"/>
          <w:color w:val="auto"/>
          <w:highlight w:val="none"/>
        </w:rPr>
        <w:t>之间（含本数）；对低于</w:t>
      </w:r>
      <w:r>
        <w:rPr>
          <w:rFonts w:hint="eastAsia" w:ascii="宋体" w:hAnsi="宋体" w:cs="宋体"/>
          <w:color w:val="auto"/>
          <w:highlight w:val="none"/>
          <w:u w:val="single"/>
        </w:rPr>
        <w:t>A</w:t>
      </w:r>
      <w:r>
        <w:rPr>
          <w:rFonts w:hint="eastAsia" w:ascii="宋体" w:hAnsi="宋体" w:cs="宋体"/>
          <w:color w:val="auto"/>
          <w:highlight w:val="none"/>
        </w:rPr>
        <w:t>分或高于</w:t>
      </w:r>
      <w:r>
        <w:rPr>
          <w:rFonts w:hint="eastAsia" w:ascii="宋体" w:hAnsi="宋体" w:cs="宋体"/>
          <w:color w:val="auto"/>
          <w:highlight w:val="none"/>
          <w:u w:val="single"/>
        </w:rPr>
        <w:t>B</w:t>
      </w:r>
      <w:r>
        <w:rPr>
          <w:rFonts w:hint="eastAsia" w:ascii="宋体" w:hAnsi="宋体" w:cs="宋体"/>
          <w:color w:val="auto"/>
          <w:highlight w:val="none"/>
        </w:rPr>
        <w:t>分的评分表作无效处理。（A、B值由招标人根据当地招投标主管部门相关规定确定，其中A值与B值的比值详见技术评审因素表，所有技术标评分项的B值之和等于技术标分值）</w:t>
      </w:r>
    </w:p>
    <w:p w14:paraId="0DC3E609">
      <w:pPr>
        <w:ind w:firstLine="570"/>
        <w:rPr>
          <w:rFonts w:hint="eastAsia" w:ascii="宋体" w:hAnsi="宋体" w:cs="宋体"/>
          <w:color w:val="auto"/>
          <w:highlight w:val="none"/>
        </w:rPr>
      </w:pPr>
      <w:r>
        <w:rPr>
          <w:rFonts w:hint="eastAsia" w:ascii="宋体" w:hAnsi="宋体" w:cs="宋体"/>
          <w:color w:val="auto"/>
          <w:highlight w:val="none"/>
        </w:rPr>
        <w:t>技术评审的单项评分最大分值（B）不得超过4分。</w:t>
      </w:r>
    </w:p>
    <w:p w14:paraId="2F5CA05E">
      <w:pPr>
        <w:ind w:firstLine="480" w:firstLineChars="200"/>
        <w:rPr>
          <w:rFonts w:hint="eastAsia" w:ascii="宋体" w:hAnsi="宋体" w:cs="宋体"/>
          <w:color w:val="auto"/>
          <w:highlight w:val="none"/>
        </w:rPr>
      </w:pPr>
      <w:r>
        <w:rPr>
          <w:rFonts w:hint="eastAsia" w:ascii="宋体" w:hAnsi="宋体" w:cs="宋体"/>
          <w:color w:val="auto"/>
          <w:highlight w:val="none"/>
        </w:rPr>
        <w:t>此项评分为：从评标专家的有效评分大于等于5个的，扣除一个最高总分和一个最低总分后的算术平均值，有效评分少于5个的，按全部有效评分的算术平均值（保留小数2位）。</w:t>
      </w:r>
    </w:p>
    <w:p w14:paraId="0F80F95D">
      <w:pPr>
        <w:numPr>
          <w:ilvl w:val="0"/>
          <w:numId w:val="4"/>
        </w:numPr>
        <w:ind w:firstLine="480"/>
        <w:rPr>
          <w:rFonts w:hint="eastAsia" w:ascii="宋体" w:hAnsi="宋体" w:cs="宋体"/>
          <w:color w:val="auto"/>
          <w:highlight w:val="none"/>
        </w:rPr>
      </w:pPr>
      <w:r>
        <w:rPr>
          <w:rFonts w:hint="eastAsia" w:ascii="宋体" w:hAnsi="宋体" w:cs="宋体"/>
          <w:color w:val="auto"/>
          <w:highlight w:val="none"/>
        </w:rPr>
        <w:t>技术评审主要因素包括以下内容（技术标打分条款由招标人根据项目实际情况进行设置）。</w:t>
      </w:r>
    </w:p>
    <w:p w14:paraId="61EB15A3">
      <w:pPr>
        <w:ind w:left="480"/>
        <w:rPr>
          <w:rFonts w:hint="eastAsia" w:ascii="宋体" w:hAnsi="宋体" w:cs="宋体"/>
          <w:color w:val="auto"/>
          <w:highlight w:val="none"/>
        </w:rPr>
      </w:pPr>
    </w:p>
    <w:tbl>
      <w:tblPr>
        <w:tblStyle w:val="23"/>
        <w:tblW w:w="94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1"/>
        <w:gridCol w:w="2187"/>
        <w:gridCol w:w="3735"/>
        <w:gridCol w:w="1913"/>
      </w:tblGrid>
      <w:tr w14:paraId="31E8A0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12A9F88B">
            <w:pPr>
              <w:jc w:val="center"/>
              <w:rPr>
                <w:rFonts w:hint="eastAsia" w:ascii="宋体" w:hAnsi="宋体" w:cs="Arial"/>
                <w:color w:val="auto"/>
                <w:highlight w:val="none"/>
              </w:rPr>
            </w:pPr>
            <w:r>
              <w:rPr>
                <w:rFonts w:hint="eastAsia" w:ascii="宋体" w:hAnsi="宋体" w:cs="Arial"/>
                <w:color w:val="auto"/>
                <w:highlight w:val="none"/>
              </w:rPr>
              <w:t>主项</w:t>
            </w:r>
          </w:p>
        </w:tc>
        <w:tc>
          <w:tcPr>
            <w:tcW w:w="5922" w:type="dxa"/>
            <w:gridSpan w:val="2"/>
            <w:tcBorders>
              <w:top w:val="single" w:color="auto" w:sz="4" w:space="0"/>
              <w:left w:val="single" w:color="auto" w:sz="4" w:space="0"/>
              <w:bottom w:val="single" w:color="auto" w:sz="4" w:space="0"/>
              <w:right w:val="single" w:color="auto" w:sz="4" w:space="0"/>
            </w:tcBorders>
            <w:vAlign w:val="center"/>
          </w:tcPr>
          <w:p w14:paraId="1DB0964F">
            <w:pPr>
              <w:jc w:val="center"/>
              <w:rPr>
                <w:rFonts w:hint="eastAsia" w:ascii="宋体" w:hAnsi="宋体" w:cs="Arial"/>
                <w:color w:val="auto"/>
                <w:highlight w:val="none"/>
              </w:rPr>
            </w:pPr>
            <w:r>
              <w:rPr>
                <w:rFonts w:hint="eastAsia" w:ascii="宋体" w:hAnsi="宋体" w:cs="Arial"/>
                <w:color w:val="auto"/>
                <w:highlight w:val="none"/>
              </w:rPr>
              <w:t>内容</w:t>
            </w:r>
          </w:p>
        </w:tc>
        <w:tc>
          <w:tcPr>
            <w:tcW w:w="1913" w:type="dxa"/>
            <w:tcBorders>
              <w:top w:val="single" w:color="auto" w:sz="4" w:space="0"/>
              <w:left w:val="single" w:color="auto" w:sz="4" w:space="0"/>
              <w:bottom w:val="single" w:color="auto" w:sz="4" w:space="0"/>
              <w:right w:val="single" w:color="auto" w:sz="4" w:space="0"/>
            </w:tcBorders>
            <w:vAlign w:val="center"/>
          </w:tcPr>
          <w:p w14:paraId="1A8315D1">
            <w:pPr>
              <w:jc w:val="center"/>
              <w:rPr>
                <w:rFonts w:hint="eastAsia" w:ascii="宋体" w:hAnsi="宋体" w:cs="Arial"/>
                <w:color w:val="auto"/>
                <w:highlight w:val="none"/>
              </w:rPr>
            </w:pPr>
            <w:r>
              <w:rPr>
                <w:rFonts w:hint="eastAsia" w:ascii="宋体" w:hAnsi="宋体" w:cs="Arial"/>
                <w:color w:val="auto"/>
                <w:highlight w:val="none"/>
              </w:rPr>
              <w:t>分值</w:t>
            </w:r>
          </w:p>
        </w:tc>
      </w:tr>
      <w:tr w14:paraId="1EDAA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641" w:type="dxa"/>
            <w:vMerge w:val="restart"/>
            <w:tcBorders>
              <w:top w:val="single" w:color="auto" w:sz="4" w:space="0"/>
              <w:left w:val="single" w:color="auto" w:sz="4" w:space="0"/>
              <w:right w:val="single" w:color="auto" w:sz="4" w:space="0"/>
            </w:tcBorders>
            <w:vAlign w:val="center"/>
          </w:tcPr>
          <w:p w14:paraId="4461794E">
            <w:pPr>
              <w:jc w:val="center"/>
              <w:rPr>
                <w:rFonts w:hint="eastAsia" w:ascii="宋体" w:hAnsi="宋体" w:cs="Arial"/>
                <w:color w:val="auto"/>
                <w:highlight w:val="none"/>
              </w:rPr>
            </w:pPr>
            <w:r>
              <w:rPr>
                <w:rFonts w:hint="eastAsia" w:ascii="宋体" w:hAnsi="宋体" w:cs="Arial"/>
                <w:color w:val="auto"/>
                <w:highlight w:val="none"/>
              </w:rPr>
              <w:t>总体项目管理方案</w:t>
            </w:r>
          </w:p>
          <w:p w14:paraId="6A779161">
            <w:pPr>
              <w:jc w:val="center"/>
              <w:rPr>
                <w:rFonts w:hint="eastAsia" w:ascii="宋体" w:hAnsi="宋体" w:cs="Arial"/>
                <w:color w:val="auto"/>
                <w:highlight w:val="none"/>
              </w:rPr>
            </w:pPr>
            <w:r>
              <w:rPr>
                <w:rFonts w:hint="eastAsia" w:ascii="宋体" w:hAnsi="宋体" w:cs="Arial"/>
                <w:color w:val="auto"/>
                <w:sz w:val="21"/>
                <w:szCs w:val="21"/>
                <w:highlight w:val="none"/>
              </w:rPr>
              <w:t>（0-3分）</w:t>
            </w:r>
          </w:p>
        </w:tc>
        <w:tc>
          <w:tcPr>
            <w:tcW w:w="5922" w:type="dxa"/>
            <w:gridSpan w:val="2"/>
            <w:tcBorders>
              <w:top w:val="single" w:color="auto" w:sz="4" w:space="0"/>
              <w:left w:val="single" w:color="auto" w:sz="4" w:space="0"/>
              <w:bottom w:val="single" w:color="auto" w:sz="4" w:space="0"/>
              <w:right w:val="single" w:color="auto" w:sz="4" w:space="0"/>
            </w:tcBorders>
            <w:vAlign w:val="center"/>
          </w:tcPr>
          <w:p w14:paraId="08113399">
            <w:pPr>
              <w:rPr>
                <w:rFonts w:hint="eastAsia" w:ascii="宋体" w:hAnsi="宋体" w:cs="Arial"/>
                <w:color w:val="auto"/>
                <w:highlight w:val="none"/>
              </w:rPr>
            </w:pPr>
            <w:r>
              <w:rPr>
                <w:rFonts w:hint="eastAsia" w:ascii="宋体" w:hAnsi="宋体" w:cs="Arial"/>
                <w:color w:val="auto"/>
                <w:highlight w:val="none"/>
              </w:rPr>
              <w:t>项目目标分解、项目情况分析。</w:t>
            </w:r>
          </w:p>
        </w:tc>
        <w:tc>
          <w:tcPr>
            <w:tcW w:w="1913" w:type="dxa"/>
            <w:tcBorders>
              <w:top w:val="single" w:color="auto" w:sz="4" w:space="0"/>
              <w:left w:val="single" w:color="auto" w:sz="4" w:space="0"/>
              <w:bottom w:val="single" w:color="auto" w:sz="4" w:space="0"/>
              <w:right w:val="single" w:color="auto" w:sz="4" w:space="0"/>
            </w:tcBorders>
            <w:vAlign w:val="center"/>
          </w:tcPr>
          <w:p w14:paraId="16F523A4">
            <w:pPr>
              <w:jc w:val="center"/>
              <w:rPr>
                <w:rFonts w:hint="eastAsia" w:ascii="宋体" w:hAnsi="宋体" w:cs="宋体"/>
                <w:color w:val="auto"/>
                <w:highlight w:val="none"/>
              </w:rPr>
            </w:pPr>
            <w:r>
              <w:rPr>
                <w:rFonts w:hint="eastAsia" w:ascii="宋体" w:hAnsi="宋体" w:cs="宋体"/>
                <w:color w:val="auto"/>
                <w:highlight w:val="none"/>
              </w:rPr>
              <w:t>0.8-1分</w:t>
            </w:r>
          </w:p>
          <w:p w14:paraId="556500C0">
            <w:pPr>
              <w:jc w:val="center"/>
              <w:rPr>
                <w:rFonts w:hint="eastAsia" w:ascii="宋体" w:hAnsi="宋体" w:cs="Arial"/>
                <w:color w:val="auto"/>
                <w:highlight w:val="none"/>
              </w:rPr>
            </w:pPr>
            <w:r>
              <w:rPr>
                <w:rFonts w:hint="eastAsia" w:ascii="宋体" w:hAnsi="宋体" w:cs="宋体"/>
                <w:color w:val="auto"/>
                <w:highlight w:val="none"/>
              </w:rPr>
              <w:t>未提供不得分</w:t>
            </w:r>
          </w:p>
        </w:tc>
      </w:tr>
      <w:tr w14:paraId="054F1D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2" w:hRule="atLeast"/>
          <w:jc w:val="center"/>
        </w:trPr>
        <w:tc>
          <w:tcPr>
            <w:tcW w:w="1641" w:type="dxa"/>
            <w:vMerge w:val="continue"/>
            <w:tcBorders>
              <w:left w:val="single" w:color="auto" w:sz="4" w:space="0"/>
              <w:bottom w:val="single" w:color="auto" w:sz="4" w:space="0"/>
              <w:right w:val="single" w:color="auto" w:sz="4" w:space="0"/>
            </w:tcBorders>
            <w:vAlign w:val="center"/>
          </w:tcPr>
          <w:p w14:paraId="46093FEE">
            <w:pPr>
              <w:jc w:val="center"/>
              <w:rPr>
                <w:rFonts w:hint="eastAsia" w:ascii="宋体" w:hAnsi="宋体" w:cs="宋体"/>
                <w:color w:val="auto"/>
                <w:highlight w:val="none"/>
              </w:rPr>
            </w:pPr>
          </w:p>
        </w:tc>
        <w:tc>
          <w:tcPr>
            <w:tcW w:w="5922" w:type="dxa"/>
            <w:gridSpan w:val="2"/>
            <w:tcBorders>
              <w:top w:val="single" w:color="auto" w:sz="4" w:space="0"/>
              <w:left w:val="single" w:color="auto" w:sz="4" w:space="0"/>
              <w:right w:val="single" w:color="auto" w:sz="4" w:space="0"/>
            </w:tcBorders>
            <w:vAlign w:val="center"/>
          </w:tcPr>
          <w:p w14:paraId="6BE6692C">
            <w:pPr>
              <w:jc w:val="center"/>
              <w:rPr>
                <w:color w:val="auto"/>
                <w:szCs w:val="21"/>
                <w:highlight w:val="none"/>
              </w:rPr>
            </w:pPr>
            <w:r>
              <w:rPr>
                <w:rFonts w:hint="eastAsia" w:ascii="宋体" w:hAnsi="宋体" w:cs="宋体"/>
                <w:color w:val="auto"/>
                <w:highlight w:val="none"/>
              </w:rPr>
              <w:t>项目概述，工程总承包项目管理，具体包括专项管理、综合集成、采购和试运行等进行分析。</w:t>
            </w:r>
          </w:p>
        </w:tc>
        <w:tc>
          <w:tcPr>
            <w:tcW w:w="1913" w:type="dxa"/>
            <w:tcBorders>
              <w:top w:val="single" w:color="auto" w:sz="4" w:space="0"/>
              <w:left w:val="single" w:color="auto" w:sz="4" w:space="0"/>
              <w:right w:val="single" w:color="auto" w:sz="4" w:space="0"/>
            </w:tcBorders>
            <w:vAlign w:val="center"/>
          </w:tcPr>
          <w:p w14:paraId="015DA36A">
            <w:pPr>
              <w:jc w:val="center"/>
              <w:rPr>
                <w:rFonts w:hint="eastAsia" w:ascii="宋体" w:hAnsi="宋体" w:cs="宋体"/>
                <w:color w:val="auto"/>
                <w:highlight w:val="none"/>
              </w:rPr>
            </w:pPr>
            <w:r>
              <w:rPr>
                <w:rFonts w:hint="eastAsia" w:ascii="宋体" w:hAnsi="宋体" w:cs="宋体"/>
                <w:color w:val="auto"/>
                <w:highlight w:val="none"/>
              </w:rPr>
              <w:t>1.6-2分</w:t>
            </w:r>
          </w:p>
          <w:p w14:paraId="0052D8AD">
            <w:pPr>
              <w:jc w:val="center"/>
              <w:rPr>
                <w:color w:val="auto"/>
                <w:highlight w:val="none"/>
              </w:rPr>
            </w:pPr>
            <w:r>
              <w:rPr>
                <w:rFonts w:hint="eastAsia" w:ascii="宋体" w:hAnsi="宋体" w:cs="宋体"/>
                <w:color w:val="auto"/>
                <w:highlight w:val="none"/>
              </w:rPr>
              <w:t>未提供不得分</w:t>
            </w:r>
          </w:p>
        </w:tc>
      </w:tr>
      <w:tr w14:paraId="12210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41" w:type="dxa"/>
            <w:vMerge w:val="restart"/>
            <w:tcBorders>
              <w:top w:val="single" w:color="auto" w:sz="4" w:space="0"/>
              <w:left w:val="single" w:color="auto" w:sz="4" w:space="0"/>
              <w:right w:val="single" w:color="auto" w:sz="4" w:space="0"/>
            </w:tcBorders>
            <w:vAlign w:val="center"/>
          </w:tcPr>
          <w:p w14:paraId="471A1D2D">
            <w:pPr>
              <w:jc w:val="center"/>
              <w:rPr>
                <w:rFonts w:hint="eastAsia" w:ascii="宋体" w:hAnsi="宋体" w:cs="Arial"/>
                <w:color w:val="auto"/>
                <w:highlight w:val="none"/>
              </w:rPr>
            </w:pPr>
            <w:r>
              <w:rPr>
                <w:rFonts w:hint="eastAsia" w:ascii="宋体" w:hAnsi="宋体" w:cs="Arial"/>
                <w:color w:val="auto"/>
                <w:highlight w:val="none"/>
              </w:rPr>
              <w:t>设计方案评审因素</w:t>
            </w:r>
          </w:p>
          <w:p w14:paraId="4FDE242E">
            <w:pPr>
              <w:jc w:val="center"/>
              <w:rPr>
                <w:rFonts w:hint="eastAsia" w:ascii="宋体" w:hAnsi="宋体" w:cs="Arial"/>
                <w:color w:val="auto"/>
                <w:highlight w:val="none"/>
              </w:rPr>
            </w:pPr>
            <w:r>
              <w:rPr>
                <w:rFonts w:hint="eastAsia" w:ascii="宋体" w:hAnsi="宋体" w:cs="Arial"/>
                <w:color w:val="auto"/>
                <w:sz w:val="21"/>
                <w:szCs w:val="21"/>
                <w:highlight w:val="none"/>
              </w:rPr>
              <w:t>（0-13分）</w:t>
            </w:r>
          </w:p>
        </w:tc>
        <w:tc>
          <w:tcPr>
            <w:tcW w:w="5922" w:type="dxa"/>
            <w:gridSpan w:val="2"/>
            <w:tcBorders>
              <w:top w:val="single" w:color="auto" w:sz="4" w:space="0"/>
              <w:left w:val="single" w:color="auto" w:sz="4" w:space="0"/>
              <w:right w:val="single" w:color="auto" w:sz="4" w:space="0"/>
            </w:tcBorders>
            <w:vAlign w:val="center"/>
          </w:tcPr>
          <w:p w14:paraId="181ECCEF">
            <w:pPr>
              <w:rPr>
                <w:rFonts w:hint="eastAsia" w:ascii="宋体" w:hAnsi="宋体" w:cs="Arial"/>
                <w:color w:val="auto"/>
                <w:highlight w:val="none"/>
              </w:rPr>
            </w:pPr>
            <w:r>
              <w:rPr>
                <w:rFonts w:hint="eastAsia" w:ascii="宋体" w:hAnsi="宋体" w:cs="Arial"/>
                <w:color w:val="auto"/>
                <w:highlight w:val="none"/>
              </w:rPr>
              <w:t>初步设计的优化，具体包括主要设计思路、设计创新、先进技术应用、节能环保等。具体参照发包人要求2.2工程要求。</w:t>
            </w:r>
          </w:p>
        </w:tc>
        <w:tc>
          <w:tcPr>
            <w:tcW w:w="1913" w:type="dxa"/>
            <w:tcBorders>
              <w:top w:val="single" w:color="auto" w:sz="4" w:space="0"/>
              <w:left w:val="single" w:color="auto" w:sz="4" w:space="0"/>
              <w:bottom w:val="single" w:color="auto" w:sz="4" w:space="0"/>
              <w:right w:val="single" w:color="auto" w:sz="4" w:space="0"/>
            </w:tcBorders>
            <w:vAlign w:val="center"/>
          </w:tcPr>
          <w:p w14:paraId="70A8A697">
            <w:pPr>
              <w:jc w:val="center"/>
              <w:rPr>
                <w:rFonts w:hint="eastAsia" w:ascii="宋体" w:hAnsi="宋体" w:cs="宋体"/>
                <w:color w:val="auto"/>
                <w:highlight w:val="none"/>
              </w:rPr>
            </w:pPr>
            <w:r>
              <w:rPr>
                <w:rFonts w:hint="eastAsia" w:ascii="宋体" w:hAnsi="宋体" w:cs="宋体"/>
                <w:color w:val="auto"/>
                <w:highlight w:val="none"/>
              </w:rPr>
              <w:t>1.8-3分</w:t>
            </w:r>
          </w:p>
          <w:p w14:paraId="110BF0C9">
            <w:pPr>
              <w:jc w:val="center"/>
              <w:rPr>
                <w:rFonts w:hint="eastAsia" w:ascii="宋体" w:hAnsi="宋体" w:cs="宋体"/>
                <w:color w:val="auto"/>
                <w:highlight w:val="none"/>
              </w:rPr>
            </w:pPr>
            <w:r>
              <w:rPr>
                <w:rFonts w:hint="eastAsia" w:ascii="宋体" w:hAnsi="宋体" w:cs="宋体"/>
                <w:color w:val="auto"/>
                <w:highlight w:val="none"/>
              </w:rPr>
              <w:t>未提供不得分</w:t>
            </w:r>
          </w:p>
        </w:tc>
      </w:tr>
      <w:tr w14:paraId="4EAE5A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3" w:hRule="atLeast"/>
          <w:jc w:val="center"/>
        </w:trPr>
        <w:tc>
          <w:tcPr>
            <w:tcW w:w="1641" w:type="dxa"/>
            <w:vMerge w:val="continue"/>
            <w:tcBorders>
              <w:left w:val="single" w:color="auto" w:sz="4" w:space="0"/>
              <w:right w:val="single" w:color="auto" w:sz="4" w:space="0"/>
            </w:tcBorders>
            <w:vAlign w:val="center"/>
          </w:tcPr>
          <w:p w14:paraId="173B95E1">
            <w:pPr>
              <w:rPr>
                <w:color w:val="auto"/>
                <w:highlight w:val="none"/>
              </w:rPr>
            </w:pPr>
          </w:p>
        </w:tc>
        <w:tc>
          <w:tcPr>
            <w:tcW w:w="5922" w:type="dxa"/>
            <w:gridSpan w:val="2"/>
            <w:tcBorders>
              <w:top w:val="single" w:color="auto" w:sz="4" w:space="0"/>
              <w:left w:val="single" w:color="auto" w:sz="4" w:space="0"/>
              <w:right w:val="single" w:color="auto" w:sz="4" w:space="0"/>
            </w:tcBorders>
            <w:vAlign w:val="center"/>
          </w:tcPr>
          <w:p w14:paraId="63F1A756">
            <w:pPr>
              <w:rPr>
                <w:rFonts w:hint="eastAsia" w:ascii="宋体" w:hAnsi="宋体" w:cs="Arial"/>
                <w:color w:val="auto"/>
                <w:highlight w:val="none"/>
              </w:rPr>
            </w:pPr>
            <w:r>
              <w:rPr>
                <w:rFonts w:hint="eastAsia" w:ascii="宋体" w:hAnsi="宋体" w:cs="Arial"/>
                <w:color w:val="auto"/>
                <w:highlight w:val="none"/>
              </w:rPr>
              <w:t>工程经济的合理性分析、评价（投资估算是否与设计方案匹配、是否结合现场建设条件，各项指标取值是否合理、是否满足相关规范要求等）。</w:t>
            </w:r>
          </w:p>
        </w:tc>
        <w:tc>
          <w:tcPr>
            <w:tcW w:w="1913" w:type="dxa"/>
            <w:tcBorders>
              <w:top w:val="single" w:color="auto" w:sz="4" w:space="0"/>
              <w:left w:val="single" w:color="auto" w:sz="4" w:space="0"/>
              <w:bottom w:val="single" w:color="auto" w:sz="4" w:space="0"/>
              <w:right w:val="single" w:color="auto" w:sz="4" w:space="0"/>
            </w:tcBorders>
            <w:vAlign w:val="center"/>
          </w:tcPr>
          <w:p w14:paraId="48AD7CD6">
            <w:pPr>
              <w:jc w:val="center"/>
              <w:rPr>
                <w:rFonts w:hint="eastAsia" w:ascii="宋体" w:hAnsi="宋体" w:cs="宋体"/>
                <w:color w:val="auto"/>
                <w:highlight w:val="none"/>
              </w:rPr>
            </w:pPr>
            <w:r>
              <w:rPr>
                <w:rFonts w:hint="eastAsia" w:ascii="宋体" w:hAnsi="宋体" w:cs="宋体"/>
                <w:color w:val="auto"/>
                <w:highlight w:val="none"/>
              </w:rPr>
              <w:t>0.6-1分</w:t>
            </w:r>
          </w:p>
          <w:p w14:paraId="429AFB7A">
            <w:pPr>
              <w:jc w:val="center"/>
              <w:rPr>
                <w:rFonts w:hint="eastAsia" w:ascii="宋体" w:hAnsi="宋体" w:cs="Arial"/>
                <w:color w:val="auto"/>
                <w:highlight w:val="none"/>
              </w:rPr>
            </w:pPr>
            <w:r>
              <w:rPr>
                <w:rFonts w:hint="eastAsia" w:ascii="宋体" w:hAnsi="宋体" w:cs="宋体"/>
                <w:color w:val="auto"/>
                <w:highlight w:val="none"/>
              </w:rPr>
              <w:t>未提供不得分</w:t>
            </w:r>
          </w:p>
        </w:tc>
      </w:tr>
      <w:tr w14:paraId="72C12D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641" w:type="dxa"/>
            <w:vMerge w:val="continue"/>
            <w:tcBorders>
              <w:left w:val="single" w:color="auto" w:sz="4" w:space="0"/>
              <w:right w:val="single" w:color="auto" w:sz="4" w:space="0"/>
            </w:tcBorders>
            <w:vAlign w:val="center"/>
          </w:tcPr>
          <w:p w14:paraId="11C2742E">
            <w:pPr>
              <w:rPr>
                <w:rFonts w:hint="eastAsia" w:ascii="宋体" w:hAnsi="宋体" w:cs="Arial"/>
                <w:color w:val="auto"/>
                <w:highlight w:val="none"/>
              </w:rPr>
            </w:pPr>
          </w:p>
        </w:tc>
        <w:tc>
          <w:tcPr>
            <w:tcW w:w="5922" w:type="dxa"/>
            <w:gridSpan w:val="2"/>
            <w:tcBorders>
              <w:top w:val="single" w:color="auto" w:sz="4" w:space="0"/>
              <w:left w:val="single" w:color="auto" w:sz="4" w:space="0"/>
              <w:right w:val="single" w:color="auto" w:sz="4" w:space="0"/>
            </w:tcBorders>
            <w:vAlign w:val="center"/>
          </w:tcPr>
          <w:p w14:paraId="6BEFC40D">
            <w:pPr>
              <w:rPr>
                <w:rFonts w:hint="eastAsia" w:ascii="宋体" w:hAnsi="宋体" w:cs="Arial"/>
                <w:color w:val="auto"/>
                <w:highlight w:val="none"/>
              </w:rPr>
            </w:pPr>
            <w:r>
              <w:rPr>
                <w:rFonts w:hint="eastAsia" w:ascii="宋体" w:hAnsi="宋体" w:cs="Arial"/>
                <w:color w:val="auto"/>
                <w:highlight w:val="none"/>
              </w:rPr>
              <w:t>设计管理机构的构成和设计力量的配备。</w:t>
            </w:r>
          </w:p>
        </w:tc>
        <w:tc>
          <w:tcPr>
            <w:tcW w:w="1913" w:type="dxa"/>
            <w:tcBorders>
              <w:top w:val="single" w:color="auto" w:sz="4" w:space="0"/>
              <w:left w:val="single" w:color="auto" w:sz="4" w:space="0"/>
              <w:bottom w:val="single" w:color="auto" w:sz="4" w:space="0"/>
              <w:right w:val="single" w:color="auto" w:sz="4" w:space="0"/>
            </w:tcBorders>
            <w:vAlign w:val="center"/>
          </w:tcPr>
          <w:p w14:paraId="68412187">
            <w:pPr>
              <w:jc w:val="center"/>
              <w:rPr>
                <w:rFonts w:hint="eastAsia" w:ascii="宋体" w:hAnsi="宋体" w:cs="宋体"/>
                <w:color w:val="auto"/>
                <w:highlight w:val="none"/>
              </w:rPr>
            </w:pPr>
            <w:r>
              <w:rPr>
                <w:rFonts w:hint="eastAsia" w:ascii="宋体" w:hAnsi="宋体" w:cs="宋体"/>
                <w:color w:val="auto"/>
                <w:highlight w:val="none"/>
              </w:rPr>
              <w:t>0.9-1.5分</w:t>
            </w:r>
          </w:p>
          <w:p w14:paraId="25B02D28">
            <w:pPr>
              <w:jc w:val="center"/>
              <w:rPr>
                <w:rFonts w:hint="eastAsia" w:ascii="宋体" w:hAnsi="宋体" w:cs="Arial"/>
                <w:color w:val="auto"/>
                <w:highlight w:val="none"/>
              </w:rPr>
            </w:pPr>
            <w:r>
              <w:rPr>
                <w:rFonts w:hint="eastAsia" w:ascii="宋体" w:hAnsi="宋体" w:cs="宋体"/>
                <w:color w:val="auto"/>
                <w:highlight w:val="none"/>
              </w:rPr>
              <w:t>未提供不得分</w:t>
            </w:r>
          </w:p>
        </w:tc>
      </w:tr>
      <w:tr w14:paraId="3E0A5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7" w:hRule="atLeast"/>
          <w:jc w:val="center"/>
        </w:trPr>
        <w:tc>
          <w:tcPr>
            <w:tcW w:w="1641" w:type="dxa"/>
            <w:vMerge w:val="continue"/>
            <w:tcBorders>
              <w:left w:val="single" w:color="auto" w:sz="4" w:space="0"/>
              <w:right w:val="single" w:color="auto" w:sz="4" w:space="0"/>
            </w:tcBorders>
            <w:vAlign w:val="center"/>
          </w:tcPr>
          <w:p w14:paraId="78030184">
            <w:pPr>
              <w:rPr>
                <w:rFonts w:hint="eastAsia" w:ascii="宋体" w:hAnsi="宋体" w:cs="Arial"/>
                <w:color w:val="auto"/>
                <w:highlight w:val="none"/>
              </w:rPr>
            </w:pPr>
          </w:p>
        </w:tc>
        <w:tc>
          <w:tcPr>
            <w:tcW w:w="5922" w:type="dxa"/>
            <w:gridSpan w:val="2"/>
            <w:tcBorders>
              <w:top w:val="single" w:color="auto" w:sz="4" w:space="0"/>
              <w:left w:val="single" w:color="auto" w:sz="4" w:space="0"/>
              <w:right w:val="single" w:color="auto" w:sz="4" w:space="0"/>
            </w:tcBorders>
            <w:vAlign w:val="center"/>
          </w:tcPr>
          <w:p w14:paraId="265E2EE6">
            <w:pPr>
              <w:rPr>
                <w:rFonts w:hint="eastAsia" w:ascii="宋体" w:hAnsi="宋体" w:cs="Arial"/>
                <w:color w:val="auto"/>
                <w:highlight w:val="none"/>
              </w:rPr>
            </w:pPr>
            <w:r>
              <w:rPr>
                <w:rFonts w:hint="eastAsia" w:ascii="宋体" w:hAnsi="宋体" w:cs="Arial"/>
                <w:color w:val="auto"/>
                <w:highlight w:val="none"/>
              </w:rPr>
              <w:t>设计组织方案及各阶段计划进度安排。</w:t>
            </w:r>
          </w:p>
        </w:tc>
        <w:tc>
          <w:tcPr>
            <w:tcW w:w="1913" w:type="dxa"/>
            <w:tcBorders>
              <w:top w:val="single" w:color="auto" w:sz="4" w:space="0"/>
              <w:left w:val="single" w:color="auto" w:sz="4" w:space="0"/>
              <w:bottom w:val="single" w:color="auto" w:sz="4" w:space="0"/>
              <w:right w:val="single" w:color="auto" w:sz="4" w:space="0"/>
            </w:tcBorders>
            <w:vAlign w:val="center"/>
          </w:tcPr>
          <w:p w14:paraId="0639F078">
            <w:pPr>
              <w:jc w:val="center"/>
              <w:rPr>
                <w:rFonts w:hint="eastAsia" w:ascii="宋体" w:hAnsi="宋体" w:cs="宋体"/>
                <w:color w:val="auto"/>
                <w:highlight w:val="none"/>
              </w:rPr>
            </w:pPr>
            <w:r>
              <w:rPr>
                <w:rFonts w:hint="eastAsia" w:ascii="宋体" w:hAnsi="宋体" w:cs="宋体"/>
                <w:color w:val="auto"/>
                <w:highlight w:val="none"/>
              </w:rPr>
              <w:t>0.9-1.5分</w:t>
            </w:r>
          </w:p>
          <w:p w14:paraId="77CAE6EF">
            <w:pPr>
              <w:jc w:val="center"/>
              <w:rPr>
                <w:rFonts w:hint="eastAsia" w:ascii="宋体" w:hAnsi="宋体" w:cs="Arial"/>
                <w:color w:val="auto"/>
                <w:highlight w:val="none"/>
              </w:rPr>
            </w:pPr>
            <w:r>
              <w:rPr>
                <w:rFonts w:hint="eastAsia" w:ascii="宋体" w:hAnsi="宋体" w:cs="宋体"/>
                <w:color w:val="auto"/>
                <w:highlight w:val="none"/>
              </w:rPr>
              <w:t>未提供不得分</w:t>
            </w:r>
          </w:p>
        </w:tc>
      </w:tr>
      <w:tr w14:paraId="725F1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641" w:type="dxa"/>
            <w:vMerge w:val="continue"/>
            <w:tcBorders>
              <w:left w:val="single" w:color="auto" w:sz="4" w:space="0"/>
              <w:right w:val="single" w:color="auto" w:sz="4" w:space="0"/>
            </w:tcBorders>
            <w:vAlign w:val="center"/>
          </w:tcPr>
          <w:p w14:paraId="2E1D6A9A">
            <w:pPr>
              <w:rPr>
                <w:rFonts w:hint="eastAsia" w:ascii="宋体" w:hAnsi="宋体" w:cs="Arial"/>
                <w:color w:val="auto"/>
                <w:highlight w:val="none"/>
              </w:rPr>
            </w:pPr>
          </w:p>
        </w:tc>
        <w:tc>
          <w:tcPr>
            <w:tcW w:w="5922" w:type="dxa"/>
            <w:gridSpan w:val="2"/>
            <w:tcBorders>
              <w:top w:val="single" w:color="auto" w:sz="4" w:space="0"/>
              <w:left w:val="single" w:color="auto" w:sz="4" w:space="0"/>
              <w:right w:val="single" w:color="auto" w:sz="4" w:space="0"/>
            </w:tcBorders>
            <w:vAlign w:val="center"/>
          </w:tcPr>
          <w:p w14:paraId="398F6C1D">
            <w:pPr>
              <w:rPr>
                <w:rFonts w:hint="eastAsia" w:ascii="宋体" w:hAnsi="宋体" w:cs="Arial"/>
                <w:color w:val="auto"/>
                <w:highlight w:val="none"/>
              </w:rPr>
            </w:pPr>
            <w:r>
              <w:rPr>
                <w:rFonts w:hint="eastAsia" w:ascii="宋体" w:hAnsi="宋体" w:cs="Arial"/>
                <w:color w:val="auto"/>
                <w:highlight w:val="none"/>
              </w:rPr>
              <w:t>施工图设计质量控制措施。</w:t>
            </w:r>
          </w:p>
        </w:tc>
        <w:tc>
          <w:tcPr>
            <w:tcW w:w="1913" w:type="dxa"/>
            <w:tcBorders>
              <w:top w:val="single" w:color="auto" w:sz="4" w:space="0"/>
              <w:left w:val="single" w:color="auto" w:sz="4" w:space="0"/>
              <w:bottom w:val="single" w:color="auto" w:sz="4" w:space="0"/>
              <w:right w:val="single" w:color="auto" w:sz="4" w:space="0"/>
            </w:tcBorders>
            <w:vAlign w:val="center"/>
          </w:tcPr>
          <w:p w14:paraId="4E336A07">
            <w:pPr>
              <w:jc w:val="center"/>
              <w:rPr>
                <w:rFonts w:hint="eastAsia" w:ascii="宋体" w:hAnsi="宋体" w:cs="宋体"/>
                <w:color w:val="auto"/>
                <w:highlight w:val="none"/>
              </w:rPr>
            </w:pPr>
            <w:r>
              <w:rPr>
                <w:rFonts w:hint="eastAsia" w:ascii="宋体" w:hAnsi="宋体" w:cs="宋体"/>
                <w:color w:val="auto"/>
                <w:highlight w:val="none"/>
              </w:rPr>
              <w:t>1.2-2分</w:t>
            </w:r>
          </w:p>
          <w:p w14:paraId="2577720D">
            <w:pPr>
              <w:jc w:val="center"/>
              <w:rPr>
                <w:rFonts w:hint="eastAsia" w:ascii="宋体" w:hAnsi="宋体" w:cs="Arial"/>
                <w:color w:val="auto"/>
                <w:highlight w:val="none"/>
              </w:rPr>
            </w:pPr>
            <w:r>
              <w:rPr>
                <w:rFonts w:hint="eastAsia" w:ascii="宋体" w:hAnsi="宋体" w:cs="宋体"/>
                <w:color w:val="auto"/>
                <w:highlight w:val="none"/>
              </w:rPr>
              <w:t>未提供不得分</w:t>
            </w:r>
          </w:p>
        </w:tc>
      </w:tr>
      <w:tr w14:paraId="38434E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3" w:hRule="atLeast"/>
          <w:jc w:val="center"/>
        </w:trPr>
        <w:tc>
          <w:tcPr>
            <w:tcW w:w="1641" w:type="dxa"/>
            <w:vMerge w:val="continue"/>
            <w:tcBorders>
              <w:left w:val="single" w:color="auto" w:sz="4" w:space="0"/>
              <w:right w:val="single" w:color="auto" w:sz="4" w:space="0"/>
            </w:tcBorders>
            <w:vAlign w:val="center"/>
          </w:tcPr>
          <w:p w14:paraId="453F37B7">
            <w:pPr>
              <w:rPr>
                <w:rFonts w:hint="eastAsia" w:ascii="宋体" w:hAnsi="宋体" w:cs="Arial"/>
                <w:color w:val="auto"/>
                <w:highlight w:val="none"/>
              </w:rPr>
            </w:pPr>
          </w:p>
        </w:tc>
        <w:tc>
          <w:tcPr>
            <w:tcW w:w="5922" w:type="dxa"/>
            <w:gridSpan w:val="2"/>
            <w:tcBorders>
              <w:top w:val="single" w:color="auto" w:sz="4" w:space="0"/>
              <w:left w:val="single" w:color="auto" w:sz="4" w:space="0"/>
              <w:right w:val="single" w:color="auto" w:sz="4" w:space="0"/>
            </w:tcBorders>
            <w:vAlign w:val="center"/>
          </w:tcPr>
          <w:p w14:paraId="25493FD3">
            <w:pPr>
              <w:rPr>
                <w:rFonts w:hint="eastAsia" w:ascii="宋体" w:hAnsi="宋体" w:cs="Arial"/>
                <w:color w:val="auto"/>
                <w:highlight w:val="none"/>
              </w:rPr>
            </w:pPr>
            <w:r>
              <w:rPr>
                <w:rFonts w:hint="eastAsia" w:ascii="宋体" w:hAnsi="宋体" w:cs="Arial"/>
                <w:color w:val="auto"/>
                <w:highlight w:val="none"/>
              </w:rPr>
              <w:t>配合初步设计文件，采用新技术（BIM）实现设计效果，针对厂务各系统进行优化，评委对各投标文件深化方案的合理性、主题切合度、落地性、展示手法创新、表达完整性方面进行综合比较打分。</w:t>
            </w:r>
          </w:p>
        </w:tc>
        <w:tc>
          <w:tcPr>
            <w:tcW w:w="1913" w:type="dxa"/>
            <w:tcBorders>
              <w:top w:val="single" w:color="auto" w:sz="4" w:space="0"/>
              <w:left w:val="single" w:color="auto" w:sz="4" w:space="0"/>
              <w:bottom w:val="single" w:color="auto" w:sz="4" w:space="0"/>
              <w:right w:val="single" w:color="auto" w:sz="4" w:space="0"/>
            </w:tcBorders>
            <w:vAlign w:val="center"/>
          </w:tcPr>
          <w:p w14:paraId="06223B0D">
            <w:pPr>
              <w:jc w:val="center"/>
              <w:rPr>
                <w:rFonts w:hint="eastAsia" w:ascii="宋体" w:hAnsi="宋体" w:cs="宋体"/>
                <w:color w:val="auto"/>
                <w:highlight w:val="none"/>
              </w:rPr>
            </w:pPr>
            <w:r>
              <w:rPr>
                <w:rFonts w:ascii="宋体" w:hAnsi="宋体" w:cs="宋体"/>
                <w:color w:val="auto"/>
                <w:highlight w:val="none"/>
              </w:rPr>
              <w:t>2</w:t>
            </w:r>
            <w:r>
              <w:rPr>
                <w:rFonts w:hint="eastAsia" w:ascii="宋体" w:hAnsi="宋体" w:cs="宋体"/>
                <w:color w:val="auto"/>
                <w:highlight w:val="none"/>
              </w:rPr>
              <w:t>.4-</w:t>
            </w:r>
            <w:r>
              <w:rPr>
                <w:rFonts w:ascii="宋体" w:hAnsi="宋体" w:cs="宋体"/>
                <w:color w:val="auto"/>
                <w:highlight w:val="none"/>
              </w:rPr>
              <w:t>4</w:t>
            </w:r>
            <w:r>
              <w:rPr>
                <w:rFonts w:hint="eastAsia" w:ascii="宋体" w:hAnsi="宋体" w:cs="宋体"/>
                <w:color w:val="auto"/>
                <w:highlight w:val="none"/>
              </w:rPr>
              <w:t>分</w:t>
            </w:r>
          </w:p>
          <w:p w14:paraId="6A401A71">
            <w:pPr>
              <w:jc w:val="center"/>
              <w:rPr>
                <w:rFonts w:hint="eastAsia" w:ascii="宋体" w:hAnsi="宋体" w:cs="Arial"/>
                <w:color w:val="auto"/>
                <w:highlight w:val="none"/>
              </w:rPr>
            </w:pPr>
            <w:r>
              <w:rPr>
                <w:rFonts w:hint="eastAsia" w:ascii="宋体" w:hAnsi="宋体" w:cs="宋体"/>
                <w:color w:val="auto"/>
                <w:highlight w:val="none"/>
              </w:rPr>
              <w:t>未提供不得分</w:t>
            </w:r>
          </w:p>
        </w:tc>
      </w:tr>
      <w:tr w14:paraId="2285F0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1641" w:type="dxa"/>
            <w:vMerge w:val="restart"/>
            <w:tcBorders>
              <w:top w:val="single" w:color="auto" w:sz="4" w:space="0"/>
              <w:left w:val="single" w:color="auto" w:sz="4" w:space="0"/>
              <w:right w:val="single" w:color="auto" w:sz="4" w:space="0"/>
            </w:tcBorders>
            <w:vAlign w:val="center"/>
          </w:tcPr>
          <w:p w14:paraId="0919CD44">
            <w:pPr>
              <w:jc w:val="center"/>
              <w:rPr>
                <w:rFonts w:hint="eastAsia" w:ascii="宋体" w:hAnsi="宋体"/>
                <w:color w:val="auto"/>
                <w:highlight w:val="none"/>
              </w:rPr>
            </w:pPr>
            <w:r>
              <w:rPr>
                <w:rFonts w:hint="eastAsia" w:ascii="宋体" w:hAnsi="宋体"/>
                <w:color w:val="auto"/>
                <w:highlight w:val="none"/>
              </w:rPr>
              <w:t>采购方案评审因素</w:t>
            </w:r>
          </w:p>
          <w:p w14:paraId="3DE46BCA">
            <w:pPr>
              <w:jc w:val="center"/>
              <w:rPr>
                <w:rFonts w:hint="eastAsia" w:ascii="宋体" w:hAnsi="宋体"/>
                <w:color w:val="auto"/>
                <w:highlight w:val="none"/>
              </w:rPr>
            </w:pPr>
            <w:r>
              <w:rPr>
                <w:rFonts w:hint="eastAsia" w:ascii="宋体" w:hAnsi="宋体" w:cs="Arial"/>
                <w:color w:val="auto"/>
                <w:sz w:val="21"/>
                <w:szCs w:val="21"/>
                <w:highlight w:val="none"/>
              </w:rPr>
              <w:t>（0-3.5分）</w:t>
            </w:r>
          </w:p>
        </w:tc>
        <w:tc>
          <w:tcPr>
            <w:tcW w:w="5922" w:type="dxa"/>
            <w:gridSpan w:val="2"/>
            <w:tcBorders>
              <w:top w:val="single" w:color="auto" w:sz="4" w:space="0"/>
              <w:left w:val="single" w:color="auto" w:sz="4" w:space="0"/>
              <w:right w:val="single" w:color="auto" w:sz="4" w:space="0"/>
            </w:tcBorders>
            <w:vAlign w:val="center"/>
          </w:tcPr>
          <w:p w14:paraId="7F080629">
            <w:pPr>
              <w:jc w:val="both"/>
              <w:rPr>
                <w:rFonts w:hint="eastAsia" w:ascii="宋体" w:hAnsi="宋体"/>
                <w:color w:val="auto"/>
                <w:highlight w:val="none"/>
              </w:rPr>
            </w:pPr>
            <w:r>
              <w:rPr>
                <w:rFonts w:hint="eastAsia" w:ascii="宋体" w:hAnsi="宋体"/>
                <w:color w:val="auto"/>
                <w:highlight w:val="none"/>
              </w:rPr>
              <w:t>设备采购、分包工作的总体安排与资源配置</w:t>
            </w:r>
          </w:p>
        </w:tc>
        <w:tc>
          <w:tcPr>
            <w:tcW w:w="1913" w:type="dxa"/>
            <w:tcBorders>
              <w:top w:val="single" w:color="auto" w:sz="4" w:space="0"/>
              <w:left w:val="single" w:color="auto" w:sz="4" w:space="0"/>
              <w:right w:val="single" w:color="auto" w:sz="4" w:space="0"/>
            </w:tcBorders>
            <w:vAlign w:val="center"/>
          </w:tcPr>
          <w:p w14:paraId="71E154AB">
            <w:pPr>
              <w:jc w:val="center"/>
              <w:rPr>
                <w:rFonts w:hint="eastAsia" w:ascii="宋体" w:hAnsi="宋体" w:cs="宋体"/>
                <w:color w:val="auto"/>
                <w:highlight w:val="none"/>
              </w:rPr>
            </w:pPr>
            <w:r>
              <w:rPr>
                <w:rFonts w:hint="eastAsia" w:ascii="宋体" w:hAnsi="宋体" w:cs="宋体"/>
                <w:color w:val="auto"/>
                <w:highlight w:val="none"/>
              </w:rPr>
              <w:t>0.7-1分</w:t>
            </w:r>
          </w:p>
          <w:p w14:paraId="6C7A1509">
            <w:pPr>
              <w:jc w:val="center"/>
              <w:rPr>
                <w:rFonts w:hint="eastAsia" w:ascii="宋体" w:hAnsi="宋体"/>
                <w:color w:val="auto"/>
                <w:highlight w:val="none"/>
              </w:rPr>
            </w:pPr>
            <w:r>
              <w:rPr>
                <w:rFonts w:hint="eastAsia" w:ascii="宋体" w:hAnsi="宋体" w:cs="宋体"/>
                <w:color w:val="auto"/>
                <w:highlight w:val="none"/>
              </w:rPr>
              <w:t>未提供不得分</w:t>
            </w:r>
          </w:p>
        </w:tc>
      </w:tr>
      <w:tr w14:paraId="3EE11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vMerge w:val="continue"/>
            <w:tcBorders>
              <w:left w:val="single" w:color="auto" w:sz="4" w:space="0"/>
              <w:right w:val="single" w:color="auto" w:sz="4" w:space="0"/>
            </w:tcBorders>
            <w:vAlign w:val="center"/>
          </w:tcPr>
          <w:p w14:paraId="075FD74C">
            <w:pPr>
              <w:ind w:firstLine="420"/>
              <w:rPr>
                <w:rFonts w:hint="eastAsia" w:ascii="宋体" w:hAnsi="宋体"/>
                <w:color w:val="auto"/>
                <w:highlight w:val="none"/>
              </w:rPr>
            </w:pPr>
          </w:p>
        </w:tc>
        <w:tc>
          <w:tcPr>
            <w:tcW w:w="5922" w:type="dxa"/>
            <w:gridSpan w:val="2"/>
            <w:tcBorders>
              <w:top w:val="single" w:color="auto" w:sz="4" w:space="0"/>
              <w:left w:val="single" w:color="auto" w:sz="4" w:space="0"/>
              <w:right w:val="single" w:color="auto" w:sz="4" w:space="0"/>
            </w:tcBorders>
            <w:vAlign w:val="center"/>
          </w:tcPr>
          <w:p w14:paraId="02D3299F">
            <w:pPr>
              <w:jc w:val="both"/>
              <w:rPr>
                <w:rFonts w:hint="eastAsia" w:ascii="宋体" w:hAnsi="宋体"/>
                <w:color w:val="auto"/>
                <w:highlight w:val="none"/>
              </w:rPr>
            </w:pPr>
            <w:r>
              <w:rPr>
                <w:rFonts w:hint="eastAsia" w:ascii="宋体" w:hAnsi="宋体"/>
                <w:color w:val="auto"/>
                <w:highlight w:val="none"/>
              </w:rPr>
              <w:t>设备采购进度、质量控制措施</w:t>
            </w:r>
          </w:p>
        </w:tc>
        <w:tc>
          <w:tcPr>
            <w:tcW w:w="1913" w:type="dxa"/>
            <w:tcBorders>
              <w:top w:val="single" w:color="auto" w:sz="4" w:space="0"/>
              <w:left w:val="single" w:color="auto" w:sz="4" w:space="0"/>
              <w:right w:val="single" w:color="auto" w:sz="4" w:space="0"/>
            </w:tcBorders>
            <w:vAlign w:val="center"/>
          </w:tcPr>
          <w:p w14:paraId="79F07646">
            <w:pPr>
              <w:jc w:val="center"/>
              <w:rPr>
                <w:rFonts w:hint="eastAsia" w:ascii="宋体" w:hAnsi="宋体" w:cs="宋体"/>
                <w:color w:val="auto"/>
                <w:highlight w:val="none"/>
              </w:rPr>
            </w:pPr>
            <w:r>
              <w:rPr>
                <w:rFonts w:ascii="宋体" w:hAnsi="宋体" w:cs="宋体"/>
                <w:color w:val="auto"/>
                <w:highlight w:val="none"/>
              </w:rPr>
              <w:t>0</w:t>
            </w:r>
            <w:r>
              <w:rPr>
                <w:rFonts w:hint="eastAsia" w:ascii="宋体" w:hAnsi="宋体" w:cs="宋体"/>
                <w:color w:val="auto"/>
                <w:highlight w:val="none"/>
              </w:rPr>
              <w:t>.7-</w:t>
            </w:r>
            <w:r>
              <w:rPr>
                <w:rFonts w:ascii="宋体" w:hAnsi="宋体" w:cs="宋体"/>
                <w:color w:val="auto"/>
                <w:highlight w:val="none"/>
              </w:rPr>
              <w:t>1</w:t>
            </w:r>
            <w:r>
              <w:rPr>
                <w:rFonts w:hint="eastAsia" w:ascii="宋体" w:hAnsi="宋体" w:cs="宋体"/>
                <w:color w:val="auto"/>
                <w:highlight w:val="none"/>
              </w:rPr>
              <w:t>分</w:t>
            </w:r>
          </w:p>
          <w:p w14:paraId="18F66082">
            <w:pPr>
              <w:jc w:val="center"/>
              <w:rPr>
                <w:rFonts w:hint="eastAsia" w:ascii="宋体" w:hAnsi="宋体"/>
                <w:color w:val="auto"/>
                <w:highlight w:val="none"/>
              </w:rPr>
            </w:pPr>
            <w:r>
              <w:rPr>
                <w:rFonts w:hint="eastAsia" w:ascii="宋体" w:hAnsi="宋体" w:cs="宋体"/>
                <w:color w:val="auto"/>
                <w:highlight w:val="none"/>
              </w:rPr>
              <w:t>未提供不得分</w:t>
            </w:r>
          </w:p>
        </w:tc>
      </w:tr>
      <w:tr w14:paraId="54CCE4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vMerge w:val="continue"/>
            <w:tcBorders>
              <w:left w:val="single" w:color="auto" w:sz="4" w:space="0"/>
              <w:right w:val="single" w:color="auto" w:sz="4" w:space="0"/>
            </w:tcBorders>
            <w:vAlign w:val="center"/>
          </w:tcPr>
          <w:p w14:paraId="5C1D5421">
            <w:pPr>
              <w:ind w:firstLine="420"/>
              <w:rPr>
                <w:rFonts w:hint="eastAsia" w:ascii="宋体" w:hAnsi="宋体"/>
                <w:color w:val="auto"/>
                <w:highlight w:val="none"/>
              </w:rPr>
            </w:pPr>
          </w:p>
        </w:tc>
        <w:tc>
          <w:tcPr>
            <w:tcW w:w="5922" w:type="dxa"/>
            <w:gridSpan w:val="2"/>
            <w:tcBorders>
              <w:top w:val="single" w:color="auto" w:sz="4" w:space="0"/>
              <w:left w:val="single" w:color="auto" w:sz="4" w:space="0"/>
              <w:right w:val="single" w:color="auto" w:sz="4" w:space="0"/>
            </w:tcBorders>
            <w:vAlign w:val="center"/>
          </w:tcPr>
          <w:p w14:paraId="6C315944">
            <w:pPr>
              <w:jc w:val="both"/>
              <w:rPr>
                <w:rFonts w:hint="eastAsia" w:ascii="宋体" w:hAnsi="宋体"/>
                <w:strike/>
                <w:color w:val="auto"/>
                <w:highlight w:val="none"/>
              </w:rPr>
            </w:pPr>
            <w:r>
              <w:rPr>
                <w:rFonts w:hint="eastAsia" w:ascii="宋体" w:hAnsi="宋体"/>
                <w:color w:val="auto"/>
                <w:highlight w:val="none"/>
              </w:rPr>
              <w:t>分包商进度、质量和安全文明的管理措施及违约处理</w:t>
            </w:r>
          </w:p>
        </w:tc>
        <w:tc>
          <w:tcPr>
            <w:tcW w:w="1913" w:type="dxa"/>
            <w:tcBorders>
              <w:top w:val="single" w:color="auto" w:sz="4" w:space="0"/>
              <w:left w:val="single" w:color="auto" w:sz="4" w:space="0"/>
              <w:right w:val="single" w:color="auto" w:sz="4" w:space="0"/>
            </w:tcBorders>
            <w:vAlign w:val="center"/>
          </w:tcPr>
          <w:p w14:paraId="3C3A7965">
            <w:pPr>
              <w:jc w:val="center"/>
              <w:rPr>
                <w:rFonts w:hint="eastAsia" w:ascii="宋体" w:hAnsi="宋体" w:cs="宋体"/>
                <w:color w:val="auto"/>
                <w:highlight w:val="none"/>
              </w:rPr>
            </w:pPr>
            <w:r>
              <w:rPr>
                <w:rFonts w:hint="eastAsia" w:ascii="宋体" w:hAnsi="宋体" w:cs="宋体"/>
                <w:color w:val="auto"/>
                <w:highlight w:val="none"/>
              </w:rPr>
              <w:t>0.7-1分</w:t>
            </w:r>
          </w:p>
          <w:p w14:paraId="2A4FDC8D">
            <w:pPr>
              <w:jc w:val="center"/>
              <w:rPr>
                <w:rFonts w:hint="eastAsia" w:ascii="宋体" w:hAnsi="宋体" w:cs="宋体"/>
                <w:strike/>
                <w:color w:val="auto"/>
                <w:highlight w:val="none"/>
              </w:rPr>
            </w:pPr>
            <w:r>
              <w:rPr>
                <w:rFonts w:hint="eastAsia" w:ascii="宋体" w:hAnsi="宋体" w:cs="宋体"/>
                <w:color w:val="auto"/>
                <w:highlight w:val="none"/>
              </w:rPr>
              <w:t>未提供不得分</w:t>
            </w:r>
          </w:p>
        </w:tc>
      </w:tr>
      <w:tr w14:paraId="7ED8D3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vMerge w:val="continue"/>
            <w:tcBorders>
              <w:left w:val="single" w:color="auto" w:sz="4" w:space="0"/>
              <w:right w:val="single" w:color="auto" w:sz="4" w:space="0"/>
            </w:tcBorders>
            <w:vAlign w:val="center"/>
          </w:tcPr>
          <w:p w14:paraId="535EC745">
            <w:pPr>
              <w:ind w:firstLine="420"/>
              <w:rPr>
                <w:rFonts w:hint="eastAsia" w:ascii="宋体" w:hAnsi="宋体"/>
                <w:color w:val="auto"/>
                <w:highlight w:val="none"/>
              </w:rPr>
            </w:pPr>
          </w:p>
        </w:tc>
        <w:tc>
          <w:tcPr>
            <w:tcW w:w="5922" w:type="dxa"/>
            <w:gridSpan w:val="2"/>
            <w:tcBorders>
              <w:top w:val="single" w:color="auto" w:sz="4" w:space="0"/>
              <w:left w:val="single" w:color="auto" w:sz="4" w:space="0"/>
              <w:right w:val="single" w:color="auto" w:sz="4" w:space="0"/>
            </w:tcBorders>
            <w:vAlign w:val="center"/>
          </w:tcPr>
          <w:p w14:paraId="760F7A7B">
            <w:pPr>
              <w:jc w:val="both"/>
              <w:rPr>
                <w:rFonts w:hint="eastAsia" w:ascii="宋体" w:hAnsi="宋体"/>
                <w:color w:val="auto"/>
                <w:highlight w:val="none"/>
              </w:rPr>
            </w:pPr>
            <w:r>
              <w:rPr>
                <w:rFonts w:hint="eastAsia" w:ascii="宋体" w:hAnsi="宋体"/>
                <w:color w:val="auto"/>
                <w:highlight w:val="none"/>
              </w:rPr>
              <w:t>核心设备采购方案（厂务新增主要设备如空压机、M</w:t>
            </w:r>
            <w:r>
              <w:rPr>
                <w:rFonts w:ascii="宋体" w:hAnsi="宋体"/>
                <w:color w:val="auto"/>
                <w:highlight w:val="none"/>
              </w:rPr>
              <w:t>AU</w:t>
            </w:r>
            <w:r>
              <w:rPr>
                <w:rFonts w:hint="eastAsia" w:ascii="宋体" w:hAnsi="宋体"/>
                <w:color w:val="auto"/>
                <w:highlight w:val="none"/>
              </w:rPr>
              <w:t>、中低温冰机、冷却塔、变压器、T</w:t>
            </w:r>
            <w:r>
              <w:rPr>
                <w:rFonts w:ascii="宋体" w:hAnsi="宋体"/>
                <w:color w:val="auto"/>
                <w:highlight w:val="none"/>
              </w:rPr>
              <w:t>O</w:t>
            </w:r>
            <w:r>
              <w:rPr>
                <w:rFonts w:hint="eastAsia" w:ascii="宋体" w:hAnsi="宋体"/>
                <w:color w:val="auto"/>
                <w:highlight w:val="none"/>
              </w:rPr>
              <w:t>炉等）</w:t>
            </w:r>
          </w:p>
        </w:tc>
        <w:tc>
          <w:tcPr>
            <w:tcW w:w="1913" w:type="dxa"/>
            <w:tcBorders>
              <w:top w:val="single" w:color="auto" w:sz="4" w:space="0"/>
              <w:left w:val="single" w:color="auto" w:sz="4" w:space="0"/>
              <w:right w:val="single" w:color="auto" w:sz="4" w:space="0"/>
            </w:tcBorders>
            <w:vAlign w:val="center"/>
          </w:tcPr>
          <w:p w14:paraId="4ADAA769">
            <w:pPr>
              <w:jc w:val="center"/>
              <w:rPr>
                <w:rFonts w:hint="eastAsia" w:ascii="宋体" w:hAnsi="宋体" w:cs="宋体"/>
                <w:color w:val="auto"/>
                <w:highlight w:val="none"/>
              </w:rPr>
            </w:pPr>
            <w:r>
              <w:rPr>
                <w:rFonts w:hint="eastAsia" w:ascii="宋体" w:hAnsi="宋体" w:cs="宋体"/>
                <w:color w:val="auto"/>
                <w:highlight w:val="none"/>
              </w:rPr>
              <w:t>0.35-0.5分</w:t>
            </w:r>
          </w:p>
          <w:p w14:paraId="4155422F">
            <w:pPr>
              <w:jc w:val="center"/>
              <w:rPr>
                <w:rFonts w:hint="eastAsia" w:ascii="宋体" w:hAnsi="宋体" w:cs="宋体"/>
                <w:color w:val="auto"/>
                <w:highlight w:val="none"/>
              </w:rPr>
            </w:pPr>
            <w:r>
              <w:rPr>
                <w:rFonts w:hint="eastAsia" w:ascii="宋体" w:hAnsi="宋体" w:cs="宋体"/>
                <w:color w:val="auto"/>
                <w:highlight w:val="none"/>
              </w:rPr>
              <w:t>未提供不得分</w:t>
            </w:r>
          </w:p>
        </w:tc>
      </w:tr>
      <w:tr w14:paraId="4B944C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vMerge w:val="restart"/>
            <w:tcBorders>
              <w:top w:val="single" w:color="auto" w:sz="4" w:space="0"/>
              <w:left w:val="single" w:color="auto" w:sz="4" w:space="0"/>
              <w:right w:val="single" w:color="auto" w:sz="4" w:space="0"/>
            </w:tcBorders>
            <w:vAlign w:val="center"/>
          </w:tcPr>
          <w:p w14:paraId="5F293CFB">
            <w:pPr>
              <w:jc w:val="center"/>
              <w:rPr>
                <w:rFonts w:hint="eastAsia" w:ascii="宋体" w:hAnsi="宋体"/>
                <w:color w:val="auto"/>
                <w:highlight w:val="none"/>
              </w:rPr>
            </w:pPr>
            <w:r>
              <w:rPr>
                <w:rFonts w:hint="eastAsia" w:ascii="宋体" w:hAnsi="宋体"/>
                <w:color w:val="auto"/>
                <w:highlight w:val="none"/>
              </w:rPr>
              <w:t>施工方案评审因素</w:t>
            </w:r>
          </w:p>
          <w:p w14:paraId="4C1563D7">
            <w:pPr>
              <w:jc w:val="center"/>
              <w:rPr>
                <w:rFonts w:hint="eastAsia" w:ascii="宋体" w:hAnsi="宋体"/>
                <w:color w:val="auto"/>
                <w:highlight w:val="none"/>
              </w:rPr>
            </w:pPr>
            <w:r>
              <w:rPr>
                <w:rFonts w:hint="eastAsia" w:ascii="宋体" w:hAnsi="宋体" w:cs="Arial"/>
                <w:color w:val="auto"/>
                <w:sz w:val="21"/>
                <w:szCs w:val="21"/>
                <w:highlight w:val="none"/>
              </w:rPr>
              <w:t>（0-7.5分）</w:t>
            </w:r>
          </w:p>
        </w:tc>
        <w:tc>
          <w:tcPr>
            <w:tcW w:w="2187" w:type="dxa"/>
            <w:tcBorders>
              <w:top w:val="single" w:color="auto" w:sz="4" w:space="0"/>
              <w:left w:val="single" w:color="auto" w:sz="4" w:space="0"/>
              <w:bottom w:val="single" w:color="auto" w:sz="4" w:space="0"/>
              <w:right w:val="single" w:color="auto" w:sz="4" w:space="0"/>
            </w:tcBorders>
            <w:vAlign w:val="center"/>
          </w:tcPr>
          <w:p w14:paraId="6BA41634">
            <w:pPr>
              <w:rPr>
                <w:rFonts w:hint="eastAsia" w:ascii="宋体" w:hAnsi="宋体"/>
                <w:color w:val="auto"/>
                <w:highlight w:val="none"/>
              </w:rPr>
            </w:pPr>
            <w:r>
              <w:rPr>
                <w:rFonts w:hint="eastAsia" w:ascii="宋体" w:hAnsi="宋体"/>
                <w:color w:val="auto"/>
                <w:highlight w:val="none"/>
              </w:rPr>
              <w:t>项目重点难点分析</w:t>
            </w:r>
          </w:p>
        </w:tc>
        <w:tc>
          <w:tcPr>
            <w:tcW w:w="3735" w:type="dxa"/>
            <w:tcBorders>
              <w:top w:val="single" w:color="auto" w:sz="4" w:space="0"/>
              <w:left w:val="single" w:color="auto" w:sz="4" w:space="0"/>
              <w:bottom w:val="single" w:color="auto" w:sz="4" w:space="0"/>
              <w:right w:val="single" w:color="auto" w:sz="4" w:space="0"/>
            </w:tcBorders>
            <w:vAlign w:val="center"/>
          </w:tcPr>
          <w:p w14:paraId="10F4C6B3">
            <w:pPr>
              <w:rPr>
                <w:rFonts w:hint="eastAsia" w:ascii="宋体" w:hAnsi="宋体"/>
                <w:color w:val="auto"/>
                <w:highlight w:val="none"/>
              </w:rPr>
            </w:pPr>
            <w:r>
              <w:rPr>
                <w:rFonts w:hint="eastAsia" w:ascii="宋体" w:hAnsi="宋体"/>
                <w:color w:val="auto"/>
                <w:highlight w:val="none"/>
              </w:rPr>
              <w:t>项目重点难点分析及合理化建议:参照发包人要求2.2技术要求。</w:t>
            </w:r>
          </w:p>
        </w:tc>
        <w:tc>
          <w:tcPr>
            <w:tcW w:w="1913" w:type="dxa"/>
            <w:tcBorders>
              <w:top w:val="single" w:color="auto" w:sz="4" w:space="0"/>
              <w:left w:val="single" w:color="auto" w:sz="4" w:space="0"/>
              <w:bottom w:val="single" w:color="auto" w:sz="4" w:space="0"/>
              <w:right w:val="single" w:color="auto" w:sz="4" w:space="0"/>
            </w:tcBorders>
            <w:vAlign w:val="center"/>
          </w:tcPr>
          <w:p w14:paraId="1977739B">
            <w:pPr>
              <w:jc w:val="center"/>
              <w:rPr>
                <w:rFonts w:hint="eastAsia" w:ascii="宋体" w:hAnsi="宋体" w:cs="宋体"/>
                <w:color w:val="auto"/>
                <w:highlight w:val="none"/>
              </w:rPr>
            </w:pPr>
            <w:r>
              <w:rPr>
                <w:rFonts w:hint="eastAsia" w:ascii="宋体" w:hAnsi="宋体" w:cs="宋体"/>
                <w:color w:val="auto"/>
                <w:highlight w:val="none"/>
              </w:rPr>
              <w:t>1.6-2分</w:t>
            </w:r>
          </w:p>
          <w:p w14:paraId="169ACC17">
            <w:pPr>
              <w:jc w:val="center"/>
              <w:rPr>
                <w:rFonts w:hint="eastAsia" w:ascii="宋体" w:hAnsi="宋体" w:cs="宋体"/>
                <w:color w:val="auto"/>
                <w:highlight w:val="none"/>
              </w:rPr>
            </w:pPr>
            <w:r>
              <w:rPr>
                <w:rFonts w:hint="eastAsia" w:ascii="宋体" w:hAnsi="宋体" w:cs="宋体"/>
                <w:color w:val="auto"/>
                <w:highlight w:val="none"/>
              </w:rPr>
              <w:t>未提供不得分</w:t>
            </w:r>
          </w:p>
        </w:tc>
      </w:tr>
      <w:tr w14:paraId="37F61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vMerge w:val="continue"/>
            <w:tcBorders>
              <w:left w:val="single" w:color="auto" w:sz="4" w:space="0"/>
              <w:right w:val="single" w:color="auto" w:sz="4" w:space="0"/>
            </w:tcBorders>
            <w:vAlign w:val="center"/>
          </w:tcPr>
          <w:p w14:paraId="134687B1">
            <w:pPr>
              <w:ind w:firstLine="360" w:firstLineChars="150"/>
              <w:rPr>
                <w:rFonts w:hint="eastAsia" w:ascii="宋体" w:hAnsi="宋体"/>
                <w:color w:val="auto"/>
                <w:highlight w:val="none"/>
              </w:rPr>
            </w:pPr>
          </w:p>
        </w:tc>
        <w:tc>
          <w:tcPr>
            <w:tcW w:w="2187" w:type="dxa"/>
            <w:vMerge w:val="restart"/>
            <w:tcBorders>
              <w:top w:val="single" w:color="auto" w:sz="4" w:space="0"/>
              <w:left w:val="single" w:color="auto" w:sz="4" w:space="0"/>
              <w:right w:val="single" w:color="auto" w:sz="4" w:space="0"/>
            </w:tcBorders>
            <w:vAlign w:val="center"/>
          </w:tcPr>
          <w:p w14:paraId="13D03A97">
            <w:pPr>
              <w:rPr>
                <w:rFonts w:hint="eastAsia" w:ascii="宋体" w:hAnsi="宋体"/>
                <w:color w:val="auto"/>
                <w:highlight w:val="none"/>
              </w:rPr>
            </w:pPr>
            <w:r>
              <w:rPr>
                <w:rFonts w:hint="eastAsia" w:ascii="宋体" w:hAnsi="宋体"/>
                <w:color w:val="auto"/>
                <w:highlight w:val="none"/>
              </w:rPr>
              <w:t>工程施工管理</w:t>
            </w:r>
          </w:p>
        </w:tc>
        <w:tc>
          <w:tcPr>
            <w:tcW w:w="3735" w:type="dxa"/>
            <w:tcBorders>
              <w:top w:val="single" w:color="auto" w:sz="4" w:space="0"/>
              <w:left w:val="single" w:color="auto" w:sz="4" w:space="0"/>
              <w:bottom w:val="single" w:color="auto" w:sz="4" w:space="0"/>
              <w:right w:val="single" w:color="auto" w:sz="4" w:space="0"/>
            </w:tcBorders>
            <w:vAlign w:val="center"/>
          </w:tcPr>
          <w:p w14:paraId="3664698E">
            <w:pPr>
              <w:rPr>
                <w:rFonts w:hint="eastAsia" w:ascii="宋体" w:hAnsi="宋体"/>
                <w:color w:val="auto"/>
                <w:highlight w:val="none"/>
              </w:rPr>
            </w:pPr>
            <w:r>
              <w:rPr>
                <w:rFonts w:hint="eastAsia" w:ascii="宋体" w:hAnsi="宋体"/>
                <w:color w:val="auto"/>
                <w:highlight w:val="none"/>
              </w:rPr>
              <w:t>工程施工进度控制和管理</w:t>
            </w:r>
          </w:p>
        </w:tc>
        <w:tc>
          <w:tcPr>
            <w:tcW w:w="1913" w:type="dxa"/>
            <w:tcBorders>
              <w:top w:val="single" w:color="auto" w:sz="4" w:space="0"/>
              <w:left w:val="single" w:color="auto" w:sz="4" w:space="0"/>
              <w:bottom w:val="single" w:color="auto" w:sz="4" w:space="0"/>
              <w:right w:val="single" w:color="auto" w:sz="4" w:space="0"/>
            </w:tcBorders>
            <w:vAlign w:val="center"/>
          </w:tcPr>
          <w:p w14:paraId="453236FD">
            <w:pPr>
              <w:jc w:val="center"/>
              <w:rPr>
                <w:rFonts w:hint="eastAsia" w:ascii="宋体" w:hAnsi="宋体" w:cs="宋体"/>
                <w:color w:val="auto"/>
                <w:highlight w:val="none"/>
              </w:rPr>
            </w:pPr>
            <w:r>
              <w:rPr>
                <w:rFonts w:hint="eastAsia" w:ascii="宋体" w:hAnsi="宋体" w:cs="宋体"/>
                <w:color w:val="auto"/>
                <w:highlight w:val="none"/>
              </w:rPr>
              <w:t>0.4-0.5分</w:t>
            </w:r>
          </w:p>
          <w:p w14:paraId="32746FE9">
            <w:pPr>
              <w:jc w:val="center"/>
              <w:rPr>
                <w:rFonts w:hint="eastAsia" w:ascii="宋体" w:hAnsi="宋体"/>
                <w:color w:val="auto"/>
                <w:highlight w:val="none"/>
              </w:rPr>
            </w:pPr>
            <w:r>
              <w:rPr>
                <w:rFonts w:hint="eastAsia" w:ascii="宋体" w:hAnsi="宋体" w:cs="宋体"/>
                <w:color w:val="auto"/>
                <w:highlight w:val="none"/>
              </w:rPr>
              <w:t>未提供不得分</w:t>
            </w:r>
          </w:p>
        </w:tc>
      </w:tr>
      <w:tr w14:paraId="1AACBD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vMerge w:val="continue"/>
            <w:tcBorders>
              <w:left w:val="single" w:color="auto" w:sz="4" w:space="0"/>
              <w:right w:val="single" w:color="auto" w:sz="4" w:space="0"/>
            </w:tcBorders>
            <w:vAlign w:val="center"/>
          </w:tcPr>
          <w:p w14:paraId="779C39F5">
            <w:pPr>
              <w:ind w:firstLine="360" w:firstLineChars="150"/>
              <w:rPr>
                <w:rFonts w:hint="eastAsia" w:ascii="宋体" w:hAnsi="宋体"/>
                <w:color w:val="auto"/>
                <w:highlight w:val="none"/>
              </w:rPr>
            </w:pPr>
          </w:p>
        </w:tc>
        <w:tc>
          <w:tcPr>
            <w:tcW w:w="2187" w:type="dxa"/>
            <w:vMerge w:val="continue"/>
            <w:tcBorders>
              <w:left w:val="single" w:color="auto" w:sz="4" w:space="0"/>
              <w:right w:val="single" w:color="auto" w:sz="4" w:space="0"/>
            </w:tcBorders>
            <w:vAlign w:val="center"/>
          </w:tcPr>
          <w:p w14:paraId="3F685AAC">
            <w:pPr>
              <w:ind w:firstLine="360" w:firstLineChars="150"/>
              <w:rPr>
                <w:rFonts w:hint="eastAsia" w:ascii="宋体" w:hAnsi="宋体"/>
                <w:color w:val="auto"/>
                <w:highlight w:val="none"/>
              </w:rPr>
            </w:pPr>
          </w:p>
        </w:tc>
        <w:tc>
          <w:tcPr>
            <w:tcW w:w="3735" w:type="dxa"/>
            <w:tcBorders>
              <w:top w:val="single" w:color="auto" w:sz="4" w:space="0"/>
              <w:left w:val="single" w:color="auto" w:sz="4" w:space="0"/>
              <w:bottom w:val="single" w:color="auto" w:sz="4" w:space="0"/>
              <w:right w:val="single" w:color="auto" w:sz="4" w:space="0"/>
            </w:tcBorders>
            <w:vAlign w:val="center"/>
          </w:tcPr>
          <w:p w14:paraId="216B5D44">
            <w:pPr>
              <w:rPr>
                <w:rFonts w:hint="eastAsia" w:ascii="宋体" w:hAnsi="宋体"/>
                <w:i/>
                <w:iCs/>
                <w:color w:val="auto"/>
                <w:highlight w:val="none"/>
              </w:rPr>
            </w:pPr>
            <w:r>
              <w:rPr>
                <w:rFonts w:hint="eastAsia" w:ascii="宋体" w:hAnsi="宋体"/>
                <w:i/>
                <w:iCs/>
                <w:color w:val="auto"/>
                <w:highlight w:val="none"/>
              </w:rPr>
              <w:t>工程施工质量管理:</w:t>
            </w:r>
          </w:p>
          <w:p w14:paraId="2EE5B8F2">
            <w:pPr>
              <w:rPr>
                <w:rFonts w:hint="eastAsia" w:ascii="宋体" w:hAnsi="宋体"/>
                <w:color w:val="auto"/>
                <w:highlight w:val="none"/>
              </w:rPr>
            </w:pPr>
            <w:r>
              <w:rPr>
                <w:rFonts w:ascii="宋体" w:hAnsi="宋体"/>
                <w:color w:val="auto"/>
                <w:highlight w:val="none"/>
              </w:rPr>
              <w:t>材料进场验收标准、隐蔽工程验收流程</w:t>
            </w:r>
            <w:r>
              <w:rPr>
                <w:rFonts w:hint="eastAsia" w:ascii="宋体" w:hAnsi="宋体"/>
                <w:color w:val="auto"/>
                <w:highlight w:val="none"/>
              </w:rPr>
              <w:t>等）各施工过程</w:t>
            </w:r>
            <w:r>
              <w:rPr>
                <w:rFonts w:ascii="宋体" w:hAnsi="宋体"/>
                <w:color w:val="auto"/>
                <w:highlight w:val="none"/>
              </w:rPr>
              <w:t>质量策划落实措施</w:t>
            </w:r>
          </w:p>
        </w:tc>
        <w:tc>
          <w:tcPr>
            <w:tcW w:w="1913" w:type="dxa"/>
            <w:tcBorders>
              <w:top w:val="single" w:color="auto" w:sz="4" w:space="0"/>
              <w:left w:val="single" w:color="auto" w:sz="4" w:space="0"/>
              <w:bottom w:val="single" w:color="auto" w:sz="4" w:space="0"/>
              <w:right w:val="single" w:color="auto" w:sz="4" w:space="0"/>
            </w:tcBorders>
            <w:vAlign w:val="center"/>
          </w:tcPr>
          <w:p w14:paraId="3DF4DB14">
            <w:pPr>
              <w:jc w:val="center"/>
              <w:rPr>
                <w:rFonts w:hint="eastAsia" w:ascii="宋体" w:hAnsi="宋体" w:cs="宋体"/>
                <w:color w:val="auto"/>
                <w:highlight w:val="none"/>
              </w:rPr>
            </w:pPr>
            <w:r>
              <w:rPr>
                <w:rFonts w:hint="eastAsia" w:ascii="宋体" w:hAnsi="宋体" w:cs="宋体"/>
                <w:color w:val="auto"/>
                <w:highlight w:val="none"/>
              </w:rPr>
              <w:t>0.8-1分</w:t>
            </w:r>
          </w:p>
          <w:p w14:paraId="75856CD2">
            <w:pPr>
              <w:jc w:val="center"/>
              <w:rPr>
                <w:rFonts w:hint="eastAsia" w:ascii="宋体" w:hAnsi="宋体"/>
                <w:color w:val="auto"/>
                <w:highlight w:val="none"/>
              </w:rPr>
            </w:pPr>
            <w:r>
              <w:rPr>
                <w:rFonts w:hint="eastAsia" w:ascii="宋体" w:hAnsi="宋体" w:cs="宋体"/>
                <w:color w:val="auto"/>
                <w:highlight w:val="none"/>
              </w:rPr>
              <w:t>未提供不得分</w:t>
            </w:r>
          </w:p>
        </w:tc>
      </w:tr>
      <w:tr w14:paraId="571C5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vMerge w:val="continue"/>
            <w:tcBorders>
              <w:left w:val="single" w:color="auto" w:sz="4" w:space="0"/>
              <w:right w:val="single" w:color="auto" w:sz="4" w:space="0"/>
            </w:tcBorders>
            <w:vAlign w:val="center"/>
          </w:tcPr>
          <w:p w14:paraId="6FE84842">
            <w:pPr>
              <w:ind w:firstLine="360" w:firstLineChars="150"/>
              <w:rPr>
                <w:rFonts w:hint="eastAsia" w:ascii="宋体" w:hAnsi="宋体"/>
                <w:color w:val="auto"/>
                <w:highlight w:val="none"/>
              </w:rPr>
            </w:pPr>
          </w:p>
        </w:tc>
        <w:tc>
          <w:tcPr>
            <w:tcW w:w="2187" w:type="dxa"/>
            <w:vMerge w:val="continue"/>
            <w:tcBorders>
              <w:left w:val="single" w:color="auto" w:sz="4" w:space="0"/>
              <w:right w:val="single" w:color="auto" w:sz="4" w:space="0"/>
            </w:tcBorders>
            <w:vAlign w:val="center"/>
          </w:tcPr>
          <w:p w14:paraId="3D28F8C6">
            <w:pPr>
              <w:ind w:firstLine="360" w:firstLineChars="150"/>
              <w:rPr>
                <w:rFonts w:hint="eastAsia" w:ascii="宋体" w:hAnsi="宋体"/>
                <w:color w:val="auto"/>
                <w:highlight w:val="none"/>
              </w:rPr>
            </w:pPr>
          </w:p>
        </w:tc>
        <w:tc>
          <w:tcPr>
            <w:tcW w:w="3735" w:type="dxa"/>
            <w:tcBorders>
              <w:top w:val="single" w:color="auto" w:sz="4" w:space="0"/>
              <w:left w:val="single" w:color="auto" w:sz="4" w:space="0"/>
              <w:bottom w:val="single" w:color="auto" w:sz="4" w:space="0"/>
              <w:right w:val="single" w:color="auto" w:sz="4" w:space="0"/>
            </w:tcBorders>
            <w:vAlign w:val="center"/>
          </w:tcPr>
          <w:p w14:paraId="67DC93E0">
            <w:pPr>
              <w:rPr>
                <w:rFonts w:hint="eastAsia" w:ascii="宋体" w:hAnsi="宋体"/>
                <w:i/>
                <w:iCs/>
                <w:color w:val="auto"/>
                <w:highlight w:val="none"/>
              </w:rPr>
            </w:pPr>
            <w:r>
              <w:rPr>
                <w:rFonts w:hint="eastAsia" w:ascii="宋体" w:hAnsi="宋体"/>
                <w:i/>
                <w:iCs/>
                <w:color w:val="auto"/>
                <w:highlight w:val="none"/>
              </w:rPr>
              <w:t>工程施工安全文明管理:</w:t>
            </w:r>
          </w:p>
          <w:p w14:paraId="1421F150">
            <w:pPr>
              <w:rPr>
                <w:rFonts w:hint="eastAsia" w:ascii="宋体" w:hAnsi="宋体"/>
                <w:color w:val="auto"/>
                <w:highlight w:val="none"/>
              </w:rPr>
            </w:pPr>
            <w:r>
              <w:rPr>
                <w:rFonts w:ascii="宋体" w:hAnsi="宋体"/>
                <w:color w:val="auto"/>
                <w:highlight w:val="none"/>
              </w:rPr>
              <w:t>安全生产措施、文明施工措施、涉及环保、扬尘污染防控、 应急预案、现场防火、建筑垃圾回收等全方位，内容完备、切实可行、环境保护措施的科学、合理等情况进行评分。</w:t>
            </w:r>
          </w:p>
        </w:tc>
        <w:tc>
          <w:tcPr>
            <w:tcW w:w="1913" w:type="dxa"/>
            <w:tcBorders>
              <w:top w:val="single" w:color="auto" w:sz="4" w:space="0"/>
              <w:left w:val="single" w:color="auto" w:sz="4" w:space="0"/>
              <w:bottom w:val="single" w:color="auto" w:sz="4" w:space="0"/>
              <w:right w:val="single" w:color="auto" w:sz="4" w:space="0"/>
            </w:tcBorders>
            <w:vAlign w:val="center"/>
          </w:tcPr>
          <w:p w14:paraId="753343FB">
            <w:pPr>
              <w:jc w:val="center"/>
              <w:rPr>
                <w:rFonts w:hint="eastAsia" w:ascii="宋体" w:hAnsi="宋体" w:cs="宋体"/>
                <w:color w:val="auto"/>
                <w:highlight w:val="none"/>
              </w:rPr>
            </w:pPr>
            <w:r>
              <w:rPr>
                <w:rFonts w:hint="eastAsia" w:ascii="宋体" w:hAnsi="宋体" w:cs="宋体"/>
                <w:color w:val="auto"/>
                <w:highlight w:val="none"/>
              </w:rPr>
              <w:t>0.8-1分</w:t>
            </w:r>
          </w:p>
          <w:p w14:paraId="4AC3DDAF">
            <w:pPr>
              <w:jc w:val="center"/>
              <w:rPr>
                <w:rFonts w:hint="eastAsia" w:ascii="宋体" w:hAnsi="宋体"/>
                <w:color w:val="auto"/>
                <w:highlight w:val="none"/>
              </w:rPr>
            </w:pPr>
            <w:r>
              <w:rPr>
                <w:rFonts w:hint="eastAsia" w:ascii="宋体" w:hAnsi="宋体" w:cs="宋体"/>
                <w:color w:val="auto"/>
                <w:highlight w:val="none"/>
              </w:rPr>
              <w:t>未提供不得分</w:t>
            </w:r>
          </w:p>
        </w:tc>
      </w:tr>
      <w:tr w14:paraId="6D92D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vMerge w:val="continue"/>
            <w:tcBorders>
              <w:left w:val="single" w:color="auto" w:sz="4" w:space="0"/>
              <w:right w:val="single" w:color="auto" w:sz="4" w:space="0"/>
            </w:tcBorders>
            <w:vAlign w:val="center"/>
          </w:tcPr>
          <w:p w14:paraId="74A230BB">
            <w:pPr>
              <w:ind w:firstLine="360" w:firstLineChars="150"/>
              <w:rPr>
                <w:rFonts w:hint="eastAsia" w:ascii="宋体" w:hAnsi="宋体"/>
                <w:color w:val="auto"/>
                <w:highlight w:val="none"/>
              </w:rPr>
            </w:pPr>
          </w:p>
        </w:tc>
        <w:tc>
          <w:tcPr>
            <w:tcW w:w="2187" w:type="dxa"/>
            <w:vMerge w:val="continue"/>
            <w:tcBorders>
              <w:left w:val="single" w:color="auto" w:sz="4" w:space="0"/>
              <w:bottom w:val="single" w:color="auto" w:sz="4" w:space="0"/>
              <w:right w:val="single" w:color="auto" w:sz="4" w:space="0"/>
            </w:tcBorders>
            <w:vAlign w:val="center"/>
          </w:tcPr>
          <w:p w14:paraId="0D346C19">
            <w:pPr>
              <w:ind w:firstLine="360" w:firstLineChars="150"/>
              <w:rPr>
                <w:rFonts w:hint="eastAsia" w:ascii="宋体" w:hAnsi="宋体"/>
                <w:color w:val="auto"/>
                <w:highlight w:val="none"/>
              </w:rPr>
            </w:pPr>
          </w:p>
        </w:tc>
        <w:tc>
          <w:tcPr>
            <w:tcW w:w="3735" w:type="dxa"/>
            <w:tcBorders>
              <w:top w:val="single" w:color="auto" w:sz="4" w:space="0"/>
              <w:left w:val="single" w:color="auto" w:sz="4" w:space="0"/>
              <w:right w:val="single" w:color="auto" w:sz="4" w:space="0"/>
            </w:tcBorders>
            <w:vAlign w:val="center"/>
          </w:tcPr>
          <w:p w14:paraId="2F23BFCB">
            <w:pPr>
              <w:rPr>
                <w:rFonts w:hint="eastAsia" w:ascii="宋体" w:hAnsi="宋体"/>
                <w:i/>
                <w:iCs/>
                <w:color w:val="auto"/>
                <w:highlight w:val="none"/>
              </w:rPr>
            </w:pPr>
            <w:r>
              <w:rPr>
                <w:rFonts w:hint="eastAsia" w:ascii="宋体" w:hAnsi="宋体"/>
                <w:i/>
                <w:iCs/>
                <w:color w:val="auto"/>
                <w:highlight w:val="none"/>
              </w:rPr>
              <w:t>关键技术方案可行性:</w:t>
            </w:r>
          </w:p>
          <w:p w14:paraId="098197E1">
            <w:pPr>
              <w:rPr>
                <w:rFonts w:hint="eastAsia" w:ascii="宋体" w:hAnsi="宋体"/>
                <w:color w:val="auto"/>
                <w:highlight w:val="none"/>
              </w:rPr>
            </w:pPr>
            <w:r>
              <w:rPr>
                <w:rFonts w:hint="eastAsia" w:ascii="宋体" w:hAnsi="宋体" w:cs="Arial"/>
                <w:color w:val="auto"/>
                <w:highlight w:val="none"/>
              </w:rPr>
              <w:t>例如：洁净室装修等。</w:t>
            </w:r>
          </w:p>
        </w:tc>
        <w:tc>
          <w:tcPr>
            <w:tcW w:w="1913" w:type="dxa"/>
            <w:tcBorders>
              <w:top w:val="single" w:color="auto" w:sz="4" w:space="0"/>
              <w:left w:val="single" w:color="auto" w:sz="4" w:space="0"/>
              <w:bottom w:val="single" w:color="auto" w:sz="4" w:space="0"/>
              <w:right w:val="single" w:color="auto" w:sz="4" w:space="0"/>
            </w:tcBorders>
            <w:vAlign w:val="center"/>
          </w:tcPr>
          <w:p w14:paraId="4BAC5101">
            <w:pPr>
              <w:jc w:val="center"/>
              <w:rPr>
                <w:rFonts w:hint="eastAsia" w:ascii="宋体" w:hAnsi="宋体" w:cs="宋体"/>
                <w:color w:val="auto"/>
                <w:highlight w:val="none"/>
              </w:rPr>
            </w:pPr>
            <w:r>
              <w:rPr>
                <w:rFonts w:hint="eastAsia" w:ascii="宋体" w:hAnsi="宋体" w:cs="宋体"/>
                <w:color w:val="auto"/>
                <w:highlight w:val="none"/>
              </w:rPr>
              <w:t>2.4-3分</w:t>
            </w:r>
          </w:p>
          <w:p w14:paraId="2CAC6B08">
            <w:pPr>
              <w:jc w:val="center"/>
              <w:rPr>
                <w:rFonts w:hint="eastAsia" w:ascii="宋体" w:hAnsi="宋体" w:cs="宋体"/>
                <w:color w:val="auto"/>
                <w:highlight w:val="none"/>
              </w:rPr>
            </w:pPr>
            <w:r>
              <w:rPr>
                <w:rFonts w:hint="eastAsia" w:ascii="宋体" w:hAnsi="宋体" w:cs="宋体"/>
                <w:color w:val="auto"/>
                <w:highlight w:val="none"/>
              </w:rPr>
              <w:t>未提供不得分</w:t>
            </w:r>
          </w:p>
        </w:tc>
      </w:tr>
      <w:tr w14:paraId="09C5EA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35A7AFE0">
            <w:pPr>
              <w:ind w:firstLine="360" w:firstLineChars="150"/>
              <w:jc w:val="center"/>
              <w:rPr>
                <w:rFonts w:hint="eastAsia" w:ascii="宋体" w:hAnsi="宋体"/>
                <w:color w:val="auto"/>
                <w:highlight w:val="none"/>
              </w:rPr>
            </w:pPr>
            <w:r>
              <w:rPr>
                <w:rFonts w:hint="eastAsia" w:ascii="宋体" w:hAnsi="宋体"/>
                <w:color w:val="auto"/>
                <w:highlight w:val="none"/>
              </w:rPr>
              <w:t>其他</w:t>
            </w:r>
          </w:p>
          <w:p w14:paraId="7D12E7BB">
            <w:pPr>
              <w:ind w:firstLine="315" w:firstLineChars="150"/>
              <w:jc w:val="center"/>
              <w:rPr>
                <w:rFonts w:hint="eastAsia" w:ascii="宋体" w:hAnsi="宋体"/>
                <w:color w:val="auto"/>
                <w:highlight w:val="none"/>
              </w:rPr>
            </w:pPr>
            <w:r>
              <w:rPr>
                <w:rFonts w:hint="eastAsia" w:ascii="宋体" w:hAnsi="宋体" w:cs="宋体"/>
                <w:iCs/>
                <w:color w:val="auto"/>
                <w:sz w:val="21"/>
                <w:szCs w:val="21"/>
                <w:highlight w:val="none"/>
              </w:rPr>
              <w:t>（0-3分）</w:t>
            </w:r>
          </w:p>
        </w:tc>
        <w:tc>
          <w:tcPr>
            <w:tcW w:w="2187" w:type="dxa"/>
            <w:tcBorders>
              <w:top w:val="single" w:color="auto" w:sz="4" w:space="0"/>
              <w:left w:val="single" w:color="auto" w:sz="4" w:space="0"/>
              <w:bottom w:val="single" w:color="auto" w:sz="4" w:space="0"/>
              <w:right w:val="single" w:color="auto" w:sz="4" w:space="0"/>
            </w:tcBorders>
            <w:vAlign w:val="center"/>
          </w:tcPr>
          <w:p w14:paraId="5950FC73">
            <w:pPr>
              <w:ind w:firstLine="360" w:firstLineChars="150"/>
              <w:rPr>
                <w:rFonts w:hint="eastAsia" w:ascii="宋体" w:hAnsi="宋体"/>
                <w:color w:val="auto"/>
                <w:highlight w:val="none"/>
              </w:rPr>
            </w:pPr>
            <w:r>
              <w:rPr>
                <w:rFonts w:hint="eastAsia" w:ascii="宋体" w:hAnsi="宋体"/>
                <w:color w:val="auto"/>
                <w:highlight w:val="none"/>
              </w:rPr>
              <w:t>其他</w:t>
            </w:r>
          </w:p>
        </w:tc>
        <w:tc>
          <w:tcPr>
            <w:tcW w:w="3735" w:type="dxa"/>
            <w:tcBorders>
              <w:top w:val="single" w:color="auto" w:sz="4" w:space="0"/>
              <w:left w:val="single" w:color="auto" w:sz="4" w:space="0"/>
              <w:bottom w:val="single" w:color="auto" w:sz="4" w:space="0"/>
              <w:right w:val="single" w:color="auto" w:sz="4" w:space="0"/>
            </w:tcBorders>
            <w:vAlign w:val="center"/>
          </w:tcPr>
          <w:p w14:paraId="12F1AA03">
            <w:pPr>
              <w:rPr>
                <w:rFonts w:hint="eastAsia" w:ascii="宋体" w:hAnsi="宋体" w:cs="Arial"/>
                <w:color w:val="auto"/>
                <w:highlight w:val="none"/>
              </w:rPr>
            </w:pPr>
            <w:r>
              <w:rPr>
                <w:rFonts w:hint="eastAsia" w:ascii="宋体" w:hAnsi="宋体"/>
                <w:color w:val="auto"/>
                <w:szCs w:val="21"/>
                <w:highlight w:val="none"/>
              </w:rPr>
              <w:t>针对本项目时间紧，工期短，任务重等特点制定详细工作计划情况进行综合横向比较评分。</w:t>
            </w:r>
          </w:p>
        </w:tc>
        <w:tc>
          <w:tcPr>
            <w:tcW w:w="1913" w:type="dxa"/>
            <w:tcBorders>
              <w:top w:val="single" w:color="auto" w:sz="4" w:space="0"/>
              <w:left w:val="single" w:color="auto" w:sz="4" w:space="0"/>
              <w:bottom w:val="single" w:color="auto" w:sz="4" w:space="0"/>
              <w:right w:val="single" w:color="auto" w:sz="4" w:space="0"/>
            </w:tcBorders>
            <w:vAlign w:val="center"/>
          </w:tcPr>
          <w:p w14:paraId="5C13ED96">
            <w:pPr>
              <w:jc w:val="center"/>
              <w:rPr>
                <w:rFonts w:hint="eastAsia" w:ascii="宋体" w:hAnsi="宋体" w:cs="宋体"/>
                <w:color w:val="auto"/>
                <w:highlight w:val="none"/>
              </w:rPr>
            </w:pPr>
            <w:r>
              <w:rPr>
                <w:rFonts w:hint="eastAsia" w:ascii="宋体" w:hAnsi="宋体" w:cs="宋体"/>
                <w:color w:val="auto"/>
                <w:highlight w:val="none"/>
              </w:rPr>
              <w:t>2.4</w:t>
            </w:r>
            <w:r>
              <w:rPr>
                <w:rFonts w:ascii="宋体" w:hAnsi="宋体" w:cs="宋体"/>
                <w:color w:val="auto"/>
                <w:highlight w:val="none"/>
              </w:rPr>
              <w:t>-3</w:t>
            </w:r>
            <w:r>
              <w:rPr>
                <w:rFonts w:hint="eastAsia" w:ascii="宋体" w:hAnsi="宋体" w:cs="宋体"/>
                <w:color w:val="auto"/>
                <w:highlight w:val="none"/>
              </w:rPr>
              <w:t>分</w:t>
            </w:r>
          </w:p>
          <w:p w14:paraId="038E6BB0">
            <w:pPr>
              <w:jc w:val="center"/>
              <w:rPr>
                <w:rFonts w:hint="eastAsia" w:ascii="宋体" w:hAnsi="宋体" w:cs="宋体"/>
                <w:color w:val="auto"/>
                <w:highlight w:val="none"/>
              </w:rPr>
            </w:pPr>
            <w:r>
              <w:rPr>
                <w:rFonts w:hint="eastAsia" w:ascii="宋体" w:hAnsi="宋体" w:cs="宋体"/>
                <w:color w:val="auto"/>
                <w:highlight w:val="none"/>
              </w:rPr>
              <w:t>未提供不得分</w:t>
            </w:r>
          </w:p>
        </w:tc>
      </w:tr>
      <w:tr w14:paraId="7DDFE1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9476" w:type="dxa"/>
            <w:gridSpan w:val="4"/>
            <w:tcBorders>
              <w:top w:val="single" w:color="auto" w:sz="4" w:space="0"/>
              <w:left w:val="single" w:color="auto" w:sz="4" w:space="0"/>
              <w:bottom w:val="single" w:color="auto" w:sz="4" w:space="0"/>
              <w:right w:val="single" w:color="auto" w:sz="4" w:space="0"/>
            </w:tcBorders>
            <w:vAlign w:val="center"/>
          </w:tcPr>
          <w:p w14:paraId="08BE0C05">
            <w:pPr>
              <w:jc w:val="center"/>
              <w:rPr>
                <w:rFonts w:hint="eastAsia" w:ascii="宋体" w:hAnsi="宋体" w:cs="宋体"/>
                <w:color w:val="auto"/>
                <w:highlight w:val="none"/>
              </w:rPr>
            </w:pPr>
            <w:r>
              <w:rPr>
                <w:rFonts w:hint="eastAsia" w:ascii="宋体" w:hAnsi="宋体" w:cs="Arial"/>
                <w:b/>
                <w:bCs/>
                <w:color w:val="auto"/>
                <w:sz w:val="21"/>
                <w:szCs w:val="21"/>
                <w:highlight w:val="none"/>
              </w:rPr>
              <w:t>注：技术标总页数不得超过600页，如超出则技术标总得分扣1分（由评标委员会决定具体扣分项）。</w:t>
            </w:r>
          </w:p>
        </w:tc>
      </w:tr>
    </w:tbl>
    <w:p w14:paraId="10E641FA">
      <w:pPr>
        <w:pStyle w:val="35"/>
        <w:adjustRightInd/>
        <w:ind w:firstLine="0" w:firstLineChars="0"/>
        <w:jc w:val="both"/>
        <w:rPr>
          <w:rFonts w:hint="eastAsia" w:ascii="宋体" w:hAnsi="宋体" w:cs="宋体"/>
          <w:b/>
          <w:color w:val="auto"/>
          <w:highlight w:val="none"/>
        </w:rPr>
      </w:pPr>
    </w:p>
    <w:p w14:paraId="6C7DD8D4">
      <w:pPr>
        <w:pStyle w:val="35"/>
        <w:adjustRightInd/>
        <w:ind w:firstLine="482"/>
        <w:jc w:val="both"/>
        <w:rPr>
          <w:rFonts w:ascii="Times New Roman" w:hAnsi="Times New Roman"/>
          <w:b/>
          <w:color w:val="auto"/>
          <w:highlight w:val="none"/>
        </w:rPr>
      </w:pPr>
      <w:r>
        <w:rPr>
          <w:rFonts w:hint="eastAsia" w:ascii="宋体" w:hAnsi="宋体" w:cs="宋体"/>
          <w:b/>
          <w:color w:val="auto"/>
          <w:highlight w:val="none"/>
        </w:rPr>
        <w:t>注：</w:t>
      </w:r>
      <w:r>
        <w:rPr>
          <w:rFonts w:hint="eastAsia" w:ascii="仿宋" w:hAnsi="仿宋" w:eastAsia="仿宋"/>
          <w:color w:val="auto"/>
          <w:sz w:val="28"/>
          <w:szCs w:val="28"/>
          <w:highlight w:val="none"/>
        </w:rPr>
        <w:t>1.</w:t>
      </w:r>
      <w:r>
        <w:rPr>
          <w:rFonts w:hint="eastAsia" w:ascii="宋体" w:hAnsi="宋体"/>
          <w:color w:val="auto"/>
          <w:highlight w:val="none"/>
        </w:rPr>
        <w:t>技术标评审通过的但技术标</w:t>
      </w:r>
      <w:r>
        <w:rPr>
          <w:rFonts w:hint="eastAsia" w:ascii="Times New Roman" w:hAnsi="Times New Roman"/>
          <w:b/>
          <w:color w:val="auto"/>
          <w:highlight w:val="none"/>
        </w:rPr>
        <w:t>缺项，该项得0分。2.</w:t>
      </w:r>
      <w:r>
        <w:rPr>
          <w:rFonts w:hint="eastAsia" w:ascii="仿宋" w:hAnsi="仿宋" w:eastAsia="仿宋"/>
          <w:color w:val="auto"/>
          <w:sz w:val="28"/>
          <w:szCs w:val="28"/>
          <w:highlight w:val="none"/>
        </w:rPr>
        <w:t>技术标评审一般不宜设置以施工图设计为评审因素。</w:t>
      </w:r>
    </w:p>
    <w:p w14:paraId="32F42205">
      <w:pPr>
        <w:pStyle w:val="36"/>
        <w:snapToGrid w:val="0"/>
        <w:ind w:left="562"/>
        <w:rPr>
          <w:rFonts w:hint="eastAsia" w:ascii="宋体" w:hAnsi="宋体" w:cs="宋体"/>
          <w:b/>
          <w:color w:val="auto"/>
          <w:highlight w:val="none"/>
        </w:rPr>
      </w:pPr>
      <w:r>
        <w:rPr>
          <w:rFonts w:hint="eastAsia" w:ascii="宋体" w:hAnsi="宋体" w:cs="宋体"/>
          <w:b/>
          <w:color w:val="auto"/>
          <w:highlight w:val="none"/>
        </w:rPr>
        <w:t>（三）资信标评审</w:t>
      </w:r>
      <w:r>
        <w:rPr>
          <w:rFonts w:hint="eastAsia" w:ascii="宋体" w:hAnsi="宋体" w:cs="宋体"/>
          <w:b/>
          <w:strike/>
          <w:color w:val="auto"/>
          <w:highlight w:val="none"/>
        </w:rPr>
        <w:t>（3-10分）</w:t>
      </w:r>
      <w:r>
        <w:rPr>
          <w:rFonts w:hint="eastAsia" w:ascii="宋体" w:hAnsi="宋体" w:cs="宋体"/>
          <w:b/>
          <w:color w:val="auto"/>
          <w:highlight w:val="none"/>
        </w:rPr>
        <w:t>（6分）</w:t>
      </w:r>
    </w:p>
    <w:p w14:paraId="5AC9EDF6">
      <w:pPr>
        <w:pStyle w:val="42"/>
        <w:spacing w:line="240" w:lineRule="auto"/>
        <w:ind w:firstLine="480"/>
        <w:rPr>
          <w:rFonts w:hint="eastAsia" w:ascii="宋体" w:hAnsi="宋体"/>
          <w:color w:val="auto"/>
          <w:szCs w:val="24"/>
          <w:highlight w:val="none"/>
        </w:rPr>
      </w:pPr>
      <w:r>
        <w:rPr>
          <w:rFonts w:hint="eastAsia" w:ascii="宋体" w:hAnsi="宋体"/>
          <w:color w:val="auto"/>
          <w:highlight w:val="none"/>
        </w:rPr>
        <w:t>评标委员会对通过初步评审、技术标评审的投标文件进行资信标评审。</w:t>
      </w:r>
      <w:r>
        <w:rPr>
          <w:rFonts w:hint="eastAsia" w:ascii="宋体" w:hAnsi="宋体"/>
          <w:color w:val="auto"/>
          <w:szCs w:val="24"/>
          <w:highlight w:val="none"/>
        </w:rPr>
        <w:t>（</w:t>
      </w:r>
      <w:r>
        <w:rPr>
          <w:rFonts w:hint="eastAsia" w:ascii="宋体" w:hAnsi="宋体"/>
          <w:color w:val="auto"/>
          <w:highlight w:val="none"/>
        </w:rPr>
        <w:t>资信标评分设置</w:t>
      </w:r>
      <w:r>
        <w:rPr>
          <w:rFonts w:hint="eastAsia" w:ascii="宋体" w:hAnsi="宋体"/>
          <w:color w:val="auto"/>
          <w:szCs w:val="24"/>
          <w:highlight w:val="none"/>
        </w:rPr>
        <w:t>具体内容和分值由招标人根据当地招投标主管部门相关规定确定，允许联合投标的</w:t>
      </w:r>
      <w:r>
        <w:rPr>
          <w:rFonts w:hint="eastAsia" w:ascii="宋体" w:hAnsi="宋体"/>
          <w:color w:val="auto"/>
          <w:highlight w:val="none"/>
        </w:rPr>
        <w:t>应当和联合体投标单位在项目中所承担的工作内容相对应</w:t>
      </w:r>
      <w:r>
        <w:rPr>
          <w:rFonts w:ascii="宋体" w:hAnsi="宋体"/>
          <w:color w:val="auto"/>
          <w:szCs w:val="24"/>
          <w:highlight w:val="none"/>
          <w:lang w:val="en"/>
        </w:rPr>
        <w:t>)</w:t>
      </w:r>
      <w:r>
        <w:rPr>
          <w:rFonts w:hint="eastAsia" w:ascii="宋体" w:hAnsi="宋体"/>
          <w:color w:val="auto"/>
          <w:szCs w:val="24"/>
          <w:highlight w:val="none"/>
        </w:rPr>
        <w:t>。</w:t>
      </w:r>
    </w:p>
    <w:p w14:paraId="0FBACF89">
      <w:pPr>
        <w:jc w:val="center"/>
        <w:rPr>
          <w:rFonts w:hint="eastAsia" w:ascii="宋体" w:hAnsi="宋体" w:cs="宋体"/>
          <w:b/>
          <w:color w:val="auto"/>
          <w:highlight w:val="none"/>
        </w:rPr>
      </w:pPr>
      <w:r>
        <w:rPr>
          <w:rFonts w:hint="eastAsia" w:ascii="宋体" w:hAnsi="宋体" w:cs="宋体"/>
          <w:b/>
          <w:color w:val="auto"/>
          <w:highlight w:val="none"/>
        </w:rPr>
        <w:t>资信评审因素表</w:t>
      </w:r>
    </w:p>
    <w:tbl>
      <w:tblPr>
        <w:tblStyle w:val="23"/>
        <w:tblW w:w="93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2"/>
        <w:gridCol w:w="5948"/>
        <w:gridCol w:w="1114"/>
      </w:tblGrid>
      <w:tr w14:paraId="7F160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2" w:type="dxa"/>
          </w:tcPr>
          <w:p w14:paraId="0CB87418">
            <w:pPr>
              <w:widowControl/>
              <w:jc w:val="center"/>
              <w:rPr>
                <w:rFonts w:hint="eastAsia" w:ascii="宋体" w:hAnsi="宋体"/>
                <w:b/>
                <w:color w:val="auto"/>
                <w:spacing w:val="-12"/>
                <w:highlight w:val="none"/>
              </w:rPr>
            </w:pPr>
            <w:r>
              <w:rPr>
                <w:rFonts w:hint="eastAsia" w:ascii="宋体" w:hAnsi="宋体"/>
                <w:b/>
                <w:color w:val="auto"/>
                <w:spacing w:val="-12"/>
                <w:highlight w:val="none"/>
              </w:rPr>
              <w:t>评审因素</w:t>
            </w:r>
          </w:p>
        </w:tc>
        <w:tc>
          <w:tcPr>
            <w:tcW w:w="5948" w:type="dxa"/>
          </w:tcPr>
          <w:p w14:paraId="1B4A6E79">
            <w:pPr>
              <w:widowControl/>
              <w:jc w:val="center"/>
              <w:rPr>
                <w:rFonts w:hint="eastAsia" w:ascii="宋体" w:hAnsi="宋体"/>
                <w:b/>
                <w:color w:val="auto"/>
                <w:spacing w:val="-12"/>
                <w:highlight w:val="none"/>
              </w:rPr>
            </w:pPr>
            <w:r>
              <w:rPr>
                <w:rFonts w:hint="eastAsia" w:ascii="宋体" w:hAnsi="宋体"/>
                <w:b/>
                <w:color w:val="auto"/>
                <w:spacing w:val="-12"/>
                <w:highlight w:val="none"/>
              </w:rPr>
              <w:t>内容</w:t>
            </w:r>
          </w:p>
        </w:tc>
        <w:tc>
          <w:tcPr>
            <w:tcW w:w="1114" w:type="dxa"/>
          </w:tcPr>
          <w:p w14:paraId="117CE2D0">
            <w:pPr>
              <w:widowControl/>
              <w:jc w:val="center"/>
              <w:rPr>
                <w:rFonts w:hint="eastAsia" w:ascii="宋体" w:hAnsi="宋体"/>
                <w:b/>
                <w:color w:val="auto"/>
                <w:spacing w:val="-12"/>
                <w:highlight w:val="none"/>
              </w:rPr>
            </w:pPr>
            <w:r>
              <w:rPr>
                <w:rFonts w:hint="eastAsia" w:ascii="宋体" w:hAnsi="宋体"/>
                <w:b/>
                <w:color w:val="auto"/>
                <w:spacing w:val="-12"/>
                <w:highlight w:val="none"/>
              </w:rPr>
              <w:t>分值</w:t>
            </w:r>
          </w:p>
        </w:tc>
      </w:tr>
      <w:tr w14:paraId="20BFA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242" w:type="dxa"/>
            <w:vAlign w:val="center"/>
          </w:tcPr>
          <w:p w14:paraId="0BA347EB">
            <w:pPr>
              <w:widowControl/>
              <w:jc w:val="center"/>
              <w:rPr>
                <w:rFonts w:hint="eastAsia" w:ascii="宋体" w:hAnsi="宋体"/>
                <w:color w:val="auto"/>
                <w:spacing w:val="-12"/>
                <w:highlight w:val="none"/>
              </w:rPr>
            </w:pPr>
            <w:bookmarkStart w:id="114" w:name="OLE_LINK35"/>
            <w:r>
              <w:rPr>
                <w:rFonts w:hint="eastAsia" w:ascii="宋体" w:hAnsi="宋体"/>
                <w:color w:val="auto"/>
                <w:spacing w:val="-12"/>
                <w:highlight w:val="none"/>
              </w:rPr>
              <w:t>类似工程业绩</w:t>
            </w:r>
            <w:bookmarkEnd w:id="114"/>
          </w:p>
        </w:tc>
        <w:tc>
          <w:tcPr>
            <w:tcW w:w="5948" w:type="dxa"/>
            <w:tcBorders>
              <w:bottom w:val="single" w:color="auto" w:sz="4" w:space="0"/>
            </w:tcBorders>
            <w:vAlign w:val="center"/>
          </w:tcPr>
          <w:p w14:paraId="120AAC1C">
            <w:pPr>
              <w:widowControl/>
              <w:spacing w:line="440" w:lineRule="exact"/>
              <w:rPr>
                <w:rFonts w:hint="eastAsia" w:ascii="宋体" w:hAnsi="宋体"/>
                <w:color w:val="auto"/>
                <w:spacing w:val="-12"/>
                <w:highlight w:val="none"/>
              </w:rPr>
            </w:pPr>
            <w:bookmarkStart w:id="115" w:name="OLE_LINK45"/>
            <w:r>
              <w:rPr>
                <w:rFonts w:hint="eastAsia" w:ascii="宋体" w:hAnsi="宋体"/>
                <w:color w:val="auto"/>
                <w:spacing w:val="-12"/>
                <w:highlight w:val="none"/>
              </w:rPr>
              <w:t>企业业绩：</w:t>
            </w:r>
          </w:p>
          <w:bookmarkEnd w:id="115"/>
          <w:p w14:paraId="3E796851">
            <w:pPr>
              <w:spacing w:line="440" w:lineRule="exact"/>
              <w:jc w:val="both"/>
              <w:rPr>
                <w:rFonts w:hint="eastAsia" w:ascii="宋体" w:hAnsi="宋体"/>
                <w:color w:val="auto"/>
                <w:highlight w:val="none"/>
              </w:rPr>
            </w:pPr>
            <w:r>
              <w:rPr>
                <w:rFonts w:hint="eastAsia" w:ascii="宋体" w:hAnsi="宋体"/>
                <w:color w:val="auto"/>
                <w:highlight w:val="none"/>
              </w:rPr>
              <w:t>自</w:t>
            </w:r>
            <w:r>
              <w:rPr>
                <w:rFonts w:hint="eastAsia" w:ascii="宋体" w:hAnsi="宋体"/>
                <w:color w:val="auto"/>
                <w:highlight w:val="none"/>
                <w:u w:val="single"/>
              </w:rPr>
              <w:t>2021</w:t>
            </w:r>
            <w:r>
              <w:rPr>
                <w:rFonts w:hint="eastAsia" w:ascii="宋体" w:hAnsi="宋体"/>
                <w:color w:val="auto"/>
                <w:highlight w:val="none"/>
              </w:rPr>
              <w:t>年</w:t>
            </w:r>
            <w:r>
              <w:rPr>
                <w:rFonts w:hint="eastAsia" w:ascii="宋体" w:hAnsi="宋体"/>
                <w:color w:val="auto"/>
                <w:highlight w:val="none"/>
                <w:u w:val="single"/>
              </w:rPr>
              <w:t>1</w:t>
            </w:r>
            <w:r>
              <w:rPr>
                <w:rFonts w:hint="eastAsia" w:ascii="宋体" w:hAnsi="宋体"/>
                <w:color w:val="auto"/>
                <w:highlight w:val="none"/>
              </w:rPr>
              <w:t>月</w:t>
            </w:r>
            <w:r>
              <w:rPr>
                <w:rFonts w:hint="eastAsia" w:ascii="宋体" w:hAnsi="宋体"/>
                <w:color w:val="auto"/>
                <w:highlight w:val="none"/>
                <w:u w:val="single"/>
              </w:rPr>
              <w:t>1</w:t>
            </w:r>
            <w:r>
              <w:rPr>
                <w:rFonts w:hint="eastAsia" w:ascii="宋体" w:hAnsi="宋体"/>
                <w:color w:val="auto"/>
                <w:highlight w:val="none"/>
              </w:rPr>
              <w:t>日以来完成过</w:t>
            </w:r>
            <w:r>
              <w:rPr>
                <w:rFonts w:hint="eastAsia" w:ascii="宋体" w:hAnsi="宋体"/>
                <w:color w:val="auto"/>
                <w:highlight w:val="none"/>
              </w:rPr>
              <w:t>单项洁净室等级6级（等同于洁净室千级）</w:t>
            </w:r>
            <w:r>
              <w:rPr>
                <w:rFonts w:hint="eastAsia" w:ascii="宋体" w:hAnsi="宋体"/>
                <w:color w:val="auto"/>
                <w:highlight w:val="none"/>
                <w:lang w:val="en-US" w:eastAsia="zh-CN"/>
              </w:rPr>
              <w:t>及</w:t>
            </w:r>
            <w:r>
              <w:rPr>
                <w:rFonts w:hint="eastAsia" w:ascii="宋体" w:hAnsi="宋体"/>
                <w:color w:val="auto"/>
                <w:highlight w:val="none"/>
              </w:rPr>
              <w:t>以上的装修业绩得</w:t>
            </w:r>
            <w:r>
              <w:rPr>
                <w:rFonts w:hint="eastAsia" w:ascii="宋体" w:hAnsi="宋体"/>
                <w:color w:val="auto"/>
                <w:highlight w:val="none"/>
                <w:lang w:val="en-US" w:eastAsia="zh-CN"/>
              </w:rPr>
              <w:t>1</w:t>
            </w:r>
            <w:r>
              <w:rPr>
                <w:rFonts w:hint="eastAsia" w:ascii="宋体" w:hAnsi="宋体"/>
                <w:color w:val="auto"/>
                <w:highlight w:val="none"/>
              </w:rPr>
              <w:t>分，本项目最多记取</w:t>
            </w:r>
            <w:r>
              <w:rPr>
                <w:rFonts w:hint="eastAsia" w:ascii="宋体" w:hAnsi="宋体"/>
                <w:color w:val="auto"/>
                <w:highlight w:val="none"/>
                <w:lang w:val="en-US" w:eastAsia="zh-CN"/>
              </w:rPr>
              <w:t>2</w:t>
            </w:r>
            <w:r>
              <w:rPr>
                <w:rFonts w:hint="eastAsia" w:ascii="宋体" w:hAnsi="宋体"/>
                <w:color w:val="auto"/>
                <w:highlight w:val="none"/>
              </w:rPr>
              <w:t>个业绩</w:t>
            </w:r>
            <w:r>
              <w:rPr>
                <w:rFonts w:hint="eastAsia" w:ascii="宋体" w:hAnsi="宋体"/>
                <w:color w:val="auto"/>
                <w:highlight w:val="none"/>
                <w:lang w:eastAsia="zh-CN"/>
              </w:rPr>
              <w:t>，</w:t>
            </w:r>
            <w:r>
              <w:rPr>
                <w:rFonts w:hint="eastAsia" w:ascii="宋体" w:hAnsi="宋体"/>
                <w:color w:val="auto"/>
                <w:highlight w:val="none"/>
                <w:lang w:val="en-US" w:eastAsia="zh-CN"/>
              </w:rPr>
              <w:t>最高得2分</w:t>
            </w:r>
            <w:r>
              <w:rPr>
                <w:rFonts w:hint="eastAsia" w:ascii="宋体" w:hAnsi="宋体"/>
                <w:color w:val="auto"/>
                <w:highlight w:val="none"/>
              </w:rPr>
              <w:t>；</w:t>
            </w:r>
          </w:p>
          <w:p w14:paraId="52A3C377">
            <w:pPr>
              <w:tabs>
                <w:tab w:val="left" w:pos="1343"/>
                <w:tab w:val="left" w:pos="2697"/>
                <w:tab w:val="left" w:pos="3264"/>
                <w:tab w:val="left" w:pos="4896"/>
                <w:tab w:val="left" w:pos="6005"/>
                <w:tab w:val="left" w:pos="7085"/>
                <w:tab w:val="left" w:pos="7498"/>
              </w:tabs>
              <w:kinsoku w:val="0"/>
              <w:snapToGrid w:val="0"/>
              <w:spacing w:line="360" w:lineRule="auto"/>
              <w:rPr>
                <w:rFonts w:hint="eastAsia" w:ascii="宋体" w:hAnsi="宋体" w:cs="宋体"/>
                <w:color w:val="auto"/>
                <w:highlight w:val="none"/>
              </w:rPr>
            </w:pPr>
            <w:r>
              <w:rPr>
                <w:rFonts w:hint="eastAsia" w:ascii="宋体" w:hAnsi="宋体"/>
                <w:color w:val="auto"/>
                <w:highlight w:val="none"/>
              </w:rPr>
              <w:t>【</w:t>
            </w:r>
            <w:r>
              <w:rPr>
                <w:rFonts w:hint="eastAsia" w:ascii="宋体" w:hAnsi="宋体" w:cs="宋体"/>
                <w:color w:val="auto"/>
                <w:highlight w:val="none"/>
              </w:rPr>
              <w:t>注：（1）时间以竣工验收证明上的时间为准；投标人须以实际施工人身份完成工程业绩。</w:t>
            </w:r>
          </w:p>
          <w:p w14:paraId="6F8E967A">
            <w:pPr>
              <w:tabs>
                <w:tab w:val="left" w:pos="1343"/>
                <w:tab w:val="left" w:pos="2697"/>
                <w:tab w:val="left" w:pos="3264"/>
                <w:tab w:val="left" w:pos="4896"/>
                <w:tab w:val="left" w:pos="6005"/>
                <w:tab w:val="left" w:pos="7085"/>
                <w:tab w:val="left" w:pos="7498"/>
              </w:tabs>
              <w:kinsoku w:val="0"/>
              <w:snapToGrid w:val="0"/>
              <w:spacing w:line="360" w:lineRule="auto"/>
              <w:rPr>
                <w:rFonts w:hint="eastAsia" w:ascii="宋体" w:hAnsi="宋体" w:cs="宋体"/>
                <w:color w:val="auto"/>
                <w:highlight w:val="none"/>
              </w:rPr>
            </w:pPr>
            <w:r>
              <w:rPr>
                <w:rFonts w:hint="eastAsia" w:ascii="宋体" w:hAnsi="宋体" w:cs="宋体"/>
                <w:color w:val="auto"/>
                <w:highlight w:val="none"/>
              </w:rPr>
              <w:t>（2）投标人（联合体投标的，则指联合体牵头人）业绩证明材料:</w:t>
            </w:r>
          </w:p>
          <w:p w14:paraId="4C2FB5E3">
            <w:pPr>
              <w:tabs>
                <w:tab w:val="left" w:pos="1343"/>
                <w:tab w:val="left" w:pos="2697"/>
                <w:tab w:val="left" w:pos="3264"/>
                <w:tab w:val="left" w:pos="4896"/>
                <w:tab w:val="left" w:pos="6005"/>
                <w:tab w:val="left" w:pos="7085"/>
                <w:tab w:val="left" w:pos="7498"/>
              </w:tabs>
              <w:kinsoku w:val="0"/>
              <w:snapToGrid w:val="0"/>
              <w:spacing w:line="360" w:lineRule="auto"/>
              <w:rPr>
                <w:rFonts w:hint="eastAsia" w:ascii="宋体" w:hAnsi="宋体" w:cs="宋体"/>
                <w:color w:val="auto"/>
                <w:highlight w:val="none"/>
              </w:rPr>
            </w:pPr>
            <w:r>
              <w:rPr>
                <w:rFonts w:hint="eastAsia" w:ascii="宋体" w:hAnsi="宋体" w:cs="宋体"/>
                <w:color w:val="auto"/>
                <w:highlight w:val="none"/>
              </w:rPr>
              <w:t>①须同时提供合同、竣工验收证明【证明材料包括：竣工验收证书或竣工验收报告或竣工验收备案表】的复印件并加盖投标人公章，若缺其中任何一项则该业绩不予认可；</w:t>
            </w:r>
          </w:p>
          <w:p w14:paraId="5D61B123">
            <w:pPr>
              <w:spacing w:line="440" w:lineRule="exact"/>
              <w:jc w:val="both"/>
              <w:rPr>
                <w:rFonts w:hint="eastAsia" w:ascii="宋体" w:hAnsi="宋体"/>
                <w:color w:val="auto"/>
                <w:spacing w:val="-12"/>
                <w:highlight w:val="none"/>
              </w:rPr>
            </w:pPr>
            <w:r>
              <w:rPr>
                <w:rFonts w:hint="eastAsia" w:ascii="宋体" w:hAnsi="宋体" w:cs="宋体"/>
                <w:color w:val="auto"/>
                <w:highlight w:val="none"/>
              </w:rPr>
              <w:t>②</w:t>
            </w:r>
            <w:r>
              <w:rPr>
                <w:rFonts w:hint="eastAsia" w:ascii="宋体" w:hAnsi="宋体"/>
                <w:color w:val="auto"/>
                <w:highlight w:val="none"/>
              </w:rPr>
              <w:t>如上述证明资料所能承载的证明内容不能完全体现业绩要求的具体表述，需提供其他相关的竣工验收资料或业主证明（加盖业主公章）或项目所在地行业主管部门出具的证明材料并加盖公章。其他相关的竣工验收资料，仅指竣工验收阶段及之后签署的工程资料（如竣工图等）。如出现载明信息不一致时，以时间在后的资料为准。上述业绩证明材料所能承载的证明内容应符合业绩要求的具体表述，否则不予认可。</w:t>
            </w:r>
          </w:p>
        </w:tc>
        <w:tc>
          <w:tcPr>
            <w:tcW w:w="1114" w:type="dxa"/>
            <w:vAlign w:val="center"/>
          </w:tcPr>
          <w:p w14:paraId="07D5663B">
            <w:pPr>
              <w:widowControl/>
              <w:jc w:val="center"/>
              <w:rPr>
                <w:rFonts w:hint="eastAsia" w:ascii="宋体" w:hAnsi="宋体"/>
                <w:color w:val="auto"/>
                <w:spacing w:val="-12"/>
                <w:highlight w:val="none"/>
              </w:rPr>
            </w:pPr>
            <w:r>
              <w:rPr>
                <w:rFonts w:hint="eastAsia" w:ascii="宋体" w:hAnsi="宋体"/>
                <w:color w:val="auto"/>
                <w:spacing w:val="-12"/>
                <w:highlight w:val="none"/>
              </w:rPr>
              <w:t>2分</w:t>
            </w:r>
          </w:p>
        </w:tc>
      </w:tr>
      <w:tr w14:paraId="24C6D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2242" w:type="dxa"/>
            <w:vAlign w:val="center"/>
          </w:tcPr>
          <w:p w14:paraId="73C6D861">
            <w:pPr>
              <w:widowControl/>
              <w:jc w:val="center"/>
              <w:rPr>
                <w:rFonts w:hint="eastAsia" w:ascii="宋体" w:hAnsi="宋体"/>
                <w:color w:val="auto"/>
                <w:spacing w:val="-12"/>
                <w:highlight w:val="none"/>
              </w:rPr>
            </w:pPr>
            <w:r>
              <w:rPr>
                <w:rFonts w:hint="eastAsia" w:ascii="宋体" w:hAnsi="宋体"/>
                <w:color w:val="auto"/>
                <w:spacing w:val="-12"/>
                <w:highlight w:val="none"/>
              </w:rPr>
              <w:t>项目负责人及项目管理班子人员能力</w:t>
            </w:r>
          </w:p>
        </w:tc>
        <w:tc>
          <w:tcPr>
            <w:tcW w:w="5948" w:type="dxa"/>
            <w:vAlign w:val="center"/>
          </w:tcPr>
          <w:p w14:paraId="2E67F933">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1、项目负责人：</w:t>
            </w:r>
            <w:r>
              <w:rPr>
                <w:rFonts w:hint="eastAsia" w:ascii="宋体" w:hAnsi="宋体"/>
                <w:color w:val="auto"/>
                <w:spacing w:val="-12"/>
                <w:highlight w:val="none"/>
              </w:rPr>
              <w:t>同时具有</w:t>
            </w:r>
            <w:r>
              <w:rPr>
                <w:rFonts w:hint="eastAsia" w:ascii="宋体" w:hAnsi="宋体"/>
                <w:color w:val="auto"/>
                <w:spacing w:val="-12"/>
                <w:highlight w:val="none"/>
              </w:rPr>
              <w:t>高级职称及以上的得0.3分。</w:t>
            </w:r>
          </w:p>
          <w:p w14:paraId="65CFEC05">
            <w:pPr>
              <w:widowControl/>
              <w:spacing w:line="440" w:lineRule="exact"/>
              <w:rPr>
                <w:rFonts w:hint="eastAsia" w:ascii="宋体" w:hAnsi="宋体"/>
                <w:color w:val="auto"/>
                <w:spacing w:val="-12"/>
                <w:highlight w:val="none"/>
              </w:rPr>
            </w:pPr>
            <w:r>
              <w:rPr>
                <w:color w:val="auto"/>
                <w:highlight w:val="none"/>
              </w:rPr>
              <w:t>2、</w:t>
            </w:r>
            <w:r>
              <w:rPr>
                <w:rFonts w:hint="eastAsia" w:ascii="宋体" w:hAnsi="宋体"/>
                <w:color w:val="auto"/>
                <w:spacing w:val="-12"/>
                <w:highlight w:val="none"/>
              </w:rPr>
              <w:t>设计负责人：同时具有高级职称及以上的得0.2分；</w:t>
            </w:r>
          </w:p>
          <w:p w14:paraId="749E7B7E">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3、施工负责人：</w:t>
            </w:r>
            <w:r>
              <w:rPr>
                <w:rFonts w:hint="eastAsia" w:ascii="宋体" w:hAnsi="宋体"/>
                <w:color w:val="auto"/>
                <w:spacing w:val="-12"/>
                <w:highlight w:val="none"/>
              </w:rPr>
              <w:t>同时具有</w:t>
            </w:r>
            <w:r>
              <w:rPr>
                <w:rFonts w:hint="eastAsia" w:ascii="宋体" w:hAnsi="宋体"/>
                <w:color w:val="auto"/>
                <w:spacing w:val="-12"/>
                <w:highlight w:val="none"/>
              </w:rPr>
              <w:t>高级职称及以上的再得0.2分；</w:t>
            </w:r>
          </w:p>
          <w:p w14:paraId="7EF47E64">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2、设计团队（0.5分）：</w:t>
            </w:r>
          </w:p>
          <w:p w14:paraId="04A1B8A5">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（1）建筑专业负责人：</w:t>
            </w:r>
            <w:r>
              <w:rPr>
                <w:rFonts w:hint="eastAsia" w:ascii="宋体" w:hAnsi="宋体"/>
                <w:color w:val="auto"/>
                <w:spacing w:val="-12"/>
                <w:highlight w:val="none"/>
              </w:rPr>
              <w:t>具有一级注册建筑师资格得0.05分，同时具有高级职称及以上的再得0.05分；</w:t>
            </w:r>
          </w:p>
          <w:p w14:paraId="4B353E39">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（2）结构专业负责人：具有一级注册结构工程师资格</w:t>
            </w:r>
            <w:r>
              <w:rPr>
                <w:rFonts w:hint="eastAsia" w:ascii="宋体" w:hAnsi="宋体"/>
                <w:color w:val="auto"/>
                <w:spacing w:val="-12"/>
                <w:highlight w:val="none"/>
              </w:rPr>
              <w:t>得0.05分，同时具有</w:t>
            </w:r>
            <w:r>
              <w:rPr>
                <w:rFonts w:hint="eastAsia" w:ascii="宋体" w:hAnsi="宋体"/>
                <w:color w:val="auto"/>
                <w:spacing w:val="-12"/>
                <w:highlight w:val="none"/>
              </w:rPr>
              <w:t>高级职称及以上的再得0.05分；</w:t>
            </w:r>
          </w:p>
          <w:p w14:paraId="54A0F7F5">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（3）给排水专业负责人：具有注册公用设备工程师（给水排水）资格</w:t>
            </w:r>
            <w:r>
              <w:rPr>
                <w:rFonts w:hint="eastAsia" w:ascii="宋体" w:hAnsi="宋体"/>
                <w:color w:val="auto"/>
                <w:spacing w:val="-12"/>
                <w:highlight w:val="none"/>
              </w:rPr>
              <w:t>得0.05分，同时具有</w:t>
            </w:r>
            <w:r>
              <w:rPr>
                <w:rFonts w:hint="eastAsia" w:ascii="宋体" w:hAnsi="宋体"/>
                <w:color w:val="auto"/>
                <w:spacing w:val="-12"/>
                <w:highlight w:val="none"/>
              </w:rPr>
              <w:t>高级职称及以上的再得0.05分；</w:t>
            </w:r>
          </w:p>
          <w:p w14:paraId="3E555762">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（4）电气专业负责人：具有注册电气工程师（供配电）资格</w:t>
            </w:r>
            <w:r>
              <w:rPr>
                <w:rFonts w:hint="eastAsia" w:ascii="宋体" w:hAnsi="宋体"/>
                <w:color w:val="auto"/>
                <w:spacing w:val="-12"/>
                <w:highlight w:val="none"/>
              </w:rPr>
              <w:t>得0.05分，同时具有</w:t>
            </w:r>
            <w:r>
              <w:rPr>
                <w:rFonts w:hint="eastAsia" w:ascii="宋体" w:hAnsi="宋体"/>
                <w:color w:val="auto"/>
                <w:spacing w:val="-12"/>
                <w:highlight w:val="none"/>
              </w:rPr>
              <w:t>高级职称及以上的再得</w:t>
            </w:r>
            <w:r>
              <w:rPr>
                <w:rFonts w:hint="eastAsia" w:ascii="宋体" w:hAnsi="宋体"/>
                <w:color w:val="auto"/>
                <w:spacing w:val="-12"/>
                <w:highlight w:val="none"/>
              </w:rPr>
              <w:t>0.05分；</w:t>
            </w:r>
          </w:p>
          <w:p w14:paraId="6B061B39">
            <w:pPr>
              <w:widowControl/>
              <w:spacing w:line="440" w:lineRule="exact"/>
              <w:rPr>
                <w:color w:val="auto"/>
                <w:highlight w:val="none"/>
              </w:rPr>
            </w:pPr>
            <w:r>
              <w:rPr>
                <w:rFonts w:hint="eastAsia" w:ascii="宋体" w:hAnsi="宋体"/>
                <w:color w:val="auto"/>
                <w:spacing w:val="-12"/>
                <w:highlight w:val="none"/>
              </w:rPr>
              <w:t>（5）暖通专业负责人：具有注册公用设备工程师（暖通空调）资格</w:t>
            </w:r>
            <w:r>
              <w:rPr>
                <w:rFonts w:hint="eastAsia" w:ascii="宋体" w:hAnsi="宋体"/>
                <w:color w:val="auto"/>
                <w:spacing w:val="-12"/>
                <w:highlight w:val="none"/>
              </w:rPr>
              <w:t>得0.05分，同时具有</w:t>
            </w:r>
            <w:r>
              <w:rPr>
                <w:rFonts w:hint="eastAsia" w:ascii="宋体" w:hAnsi="宋体"/>
                <w:color w:val="auto"/>
                <w:spacing w:val="-12"/>
                <w:highlight w:val="none"/>
              </w:rPr>
              <w:t>高级职称及以上的再得</w:t>
            </w:r>
            <w:r>
              <w:rPr>
                <w:rFonts w:hint="eastAsia" w:ascii="宋体" w:hAnsi="宋体"/>
                <w:color w:val="auto"/>
                <w:spacing w:val="-12"/>
                <w:highlight w:val="none"/>
              </w:rPr>
              <w:t>0.05分；</w:t>
            </w:r>
            <w:r>
              <w:rPr>
                <w:rFonts w:hint="eastAsia" w:ascii="宋体" w:hAnsi="宋体"/>
                <w:color w:val="auto"/>
                <w:spacing w:val="-12"/>
                <w:highlight w:val="none"/>
              </w:rPr>
              <w:t xml:space="preserve"> </w:t>
            </w:r>
          </w:p>
          <w:p w14:paraId="644F44A1">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3、施工团队：（0.8分）</w:t>
            </w:r>
          </w:p>
          <w:p w14:paraId="5008B61F">
            <w:pPr>
              <w:pStyle w:val="11"/>
              <w:spacing w:line="440" w:lineRule="exact"/>
              <w:ind w:left="0" w:leftChars="0"/>
              <w:rPr>
                <w:color w:val="auto"/>
                <w:highlight w:val="none"/>
              </w:rPr>
            </w:pPr>
            <w:r>
              <w:rPr>
                <w:rFonts w:hint="eastAsia"/>
                <w:color w:val="auto"/>
                <w:highlight w:val="none"/>
              </w:rPr>
              <w:t>其他项目管理人员（技术负责人、施工员、质量员、材料员、资料员、安全员）中具有高级工程师及以上职称的，每个得0.2分。同时具有按最高项计分，此项最高得0.8分。</w:t>
            </w:r>
          </w:p>
          <w:p w14:paraId="793F90BC">
            <w:pPr>
              <w:pStyle w:val="6"/>
              <w:spacing w:line="440" w:lineRule="exact"/>
              <w:ind w:firstLine="0" w:firstLineChars="0"/>
              <w:rPr>
                <w:color w:val="auto"/>
                <w:highlight w:val="none"/>
              </w:rPr>
            </w:pPr>
            <w:r>
              <w:rPr>
                <w:rFonts w:hint="eastAsia" w:ascii="宋体" w:hAnsi="宋体" w:cs="宋体"/>
                <w:b/>
                <w:bCs/>
                <w:color w:val="auto"/>
                <w:szCs w:val="21"/>
                <w:highlight w:val="none"/>
              </w:rPr>
              <w:t>【注：投标文件中装订职称证书、注册证书、社保证明复印件，并加盖投标人公章。①上述人员不得互兼，若有互兼人员不重复计分。②上述人员需提供2025年10月至2025年12月的投标人所属社保机构养老保险交纳清单或证明为准【缴费单位和投标人名称必须一致，并加盖社保缴费证明专用章或电子专用章（非独立法人的分公司社保证明有效）】；拟派人员为事业编制的，需提供相关单位证明文件】。③若拟派人员为一级注册建筑师的，需提供电子注册证书，并应符合《全国注册建筑师管理委员会关于开展使用一级注册建筑师电子注册证书工作的通知》（注建【2021】2号）文，须在个人签名处手写本人签名，未手写签名的，则不予给分。】</w:t>
            </w:r>
          </w:p>
        </w:tc>
        <w:tc>
          <w:tcPr>
            <w:tcW w:w="1114" w:type="dxa"/>
            <w:vAlign w:val="center"/>
          </w:tcPr>
          <w:p w14:paraId="16A07575">
            <w:pPr>
              <w:widowControl/>
              <w:rPr>
                <w:rFonts w:hint="eastAsia" w:ascii="宋体" w:hAnsi="宋体"/>
                <w:color w:val="auto"/>
                <w:spacing w:val="-12"/>
                <w:highlight w:val="none"/>
              </w:rPr>
            </w:pPr>
            <w:r>
              <w:rPr>
                <w:rFonts w:hint="eastAsia" w:ascii="宋体" w:hAnsi="宋体"/>
                <w:color w:val="auto"/>
                <w:spacing w:val="-12"/>
                <w:highlight w:val="none"/>
              </w:rPr>
              <w:t>2分</w:t>
            </w:r>
          </w:p>
        </w:tc>
      </w:tr>
      <w:tr w14:paraId="7A98E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2242" w:type="dxa"/>
            <w:vAlign w:val="center"/>
          </w:tcPr>
          <w:p w14:paraId="7B68CB85">
            <w:pPr>
              <w:widowControl/>
              <w:jc w:val="center"/>
              <w:rPr>
                <w:rFonts w:hint="eastAsia" w:ascii="宋体" w:hAnsi="宋体"/>
                <w:color w:val="auto"/>
                <w:spacing w:val="-12"/>
                <w:highlight w:val="none"/>
              </w:rPr>
            </w:pPr>
            <w:r>
              <w:rPr>
                <w:rFonts w:hint="eastAsia" w:ascii="宋体" w:hAnsi="宋体" w:cs="宋体"/>
                <w:color w:val="auto"/>
                <w:spacing w:val="-12"/>
                <w:highlight w:val="none"/>
              </w:rPr>
              <w:t>企业综合实力</w:t>
            </w:r>
          </w:p>
        </w:tc>
        <w:tc>
          <w:tcPr>
            <w:tcW w:w="5948" w:type="dxa"/>
            <w:vAlign w:val="center"/>
          </w:tcPr>
          <w:p w14:paraId="7E54A0ED">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投标人（若联合体投标的，则指承担施工工作的联合体成员）自2021年1月1日以来，获得过省级及以上奖项的(如钱江杯、鲁班奖、国家优质工程奖)，得1分；获得过地市级奖项的(类似兰花杯)，每个得0.5分。最多计取两个奖项，最高得1分（以上获奖工程中，投标人须为承建单位，参建单位的不予认可）。</w:t>
            </w:r>
          </w:p>
          <w:p w14:paraId="0FAEAECB">
            <w:pPr>
              <w:widowControl/>
              <w:spacing w:line="440" w:lineRule="exact"/>
              <w:rPr>
                <w:rFonts w:hint="eastAsia" w:ascii="宋体" w:hAnsi="宋体"/>
                <w:color w:val="auto"/>
                <w:spacing w:val="-12"/>
                <w:highlight w:val="none"/>
              </w:rPr>
            </w:pPr>
          </w:p>
          <w:p w14:paraId="3B745D9D">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投标人（若联合体投标的，则指承担设计工作的联合体成员）</w:t>
            </w:r>
          </w:p>
          <w:p w14:paraId="7A382EE4">
            <w:pPr>
              <w:widowControl/>
              <w:spacing w:line="440" w:lineRule="exact"/>
              <w:rPr>
                <w:rFonts w:hint="eastAsia" w:ascii="宋体" w:hAnsi="宋体"/>
                <w:color w:val="auto"/>
                <w:spacing w:val="-12"/>
                <w:highlight w:val="none"/>
              </w:rPr>
            </w:pPr>
            <w:r>
              <w:rPr>
                <w:rFonts w:hint="eastAsia" w:ascii="宋体" w:hAnsi="宋体"/>
                <w:color w:val="auto"/>
                <w:spacing w:val="-12"/>
                <w:highlight w:val="none"/>
              </w:rPr>
              <w:t>自2020年1月1日以来，完成的房屋建筑项目：获得过省级及以上勘察设计协会颁发的奖项，每个得1分；获得过地市级勘察设计协会颁发的奖项，每个得0.5分。最多计取两个奖项，最高得1分。</w:t>
            </w:r>
          </w:p>
          <w:p w14:paraId="586BDF61">
            <w:pPr>
              <w:widowControl/>
              <w:spacing w:line="440" w:lineRule="exact"/>
              <w:rPr>
                <w:rFonts w:hint="eastAsia" w:ascii="宋体" w:hAnsi="宋体" w:cs="宋体"/>
                <w:b/>
                <w:bCs/>
                <w:color w:val="auto"/>
                <w:szCs w:val="21"/>
                <w:highlight w:val="none"/>
              </w:rPr>
            </w:pPr>
            <w:r>
              <w:rPr>
                <w:rFonts w:hint="eastAsia" w:ascii="宋体" w:hAnsi="宋体"/>
                <w:color w:val="auto"/>
                <w:spacing w:val="-12"/>
                <w:highlight w:val="none"/>
              </w:rPr>
              <w:t>注：①投标文件中需提供合同、获奖证书（或文件）等清晰可辨的复印件或扫描件并加盖投标单位公章；②获奖时间以获奖证书（或文件）时间为依据；③同一项目奖项不重复计分，按最高奖项计取一次。</w:t>
            </w:r>
          </w:p>
        </w:tc>
        <w:tc>
          <w:tcPr>
            <w:tcW w:w="1114" w:type="dxa"/>
            <w:vAlign w:val="center"/>
          </w:tcPr>
          <w:p w14:paraId="3D658480">
            <w:pPr>
              <w:widowControl/>
              <w:rPr>
                <w:rFonts w:hint="eastAsia" w:ascii="宋体" w:hAnsi="宋体"/>
                <w:color w:val="auto"/>
                <w:spacing w:val="-12"/>
                <w:highlight w:val="none"/>
              </w:rPr>
            </w:pPr>
            <w:r>
              <w:rPr>
                <w:rFonts w:hint="eastAsia" w:ascii="宋体" w:hAnsi="宋体"/>
                <w:color w:val="auto"/>
                <w:spacing w:val="-12"/>
                <w:highlight w:val="none"/>
              </w:rPr>
              <w:t>2分</w:t>
            </w:r>
          </w:p>
        </w:tc>
      </w:tr>
    </w:tbl>
    <w:p w14:paraId="5766662F">
      <w:pPr>
        <w:pStyle w:val="36"/>
        <w:snapToGrid w:val="0"/>
        <w:ind w:left="562"/>
        <w:rPr>
          <w:rFonts w:hint="eastAsia" w:ascii="宋体" w:hAnsi="宋体" w:cs="宋体"/>
          <w:b/>
          <w:color w:val="auto"/>
          <w:highlight w:val="none"/>
        </w:rPr>
      </w:pPr>
      <w:r>
        <w:rPr>
          <w:rFonts w:hint="eastAsia" w:ascii="宋体" w:hAnsi="宋体" w:cs="宋体"/>
          <w:b/>
          <w:color w:val="auto"/>
          <w:highlight w:val="none"/>
        </w:rPr>
        <w:t>（四）商务标评审</w:t>
      </w:r>
    </w:p>
    <w:p w14:paraId="0E6B0C64">
      <w:pPr>
        <w:rPr>
          <w:rFonts w:hint="eastAsia" w:ascii="宋体" w:hAnsi="宋体" w:cs="宋体"/>
          <w:color w:val="auto"/>
          <w:highlight w:val="none"/>
        </w:rPr>
      </w:pPr>
      <w:r>
        <w:rPr>
          <w:rFonts w:hint="eastAsia" w:ascii="宋体" w:hAnsi="宋体" w:cs="宋体"/>
          <w:color w:val="auto"/>
          <w:highlight w:val="none"/>
        </w:rPr>
        <w:t xml:space="preserve">    1、商务标评审是对投标文件中项目清单的范围、数量、报价进行全面审核和对比分析。投标文件存在投标人须知前附表10.1情形商务性内容之一的，评标委员会组织投标人询问核实后，情况属实的，商务标评审不予通过，否决其投标，不再进入后续评审程序。</w:t>
      </w:r>
    </w:p>
    <w:p w14:paraId="3BC720B6">
      <w:pPr>
        <w:ind w:firstLine="570"/>
        <w:rPr>
          <w:rFonts w:hint="eastAsia" w:ascii="宋体" w:hAnsi="宋体" w:cs="宋体"/>
          <w:color w:val="auto"/>
          <w:highlight w:val="none"/>
        </w:rPr>
      </w:pPr>
      <w:r>
        <w:rPr>
          <w:rFonts w:hint="eastAsia" w:ascii="宋体" w:hAnsi="宋体" w:cs="宋体"/>
          <w:color w:val="auto"/>
          <w:highlight w:val="none"/>
        </w:rPr>
        <w:t>2、商务标评分（☑≥60分，</w:t>
      </w:r>
      <w:r>
        <w:rPr>
          <w:rFonts w:hint="eastAsia" w:ascii="宋体" w:hAnsi="宋体" w:cs="宋体"/>
          <w:bCs/>
          <w:color w:val="auto"/>
          <w:highlight w:val="none"/>
        </w:rPr>
        <w:t>适用于技术复杂项目；</w:t>
      </w:r>
      <w:r>
        <w:rPr>
          <w:rFonts w:hint="eastAsia" w:ascii="宋体" w:hAnsi="宋体" w:cs="宋体"/>
          <w:color w:val="auto"/>
          <w:highlight w:val="none"/>
        </w:rPr>
        <w:t>□≥70分，</w:t>
      </w:r>
      <w:r>
        <w:rPr>
          <w:rFonts w:hint="eastAsia" w:ascii="宋体" w:hAnsi="宋体" w:cs="宋体"/>
          <w:bCs/>
          <w:color w:val="auto"/>
          <w:highlight w:val="none"/>
        </w:rPr>
        <w:t>适</w:t>
      </w:r>
      <w:r>
        <w:rPr>
          <w:rFonts w:hint="eastAsia" w:ascii="宋体" w:hAnsi="宋体" w:cs="宋体"/>
          <w:bCs/>
          <w:color w:val="auto"/>
          <w:highlight w:val="none"/>
        </w:rPr>
        <w:t>用于非技术复杂项目）</w:t>
      </w:r>
      <w:r>
        <w:rPr>
          <w:rFonts w:hint="eastAsia" w:ascii="宋体" w:hAnsi="宋体"/>
          <w:b/>
          <w:bCs/>
          <w:color w:val="auto"/>
          <w:highlight w:val="none"/>
        </w:rPr>
        <w:t>（评标基准价计算采用方法一、方法三、方法五，供招标人在开标现场随机确定其中一种；具体内容详见招标文件附件）</w:t>
      </w:r>
    </w:p>
    <w:p w14:paraId="613EAB6D">
      <w:pPr>
        <w:snapToGrid w:val="0"/>
        <w:ind w:left="240" w:leftChars="100" w:firstLine="240" w:firstLineChars="100"/>
        <w:rPr>
          <w:rFonts w:hint="eastAsia" w:ascii="宋体" w:hAnsi="宋体" w:cs="宋体"/>
          <w:color w:val="auto"/>
          <w:highlight w:val="none"/>
        </w:rPr>
      </w:pPr>
      <w:r>
        <w:rPr>
          <w:rFonts w:hint="eastAsia" w:ascii="宋体" w:hAnsi="宋体" w:cs="宋体"/>
          <w:color w:val="auto"/>
          <w:highlight w:val="none"/>
        </w:rPr>
        <w:t>投标报价等于评标基准价时，商务评分为满分；投标报价每高于评标基准价1%扣</w:t>
      </w:r>
      <w:r>
        <w:rPr>
          <w:rFonts w:hint="eastAsia" w:ascii="宋体" w:hAnsi="宋体" w:cs="宋体"/>
          <w:color w:val="auto"/>
          <w:highlight w:val="none"/>
          <w:u w:val="single"/>
        </w:rPr>
        <w:t xml:space="preserve"> 2C</w:t>
      </w:r>
      <w:r>
        <w:rPr>
          <w:rFonts w:hint="eastAsia" w:ascii="宋体" w:hAnsi="宋体" w:cs="宋体"/>
          <w:color w:val="auto"/>
          <w:highlight w:val="none"/>
        </w:rPr>
        <w:t>分；每低于评标基准价1%扣</w:t>
      </w:r>
      <w:r>
        <w:rPr>
          <w:rFonts w:hint="eastAsia" w:ascii="宋体" w:hAnsi="宋体" w:cs="宋体"/>
          <w:color w:val="auto"/>
          <w:highlight w:val="none"/>
          <w:u w:val="single"/>
        </w:rPr>
        <w:t xml:space="preserve"> C </w:t>
      </w:r>
      <w:r>
        <w:rPr>
          <w:rFonts w:hint="eastAsia" w:ascii="宋体" w:hAnsi="宋体" w:cs="宋体"/>
          <w:color w:val="auto"/>
          <w:highlight w:val="none"/>
        </w:rPr>
        <w:t>分。不足一个百分点时，使用直线插入法计算，结果四舍五入保留两位小数。（C值分别为1.0、1.5和2.0，现场抽取。）</w:t>
      </w:r>
    </w:p>
    <w:p w14:paraId="3C434F1D">
      <w:pPr>
        <w:snapToGrid w:val="0"/>
        <w:ind w:left="240" w:leftChars="100" w:firstLine="240" w:firstLineChars="100"/>
        <w:rPr>
          <w:rFonts w:hint="eastAsia" w:ascii="宋体" w:hAnsi="宋体" w:cs="宋体"/>
          <w:color w:val="auto"/>
          <w:highlight w:val="none"/>
        </w:rPr>
      </w:pPr>
      <w:r>
        <w:rPr>
          <w:rFonts w:hint="eastAsia" w:ascii="宋体" w:hAnsi="宋体" w:cs="宋体"/>
          <w:color w:val="auto"/>
          <w:highlight w:val="none"/>
        </w:rPr>
        <w:t>1).抽取权重系数、浮动系数。（若有）</w:t>
      </w:r>
    </w:p>
    <w:p w14:paraId="7D3ECF31">
      <w:pPr>
        <w:snapToGrid w:val="0"/>
        <w:ind w:left="240" w:leftChars="100" w:firstLine="240" w:firstLineChars="100"/>
        <w:rPr>
          <w:rFonts w:hint="eastAsia" w:ascii="宋体" w:hAnsi="宋体"/>
          <w:color w:val="auto"/>
          <w:highlight w:val="none"/>
        </w:rPr>
      </w:pPr>
      <w:r>
        <w:rPr>
          <w:rFonts w:hint="eastAsia" w:ascii="宋体" w:hAnsi="宋体" w:cs="宋体"/>
          <w:color w:val="auto"/>
          <w:highlight w:val="none"/>
        </w:rPr>
        <w:t>2).</w:t>
      </w:r>
      <w:r>
        <w:rPr>
          <w:rFonts w:hint="eastAsia" w:ascii="宋体" w:hAnsi="宋体"/>
          <w:color w:val="auto"/>
          <w:highlight w:val="none"/>
        </w:rPr>
        <w:t>评标基准价（评标基准价计算范围为通过资格审查的投标人投标报价，</w:t>
      </w:r>
      <w:r>
        <w:rPr>
          <w:rFonts w:hint="eastAsia" w:ascii="宋体" w:hAnsi="宋体"/>
          <w:strike/>
          <w:color w:val="auto"/>
          <w:highlight w:val="none"/>
        </w:rPr>
        <w:t>且企业信用评价等级不低于</w:t>
      </w:r>
      <w:r>
        <w:rPr>
          <w:rFonts w:hint="eastAsia" w:ascii="宋体" w:hAnsi="宋体" w:cs="宋体"/>
          <w:strike/>
          <w:color w:val="auto"/>
          <w:highlight w:val="none"/>
          <w:u w:val="single"/>
        </w:rPr>
        <w:t>□B级□C级□D级</w:t>
      </w:r>
      <w:r>
        <w:rPr>
          <w:rFonts w:hint="eastAsia" w:ascii="宋体" w:hAnsi="宋体"/>
          <w:strike/>
          <w:color w:val="auto"/>
          <w:highlight w:val="none"/>
          <w:u w:val="single"/>
        </w:rPr>
        <w:t>（由招标人确定,5000万元以上的项目可选B、C、D级，不足5000万元的项目可选C 、D级）</w:t>
      </w:r>
      <w:r>
        <w:rPr>
          <w:rFonts w:hint="eastAsia" w:ascii="宋体" w:hAnsi="宋体"/>
          <w:strike/>
          <w:color w:val="auto"/>
          <w:highlight w:val="none"/>
        </w:rPr>
        <w:t>、</w:t>
      </w:r>
      <w:r>
        <w:rPr>
          <w:rFonts w:hint="eastAsia" w:ascii="宋体" w:hAnsi="宋体"/>
          <w:strike/>
          <w:color w:val="auto"/>
          <w:highlight w:val="none"/>
        </w:rPr>
        <w:t>□拟派项目负责人信用评价等级不低于</w:t>
      </w:r>
      <w:r>
        <w:rPr>
          <w:rFonts w:hint="eastAsia" w:ascii="宋体" w:hAnsi="宋体"/>
          <w:strike/>
          <w:color w:val="auto"/>
          <w:highlight w:val="none"/>
          <w:u w:val="single"/>
        </w:rPr>
        <w:t xml:space="preserve"> </w:t>
      </w:r>
      <w:r>
        <w:rPr>
          <w:rFonts w:hint="eastAsia" w:ascii="宋体" w:hAnsi="宋体" w:cs="宋体"/>
          <w:strike/>
          <w:color w:val="auto"/>
          <w:highlight w:val="none"/>
          <w:u w:val="single"/>
        </w:rPr>
        <w:t>□B级□C级□D级</w:t>
      </w:r>
      <w:r>
        <w:rPr>
          <w:rFonts w:hint="eastAsia" w:ascii="宋体" w:hAnsi="宋体"/>
          <w:strike/>
          <w:color w:val="auto"/>
          <w:highlight w:val="none"/>
          <w:u w:val="single"/>
        </w:rPr>
        <w:t>（由招标人确定,5000万元以上的项目可选B、C、D级，不足5000万元的项目可选C 、D级）</w:t>
      </w:r>
      <w:r>
        <w:rPr>
          <w:rFonts w:hint="eastAsia" w:ascii="宋体" w:hAnsi="宋体"/>
          <w:strike/>
          <w:color w:val="auto"/>
          <w:highlight w:val="none"/>
        </w:rPr>
        <w:t>，</w:t>
      </w:r>
      <w:r>
        <w:rPr>
          <w:rFonts w:hint="eastAsia" w:ascii="宋体" w:hAnsi="宋体"/>
          <w:color w:val="auto"/>
          <w:highlight w:val="none"/>
        </w:rPr>
        <w:t>计算范围少于15家的则依次降低企业信用评价等级，如又选用拟派项目负责人信用评级，计算范围少于15家时应明确降低评价等级顺序。评标基准价计算方法和C值由当地招投标主管部门制定，在开标现场随机确定。）计算精度保留到元，除计算差错外，评标过程中</w:t>
      </w:r>
      <w:r>
        <w:rPr>
          <w:rFonts w:hint="eastAsia" w:ascii="宋体" w:hAnsi="宋体" w:cs="宋体"/>
          <w:color w:val="auto"/>
          <w:highlight w:val="none"/>
          <w:lang w:bidi="ar"/>
        </w:rPr>
        <w:t>（包括复评环节）</w:t>
      </w:r>
      <w:r>
        <w:rPr>
          <w:rFonts w:hint="eastAsia" w:ascii="宋体" w:hAnsi="宋体"/>
          <w:color w:val="auto"/>
          <w:highlight w:val="none"/>
        </w:rPr>
        <w:t>基准价保持不变。</w:t>
      </w:r>
    </w:p>
    <w:p w14:paraId="6D9F8BD3">
      <w:pPr>
        <w:snapToGrid w:val="0"/>
        <w:ind w:firstLine="480" w:firstLineChars="200"/>
        <w:rPr>
          <w:rFonts w:hint="eastAsia" w:ascii="宋体" w:hAnsi="宋体" w:cs="宋体"/>
          <w:color w:val="auto"/>
          <w:highlight w:val="none"/>
        </w:rPr>
      </w:pPr>
      <w:r>
        <w:rPr>
          <w:rFonts w:hint="eastAsia" w:ascii="宋体" w:hAnsi="宋体" w:cs="宋体"/>
          <w:color w:val="auto"/>
          <w:highlight w:val="none"/>
        </w:rPr>
        <w:t>计算差错，仅限于以下两种情况：（1）纯算术性四则运算差错；（2）未按约定的计算方法，多计或者少计投标人报价的。由于评标差错，导致否决投标错误，重新评标纠正等其他情况，不属于计算差错。</w:t>
      </w:r>
    </w:p>
    <w:p w14:paraId="1CC415C4">
      <w:pPr>
        <w:pStyle w:val="36"/>
        <w:snapToGrid w:val="0"/>
        <w:ind w:left="562"/>
        <w:rPr>
          <w:rFonts w:hint="eastAsia" w:ascii="宋体" w:hAnsi="宋体" w:cs="宋体"/>
          <w:b/>
          <w:strike/>
          <w:color w:val="auto"/>
          <w:highlight w:val="none"/>
        </w:rPr>
      </w:pPr>
      <w:r>
        <w:rPr>
          <w:rFonts w:hint="eastAsia" w:ascii="宋体" w:hAnsi="宋体" w:cs="宋体"/>
          <w:strike/>
          <w:color w:val="auto"/>
          <w:highlight w:val="none"/>
        </w:rPr>
        <w:t>□</w:t>
      </w:r>
      <w:r>
        <w:rPr>
          <w:rFonts w:hint="eastAsia" w:ascii="宋体" w:hAnsi="宋体" w:cs="宋体"/>
          <w:b/>
          <w:strike/>
          <w:color w:val="auto"/>
          <w:highlight w:val="none"/>
        </w:rPr>
        <w:t>（五）推荐中标候选人</w:t>
      </w:r>
    </w:p>
    <w:p w14:paraId="2983BA46">
      <w:pPr>
        <w:adjustRightInd/>
        <w:ind w:firstLine="480" w:firstLineChars="200"/>
        <w:jc w:val="both"/>
        <w:rPr>
          <w:rFonts w:hint="eastAsia" w:ascii="宋体" w:hAnsi="宋体"/>
          <w:strike/>
          <w:color w:val="auto"/>
          <w:highlight w:val="none"/>
        </w:rPr>
      </w:pPr>
      <w:r>
        <w:rPr>
          <w:rFonts w:hint="eastAsia" w:ascii="宋体" w:hAnsi="宋体"/>
          <w:strike/>
          <w:color w:val="auto"/>
          <w:highlight w:val="none"/>
        </w:rPr>
        <w:t>评标委员会对投标人按总分从高到低进行排序，并按照排序推荐中标候选人。</w:t>
      </w:r>
      <w:r>
        <w:rPr>
          <w:rFonts w:ascii="宋体" w:hAnsi="宋体"/>
          <w:strike/>
          <w:color w:val="auto"/>
          <w:highlight w:val="none"/>
        </w:rPr>
        <w:t>如</w:t>
      </w:r>
      <w:r>
        <w:rPr>
          <w:rFonts w:hint="eastAsia" w:ascii="宋体" w:hAnsi="宋体"/>
          <w:strike/>
          <w:color w:val="auto"/>
          <w:highlight w:val="none"/>
        </w:rPr>
        <w:t>总</w:t>
      </w:r>
      <w:r>
        <w:rPr>
          <w:rFonts w:ascii="宋体" w:hAnsi="宋体"/>
          <w:strike/>
          <w:color w:val="auto"/>
          <w:highlight w:val="none"/>
        </w:rPr>
        <w:t>分相同的，以投标报价低的</w:t>
      </w:r>
      <w:r>
        <w:rPr>
          <w:rFonts w:hint="eastAsia" w:ascii="宋体" w:hAnsi="宋体"/>
          <w:strike/>
          <w:color w:val="auto"/>
          <w:highlight w:val="none"/>
        </w:rPr>
        <w:t>优先</w:t>
      </w:r>
      <w:r>
        <w:rPr>
          <w:rFonts w:ascii="宋体" w:hAnsi="宋体"/>
          <w:strike/>
          <w:color w:val="auto"/>
          <w:highlight w:val="none"/>
        </w:rPr>
        <w:t>；上述均相同的</w:t>
      </w:r>
      <w:r>
        <w:rPr>
          <w:rFonts w:hint="eastAsia" w:ascii="宋体" w:hAnsi="宋体"/>
          <w:strike/>
          <w:color w:val="auto"/>
          <w:highlight w:val="none"/>
          <w:u w:val="single"/>
        </w:rPr>
        <w:t>由招标人代表现场抽签确定中标候选人</w:t>
      </w:r>
      <w:r>
        <w:rPr>
          <w:rFonts w:ascii="宋体" w:hAnsi="宋体"/>
          <w:strike/>
          <w:color w:val="auto"/>
          <w:highlight w:val="none"/>
          <w:u w:val="single"/>
        </w:rPr>
        <w:t xml:space="preserve"> </w:t>
      </w:r>
      <w:r>
        <w:rPr>
          <w:rFonts w:hint="eastAsia" w:ascii="宋体" w:hAnsi="宋体"/>
          <w:strike/>
          <w:color w:val="auto"/>
          <w:highlight w:val="none"/>
        </w:rPr>
        <w:t>。</w:t>
      </w:r>
    </w:p>
    <w:p w14:paraId="3D8DE081">
      <w:pPr>
        <w:pStyle w:val="37"/>
        <w:widowControl w:val="0"/>
        <w:autoSpaceDE w:val="0"/>
        <w:autoSpaceDN w:val="0"/>
        <w:ind w:firstLine="480" w:firstLineChars="200"/>
        <w:jc w:val="both"/>
        <w:rPr>
          <w:rFonts w:hint="eastAsia"/>
          <w:strike/>
          <w:color w:val="auto"/>
          <w:szCs w:val="24"/>
          <w:highlight w:val="none"/>
          <w:lang w:val="en-US"/>
        </w:rPr>
      </w:pPr>
      <w:r>
        <w:rPr>
          <w:strike/>
          <w:color w:val="auto"/>
          <w:szCs w:val="24"/>
          <w:highlight w:val="none"/>
          <w:u w:val="single"/>
          <w:lang w:val="en-US"/>
        </w:rPr>
        <w:t xml:space="preserve"> 招标人 </w:t>
      </w:r>
      <w:r>
        <w:rPr>
          <w:rFonts w:ascii="Times New Roman"/>
          <w:strike/>
          <w:color w:val="auto"/>
          <w:szCs w:val="24"/>
          <w:highlight w:val="none"/>
          <w:lang w:val="en-US"/>
        </w:rPr>
        <w:t>对拟确定的推荐中标候选人和其拟派项目负责人，是否列入失信被执行人名单以及在本招标文件（招标公告）规定时间范围内是否有行贿犯罪记录</w:t>
      </w:r>
      <w:r>
        <w:rPr>
          <w:rFonts w:hint="eastAsia" w:ascii="Times New Roman"/>
          <w:strike/>
          <w:color w:val="auto"/>
          <w:szCs w:val="24"/>
          <w:highlight w:val="none"/>
          <w:lang w:val="en-US"/>
        </w:rPr>
        <w:t>；</w:t>
      </w:r>
      <w:r>
        <w:rPr>
          <w:rFonts w:ascii="Times New Roman"/>
          <w:strike/>
          <w:color w:val="auto"/>
          <w:szCs w:val="24"/>
          <w:highlight w:val="none"/>
          <w:lang w:val="en-US"/>
        </w:rPr>
        <w:t>投标人及其拟派项目负责人</w:t>
      </w:r>
      <w:r>
        <w:rPr>
          <w:rFonts w:hint="eastAsia" w:ascii="Times New Roman"/>
          <w:strike/>
          <w:color w:val="auto"/>
          <w:szCs w:val="24"/>
          <w:highlight w:val="none"/>
          <w:lang w:val="en-US"/>
        </w:rPr>
        <w:t>是否</w:t>
      </w:r>
      <w:r>
        <w:rPr>
          <w:rFonts w:ascii="Times New Roman"/>
          <w:strike/>
          <w:color w:val="auto"/>
          <w:szCs w:val="24"/>
          <w:highlight w:val="none"/>
          <w:lang w:val="en-US"/>
        </w:rPr>
        <w:t>被列入建筑市场严重失信名单的</w:t>
      </w:r>
      <w:r>
        <w:rPr>
          <w:rFonts w:hint="eastAsia" w:ascii="Times New Roman"/>
          <w:strike/>
          <w:color w:val="auto"/>
          <w:szCs w:val="24"/>
          <w:highlight w:val="none"/>
          <w:lang w:val="en-US"/>
        </w:rPr>
        <w:t>、是否被市场监督管理机关在全国企业信用信息公示系统中列入严重违法失信企业名单的、是否被人力资源社会保障行政部门列入失信联合惩戒名单（有效期内）并共享至信用信息共享平台的</w:t>
      </w:r>
      <w:r>
        <w:rPr>
          <w:rFonts w:ascii="Times New Roman"/>
          <w:strike/>
          <w:color w:val="auto"/>
          <w:szCs w:val="24"/>
          <w:highlight w:val="none"/>
          <w:lang w:val="en-US"/>
        </w:rPr>
        <w:t>进行查验。如查实存在的，则取消其中标候选资格。</w:t>
      </w:r>
    </w:p>
    <w:p w14:paraId="06EA7CE0">
      <w:pPr>
        <w:adjustRightInd/>
        <w:ind w:firstLine="480" w:firstLineChars="200"/>
        <w:jc w:val="both"/>
        <w:rPr>
          <w:rFonts w:hint="eastAsia" w:ascii="宋体" w:hAnsi="宋体"/>
          <w:strike/>
          <w:color w:val="auto"/>
          <w:highlight w:val="none"/>
        </w:rPr>
      </w:pPr>
      <w:r>
        <w:rPr>
          <w:rFonts w:hint="eastAsia" w:ascii="宋体" w:hAnsi="宋体"/>
          <w:strike/>
          <w:color w:val="auto"/>
          <w:highlight w:val="none"/>
        </w:rPr>
        <w:t>当有效投标人</w:t>
      </w:r>
      <w:r>
        <w:rPr>
          <w:rFonts w:hint="eastAsia" w:ascii="宋体" w:hAnsi="宋体" w:cs="宋体"/>
          <w:strike/>
          <w:color w:val="auto"/>
          <w:highlight w:val="none"/>
        </w:rPr>
        <w:t>＜</w:t>
      </w:r>
      <w:r>
        <w:rPr>
          <w:rFonts w:ascii="宋体" w:hAnsi="宋体"/>
          <w:strike/>
          <w:color w:val="auto"/>
          <w:highlight w:val="none"/>
        </w:rPr>
        <w:t>3个时，评标委员会应判定本次投标是否具有竞争</w:t>
      </w:r>
      <w:r>
        <w:rPr>
          <w:rFonts w:hint="eastAsia" w:ascii="宋体" w:hAnsi="宋体"/>
          <w:strike/>
          <w:color w:val="auto"/>
          <w:highlight w:val="none"/>
        </w:rPr>
        <w:t>性</w:t>
      </w:r>
      <w:r>
        <w:rPr>
          <w:rFonts w:ascii="宋体" w:hAnsi="宋体"/>
          <w:strike/>
          <w:color w:val="auto"/>
          <w:highlight w:val="none"/>
        </w:rPr>
        <w:t>。若评标委员会认为本次投标明显缺乏竞争的，可以否决全部投标。</w:t>
      </w:r>
    </w:p>
    <w:p w14:paraId="6CC53FD7">
      <w:pPr>
        <w:adjustRightInd/>
        <w:spacing w:line="360" w:lineRule="exact"/>
        <w:ind w:left="480"/>
        <w:jc w:val="both"/>
        <w:rPr>
          <w:rFonts w:hint="eastAsia" w:ascii="Times New Roman" w:hAnsi="宋体"/>
          <w:b/>
          <w:color w:val="auto"/>
          <w:highlight w:val="none"/>
        </w:rPr>
      </w:pPr>
      <w:r>
        <w:rPr>
          <w:rFonts w:hint="eastAsia" w:ascii="宋体" w:hAnsi="宋体" w:cs="宋体"/>
          <w:color w:val="auto"/>
          <w:highlight w:val="none"/>
        </w:rPr>
        <w:t>☑</w:t>
      </w:r>
      <w:r>
        <w:rPr>
          <w:rFonts w:hint="eastAsia" w:ascii="宋体" w:hAnsi="宋体" w:cs="宋体"/>
          <w:b/>
          <w:bCs/>
          <w:color w:val="auto"/>
          <w:highlight w:val="none"/>
        </w:rPr>
        <w:t>（</w:t>
      </w:r>
      <w:r>
        <w:rPr>
          <w:rFonts w:hint="eastAsia" w:ascii="Times New Roman" w:hAnsi="宋体"/>
          <w:b/>
          <w:color w:val="auto"/>
          <w:highlight w:val="none"/>
        </w:rPr>
        <w:t>五）</w:t>
      </w:r>
      <w:r>
        <w:rPr>
          <w:rFonts w:ascii="Times New Roman" w:hAnsi="宋体"/>
          <w:b/>
          <w:color w:val="auto"/>
          <w:highlight w:val="none"/>
        </w:rPr>
        <w:t>推荐中标候选人</w:t>
      </w:r>
      <w:r>
        <w:rPr>
          <w:rFonts w:hint="eastAsia" w:ascii="Times New Roman" w:hAnsi="宋体"/>
          <w:b/>
          <w:color w:val="auto"/>
          <w:highlight w:val="none"/>
        </w:rPr>
        <w:t>（</w:t>
      </w:r>
      <w:r>
        <w:rPr>
          <w:rFonts w:ascii="Times New Roman" w:hAnsi="宋体"/>
          <w:b/>
          <w:color w:val="auto"/>
          <w:highlight w:val="none"/>
        </w:rPr>
        <w:t>适用</w:t>
      </w:r>
      <w:r>
        <w:rPr>
          <w:rFonts w:hint="eastAsia" w:ascii="Times New Roman" w:hAnsi="宋体"/>
          <w:b/>
          <w:color w:val="auto"/>
          <w:highlight w:val="none"/>
        </w:rPr>
        <w:t>于</w:t>
      </w:r>
      <w:r>
        <w:rPr>
          <w:rFonts w:ascii="Times New Roman" w:hAnsi="宋体"/>
          <w:b/>
          <w:color w:val="auto"/>
          <w:highlight w:val="none"/>
        </w:rPr>
        <w:t>“评定分离”</w:t>
      </w:r>
      <w:r>
        <w:rPr>
          <w:rFonts w:hint="eastAsia" w:ascii="Times New Roman" w:hAnsi="宋体"/>
          <w:b/>
          <w:color w:val="auto"/>
          <w:highlight w:val="none"/>
        </w:rPr>
        <w:t>方法一）</w:t>
      </w:r>
    </w:p>
    <w:p w14:paraId="662F0A39">
      <w:pPr>
        <w:adjustRightInd/>
        <w:spacing w:line="360" w:lineRule="exact"/>
        <w:ind w:firstLine="480" w:firstLineChars="200"/>
        <w:jc w:val="both"/>
        <w:rPr>
          <w:rFonts w:hint="eastAsia" w:ascii="Times New Roman" w:hAnsi="宋体"/>
          <w:color w:val="auto"/>
          <w:highlight w:val="none"/>
        </w:rPr>
      </w:pPr>
      <w:r>
        <w:rPr>
          <w:rFonts w:ascii="Times New Roman" w:hAnsi="宋体"/>
          <w:color w:val="auto"/>
          <w:highlight w:val="none"/>
        </w:rPr>
        <w:t>评标委员会对投标人按总分从高到低进行排序，并按照排序推荐中标候选人。如总分相同的，以投标报价低的优先；投标报价仍相同的，以资信标排名靠前的优先；资信标排名仍相同的，以技术标排名靠前的优先；上述均相同的</w:t>
      </w:r>
      <w:r>
        <w:rPr>
          <w:rFonts w:ascii="Times New Roman" w:hAnsi="Times New Roman"/>
          <w:color w:val="auto"/>
          <w:highlight w:val="none"/>
          <w:u w:val="single"/>
        </w:rPr>
        <w:t xml:space="preserve"> </w:t>
      </w:r>
      <w:r>
        <w:rPr>
          <w:rFonts w:hint="eastAsia" w:ascii="Times New Roman" w:hAnsi="Times New Roman"/>
          <w:color w:val="auto"/>
          <w:highlight w:val="none"/>
          <w:u w:val="single"/>
        </w:rPr>
        <w:t>由招标人代表现场抽签确定中标候选人</w:t>
      </w:r>
      <w:r>
        <w:rPr>
          <w:rFonts w:ascii="Times New Roman" w:hAnsi="Times New Roman"/>
          <w:color w:val="auto"/>
          <w:highlight w:val="none"/>
          <w:u w:val="single"/>
        </w:rPr>
        <w:t xml:space="preserve"> </w:t>
      </w:r>
      <w:r>
        <w:rPr>
          <w:rFonts w:ascii="Times New Roman" w:hAnsi="宋体"/>
          <w:color w:val="auto"/>
          <w:highlight w:val="none"/>
        </w:rPr>
        <w:t>。</w:t>
      </w:r>
    </w:p>
    <w:p w14:paraId="35A814EF">
      <w:pPr>
        <w:spacing w:line="360" w:lineRule="exact"/>
        <w:ind w:firstLine="480" w:firstLineChars="200"/>
        <w:rPr>
          <w:rFonts w:ascii="Times New Roman" w:hAnsi="Times New Roman"/>
          <w:color w:val="auto"/>
          <w:highlight w:val="none"/>
        </w:rPr>
      </w:pPr>
      <w:r>
        <w:rPr>
          <w:rFonts w:hint="eastAsia" w:ascii="Times New Roman"/>
          <w:color w:val="auto"/>
          <w:highlight w:val="none"/>
          <w:u w:val="single"/>
        </w:rPr>
        <w:t xml:space="preserve"> </w:t>
      </w:r>
      <w:r>
        <w:rPr>
          <w:rFonts w:ascii="Times New Roman"/>
          <w:color w:val="auto"/>
          <w:highlight w:val="none"/>
          <w:u w:val="single"/>
        </w:rPr>
        <w:t>招标人</w:t>
      </w:r>
      <w:r>
        <w:rPr>
          <w:rFonts w:hint="eastAsia" w:asci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宋体"/>
          <w:color w:val="auto"/>
          <w:highlight w:val="none"/>
        </w:rPr>
        <w:t>对拟确定的推荐中标候选人和其拟派项目负责人，是否列入失信被执行人名单以及在本招标文件（招标公告）规定时间范围内是否有行贿犯罪记录</w:t>
      </w:r>
      <w:r>
        <w:rPr>
          <w:rFonts w:hint="eastAsia" w:ascii="Times New Roman" w:hAnsi="宋体"/>
          <w:color w:val="auto"/>
          <w:highlight w:val="none"/>
        </w:rPr>
        <w:t>；</w:t>
      </w:r>
      <w:r>
        <w:rPr>
          <w:rFonts w:ascii="Times New Roman" w:hAnsi="宋体"/>
          <w:color w:val="auto"/>
          <w:highlight w:val="none"/>
        </w:rPr>
        <w:t>投标人及其拟派项目负责人</w:t>
      </w:r>
      <w:r>
        <w:rPr>
          <w:rFonts w:hint="eastAsia" w:ascii="Times New Roman" w:hAnsi="宋体"/>
          <w:color w:val="auto"/>
          <w:highlight w:val="none"/>
        </w:rPr>
        <w:t>是否</w:t>
      </w:r>
      <w:r>
        <w:rPr>
          <w:rFonts w:ascii="Times New Roman" w:hAnsi="宋体"/>
          <w:color w:val="auto"/>
          <w:highlight w:val="none"/>
        </w:rPr>
        <w:t>被列入建筑市场严重失信名单的</w:t>
      </w:r>
      <w:r>
        <w:rPr>
          <w:rFonts w:hint="eastAsia" w:ascii="Times New Roman" w:hAnsi="宋体"/>
          <w:color w:val="auto"/>
          <w:highlight w:val="none"/>
        </w:rPr>
        <w:t>、是否被市场监督管理机关在全国企业信用信息公示系统中列入严重违法失信企业名单的、是否被人力资源社会保障行政部门列入失信联合惩戒名单（有效期内）并共享至信用信息共享平台的</w:t>
      </w:r>
      <w:r>
        <w:rPr>
          <w:rFonts w:ascii="Times New Roman" w:hAnsi="宋体"/>
          <w:color w:val="auto"/>
          <w:highlight w:val="none"/>
        </w:rPr>
        <w:t>进行查验。如查实存在的，则取消其中标候选资格。</w:t>
      </w:r>
    </w:p>
    <w:p w14:paraId="0C37E1B4">
      <w:pPr>
        <w:adjustRightInd/>
        <w:spacing w:line="360" w:lineRule="exact"/>
        <w:ind w:firstLine="480" w:firstLineChars="200"/>
        <w:jc w:val="both"/>
        <w:rPr>
          <w:rFonts w:hint="eastAsia" w:ascii="Times New Roman" w:hAnsi="宋体"/>
          <w:color w:val="auto"/>
          <w:highlight w:val="none"/>
        </w:rPr>
      </w:pPr>
      <w:r>
        <w:rPr>
          <w:rFonts w:ascii="Times New Roman" w:hAnsi="宋体"/>
          <w:color w:val="auto"/>
          <w:highlight w:val="none"/>
        </w:rPr>
        <w:t>当有效投标人＜</w:t>
      </w:r>
      <w:r>
        <w:rPr>
          <w:rFonts w:ascii="Times New Roman" w:hAnsi="Times New Roman"/>
          <w:color w:val="auto"/>
          <w:highlight w:val="none"/>
        </w:rPr>
        <w:t>3</w:t>
      </w:r>
      <w:r>
        <w:rPr>
          <w:rFonts w:ascii="Times New Roman" w:hAnsi="宋体"/>
          <w:color w:val="auto"/>
          <w:highlight w:val="none"/>
        </w:rPr>
        <w:t>个时，评标委员会应判定本次投标是否具有竞争</w:t>
      </w:r>
      <w:r>
        <w:rPr>
          <w:rFonts w:hint="eastAsia" w:ascii="Times New Roman" w:hAnsi="宋体"/>
          <w:color w:val="auto"/>
          <w:highlight w:val="none"/>
        </w:rPr>
        <w:t>性</w:t>
      </w:r>
      <w:r>
        <w:rPr>
          <w:rFonts w:ascii="Times New Roman" w:hAnsi="宋体"/>
          <w:color w:val="auto"/>
          <w:highlight w:val="none"/>
        </w:rPr>
        <w:t>。若评标委员会认为本次投标明显缺乏竞争的，可以否决全部投标。</w:t>
      </w:r>
    </w:p>
    <w:p w14:paraId="56DA77CD">
      <w:pPr>
        <w:adjustRightInd/>
        <w:spacing w:line="360" w:lineRule="exact"/>
        <w:ind w:firstLine="480" w:firstLineChars="200"/>
        <w:jc w:val="both"/>
        <w:rPr>
          <w:rFonts w:hint="eastAsia" w:ascii="Times New Roman" w:hAnsi="宋体"/>
          <w:strike/>
          <w:color w:val="auto"/>
          <w:highlight w:val="none"/>
        </w:rPr>
      </w:pPr>
      <w:r>
        <w:rPr>
          <w:rFonts w:hint="eastAsia" w:ascii="Times New Roman" w:hAnsi="宋体"/>
          <w:strike/>
          <w:color w:val="auto"/>
          <w:highlight w:val="none"/>
        </w:rPr>
        <w:t>□（五）</w:t>
      </w:r>
      <w:r>
        <w:rPr>
          <w:rFonts w:ascii="Times New Roman" w:hAnsi="宋体"/>
          <w:strike/>
          <w:color w:val="auto"/>
          <w:highlight w:val="none"/>
        </w:rPr>
        <w:t>推荐中标候选人</w:t>
      </w:r>
      <w:r>
        <w:rPr>
          <w:rFonts w:hint="eastAsia" w:ascii="Times New Roman" w:hAnsi="宋体"/>
          <w:strike/>
          <w:color w:val="auto"/>
          <w:highlight w:val="none"/>
        </w:rPr>
        <w:t>（</w:t>
      </w:r>
      <w:r>
        <w:rPr>
          <w:rFonts w:ascii="Times New Roman" w:hAnsi="宋体"/>
          <w:strike/>
          <w:color w:val="auto"/>
          <w:highlight w:val="none"/>
        </w:rPr>
        <w:t>适用</w:t>
      </w:r>
      <w:r>
        <w:rPr>
          <w:rFonts w:hint="eastAsia" w:ascii="Times New Roman" w:hAnsi="宋体"/>
          <w:strike/>
          <w:color w:val="auto"/>
          <w:highlight w:val="none"/>
        </w:rPr>
        <w:t>于</w:t>
      </w:r>
      <w:r>
        <w:rPr>
          <w:rFonts w:ascii="Times New Roman" w:hAnsi="宋体"/>
          <w:strike/>
          <w:color w:val="auto"/>
          <w:highlight w:val="none"/>
        </w:rPr>
        <w:t>“评定分离”</w:t>
      </w:r>
      <w:r>
        <w:rPr>
          <w:rFonts w:hint="eastAsia" w:ascii="Times New Roman" w:hAnsi="宋体"/>
          <w:strike/>
          <w:color w:val="auto"/>
          <w:highlight w:val="none"/>
        </w:rPr>
        <w:t>方法二，可完善修改）</w:t>
      </w:r>
    </w:p>
    <w:p w14:paraId="1632E345">
      <w:pPr>
        <w:spacing w:line="360" w:lineRule="exact"/>
        <w:ind w:firstLine="480" w:firstLineChars="200"/>
        <w:rPr>
          <w:rFonts w:hint="eastAsia" w:ascii="Times New Roman" w:hAnsi="宋体"/>
          <w:strike/>
          <w:color w:val="auto"/>
          <w:highlight w:val="none"/>
        </w:rPr>
      </w:pPr>
      <w:r>
        <w:rPr>
          <w:rFonts w:ascii="Times New Roman" w:hAnsi="宋体"/>
          <w:strike/>
          <w:color w:val="auto"/>
          <w:highlight w:val="none"/>
        </w:rPr>
        <w:t>评标委员会根据招标文件评标办法设置的技术评审项目和评分规则，对全部通过符合性审查的投标文件进行技术、资信打分。中标候选人具体推荐方式如下，进入推荐名单的中标候选人不排名次：</w:t>
      </w:r>
    </w:p>
    <w:p w14:paraId="394581D8">
      <w:pPr>
        <w:spacing w:line="360" w:lineRule="exact"/>
        <w:ind w:firstLine="480" w:firstLineChars="200"/>
        <w:rPr>
          <w:rFonts w:hint="eastAsia" w:ascii="Times New Roman" w:hAnsi="宋体"/>
          <w:strike/>
          <w:color w:val="auto"/>
          <w:highlight w:val="none"/>
        </w:rPr>
      </w:pPr>
      <w:r>
        <w:rPr>
          <w:rFonts w:hint="eastAsia" w:ascii="Times New Roman" w:hAnsi="宋体"/>
          <w:strike/>
          <w:color w:val="auto"/>
          <w:highlight w:val="none"/>
        </w:rPr>
        <w:t>1.</w:t>
      </w:r>
      <w:r>
        <w:rPr>
          <w:rFonts w:ascii="Times New Roman" w:hAnsi="宋体"/>
          <w:strike/>
          <w:color w:val="auto"/>
          <w:highlight w:val="none"/>
        </w:rPr>
        <w:t>通过符合性审查的合格投标人少于3家时，评标委员会应否决所有投标；</w:t>
      </w:r>
    </w:p>
    <w:p w14:paraId="3A9302A7">
      <w:pPr>
        <w:spacing w:line="360" w:lineRule="exact"/>
        <w:ind w:firstLine="480" w:firstLineChars="200"/>
        <w:rPr>
          <w:rFonts w:hint="eastAsia" w:ascii="Times New Roman" w:hAnsi="宋体"/>
          <w:strike/>
          <w:color w:val="auto"/>
          <w:highlight w:val="none"/>
        </w:rPr>
      </w:pPr>
      <w:r>
        <w:rPr>
          <w:rFonts w:hint="eastAsia" w:ascii="Times New Roman" w:hAnsi="宋体"/>
          <w:strike/>
          <w:color w:val="auto"/>
          <w:highlight w:val="none"/>
        </w:rPr>
        <w:t>2.</w:t>
      </w:r>
      <w:r>
        <w:rPr>
          <w:rFonts w:ascii="Times New Roman" w:hAnsi="宋体"/>
          <w:strike/>
          <w:color w:val="auto"/>
          <w:highlight w:val="none"/>
        </w:rPr>
        <w:t>通过符合性审查的合格投标人在3家及以上</w:t>
      </w:r>
      <w:r>
        <w:rPr>
          <w:rFonts w:ascii="Times New Roman" w:hAnsi="宋体"/>
          <w:strike/>
          <w:color w:val="auto"/>
          <w:highlight w:val="none"/>
          <w:u w:val="single"/>
        </w:rPr>
        <w:t xml:space="preserve">    </w:t>
      </w:r>
      <w:r>
        <w:rPr>
          <w:rFonts w:ascii="Times New Roman" w:hAnsi="宋体"/>
          <w:strike/>
          <w:color w:val="auto"/>
          <w:highlight w:val="none"/>
        </w:rPr>
        <w:t>家及以下时，全部合格投标人推荐为中标候选人；</w:t>
      </w:r>
    </w:p>
    <w:p w14:paraId="34D98993">
      <w:pPr>
        <w:spacing w:line="360" w:lineRule="exact"/>
        <w:ind w:firstLine="480" w:firstLineChars="200"/>
        <w:rPr>
          <w:rFonts w:hint="eastAsia" w:ascii="Times New Roman" w:hAnsi="宋体"/>
          <w:strike/>
          <w:color w:val="auto"/>
          <w:highlight w:val="none"/>
        </w:rPr>
      </w:pPr>
      <w:r>
        <w:rPr>
          <w:rFonts w:hint="eastAsia" w:ascii="Times New Roman" w:hAnsi="宋体"/>
          <w:strike/>
          <w:color w:val="auto"/>
          <w:highlight w:val="none"/>
        </w:rPr>
        <w:t>3.</w:t>
      </w:r>
      <w:r>
        <w:rPr>
          <w:rFonts w:ascii="Times New Roman" w:hAnsi="宋体"/>
          <w:strike/>
          <w:color w:val="auto"/>
          <w:highlight w:val="none"/>
        </w:rPr>
        <w:t>通过符合性审查的合格投标人</w:t>
      </w:r>
      <w:r>
        <w:rPr>
          <w:rFonts w:ascii="Times New Roman" w:hAnsi="宋体"/>
          <w:strike/>
          <w:color w:val="auto"/>
          <w:highlight w:val="none"/>
          <w:u w:val="single"/>
        </w:rPr>
        <w:t xml:space="preserve">   </w:t>
      </w:r>
      <w:r>
        <w:rPr>
          <w:rFonts w:ascii="Times New Roman" w:hAnsi="宋体"/>
          <w:strike/>
          <w:color w:val="auto"/>
          <w:highlight w:val="none"/>
        </w:rPr>
        <w:t>家以上</w:t>
      </w:r>
      <w:r>
        <w:rPr>
          <w:rFonts w:ascii="Times New Roman" w:hAnsi="宋体"/>
          <w:strike/>
          <w:color w:val="auto"/>
          <w:highlight w:val="none"/>
          <w:u w:val="single"/>
        </w:rPr>
        <w:t xml:space="preserve">    </w:t>
      </w:r>
      <w:r>
        <w:rPr>
          <w:rFonts w:ascii="Times New Roman" w:hAnsi="宋体"/>
          <w:strike/>
          <w:color w:val="auto"/>
          <w:highlight w:val="none"/>
        </w:rPr>
        <w:t>家及以下时，全部合格投标人进入比选范围，从比选范围中选择投标报价与评标基准价之差绝对值最小的前5名推荐为中标候选人。</w:t>
      </w:r>
    </w:p>
    <w:p w14:paraId="187F9C21">
      <w:pPr>
        <w:spacing w:line="360" w:lineRule="exact"/>
        <w:ind w:firstLine="480" w:firstLineChars="200"/>
        <w:rPr>
          <w:rFonts w:hint="eastAsia" w:ascii="Times New Roman" w:hAnsi="宋体"/>
          <w:strike/>
          <w:color w:val="auto"/>
          <w:highlight w:val="none"/>
        </w:rPr>
      </w:pPr>
      <w:r>
        <w:rPr>
          <w:rFonts w:ascii="Times New Roman" w:hAnsi="宋体"/>
          <w:strike/>
          <w:color w:val="auto"/>
          <w:highlight w:val="none"/>
        </w:rPr>
        <w:t>注：投标报价与评标基准价之差绝对值最小的第</w:t>
      </w:r>
      <w:r>
        <w:rPr>
          <w:rFonts w:ascii="Times New Roman" w:hAnsi="宋体"/>
          <w:strike/>
          <w:color w:val="auto"/>
          <w:highlight w:val="none"/>
          <w:u w:val="single"/>
        </w:rPr>
        <w:t xml:space="preserve">   </w:t>
      </w:r>
      <w:r>
        <w:rPr>
          <w:rFonts w:ascii="Times New Roman" w:hAnsi="宋体"/>
          <w:strike/>
          <w:color w:val="auto"/>
          <w:highlight w:val="none"/>
        </w:rPr>
        <w:t>名，若出现差值绝对值相同，以投标报价低者优先；若差值绝对值、投标报价均相同时，以技术资信评分高者优先；若差值绝对值、投标报价和技术资信评分均相同时，则由评标委员会记名投票表决方式进入推荐名单；</w:t>
      </w:r>
    </w:p>
    <w:p w14:paraId="72955BA7">
      <w:pPr>
        <w:spacing w:line="360" w:lineRule="exact"/>
        <w:ind w:firstLine="480" w:firstLineChars="200"/>
        <w:rPr>
          <w:rFonts w:hint="eastAsia" w:ascii="Times New Roman" w:hAnsi="宋体"/>
          <w:strike/>
          <w:color w:val="auto"/>
          <w:highlight w:val="none"/>
        </w:rPr>
      </w:pPr>
      <w:r>
        <w:rPr>
          <w:rFonts w:hint="eastAsia" w:ascii="Times New Roman" w:hAnsi="宋体"/>
          <w:strike/>
          <w:color w:val="auto"/>
          <w:highlight w:val="none"/>
        </w:rPr>
        <w:t>4.</w:t>
      </w:r>
      <w:r>
        <w:rPr>
          <w:rFonts w:ascii="Times New Roman" w:hAnsi="宋体"/>
          <w:strike/>
          <w:color w:val="auto"/>
          <w:highlight w:val="none"/>
        </w:rPr>
        <w:t>通过符合性审查的合格投标人多于</w:t>
      </w:r>
      <w:r>
        <w:rPr>
          <w:rFonts w:ascii="Times New Roman" w:hAnsi="宋体"/>
          <w:strike/>
          <w:color w:val="auto"/>
          <w:highlight w:val="none"/>
          <w:u w:val="single"/>
        </w:rPr>
        <w:t xml:space="preserve">   </w:t>
      </w:r>
      <w:r>
        <w:rPr>
          <w:rFonts w:ascii="Times New Roman" w:hAnsi="宋体"/>
          <w:strike/>
          <w:color w:val="auto"/>
          <w:highlight w:val="none"/>
        </w:rPr>
        <w:t>家时，技术资信评分</w:t>
      </w:r>
      <w:r>
        <w:rPr>
          <w:rFonts w:ascii="Times New Roman" w:hAnsi="宋体"/>
          <w:strike/>
          <w:color w:val="auto"/>
          <w:highlight w:val="none"/>
          <w:u w:val="single"/>
        </w:rPr>
        <w:t xml:space="preserve">    </w:t>
      </w:r>
      <w:r>
        <w:rPr>
          <w:rFonts w:ascii="Times New Roman" w:hAnsi="宋体"/>
          <w:strike/>
          <w:color w:val="auto"/>
          <w:highlight w:val="none"/>
        </w:rPr>
        <w:t xml:space="preserve">分（满分为 </w:t>
      </w:r>
      <w:r>
        <w:rPr>
          <w:rFonts w:hint="eastAsia" w:ascii="Times New Roman" w:hAnsi="宋体"/>
          <w:strike/>
          <w:color w:val="auto"/>
          <w:highlight w:val="none"/>
          <w:u w:val="single"/>
        </w:rPr>
        <w:t xml:space="preserve">  </w:t>
      </w:r>
      <w:r>
        <w:rPr>
          <w:rFonts w:ascii="Times New Roman" w:hAnsi="宋体"/>
          <w:strike/>
          <w:color w:val="auto"/>
          <w:highlight w:val="none"/>
        </w:rPr>
        <w:t xml:space="preserve">     分，由招标人自行填写）及以上投标人在</w:t>
      </w:r>
      <w:r>
        <w:rPr>
          <w:rFonts w:hint="eastAsia" w:ascii="Times New Roman" w:hAnsi="宋体"/>
          <w:strike/>
          <w:color w:val="auto"/>
          <w:highlight w:val="none"/>
          <w:u w:val="single"/>
        </w:rPr>
        <w:t xml:space="preserve">   </w:t>
      </w:r>
      <w:r>
        <w:rPr>
          <w:rFonts w:ascii="Times New Roman" w:hAnsi="宋体"/>
          <w:strike/>
          <w:color w:val="auto"/>
          <w:highlight w:val="none"/>
        </w:rPr>
        <w:t>家及以下的，选择技术资信评分高低排名前</w:t>
      </w:r>
      <w:r>
        <w:rPr>
          <w:rFonts w:ascii="Times New Roman" w:hAnsi="宋体"/>
          <w:strike/>
          <w:color w:val="auto"/>
          <w:highlight w:val="none"/>
          <w:u w:val="single"/>
        </w:rPr>
        <w:t xml:space="preserve">        </w:t>
      </w:r>
      <w:r>
        <w:rPr>
          <w:rFonts w:ascii="Times New Roman" w:hAnsi="宋体"/>
          <w:strike/>
          <w:color w:val="auto"/>
          <w:highlight w:val="none"/>
        </w:rPr>
        <w:t>名合格投标人进入比选范围，从比选范围中选择投标报价与评标基准价之差绝对值最小的前</w:t>
      </w:r>
      <w:r>
        <w:rPr>
          <w:rFonts w:ascii="Times New Roman" w:hAnsi="宋体"/>
          <w:strike/>
          <w:color w:val="auto"/>
          <w:highlight w:val="none"/>
          <w:u w:val="single"/>
        </w:rPr>
        <w:t xml:space="preserve">     </w:t>
      </w:r>
      <w:r>
        <w:rPr>
          <w:rFonts w:ascii="Times New Roman" w:hAnsi="宋体"/>
          <w:strike/>
          <w:color w:val="auto"/>
          <w:highlight w:val="none"/>
        </w:rPr>
        <w:t>名推荐为中标候选人。</w:t>
      </w:r>
    </w:p>
    <w:p w14:paraId="66EA0250">
      <w:pPr>
        <w:spacing w:line="360" w:lineRule="exact"/>
        <w:ind w:firstLine="480" w:firstLineChars="200"/>
        <w:rPr>
          <w:rFonts w:hint="eastAsia" w:ascii="Times New Roman" w:hAnsi="宋体"/>
          <w:strike/>
          <w:color w:val="auto"/>
          <w:highlight w:val="none"/>
        </w:rPr>
      </w:pPr>
      <w:r>
        <w:rPr>
          <w:rFonts w:ascii="Times New Roman" w:hAnsi="宋体"/>
          <w:strike/>
          <w:color w:val="auto"/>
          <w:highlight w:val="none"/>
        </w:rPr>
        <w:t>注：1.技术资信评分第</w:t>
      </w:r>
      <w:r>
        <w:rPr>
          <w:rFonts w:ascii="Times New Roman" w:hAnsi="宋体"/>
          <w:strike/>
          <w:color w:val="auto"/>
          <w:highlight w:val="none"/>
          <w:u w:val="single"/>
        </w:rPr>
        <w:t xml:space="preserve">    </w:t>
      </w:r>
      <w:r>
        <w:rPr>
          <w:rFonts w:ascii="Times New Roman" w:hAnsi="宋体"/>
          <w:strike/>
          <w:color w:val="auto"/>
          <w:highlight w:val="none"/>
        </w:rPr>
        <w:t>名若出现技术资信评分相同时，以投标报价低者优先；技术资信评分、投标报价均相同时，则由评标委员会记名投票表决方式进入后续评审；</w:t>
      </w:r>
    </w:p>
    <w:p w14:paraId="3A679F97">
      <w:pPr>
        <w:spacing w:line="360" w:lineRule="exact"/>
        <w:ind w:firstLine="480" w:firstLineChars="200"/>
        <w:rPr>
          <w:rFonts w:hint="eastAsia" w:ascii="Times New Roman" w:hAnsi="宋体"/>
          <w:strike/>
          <w:color w:val="auto"/>
          <w:highlight w:val="none"/>
        </w:rPr>
      </w:pPr>
      <w:r>
        <w:rPr>
          <w:rFonts w:ascii="Times New Roman" w:hAnsi="宋体"/>
          <w:strike/>
          <w:color w:val="auto"/>
          <w:highlight w:val="none"/>
        </w:rPr>
        <w:t>2.投标报价与评标基准价之差绝对值最小的第</w:t>
      </w:r>
      <w:r>
        <w:rPr>
          <w:rFonts w:ascii="Times New Roman" w:hAnsi="宋体"/>
          <w:strike/>
          <w:color w:val="auto"/>
          <w:highlight w:val="none"/>
          <w:u w:val="single"/>
        </w:rPr>
        <w:t xml:space="preserve">    </w:t>
      </w:r>
      <w:r>
        <w:rPr>
          <w:rFonts w:ascii="Times New Roman" w:hAnsi="宋体"/>
          <w:strike/>
          <w:color w:val="auto"/>
          <w:highlight w:val="none"/>
        </w:rPr>
        <w:t>名，若出现差值绝对值相同，以投标报价低者优先；若差值绝对值、投标报价均相同时，以技术资信评分高者优先；若差值绝对值、投标报价和技术资信评分均相同时，则由评标委员会记名投票表决方式进入推荐名单；</w:t>
      </w:r>
    </w:p>
    <w:p w14:paraId="3462263E">
      <w:pPr>
        <w:spacing w:line="360" w:lineRule="exact"/>
        <w:ind w:firstLine="480" w:firstLineChars="200"/>
        <w:rPr>
          <w:rFonts w:hint="eastAsia" w:ascii="Times New Roman" w:hAnsi="宋体"/>
          <w:strike/>
          <w:color w:val="auto"/>
          <w:highlight w:val="none"/>
        </w:rPr>
      </w:pPr>
      <w:r>
        <w:rPr>
          <w:rFonts w:hint="eastAsia" w:ascii="Times New Roman" w:hAnsi="宋体"/>
          <w:strike/>
          <w:color w:val="auto"/>
          <w:highlight w:val="none"/>
        </w:rPr>
        <w:t>5.</w:t>
      </w:r>
      <w:r>
        <w:rPr>
          <w:rFonts w:ascii="Times New Roman" w:hAnsi="宋体"/>
          <w:strike/>
          <w:color w:val="auto"/>
          <w:highlight w:val="none"/>
        </w:rPr>
        <w:t>通过符合性审查的合格投标人多于</w:t>
      </w:r>
      <w:r>
        <w:rPr>
          <w:rFonts w:ascii="Times New Roman" w:hAnsi="宋体"/>
          <w:strike/>
          <w:color w:val="auto"/>
          <w:highlight w:val="none"/>
          <w:u w:val="single"/>
        </w:rPr>
        <w:t xml:space="preserve">   </w:t>
      </w:r>
      <w:r>
        <w:rPr>
          <w:rFonts w:ascii="Times New Roman" w:hAnsi="宋体"/>
          <w:strike/>
          <w:color w:val="auto"/>
          <w:highlight w:val="none"/>
        </w:rPr>
        <w:t>家时，技术资信评分</w:t>
      </w:r>
      <w:r>
        <w:rPr>
          <w:rFonts w:ascii="Times New Roman" w:hAnsi="宋体"/>
          <w:strike/>
          <w:color w:val="auto"/>
          <w:highlight w:val="none"/>
          <w:u w:val="single"/>
        </w:rPr>
        <w:t xml:space="preserve">   </w:t>
      </w:r>
      <w:r>
        <w:rPr>
          <w:rFonts w:ascii="Times New Roman" w:hAnsi="宋体"/>
          <w:strike/>
          <w:color w:val="auto"/>
          <w:highlight w:val="none"/>
        </w:rPr>
        <w:t>分及以上投标人在</w:t>
      </w:r>
      <w:r>
        <w:rPr>
          <w:rFonts w:ascii="Times New Roman" w:hAnsi="宋体"/>
          <w:strike/>
          <w:color w:val="auto"/>
          <w:highlight w:val="none"/>
          <w:u w:val="single"/>
        </w:rPr>
        <w:t xml:space="preserve">    </w:t>
      </w:r>
      <w:r>
        <w:rPr>
          <w:rFonts w:ascii="Times New Roman" w:hAnsi="宋体"/>
          <w:strike/>
          <w:color w:val="auto"/>
          <w:highlight w:val="none"/>
        </w:rPr>
        <w:t>家及以上</w:t>
      </w:r>
      <w:r>
        <w:rPr>
          <w:rFonts w:ascii="Times New Roman" w:hAnsi="宋体"/>
          <w:strike/>
          <w:color w:val="auto"/>
          <w:highlight w:val="none"/>
          <w:u w:val="single"/>
        </w:rPr>
        <w:t xml:space="preserve">    </w:t>
      </w:r>
      <w:r>
        <w:rPr>
          <w:rFonts w:ascii="Times New Roman" w:hAnsi="宋体"/>
          <w:strike/>
          <w:color w:val="auto"/>
          <w:highlight w:val="none"/>
        </w:rPr>
        <w:t>家以下的，所有技术资信评分在</w:t>
      </w:r>
      <w:r>
        <w:rPr>
          <w:rFonts w:ascii="Times New Roman" w:hAnsi="宋体"/>
          <w:strike/>
          <w:color w:val="auto"/>
          <w:highlight w:val="none"/>
          <w:u w:val="single"/>
        </w:rPr>
        <w:t xml:space="preserve">    </w:t>
      </w:r>
      <w:r>
        <w:rPr>
          <w:rFonts w:ascii="Times New Roman" w:hAnsi="宋体"/>
          <w:strike/>
          <w:color w:val="auto"/>
          <w:highlight w:val="none"/>
        </w:rPr>
        <w:t>分及以上的合格投标人进入比选范围，从比选范围中选择投标报价与评标基准价之差绝对值最小的前</w:t>
      </w:r>
      <w:r>
        <w:rPr>
          <w:rFonts w:ascii="Times New Roman" w:hAnsi="宋体"/>
          <w:strike/>
          <w:color w:val="auto"/>
          <w:highlight w:val="none"/>
          <w:u w:val="single"/>
        </w:rPr>
        <w:t xml:space="preserve">    </w:t>
      </w:r>
      <w:r>
        <w:rPr>
          <w:rFonts w:ascii="Times New Roman" w:hAnsi="宋体"/>
          <w:strike/>
          <w:color w:val="auto"/>
          <w:highlight w:val="none"/>
        </w:rPr>
        <w:t>名推荐为中标候选人</w:t>
      </w:r>
    </w:p>
    <w:p w14:paraId="3461EFD1">
      <w:pPr>
        <w:spacing w:line="360" w:lineRule="exact"/>
        <w:ind w:firstLine="480" w:firstLineChars="200"/>
        <w:rPr>
          <w:rFonts w:hint="eastAsia" w:ascii="Times New Roman" w:hAnsi="宋体"/>
          <w:strike/>
          <w:color w:val="auto"/>
          <w:highlight w:val="none"/>
        </w:rPr>
      </w:pPr>
      <w:r>
        <w:rPr>
          <w:rFonts w:ascii="Times New Roman" w:hAnsi="宋体"/>
          <w:strike/>
          <w:color w:val="auto"/>
          <w:highlight w:val="none"/>
        </w:rPr>
        <w:t>注：投标报价与评标基准价之差绝对值最小的第</w:t>
      </w:r>
      <w:r>
        <w:rPr>
          <w:rFonts w:ascii="Times New Roman" w:hAnsi="宋体"/>
          <w:strike/>
          <w:color w:val="auto"/>
          <w:highlight w:val="none"/>
          <w:u w:val="single"/>
        </w:rPr>
        <w:t xml:space="preserve">    </w:t>
      </w:r>
      <w:r>
        <w:rPr>
          <w:rFonts w:ascii="Times New Roman" w:hAnsi="宋体"/>
          <w:strike/>
          <w:color w:val="auto"/>
          <w:highlight w:val="none"/>
        </w:rPr>
        <w:t>名，若出现差值绝对值相同，以投标报价低者优先；若差值绝对值、投标报价均相同时，以技术资信评分高者优先；若差值绝对值、投标报价和技术资信评分均相同时，则由评标委员会记名投票表决方式进入推荐名单；</w:t>
      </w:r>
    </w:p>
    <w:p w14:paraId="2C39EFDB">
      <w:pPr>
        <w:spacing w:line="360" w:lineRule="exact"/>
        <w:ind w:firstLine="480" w:firstLineChars="200"/>
        <w:rPr>
          <w:rFonts w:hint="eastAsia" w:ascii="Times New Roman" w:hAnsi="宋体"/>
          <w:strike/>
          <w:color w:val="auto"/>
          <w:highlight w:val="none"/>
        </w:rPr>
      </w:pPr>
      <w:r>
        <w:rPr>
          <w:rFonts w:hint="eastAsia" w:ascii="Times New Roman" w:hAnsi="宋体"/>
          <w:strike/>
          <w:color w:val="auto"/>
          <w:highlight w:val="none"/>
        </w:rPr>
        <w:t>6.</w:t>
      </w:r>
      <w:r>
        <w:rPr>
          <w:rFonts w:ascii="Times New Roman" w:hAnsi="宋体"/>
          <w:strike/>
          <w:color w:val="auto"/>
          <w:highlight w:val="none"/>
        </w:rPr>
        <w:t>通过符合性审查的合格投标人多于</w:t>
      </w:r>
      <w:r>
        <w:rPr>
          <w:rFonts w:ascii="Times New Roman" w:hAnsi="宋体"/>
          <w:strike/>
          <w:color w:val="auto"/>
          <w:highlight w:val="none"/>
          <w:u w:val="single"/>
        </w:rPr>
        <w:t xml:space="preserve">    </w:t>
      </w:r>
      <w:r>
        <w:rPr>
          <w:rFonts w:ascii="Times New Roman" w:hAnsi="宋体"/>
          <w:strike/>
          <w:color w:val="auto"/>
          <w:highlight w:val="none"/>
        </w:rPr>
        <w:t>家时，技术资信评分</w:t>
      </w:r>
      <w:r>
        <w:rPr>
          <w:rFonts w:ascii="Times New Roman" w:hAnsi="宋体"/>
          <w:strike/>
          <w:color w:val="auto"/>
          <w:highlight w:val="none"/>
          <w:u w:val="single"/>
        </w:rPr>
        <w:t xml:space="preserve">   </w:t>
      </w:r>
      <w:r>
        <w:rPr>
          <w:rFonts w:ascii="Times New Roman" w:hAnsi="宋体"/>
          <w:strike/>
          <w:color w:val="auto"/>
          <w:highlight w:val="none"/>
        </w:rPr>
        <w:t xml:space="preserve">分及以上投标人在 </w:t>
      </w:r>
      <w:r>
        <w:rPr>
          <w:rFonts w:ascii="Times New Roman" w:hAnsi="宋体"/>
          <w:strike/>
          <w:color w:val="auto"/>
          <w:highlight w:val="none"/>
          <w:u w:val="single"/>
        </w:rPr>
        <w:t xml:space="preserve">  </w:t>
      </w:r>
      <w:r>
        <w:rPr>
          <w:rFonts w:ascii="Times New Roman" w:hAnsi="宋体"/>
          <w:strike/>
          <w:color w:val="auto"/>
          <w:highlight w:val="none"/>
        </w:rPr>
        <w:t>家及以上的，选择技术资信评分高低排名前</w:t>
      </w:r>
      <w:r>
        <w:rPr>
          <w:rFonts w:ascii="Times New Roman" w:hAnsi="宋体"/>
          <w:strike/>
          <w:color w:val="auto"/>
          <w:highlight w:val="none"/>
          <w:u w:val="single"/>
        </w:rPr>
        <w:t xml:space="preserve">   </w:t>
      </w:r>
      <w:r>
        <w:rPr>
          <w:rFonts w:ascii="Times New Roman" w:hAnsi="宋体"/>
          <w:strike/>
          <w:color w:val="auto"/>
          <w:highlight w:val="none"/>
        </w:rPr>
        <w:t>名投标人进入比选范围，从比选范围中选择投标报价与评标基准价之差绝对值最小的前</w:t>
      </w:r>
      <w:r>
        <w:rPr>
          <w:rFonts w:ascii="Times New Roman" w:hAnsi="宋体"/>
          <w:strike/>
          <w:color w:val="auto"/>
          <w:highlight w:val="none"/>
          <w:u w:val="single"/>
        </w:rPr>
        <w:t xml:space="preserve">   </w:t>
      </w:r>
      <w:r>
        <w:rPr>
          <w:rFonts w:ascii="Times New Roman" w:hAnsi="宋体"/>
          <w:strike/>
          <w:color w:val="auto"/>
          <w:highlight w:val="none"/>
        </w:rPr>
        <w:t>名推荐为中标候选人</w:t>
      </w:r>
    </w:p>
    <w:p w14:paraId="45B3709C">
      <w:pPr>
        <w:spacing w:line="360" w:lineRule="exact"/>
        <w:ind w:firstLine="480" w:firstLineChars="200"/>
        <w:rPr>
          <w:rFonts w:hint="eastAsia" w:ascii="Times New Roman" w:hAnsi="宋体"/>
          <w:strike/>
          <w:color w:val="auto"/>
          <w:highlight w:val="none"/>
        </w:rPr>
      </w:pPr>
      <w:r>
        <w:rPr>
          <w:rFonts w:ascii="Times New Roman" w:hAnsi="宋体"/>
          <w:strike/>
          <w:color w:val="auto"/>
          <w:highlight w:val="none"/>
        </w:rPr>
        <w:t>注：1.技术资信评分</w:t>
      </w:r>
      <w:r>
        <w:rPr>
          <w:rFonts w:ascii="Times New Roman" w:hAnsi="宋体"/>
          <w:strike/>
          <w:color w:val="auto"/>
          <w:highlight w:val="none"/>
          <w:u w:val="single"/>
        </w:rPr>
        <w:t xml:space="preserve">   </w:t>
      </w:r>
      <w:r>
        <w:rPr>
          <w:rFonts w:ascii="Times New Roman" w:hAnsi="宋体"/>
          <w:strike/>
          <w:color w:val="auto"/>
          <w:highlight w:val="none"/>
        </w:rPr>
        <w:t>分及以上的合格投标人中，如技术资信评分第</w:t>
      </w:r>
      <w:r>
        <w:rPr>
          <w:rFonts w:ascii="Times New Roman" w:hAnsi="宋体"/>
          <w:strike/>
          <w:color w:val="auto"/>
          <w:highlight w:val="none"/>
          <w:u w:val="single"/>
        </w:rPr>
        <w:t xml:space="preserve">   </w:t>
      </w:r>
      <w:r>
        <w:rPr>
          <w:rFonts w:ascii="Times New Roman" w:hAnsi="宋体"/>
          <w:strike/>
          <w:color w:val="auto"/>
          <w:highlight w:val="none"/>
        </w:rPr>
        <w:t>名若出现技术资信评分相同时，以投标报价低者优先；技术资信评分、投标报价均相同时，则由评标委员会记名投票表决方式进入后续评审；</w:t>
      </w:r>
    </w:p>
    <w:p w14:paraId="0FF3F887">
      <w:pPr>
        <w:spacing w:line="360" w:lineRule="exact"/>
        <w:ind w:firstLine="480" w:firstLineChars="200"/>
        <w:rPr>
          <w:rFonts w:hint="eastAsia" w:ascii="宋体" w:hAnsi="宋体" w:cs="宋体"/>
          <w:b/>
          <w:bCs/>
          <w:strike/>
          <w:color w:val="auto"/>
          <w:sz w:val="32"/>
          <w:szCs w:val="32"/>
          <w:highlight w:val="none"/>
        </w:rPr>
      </w:pPr>
      <w:r>
        <w:rPr>
          <w:rFonts w:ascii="Times New Roman" w:hAnsi="宋体"/>
          <w:strike/>
          <w:color w:val="auto"/>
          <w:highlight w:val="none"/>
        </w:rPr>
        <w:t>2.投标报价与评标基准价之差绝对值最小的第</w:t>
      </w:r>
      <w:r>
        <w:rPr>
          <w:rFonts w:ascii="Times New Roman" w:hAnsi="宋体"/>
          <w:strike/>
          <w:color w:val="auto"/>
          <w:highlight w:val="none"/>
          <w:u w:val="single"/>
        </w:rPr>
        <w:t xml:space="preserve">   </w:t>
      </w:r>
      <w:r>
        <w:rPr>
          <w:rFonts w:ascii="Times New Roman" w:hAnsi="宋体"/>
          <w:strike/>
          <w:color w:val="auto"/>
          <w:highlight w:val="none"/>
        </w:rPr>
        <w:t>名，若出现差值绝对值相同，以投标报价低者优先；若差值绝对值、投标报价均相同时，以技术资信评分高者优先；若差值绝对值、投标报价和技术资信评分均相同时，则由评标委员会记名投票表决方式进入推荐名单。</w:t>
      </w:r>
    </w:p>
    <w:p w14:paraId="1D91FD15">
      <w:pPr>
        <w:jc w:val="center"/>
        <w:rPr>
          <w:rFonts w:hint="eastAsia" w:ascii="宋体" w:hAnsi="宋体" w:cs="宋体"/>
          <w:b/>
          <w:bCs/>
          <w:color w:val="auto"/>
          <w:kern w:val="44"/>
          <w:sz w:val="44"/>
          <w:szCs w:val="44"/>
          <w:highlight w:val="none"/>
        </w:rPr>
      </w:pPr>
    </w:p>
    <w:p w14:paraId="04A6BE4A">
      <w:pPr>
        <w:jc w:val="center"/>
        <w:rPr>
          <w:rFonts w:hint="eastAsia" w:ascii="宋体" w:hAnsi="宋体" w:cs="宋体"/>
          <w:b/>
          <w:bCs/>
          <w:color w:val="auto"/>
          <w:kern w:val="44"/>
          <w:sz w:val="44"/>
          <w:szCs w:val="44"/>
          <w:highlight w:val="none"/>
        </w:rPr>
      </w:pPr>
    </w:p>
    <w:p w14:paraId="0BDEBE14">
      <w:pPr>
        <w:jc w:val="center"/>
        <w:rPr>
          <w:rFonts w:hint="eastAsia" w:ascii="宋体" w:hAnsi="宋体" w:cs="宋体"/>
          <w:b/>
          <w:bCs/>
          <w:color w:val="auto"/>
          <w:kern w:val="44"/>
          <w:sz w:val="44"/>
          <w:szCs w:val="44"/>
          <w:highlight w:val="none"/>
        </w:rPr>
      </w:pPr>
    </w:p>
    <w:p w14:paraId="7B2ECAA5">
      <w:pPr>
        <w:jc w:val="center"/>
        <w:rPr>
          <w:rFonts w:hint="eastAsia" w:ascii="宋体" w:hAnsi="宋体" w:cs="宋体"/>
          <w:b/>
          <w:bCs/>
          <w:color w:val="auto"/>
          <w:kern w:val="44"/>
          <w:sz w:val="44"/>
          <w:szCs w:val="44"/>
          <w:highlight w:val="none"/>
        </w:rPr>
      </w:pPr>
    </w:p>
    <w:p w14:paraId="4D2123C9">
      <w:pPr>
        <w:jc w:val="center"/>
        <w:rPr>
          <w:rFonts w:hint="eastAsia" w:ascii="宋体" w:hAnsi="宋体" w:cs="宋体"/>
          <w:b/>
          <w:bCs/>
          <w:color w:val="auto"/>
          <w:kern w:val="44"/>
          <w:sz w:val="44"/>
          <w:szCs w:val="44"/>
          <w:highlight w:val="none"/>
        </w:rPr>
      </w:pPr>
    </w:p>
    <w:p w14:paraId="0B66BC00">
      <w:pPr>
        <w:pStyle w:val="6"/>
        <w:ind w:firstLine="883"/>
        <w:rPr>
          <w:rFonts w:hint="eastAsia" w:ascii="宋体" w:hAnsi="宋体" w:cs="宋体"/>
          <w:b/>
          <w:bCs/>
          <w:color w:val="auto"/>
          <w:kern w:val="44"/>
          <w:sz w:val="44"/>
          <w:szCs w:val="44"/>
          <w:highlight w:val="none"/>
        </w:rPr>
      </w:pPr>
    </w:p>
    <w:p w14:paraId="7F4707A4">
      <w:pPr>
        <w:pStyle w:val="6"/>
        <w:ind w:firstLine="883"/>
        <w:rPr>
          <w:rFonts w:hint="eastAsia" w:ascii="宋体" w:hAnsi="宋体" w:cs="宋体"/>
          <w:b/>
          <w:bCs/>
          <w:color w:val="auto"/>
          <w:kern w:val="44"/>
          <w:sz w:val="44"/>
          <w:szCs w:val="44"/>
          <w:highlight w:val="none"/>
        </w:rPr>
      </w:pPr>
    </w:p>
    <w:p w14:paraId="62FD0EE5">
      <w:pPr>
        <w:pStyle w:val="6"/>
        <w:ind w:firstLine="883"/>
        <w:rPr>
          <w:rFonts w:hint="eastAsia" w:ascii="宋体" w:hAnsi="宋体" w:cs="宋体"/>
          <w:b/>
          <w:bCs/>
          <w:color w:val="auto"/>
          <w:kern w:val="44"/>
          <w:sz w:val="44"/>
          <w:szCs w:val="44"/>
          <w:highlight w:val="none"/>
        </w:rPr>
      </w:pPr>
    </w:p>
    <w:p w14:paraId="21314BD3">
      <w:pPr>
        <w:pStyle w:val="6"/>
        <w:ind w:firstLine="883"/>
        <w:rPr>
          <w:rFonts w:hint="eastAsia" w:ascii="宋体" w:hAnsi="宋体" w:cs="宋体"/>
          <w:b/>
          <w:bCs/>
          <w:color w:val="auto"/>
          <w:kern w:val="44"/>
          <w:sz w:val="44"/>
          <w:szCs w:val="44"/>
          <w:highlight w:val="none"/>
        </w:rPr>
      </w:pPr>
    </w:p>
    <w:p w14:paraId="04812ECA">
      <w:pPr>
        <w:pStyle w:val="6"/>
        <w:ind w:firstLine="883"/>
        <w:rPr>
          <w:rFonts w:hint="eastAsia" w:ascii="宋体" w:hAnsi="宋体" w:cs="宋体"/>
          <w:b/>
          <w:bCs/>
          <w:color w:val="auto"/>
          <w:kern w:val="44"/>
          <w:sz w:val="44"/>
          <w:szCs w:val="44"/>
          <w:highlight w:val="none"/>
        </w:rPr>
      </w:pPr>
    </w:p>
    <w:p w14:paraId="50339A25">
      <w:pPr>
        <w:pStyle w:val="6"/>
        <w:ind w:firstLine="883"/>
        <w:rPr>
          <w:rFonts w:hint="eastAsia" w:ascii="宋体" w:hAnsi="宋体" w:cs="宋体"/>
          <w:b/>
          <w:bCs/>
          <w:color w:val="auto"/>
          <w:kern w:val="44"/>
          <w:sz w:val="44"/>
          <w:szCs w:val="44"/>
          <w:highlight w:val="none"/>
        </w:rPr>
      </w:pPr>
    </w:p>
    <w:p w14:paraId="2F91D796">
      <w:pPr>
        <w:pStyle w:val="6"/>
        <w:ind w:firstLine="883"/>
        <w:rPr>
          <w:rFonts w:hint="eastAsia" w:ascii="宋体" w:hAnsi="宋体" w:cs="宋体"/>
          <w:b/>
          <w:bCs/>
          <w:color w:val="auto"/>
          <w:kern w:val="44"/>
          <w:sz w:val="44"/>
          <w:szCs w:val="44"/>
          <w:highlight w:val="none"/>
        </w:rPr>
      </w:pPr>
    </w:p>
    <w:p w14:paraId="7699778B">
      <w:pPr>
        <w:pStyle w:val="6"/>
        <w:ind w:firstLine="883"/>
        <w:rPr>
          <w:rFonts w:hint="eastAsia" w:ascii="宋体" w:hAnsi="宋体" w:cs="宋体"/>
          <w:b/>
          <w:bCs/>
          <w:color w:val="auto"/>
          <w:kern w:val="44"/>
          <w:sz w:val="44"/>
          <w:szCs w:val="44"/>
          <w:highlight w:val="none"/>
        </w:rPr>
      </w:pPr>
    </w:p>
    <w:p w14:paraId="2E78E7DF">
      <w:pPr>
        <w:jc w:val="center"/>
        <w:rPr>
          <w:rFonts w:hint="eastAsia" w:ascii="宋体" w:hAnsi="宋体" w:cs="宋体"/>
          <w:b/>
          <w:bCs/>
          <w:color w:val="auto"/>
          <w:sz w:val="30"/>
          <w:szCs w:val="30"/>
          <w:highlight w:val="none"/>
        </w:rPr>
      </w:pPr>
    </w:p>
    <w:p w14:paraId="77171468">
      <w:pPr>
        <w:jc w:val="center"/>
        <w:rPr>
          <w:rFonts w:hint="eastAsia" w:ascii="宋体" w:hAnsi="宋体" w:cs="宋体"/>
          <w:b/>
          <w:bCs/>
          <w:color w:val="auto"/>
          <w:sz w:val="30"/>
          <w:szCs w:val="30"/>
          <w:highlight w:val="none"/>
        </w:rPr>
      </w:pPr>
      <w:bookmarkStart w:id="200" w:name="_GoBack"/>
      <w:bookmarkEnd w:id="200"/>
      <w:r>
        <w:rPr>
          <w:rFonts w:hint="eastAsia" w:ascii="宋体" w:hAnsi="宋体" w:cs="宋体"/>
          <w:b/>
          <w:bCs/>
          <w:color w:val="auto"/>
          <w:sz w:val="30"/>
          <w:szCs w:val="30"/>
          <w:highlight w:val="none"/>
        </w:rPr>
        <w:t>全国各省最高工程质量奖名单</w:t>
      </w:r>
    </w:p>
    <w:p w14:paraId="4B76DE08">
      <w:pPr>
        <w:jc w:val="center"/>
        <w:rPr>
          <w:rFonts w:hint="eastAsia" w:ascii="宋体" w:hAnsi="宋体" w:cs="宋体"/>
          <w:color w:val="auto"/>
          <w:sz w:val="21"/>
          <w:szCs w:val="21"/>
          <w:highlight w:val="none"/>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4505"/>
        <w:gridCol w:w="4080"/>
      </w:tblGrid>
      <w:tr w14:paraId="54CA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Pr>
          <w:p w14:paraId="2A30A350">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4505" w:type="dxa"/>
          </w:tcPr>
          <w:p w14:paraId="26F5F5B4">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最高质量奖</w:t>
            </w:r>
          </w:p>
        </w:tc>
        <w:tc>
          <w:tcPr>
            <w:tcW w:w="4080" w:type="dxa"/>
          </w:tcPr>
          <w:p w14:paraId="44DFB25D">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主办单位</w:t>
            </w:r>
          </w:p>
        </w:tc>
      </w:tr>
      <w:tr w14:paraId="66FA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73F3C79E">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w:t>
            </w:r>
          </w:p>
        </w:tc>
        <w:tc>
          <w:tcPr>
            <w:tcW w:w="4505" w:type="dxa"/>
          </w:tcPr>
          <w:p w14:paraId="6A3DDD1A">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北京市建筑(竣工)“长城杯”金质奖</w:t>
            </w:r>
          </w:p>
        </w:tc>
        <w:tc>
          <w:tcPr>
            <w:tcW w:w="4080" w:type="dxa"/>
          </w:tcPr>
          <w:p w14:paraId="62580D14">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北京市工程建设质量管理协会</w:t>
            </w:r>
          </w:p>
        </w:tc>
      </w:tr>
      <w:tr w14:paraId="531F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38226C32">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w:t>
            </w:r>
          </w:p>
        </w:tc>
        <w:tc>
          <w:tcPr>
            <w:tcW w:w="4505" w:type="dxa"/>
          </w:tcPr>
          <w:p w14:paraId="1B9D7A01">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天津市建设工程“海河杯”</w:t>
            </w:r>
          </w:p>
        </w:tc>
        <w:tc>
          <w:tcPr>
            <w:tcW w:w="4080" w:type="dxa"/>
          </w:tcPr>
          <w:p w14:paraId="035E48EA">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天津市建筑施工行业协会</w:t>
            </w:r>
          </w:p>
        </w:tc>
      </w:tr>
      <w:tr w14:paraId="41DB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0C443143">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3</w:t>
            </w:r>
          </w:p>
        </w:tc>
        <w:tc>
          <w:tcPr>
            <w:tcW w:w="4505" w:type="dxa"/>
          </w:tcPr>
          <w:p w14:paraId="2F229D79">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河北省建筑工程“安济杯”奖</w:t>
            </w:r>
          </w:p>
        </w:tc>
        <w:tc>
          <w:tcPr>
            <w:tcW w:w="4080" w:type="dxa"/>
          </w:tcPr>
          <w:p w14:paraId="5E000565">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河北省建筑业协会</w:t>
            </w:r>
          </w:p>
        </w:tc>
      </w:tr>
      <w:tr w14:paraId="38C0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29CA3C2C">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4</w:t>
            </w:r>
          </w:p>
        </w:tc>
        <w:tc>
          <w:tcPr>
            <w:tcW w:w="4505" w:type="dxa"/>
          </w:tcPr>
          <w:p w14:paraId="4E733535">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山西省建设工程“汾水杯”奖</w:t>
            </w:r>
          </w:p>
        </w:tc>
        <w:tc>
          <w:tcPr>
            <w:tcW w:w="4080" w:type="dxa"/>
          </w:tcPr>
          <w:p w14:paraId="34CD0833">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山西省建筑业协会</w:t>
            </w:r>
          </w:p>
        </w:tc>
      </w:tr>
      <w:tr w14:paraId="6F9C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445B4167">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5</w:t>
            </w:r>
          </w:p>
        </w:tc>
        <w:tc>
          <w:tcPr>
            <w:tcW w:w="4505" w:type="dxa"/>
          </w:tcPr>
          <w:p w14:paraId="7BE8ED86">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内蒙古自治区“草原杯”工程质量奖</w:t>
            </w:r>
          </w:p>
        </w:tc>
        <w:tc>
          <w:tcPr>
            <w:tcW w:w="4080" w:type="dxa"/>
          </w:tcPr>
          <w:p w14:paraId="31ED171B">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内蒙古自治区住房建设厅</w:t>
            </w:r>
          </w:p>
        </w:tc>
      </w:tr>
      <w:tr w14:paraId="3EFB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55F08E6D">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6</w:t>
            </w:r>
          </w:p>
        </w:tc>
        <w:tc>
          <w:tcPr>
            <w:tcW w:w="4505" w:type="dxa"/>
          </w:tcPr>
          <w:p w14:paraId="0894DD6B">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辽宁省建设工程“世纪杯”奖</w:t>
            </w:r>
          </w:p>
        </w:tc>
        <w:tc>
          <w:tcPr>
            <w:tcW w:w="4080" w:type="dxa"/>
          </w:tcPr>
          <w:p w14:paraId="51FF01F9">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辽宁省建筑业协会</w:t>
            </w:r>
          </w:p>
        </w:tc>
      </w:tr>
      <w:tr w14:paraId="0FE5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5608D7AC">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7</w:t>
            </w:r>
          </w:p>
        </w:tc>
        <w:tc>
          <w:tcPr>
            <w:tcW w:w="4505" w:type="dxa"/>
          </w:tcPr>
          <w:p w14:paraId="2C46C537">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吉林省建设工程“长白山杯”奖</w:t>
            </w:r>
          </w:p>
        </w:tc>
        <w:tc>
          <w:tcPr>
            <w:tcW w:w="4080" w:type="dxa"/>
          </w:tcPr>
          <w:p w14:paraId="32089FC1">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吉林省建筑业协会</w:t>
            </w:r>
          </w:p>
        </w:tc>
      </w:tr>
      <w:tr w14:paraId="63C3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72AA16FC">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8</w:t>
            </w:r>
          </w:p>
        </w:tc>
        <w:tc>
          <w:tcPr>
            <w:tcW w:w="4505" w:type="dxa"/>
          </w:tcPr>
          <w:p w14:paraId="0240AF2C">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黑龙江省建设工程质量“龙江杯”奖</w:t>
            </w:r>
          </w:p>
        </w:tc>
        <w:tc>
          <w:tcPr>
            <w:tcW w:w="4080" w:type="dxa"/>
          </w:tcPr>
          <w:p w14:paraId="068CD493">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黑龙江省建筑业协会</w:t>
            </w:r>
          </w:p>
        </w:tc>
      </w:tr>
      <w:tr w14:paraId="315E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6667D2F2">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9</w:t>
            </w:r>
          </w:p>
        </w:tc>
        <w:tc>
          <w:tcPr>
            <w:tcW w:w="4505" w:type="dxa"/>
          </w:tcPr>
          <w:p w14:paraId="3814856D">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上海市建设工程“白玉兰”奖</w:t>
            </w:r>
          </w:p>
        </w:tc>
        <w:tc>
          <w:tcPr>
            <w:tcW w:w="4080" w:type="dxa"/>
          </w:tcPr>
          <w:p w14:paraId="064F7593">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上海市建筑施工行业协会</w:t>
            </w:r>
          </w:p>
        </w:tc>
      </w:tr>
      <w:tr w14:paraId="517C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09C11AAB">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10</w:t>
            </w:r>
          </w:p>
        </w:tc>
        <w:tc>
          <w:tcPr>
            <w:tcW w:w="4505" w:type="dxa"/>
          </w:tcPr>
          <w:p w14:paraId="5028D063">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江苏省“扬子杯”优质工程奖</w:t>
            </w:r>
          </w:p>
        </w:tc>
        <w:tc>
          <w:tcPr>
            <w:tcW w:w="4080" w:type="dxa"/>
          </w:tcPr>
          <w:p w14:paraId="48CF3DA1">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江苏省住房和城乡建设厅</w:t>
            </w:r>
          </w:p>
        </w:tc>
      </w:tr>
      <w:tr w14:paraId="7083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2560BCCA">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11</w:t>
            </w:r>
          </w:p>
        </w:tc>
        <w:tc>
          <w:tcPr>
            <w:tcW w:w="4505" w:type="dxa"/>
          </w:tcPr>
          <w:p w14:paraId="0B3754BF">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浙江省“钱江杯”优质工程奖</w:t>
            </w:r>
          </w:p>
        </w:tc>
        <w:tc>
          <w:tcPr>
            <w:tcW w:w="4080" w:type="dxa"/>
          </w:tcPr>
          <w:p w14:paraId="64BAE22D">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浙江省住房和城乡建设厅</w:t>
            </w:r>
          </w:p>
        </w:tc>
      </w:tr>
      <w:tr w14:paraId="2FA6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0893DEE3">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12</w:t>
            </w:r>
          </w:p>
        </w:tc>
        <w:tc>
          <w:tcPr>
            <w:tcW w:w="4505" w:type="dxa"/>
          </w:tcPr>
          <w:p w14:paraId="2BDA6489">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安徽省建设工程“黄山杯“</w:t>
            </w:r>
          </w:p>
        </w:tc>
        <w:tc>
          <w:tcPr>
            <w:tcW w:w="4080" w:type="dxa"/>
          </w:tcPr>
          <w:p w14:paraId="744FACD7">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安徽省住房和城乡建设厅</w:t>
            </w:r>
          </w:p>
        </w:tc>
      </w:tr>
      <w:tr w14:paraId="0D1D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26B3EB3A">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13</w:t>
            </w:r>
          </w:p>
        </w:tc>
        <w:tc>
          <w:tcPr>
            <w:tcW w:w="4505" w:type="dxa"/>
          </w:tcPr>
          <w:p w14:paraId="5F53DFCB">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福建省“闽江杯”优质工程奖</w:t>
            </w:r>
          </w:p>
        </w:tc>
        <w:tc>
          <w:tcPr>
            <w:tcW w:w="4080" w:type="dxa"/>
          </w:tcPr>
          <w:p w14:paraId="2FBD52C7">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福建省建筑业协会</w:t>
            </w:r>
          </w:p>
        </w:tc>
      </w:tr>
      <w:tr w14:paraId="732D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3B5B89C7">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14</w:t>
            </w:r>
          </w:p>
        </w:tc>
        <w:tc>
          <w:tcPr>
            <w:tcW w:w="4505" w:type="dxa"/>
          </w:tcPr>
          <w:p w14:paraId="41C1721B">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江西省优质建设工程“杜鹃花奖”</w:t>
            </w:r>
          </w:p>
        </w:tc>
        <w:tc>
          <w:tcPr>
            <w:tcW w:w="4080" w:type="dxa"/>
          </w:tcPr>
          <w:p w14:paraId="35435558">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江西省住房和城乡建设厅</w:t>
            </w:r>
          </w:p>
        </w:tc>
      </w:tr>
      <w:tr w14:paraId="50A0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413D13E7">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15</w:t>
            </w:r>
          </w:p>
        </w:tc>
        <w:tc>
          <w:tcPr>
            <w:tcW w:w="4505" w:type="dxa"/>
          </w:tcPr>
          <w:p w14:paraId="5F314953">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山东省建筑工程质量“泰山杯”奖</w:t>
            </w:r>
          </w:p>
        </w:tc>
        <w:tc>
          <w:tcPr>
            <w:tcW w:w="4080" w:type="dxa"/>
          </w:tcPr>
          <w:p w14:paraId="00D6EF24">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山东省住房和城乡建设厅</w:t>
            </w:r>
          </w:p>
        </w:tc>
      </w:tr>
      <w:tr w14:paraId="4E53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46D00B66">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16</w:t>
            </w:r>
          </w:p>
        </w:tc>
        <w:tc>
          <w:tcPr>
            <w:tcW w:w="4505" w:type="dxa"/>
          </w:tcPr>
          <w:p w14:paraId="36522903">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河南省建设工程“中州杯”奖</w:t>
            </w:r>
          </w:p>
        </w:tc>
        <w:tc>
          <w:tcPr>
            <w:tcW w:w="4080" w:type="dxa"/>
          </w:tcPr>
          <w:p w14:paraId="08FC3395">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河南省住房和城乡建设厅</w:t>
            </w:r>
          </w:p>
        </w:tc>
      </w:tr>
      <w:tr w14:paraId="7A14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75539055">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17</w:t>
            </w:r>
          </w:p>
        </w:tc>
        <w:tc>
          <w:tcPr>
            <w:tcW w:w="4505" w:type="dxa"/>
          </w:tcPr>
          <w:p w14:paraId="21D509B6">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湖北省建设优质工程(楚天杯)</w:t>
            </w:r>
          </w:p>
        </w:tc>
        <w:tc>
          <w:tcPr>
            <w:tcW w:w="4080" w:type="dxa"/>
          </w:tcPr>
          <w:p w14:paraId="04E25646">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湖北省建设工程质量安全协会</w:t>
            </w:r>
          </w:p>
        </w:tc>
      </w:tr>
      <w:tr w14:paraId="789B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7E009FAA">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18</w:t>
            </w:r>
          </w:p>
        </w:tc>
        <w:tc>
          <w:tcPr>
            <w:tcW w:w="4505" w:type="dxa"/>
          </w:tcPr>
          <w:p w14:paraId="78FA34B7">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湖南省建设工程“芙蓉奖</w:t>
            </w:r>
          </w:p>
        </w:tc>
        <w:tc>
          <w:tcPr>
            <w:tcW w:w="4080" w:type="dxa"/>
          </w:tcPr>
          <w:p w14:paraId="31C54957">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湖南省建筑业协会</w:t>
            </w:r>
          </w:p>
        </w:tc>
      </w:tr>
      <w:tr w14:paraId="6DB8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7CF16FDC">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19</w:t>
            </w:r>
          </w:p>
        </w:tc>
        <w:tc>
          <w:tcPr>
            <w:tcW w:w="4505" w:type="dxa"/>
          </w:tcPr>
          <w:p w14:paraId="555D3D09">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广东省建设工程“金匠奖</w:t>
            </w:r>
          </w:p>
        </w:tc>
        <w:tc>
          <w:tcPr>
            <w:tcW w:w="4080" w:type="dxa"/>
          </w:tcPr>
          <w:p w14:paraId="74FB74AF">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广东省建筑业协会</w:t>
            </w:r>
          </w:p>
        </w:tc>
      </w:tr>
      <w:tr w14:paraId="30A1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514C3725">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20</w:t>
            </w:r>
          </w:p>
        </w:tc>
        <w:tc>
          <w:tcPr>
            <w:tcW w:w="4505" w:type="dxa"/>
          </w:tcPr>
          <w:p w14:paraId="73EC6A78">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广西壮族自治区建设工程“真武阁杯”奖</w:t>
            </w:r>
          </w:p>
        </w:tc>
        <w:tc>
          <w:tcPr>
            <w:tcW w:w="4080" w:type="dxa"/>
          </w:tcPr>
          <w:p w14:paraId="4FBD6A3D">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广西建筑业联合会</w:t>
            </w:r>
          </w:p>
        </w:tc>
      </w:tr>
      <w:tr w14:paraId="61D2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40EBB853">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21</w:t>
            </w:r>
          </w:p>
        </w:tc>
        <w:tc>
          <w:tcPr>
            <w:tcW w:w="4505" w:type="dxa"/>
          </w:tcPr>
          <w:p w14:paraId="2E0B1F72">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海南省建筑工程“绿岛杯”</w:t>
            </w:r>
          </w:p>
        </w:tc>
        <w:tc>
          <w:tcPr>
            <w:tcW w:w="4080" w:type="dxa"/>
          </w:tcPr>
          <w:p w14:paraId="7BC22357">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海南省建筑业协会</w:t>
            </w:r>
          </w:p>
        </w:tc>
      </w:tr>
      <w:tr w14:paraId="720E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6B2AAEBD">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22</w:t>
            </w:r>
          </w:p>
        </w:tc>
        <w:tc>
          <w:tcPr>
            <w:tcW w:w="4505" w:type="dxa"/>
          </w:tcPr>
          <w:p w14:paraId="5F7E8663">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重庆市“巴渝杯”优质工程</w:t>
            </w:r>
          </w:p>
        </w:tc>
        <w:tc>
          <w:tcPr>
            <w:tcW w:w="4080" w:type="dxa"/>
          </w:tcPr>
          <w:p w14:paraId="13F67C61">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重庆市建筑业协会</w:t>
            </w:r>
          </w:p>
        </w:tc>
      </w:tr>
      <w:tr w14:paraId="2699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28700D02">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23</w:t>
            </w:r>
          </w:p>
        </w:tc>
        <w:tc>
          <w:tcPr>
            <w:tcW w:w="4505" w:type="dxa"/>
          </w:tcPr>
          <w:p w14:paraId="6DAFD36D">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四川省建设工程“天府杯”金奖</w:t>
            </w:r>
          </w:p>
        </w:tc>
        <w:tc>
          <w:tcPr>
            <w:tcW w:w="4080" w:type="dxa"/>
          </w:tcPr>
          <w:p w14:paraId="0D4EE44D">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四川省建设工程质量安全与监理协会</w:t>
            </w:r>
          </w:p>
        </w:tc>
      </w:tr>
      <w:tr w14:paraId="16D9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5B7E2095">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24</w:t>
            </w:r>
          </w:p>
        </w:tc>
        <w:tc>
          <w:tcPr>
            <w:tcW w:w="4505" w:type="dxa"/>
          </w:tcPr>
          <w:p w14:paraId="10B4E14D">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贵州省“黄果树杯”优质工程奖</w:t>
            </w:r>
          </w:p>
        </w:tc>
        <w:tc>
          <w:tcPr>
            <w:tcW w:w="4080" w:type="dxa"/>
          </w:tcPr>
          <w:p w14:paraId="06341367">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贵州省建筑业协会</w:t>
            </w:r>
          </w:p>
        </w:tc>
      </w:tr>
      <w:tr w14:paraId="6196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20EFD5C3">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25</w:t>
            </w:r>
          </w:p>
        </w:tc>
        <w:tc>
          <w:tcPr>
            <w:tcW w:w="4505" w:type="dxa"/>
          </w:tcPr>
          <w:p w14:paraId="2BE84B5E">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云南省优质工程一等奖</w:t>
            </w:r>
          </w:p>
        </w:tc>
        <w:tc>
          <w:tcPr>
            <w:tcW w:w="4080" w:type="dxa"/>
          </w:tcPr>
          <w:p w14:paraId="09A03177">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云南省建筑业协会</w:t>
            </w:r>
          </w:p>
        </w:tc>
      </w:tr>
      <w:tr w14:paraId="6B4D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5E20E0E9">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26</w:t>
            </w:r>
          </w:p>
        </w:tc>
        <w:tc>
          <w:tcPr>
            <w:tcW w:w="4505" w:type="dxa"/>
          </w:tcPr>
          <w:p w14:paraId="2E61253C">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西藏自治区“雪莲杯”优质工程奖</w:t>
            </w:r>
          </w:p>
        </w:tc>
        <w:tc>
          <w:tcPr>
            <w:tcW w:w="4080" w:type="dxa"/>
          </w:tcPr>
          <w:p w14:paraId="5FDE396D">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西藏自治区住房和城乡建设厅</w:t>
            </w:r>
          </w:p>
        </w:tc>
      </w:tr>
      <w:tr w14:paraId="10BC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25C2F40D">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27</w:t>
            </w:r>
          </w:p>
        </w:tc>
        <w:tc>
          <w:tcPr>
            <w:tcW w:w="4505" w:type="dxa"/>
          </w:tcPr>
          <w:p w14:paraId="431965C6">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陕西省建设工程“长安杯”奖</w:t>
            </w:r>
          </w:p>
        </w:tc>
        <w:tc>
          <w:tcPr>
            <w:tcW w:w="4080" w:type="dxa"/>
          </w:tcPr>
          <w:p w14:paraId="4062289C">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陕西省住房和城乡建设厅</w:t>
            </w:r>
          </w:p>
        </w:tc>
      </w:tr>
      <w:tr w14:paraId="63E7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315FD137">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28</w:t>
            </w:r>
          </w:p>
        </w:tc>
        <w:tc>
          <w:tcPr>
            <w:tcW w:w="4505" w:type="dxa"/>
          </w:tcPr>
          <w:p w14:paraId="43E9FF20">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甘肃省建设工程飞天奖</w:t>
            </w:r>
          </w:p>
        </w:tc>
        <w:tc>
          <w:tcPr>
            <w:tcW w:w="4080" w:type="dxa"/>
          </w:tcPr>
          <w:p w14:paraId="02ED47CB">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甘肃省住房和城乡建设厅</w:t>
            </w:r>
          </w:p>
        </w:tc>
      </w:tr>
      <w:tr w14:paraId="7EFA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53F1944B">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29</w:t>
            </w:r>
          </w:p>
        </w:tc>
        <w:tc>
          <w:tcPr>
            <w:tcW w:w="4505" w:type="dxa"/>
          </w:tcPr>
          <w:p w14:paraId="75D2E319">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青海省建筑工程“江河源”杯奖</w:t>
            </w:r>
          </w:p>
        </w:tc>
        <w:tc>
          <w:tcPr>
            <w:tcW w:w="4080" w:type="dxa"/>
          </w:tcPr>
          <w:p w14:paraId="365F3ED4">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青海省建筑业协会</w:t>
            </w:r>
          </w:p>
        </w:tc>
      </w:tr>
      <w:tr w14:paraId="5227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5A7F1898">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30</w:t>
            </w:r>
          </w:p>
        </w:tc>
        <w:tc>
          <w:tcPr>
            <w:tcW w:w="4505" w:type="dxa"/>
          </w:tcPr>
          <w:p w14:paraId="58DF7408">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宁夏回族自治区“西夏杯”优质工程奖</w:t>
            </w:r>
          </w:p>
        </w:tc>
        <w:tc>
          <w:tcPr>
            <w:tcW w:w="4080" w:type="dxa"/>
          </w:tcPr>
          <w:p w14:paraId="0F733791">
            <w:pPr>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宁夏回族自治区住房和城乡建设厅</w:t>
            </w:r>
          </w:p>
        </w:tc>
      </w:tr>
      <w:tr w14:paraId="1FF8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Align w:val="center"/>
          </w:tcPr>
          <w:p w14:paraId="4ECB79E3">
            <w:pPr>
              <w:widowControl/>
              <w:autoSpaceDE/>
              <w:autoSpaceDN/>
              <w:adjustRightInd/>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bidi="ar"/>
              </w:rPr>
              <w:t>31</w:t>
            </w:r>
          </w:p>
        </w:tc>
        <w:tc>
          <w:tcPr>
            <w:tcW w:w="4505" w:type="dxa"/>
          </w:tcPr>
          <w:p w14:paraId="6F0FE9C8">
            <w:pPr>
              <w:autoSpaceDE/>
              <w:autoSpaceDN/>
              <w:adjustRightInd/>
              <w:spacing w:line="400" w:lineRule="exact"/>
              <w:jc w:val="center"/>
              <w:rPr>
                <w:rFonts w:hint="eastAsia" w:ascii="宋体" w:hAnsi="宋体" w:cs="宋体"/>
                <w:color w:val="auto"/>
                <w:kern w:val="2"/>
                <w:sz w:val="21"/>
                <w:szCs w:val="21"/>
                <w:highlight w:val="none"/>
              </w:rPr>
            </w:pPr>
            <w:r>
              <w:rPr>
                <w:rFonts w:hint="eastAsia" w:ascii="宋体" w:hAnsi="宋体" w:cs="宋体"/>
                <w:color w:val="auto"/>
                <w:sz w:val="21"/>
                <w:szCs w:val="21"/>
                <w:highlight w:val="none"/>
              </w:rPr>
              <w:t>新疆建筑工程天山奖(自治区优质工程)</w:t>
            </w:r>
          </w:p>
        </w:tc>
        <w:tc>
          <w:tcPr>
            <w:tcW w:w="4080" w:type="dxa"/>
          </w:tcPr>
          <w:p w14:paraId="50888236">
            <w:pPr>
              <w:autoSpaceDE/>
              <w:autoSpaceDN/>
              <w:adjustRightInd/>
              <w:spacing w:line="400" w:lineRule="exact"/>
              <w:jc w:val="center"/>
              <w:rPr>
                <w:rFonts w:hint="eastAsia" w:ascii="宋体" w:hAnsi="宋体" w:cs="宋体"/>
                <w:color w:val="auto"/>
                <w:kern w:val="2"/>
                <w:sz w:val="21"/>
                <w:szCs w:val="21"/>
                <w:highlight w:val="none"/>
              </w:rPr>
            </w:pPr>
            <w:r>
              <w:rPr>
                <w:rFonts w:hint="eastAsia" w:ascii="宋体" w:hAnsi="宋体" w:cs="宋体"/>
                <w:color w:val="auto"/>
                <w:sz w:val="21"/>
                <w:szCs w:val="21"/>
                <w:highlight w:val="none"/>
              </w:rPr>
              <w:t>新疆维吾尔自治区建筑业协会</w:t>
            </w:r>
          </w:p>
        </w:tc>
      </w:tr>
    </w:tbl>
    <w:p w14:paraId="0D4F08B3">
      <w:pPr>
        <w:jc w:val="center"/>
        <w:rPr>
          <w:rFonts w:hint="eastAsia" w:ascii="宋体" w:hAnsi="宋体" w:cs="宋体"/>
          <w:bCs/>
          <w:strike/>
          <w:color w:val="auto"/>
          <w:sz w:val="28"/>
          <w:szCs w:val="28"/>
          <w:highlight w:val="none"/>
        </w:rPr>
      </w:pPr>
      <w:r>
        <w:rPr>
          <w:rFonts w:hint="eastAsia" w:ascii="宋体" w:hAnsi="宋体" w:cs="宋体"/>
          <w:b/>
          <w:bCs/>
          <w:color w:val="auto"/>
          <w:kern w:val="44"/>
          <w:sz w:val="44"/>
          <w:szCs w:val="44"/>
          <w:highlight w:val="none"/>
        </w:rPr>
        <w:br w:type="page"/>
      </w:r>
      <w:r>
        <w:rPr>
          <w:rFonts w:hint="eastAsia" w:hAnsi="宋体"/>
          <w:strike/>
          <w:color w:val="auto"/>
          <w:sz w:val="44"/>
          <w:szCs w:val="44"/>
          <w:highlight w:val="none"/>
        </w:rPr>
        <w:t>□</w:t>
      </w:r>
      <w:r>
        <w:rPr>
          <w:rFonts w:hint="eastAsia" w:ascii="宋体" w:hAnsi="宋体" w:cs="宋体"/>
          <w:bCs/>
          <w:strike/>
          <w:color w:val="auto"/>
          <w:sz w:val="28"/>
          <w:szCs w:val="28"/>
          <w:highlight w:val="none"/>
        </w:rPr>
        <w:t>一、综合评估法（适用于技术标暗标）</w:t>
      </w:r>
    </w:p>
    <w:p w14:paraId="2C0D69DC">
      <w:pPr>
        <w:ind w:firstLine="570"/>
        <w:rPr>
          <w:rFonts w:hint="eastAsia" w:ascii="宋体" w:hAnsi="宋体" w:cs="宋体"/>
          <w:bCs/>
          <w:strike/>
          <w:color w:val="auto"/>
          <w:highlight w:val="none"/>
        </w:rPr>
      </w:pPr>
      <w:r>
        <w:rPr>
          <w:rFonts w:hint="eastAsia" w:ascii="宋体" w:hAnsi="宋体" w:cs="宋体"/>
          <w:bCs/>
          <w:strike/>
          <w:color w:val="auto"/>
          <w:highlight w:val="none"/>
        </w:rPr>
        <w:t>工程总承包综合评估法应先对投标人进行资格审查，已通过资格审查的，采用百分制记分法对投标人分别进行技术、资信、商务报价评分，按总分从高到低进行排序，并按照排序推荐中标候选人。评标应遵循公平、公正、科学、择优的原则。</w:t>
      </w:r>
    </w:p>
    <w:p w14:paraId="19A2E48E">
      <w:pPr>
        <w:ind w:firstLine="480" w:firstLineChars="200"/>
        <w:rPr>
          <w:rFonts w:hint="eastAsia" w:ascii="宋体" w:hAnsi="宋体" w:cs="宋体"/>
          <w:strike/>
          <w:color w:val="auto"/>
          <w:highlight w:val="none"/>
        </w:rPr>
      </w:pPr>
      <w:r>
        <w:rPr>
          <w:rFonts w:hint="eastAsia" w:ascii="宋体" w:hAnsi="宋体" w:cs="宋体"/>
          <w:strike/>
          <w:color w:val="auto"/>
          <w:highlight w:val="none"/>
        </w:rPr>
        <w:t>□</w:t>
      </w:r>
      <w:r>
        <w:rPr>
          <w:rFonts w:hint="eastAsia" w:ascii="宋体" w:hAnsi="宋体" w:cs="宋体"/>
          <w:b/>
          <w:strike/>
          <w:color w:val="auto"/>
          <w:highlight w:val="none"/>
        </w:rPr>
        <w:t>总分</w:t>
      </w:r>
      <w:r>
        <w:rPr>
          <w:rFonts w:hint="eastAsia" w:ascii="宋体" w:hAnsi="宋体" w:cs="宋体"/>
          <w:strike/>
          <w:color w:val="auto"/>
          <w:highlight w:val="none"/>
        </w:rPr>
        <w:t>（100分）：技术标评分（≤30分）</w:t>
      </w:r>
      <w:r>
        <w:rPr>
          <w:rFonts w:hint="eastAsia" w:ascii="宋体" w:hAnsi="宋体" w:cs="宋体"/>
          <w:strike/>
          <w:color w:val="auto"/>
          <w:highlight w:val="none"/>
          <w:u w:val="single"/>
        </w:rPr>
        <w:t xml:space="preserve">    </w:t>
      </w:r>
      <w:r>
        <w:rPr>
          <w:rFonts w:hint="eastAsia" w:ascii="宋体" w:hAnsi="宋体" w:cs="宋体"/>
          <w:strike/>
          <w:color w:val="auto"/>
          <w:highlight w:val="none"/>
        </w:rPr>
        <w:t>分,资信标评分（3-10分）</w:t>
      </w:r>
      <w:r>
        <w:rPr>
          <w:rFonts w:hint="eastAsia" w:ascii="宋体" w:hAnsi="宋体" w:cs="宋体"/>
          <w:strike/>
          <w:color w:val="auto"/>
          <w:highlight w:val="none"/>
          <w:u w:val="single"/>
        </w:rPr>
        <w:t xml:space="preserve">    </w:t>
      </w:r>
      <w:r>
        <w:rPr>
          <w:rFonts w:hint="eastAsia" w:ascii="宋体" w:hAnsi="宋体" w:cs="宋体"/>
          <w:strike/>
          <w:color w:val="auto"/>
          <w:highlight w:val="none"/>
        </w:rPr>
        <w:t>分,商务标评分（≥60分）</w:t>
      </w:r>
      <w:r>
        <w:rPr>
          <w:rFonts w:hint="eastAsia" w:ascii="宋体" w:hAnsi="宋体" w:cs="宋体"/>
          <w:strike/>
          <w:color w:val="auto"/>
          <w:highlight w:val="none"/>
          <w:u w:val="single"/>
        </w:rPr>
        <w:t xml:space="preserve">     </w:t>
      </w:r>
      <w:r>
        <w:rPr>
          <w:rFonts w:hint="eastAsia" w:ascii="宋体" w:hAnsi="宋体" w:cs="宋体"/>
          <w:strike/>
          <w:color w:val="auto"/>
          <w:highlight w:val="none"/>
        </w:rPr>
        <w:t>分之和（具体分值由当地招投标主管部门和招标人确定，</w:t>
      </w:r>
      <w:r>
        <w:rPr>
          <w:rFonts w:hint="eastAsia" w:ascii="宋体" w:hAnsi="宋体" w:cs="宋体"/>
          <w:bCs/>
          <w:strike/>
          <w:color w:val="auto"/>
          <w:highlight w:val="none"/>
        </w:rPr>
        <w:t>适用于技术复杂项目）</w:t>
      </w:r>
    </w:p>
    <w:p w14:paraId="1926E7F1">
      <w:pPr>
        <w:ind w:firstLine="480" w:firstLineChars="200"/>
        <w:rPr>
          <w:rFonts w:hint="eastAsia" w:ascii="宋体" w:hAnsi="宋体" w:cs="宋体"/>
          <w:strike/>
          <w:color w:val="auto"/>
          <w:highlight w:val="none"/>
        </w:rPr>
      </w:pPr>
      <w:r>
        <w:rPr>
          <w:rFonts w:hint="eastAsia" w:ascii="宋体" w:hAnsi="宋体" w:cs="宋体"/>
          <w:strike/>
          <w:color w:val="auto"/>
          <w:highlight w:val="none"/>
        </w:rPr>
        <w:t>□</w:t>
      </w:r>
      <w:r>
        <w:rPr>
          <w:rFonts w:hint="eastAsia" w:ascii="宋体" w:hAnsi="宋体" w:cs="宋体"/>
          <w:b/>
          <w:strike/>
          <w:color w:val="auto"/>
          <w:highlight w:val="none"/>
        </w:rPr>
        <w:t>总分</w:t>
      </w:r>
      <w:r>
        <w:rPr>
          <w:rFonts w:hint="eastAsia" w:ascii="宋体" w:hAnsi="宋体" w:cs="宋体"/>
          <w:strike/>
          <w:color w:val="auto"/>
          <w:highlight w:val="none"/>
        </w:rPr>
        <w:t>（100分）：技术标评分（≤20分）</w:t>
      </w:r>
      <w:r>
        <w:rPr>
          <w:rFonts w:hint="eastAsia" w:ascii="宋体" w:hAnsi="宋体" w:cs="宋体"/>
          <w:strike/>
          <w:color w:val="auto"/>
          <w:highlight w:val="none"/>
          <w:u w:val="single"/>
        </w:rPr>
        <w:t xml:space="preserve">    </w:t>
      </w:r>
      <w:r>
        <w:rPr>
          <w:rFonts w:hint="eastAsia" w:ascii="宋体" w:hAnsi="宋体" w:cs="宋体"/>
          <w:strike/>
          <w:color w:val="auto"/>
          <w:highlight w:val="none"/>
        </w:rPr>
        <w:t>分,资信标评分（3-10分）</w:t>
      </w:r>
      <w:r>
        <w:rPr>
          <w:rFonts w:hint="eastAsia" w:ascii="宋体" w:hAnsi="宋体" w:cs="宋体"/>
          <w:strike/>
          <w:color w:val="auto"/>
          <w:highlight w:val="none"/>
          <w:u w:val="single"/>
        </w:rPr>
        <w:t xml:space="preserve">    </w:t>
      </w:r>
      <w:r>
        <w:rPr>
          <w:rFonts w:hint="eastAsia" w:ascii="宋体" w:hAnsi="宋体" w:cs="宋体"/>
          <w:strike/>
          <w:color w:val="auto"/>
          <w:highlight w:val="none"/>
        </w:rPr>
        <w:t>分,商务标评分（≥70分）</w:t>
      </w:r>
      <w:r>
        <w:rPr>
          <w:rFonts w:hint="eastAsia" w:ascii="宋体" w:hAnsi="宋体" w:cs="宋体"/>
          <w:strike/>
          <w:color w:val="auto"/>
          <w:highlight w:val="none"/>
          <w:u w:val="single"/>
        </w:rPr>
        <w:t xml:space="preserve">     </w:t>
      </w:r>
      <w:r>
        <w:rPr>
          <w:rFonts w:hint="eastAsia" w:ascii="宋体" w:hAnsi="宋体" w:cs="宋体"/>
          <w:strike/>
          <w:color w:val="auto"/>
          <w:highlight w:val="none"/>
        </w:rPr>
        <w:t>分之和（具体分值由当地招投标主管部门和招标人确定，</w:t>
      </w:r>
      <w:r>
        <w:rPr>
          <w:rFonts w:hint="eastAsia" w:ascii="宋体" w:hAnsi="宋体" w:cs="宋体"/>
          <w:bCs/>
          <w:strike/>
          <w:color w:val="auto"/>
          <w:highlight w:val="none"/>
        </w:rPr>
        <w:t>适用于非技术复杂项目</w:t>
      </w:r>
      <w:r>
        <w:rPr>
          <w:rFonts w:hint="eastAsia" w:ascii="宋体" w:hAnsi="宋体" w:cs="宋体"/>
          <w:strike/>
          <w:color w:val="auto"/>
          <w:highlight w:val="none"/>
        </w:rPr>
        <w:t>）</w:t>
      </w:r>
    </w:p>
    <w:p w14:paraId="049CBF8D">
      <w:pPr>
        <w:pStyle w:val="37"/>
        <w:ind w:firstLine="480" w:firstLineChars="200"/>
        <w:rPr>
          <w:rFonts w:hint="eastAsia" w:cs="宋体"/>
          <w:strike/>
          <w:color w:val="auto"/>
          <w:szCs w:val="24"/>
          <w:highlight w:val="none"/>
        </w:rPr>
      </w:pPr>
      <w:r>
        <w:rPr>
          <w:rFonts w:hint="eastAsia" w:cs="宋体"/>
          <w:strike/>
          <w:color w:val="auto"/>
          <w:szCs w:val="24"/>
          <w:highlight w:val="none"/>
        </w:rPr>
        <w:t>评标工作由招标人依法组建的评标委员会负责，评标委员会的组建见投标人须知前附表6.1.1。</w:t>
      </w:r>
    </w:p>
    <w:p w14:paraId="0C6D4424">
      <w:pPr>
        <w:pStyle w:val="36"/>
        <w:numPr>
          <w:ilvl w:val="0"/>
          <w:numId w:val="22"/>
        </w:numPr>
        <w:snapToGrid w:val="0"/>
        <w:rPr>
          <w:rFonts w:hint="eastAsia" w:ascii="宋体" w:hAnsi="宋体" w:cs="宋体"/>
          <w:strike/>
          <w:color w:val="auto"/>
          <w:highlight w:val="none"/>
        </w:rPr>
      </w:pPr>
      <w:r>
        <w:rPr>
          <w:rFonts w:hint="eastAsia" w:ascii="宋体" w:hAnsi="宋体" w:cs="宋体"/>
          <w:b/>
          <w:strike/>
          <w:color w:val="auto"/>
          <w:highlight w:val="none"/>
        </w:rPr>
        <w:t>评标程序</w:t>
      </w:r>
    </w:p>
    <w:p w14:paraId="56DBCA3B">
      <w:pPr>
        <w:pStyle w:val="36"/>
        <w:snapToGrid w:val="0"/>
        <w:ind w:firstLine="360" w:firstLineChars="150"/>
        <w:rPr>
          <w:rFonts w:hint="eastAsia" w:ascii="宋体" w:hAnsi="宋体" w:cs="宋体"/>
          <w:strike/>
          <w:color w:val="auto"/>
          <w:highlight w:val="none"/>
        </w:rPr>
      </w:pPr>
      <w:r>
        <w:rPr>
          <w:rFonts w:hint="eastAsia" w:ascii="宋体" w:hAnsi="宋体" w:cs="宋体"/>
          <w:strike/>
          <w:color w:val="auto"/>
          <w:highlight w:val="none"/>
        </w:rPr>
        <w:t>（一）资格审查</w:t>
      </w:r>
    </w:p>
    <w:p w14:paraId="48EA1944">
      <w:pPr>
        <w:pStyle w:val="36"/>
        <w:snapToGrid w:val="0"/>
        <w:ind w:firstLine="360" w:firstLineChars="150"/>
        <w:rPr>
          <w:rFonts w:hint="eastAsia" w:ascii="宋体" w:hAnsi="宋体" w:cs="宋体"/>
          <w:strike/>
          <w:color w:val="auto"/>
          <w:highlight w:val="none"/>
        </w:rPr>
      </w:pPr>
      <w:r>
        <w:rPr>
          <w:rFonts w:hint="eastAsia" w:ascii="宋体" w:hAnsi="宋体" w:cs="宋体"/>
          <w:strike/>
          <w:color w:val="auto"/>
          <w:highlight w:val="none"/>
        </w:rPr>
        <w:t>（二）技术评审</w:t>
      </w:r>
    </w:p>
    <w:p w14:paraId="57D82BC1">
      <w:pPr>
        <w:pStyle w:val="36"/>
        <w:snapToGrid w:val="0"/>
        <w:ind w:firstLine="360" w:firstLineChars="150"/>
        <w:rPr>
          <w:rFonts w:hint="eastAsia" w:ascii="宋体" w:hAnsi="宋体" w:cs="宋体"/>
          <w:strike/>
          <w:color w:val="auto"/>
          <w:highlight w:val="none"/>
        </w:rPr>
      </w:pPr>
      <w:r>
        <w:rPr>
          <w:rFonts w:hint="eastAsia" w:ascii="宋体" w:hAnsi="宋体" w:cs="宋体"/>
          <w:strike/>
          <w:color w:val="auto"/>
          <w:highlight w:val="none"/>
        </w:rPr>
        <w:t>（三）初步评审</w:t>
      </w:r>
    </w:p>
    <w:p w14:paraId="1B137417">
      <w:pPr>
        <w:pStyle w:val="36"/>
        <w:snapToGrid w:val="0"/>
        <w:ind w:firstLine="360" w:firstLineChars="150"/>
        <w:rPr>
          <w:rFonts w:hint="eastAsia" w:ascii="宋体" w:hAnsi="宋体" w:cs="宋体"/>
          <w:strike/>
          <w:color w:val="auto"/>
          <w:highlight w:val="none"/>
        </w:rPr>
      </w:pPr>
      <w:r>
        <w:rPr>
          <w:rFonts w:hint="eastAsia" w:ascii="宋体" w:hAnsi="宋体" w:cs="宋体"/>
          <w:strike/>
          <w:color w:val="auto"/>
          <w:highlight w:val="none"/>
        </w:rPr>
        <w:t>（四）资信评审</w:t>
      </w:r>
    </w:p>
    <w:p w14:paraId="54595C30">
      <w:pPr>
        <w:pStyle w:val="36"/>
        <w:snapToGrid w:val="0"/>
        <w:ind w:firstLine="360" w:firstLineChars="150"/>
        <w:rPr>
          <w:rFonts w:hint="eastAsia" w:ascii="宋体" w:hAnsi="宋体" w:cs="宋体"/>
          <w:strike/>
          <w:color w:val="auto"/>
          <w:highlight w:val="none"/>
        </w:rPr>
      </w:pPr>
      <w:r>
        <w:rPr>
          <w:rFonts w:hint="eastAsia" w:ascii="宋体" w:hAnsi="宋体" w:cs="宋体"/>
          <w:strike/>
          <w:color w:val="auto"/>
          <w:highlight w:val="none"/>
        </w:rPr>
        <w:t>（五）商务评审</w:t>
      </w:r>
    </w:p>
    <w:p w14:paraId="0332825F">
      <w:pPr>
        <w:pStyle w:val="36"/>
        <w:snapToGrid w:val="0"/>
        <w:ind w:firstLine="360" w:firstLineChars="150"/>
        <w:rPr>
          <w:rFonts w:hint="eastAsia" w:ascii="宋体" w:hAnsi="宋体" w:cs="宋体"/>
          <w:strike/>
          <w:color w:val="auto"/>
          <w:highlight w:val="none"/>
        </w:rPr>
      </w:pPr>
      <w:r>
        <w:rPr>
          <w:rFonts w:hint="eastAsia" w:ascii="宋体" w:hAnsi="宋体" w:cs="宋体"/>
          <w:strike/>
          <w:color w:val="auto"/>
          <w:highlight w:val="none"/>
        </w:rPr>
        <w:t>（六）推荐中标候选人</w:t>
      </w:r>
    </w:p>
    <w:p w14:paraId="43C01D53">
      <w:pPr>
        <w:pStyle w:val="36"/>
        <w:snapToGrid w:val="0"/>
        <w:ind w:firstLine="360" w:firstLineChars="150"/>
        <w:rPr>
          <w:rFonts w:hint="eastAsia" w:ascii="宋体" w:hAnsi="宋体" w:cs="宋体"/>
          <w:strike/>
          <w:color w:val="auto"/>
          <w:highlight w:val="none"/>
        </w:rPr>
      </w:pPr>
      <w:r>
        <w:rPr>
          <w:rFonts w:hint="eastAsia" w:ascii="宋体" w:hAnsi="宋体" w:cs="宋体"/>
          <w:strike/>
          <w:color w:val="auto"/>
          <w:highlight w:val="none"/>
        </w:rPr>
        <w:t>（七）出具评标报告</w:t>
      </w:r>
    </w:p>
    <w:p w14:paraId="3C31D671">
      <w:pPr>
        <w:ind w:firstLine="480" w:firstLineChars="200"/>
        <w:rPr>
          <w:rFonts w:hint="eastAsia" w:ascii="宋体" w:hAnsi="宋体" w:cs="宋体"/>
          <w:strike/>
          <w:color w:val="auto"/>
          <w:highlight w:val="none"/>
        </w:rPr>
      </w:pPr>
      <w:r>
        <w:rPr>
          <w:rFonts w:hint="eastAsia" w:ascii="宋体" w:hAnsi="宋体" w:cs="宋体"/>
          <w:strike/>
          <w:color w:val="auto"/>
          <w:highlight w:val="none"/>
        </w:rPr>
        <w:t>询标：（1）投标文件中有含义不明确的内容、明显文字或计算错误，评标委员会认为需要投标人作出必要澄清、说明的，应当组织询标。</w:t>
      </w:r>
    </w:p>
    <w:p w14:paraId="5EFC7CFF">
      <w:pPr>
        <w:ind w:firstLine="480" w:firstLineChars="200"/>
        <w:rPr>
          <w:rFonts w:hint="eastAsia" w:ascii="宋体" w:hAnsi="宋体" w:cs="宋体"/>
          <w:strike/>
          <w:color w:val="auto"/>
          <w:highlight w:val="none"/>
        </w:rPr>
      </w:pPr>
      <w:r>
        <w:rPr>
          <w:rFonts w:hint="eastAsia" w:ascii="宋体" w:hAnsi="宋体" w:cs="宋体"/>
          <w:strike/>
          <w:color w:val="auto"/>
          <w:highlight w:val="none"/>
        </w:rPr>
        <w:t>（2）凡是评标委员会拟作出否决投标决定的，须组织相关投标人询问核实。未进行询问核实的，不得作出否决投标的决定，投标人放弃询问核实机会的除外。投标人应自行关注评标委员会发出的澄清并及时答复，在规定的时限内投标人不参加核实或不予答复的，视为放弃接受询问核实的机会。</w:t>
      </w:r>
    </w:p>
    <w:p w14:paraId="17543B93">
      <w:pPr>
        <w:ind w:firstLine="480" w:firstLineChars="200"/>
        <w:rPr>
          <w:rFonts w:hint="eastAsia" w:ascii="宋体" w:hAnsi="宋体" w:cs="宋体"/>
          <w:strike/>
          <w:color w:val="auto"/>
          <w:highlight w:val="none"/>
        </w:rPr>
      </w:pPr>
      <w:r>
        <w:rPr>
          <w:rFonts w:hint="eastAsia" w:ascii="宋体" w:hAnsi="宋体" w:cs="宋体"/>
          <w:strike/>
          <w:color w:val="auto"/>
          <w:highlight w:val="none"/>
        </w:rPr>
        <w:t>（3）询标问题及投标人的澄清、说明应当采用书面形式，并不得超出投标文件的范围或者改变投标文件的实质性内容。</w:t>
      </w:r>
    </w:p>
    <w:p w14:paraId="157E3053">
      <w:pPr>
        <w:ind w:firstLine="480" w:firstLineChars="200"/>
        <w:rPr>
          <w:rFonts w:hint="eastAsia" w:ascii="宋体" w:hAnsi="宋体" w:cs="宋体"/>
          <w:strike/>
          <w:color w:val="auto"/>
          <w:highlight w:val="none"/>
        </w:rPr>
      </w:pPr>
      <w:r>
        <w:rPr>
          <w:rFonts w:hint="eastAsia" w:ascii="宋体" w:hAnsi="宋体" w:cs="宋体"/>
          <w:strike/>
          <w:color w:val="auto"/>
          <w:highlight w:val="none"/>
        </w:rPr>
        <w:t>（4）评标委员会不得暗示或者诱导投标人作出澄清、说明，不得接受投标人主动提出的澄清、说明。</w:t>
      </w:r>
    </w:p>
    <w:p w14:paraId="2510A34A">
      <w:pPr>
        <w:ind w:firstLine="480" w:firstLineChars="200"/>
        <w:rPr>
          <w:rFonts w:hint="eastAsia" w:ascii="宋体" w:hAnsi="宋体" w:cs="宋体"/>
          <w:strike/>
          <w:color w:val="auto"/>
          <w:highlight w:val="none"/>
        </w:rPr>
      </w:pPr>
      <w:r>
        <w:rPr>
          <w:rFonts w:hint="eastAsia" w:ascii="宋体" w:hAnsi="宋体" w:cs="宋体"/>
          <w:strike/>
          <w:color w:val="auto"/>
          <w:highlight w:val="none"/>
        </w:rPr>
        <w:t>（5）投标人不得通过补充、修改或撤销投标文件中的内容使其成为实质性响应的投标，投标人在投标截止时间以后不得提交任何资料作为评标依据。</w:t>
      </w:r>
    </w:p>
    <w:p w14:paraId="0A551E22">
      <w:pPr>
        <w:pStyle w:val="36"/>
        <w:numPr>
          <w:ilvl w:val="0"/>
          <w:numId w:val="22"/>
        </w:numPr>
        <w:snapToGrid w:val="0"/>
        <w:ind w:left="-1" w:firstLine="481"/>
        <w:rPr>
          <w:rFonts w:hint="eastAsia" w:ascii="宋体" w:hAnsi="宋体" w:cs="宋体"/>
          <w:b/>
          <w:strike/>
          <w:color w:val="auto"/>
          <w:highlight w:val="none"/>
        </w:rPr>
      </w:pPr>
      <w:r>
        <w:rPr>
          <w:rFonts w:hint="eastAsia" w:ascii="宋体" w:hAnsi="宋体" w:cs="宋体"/>
          <w:b/>
          <w:strike/>
          <w:color w:val="auto"/>
          <w:highlight w:val="none"/>
        </w:rPr>
        <w:t>资格审查</w:t>
      </w:r>
    </w:p>
    <w:p w14:paraId="7E71C66E">
      <w:pPr>
        <w:ind w:firstLine="570"/>
        <w:rPr>
          <w:rFonts w:hint="eastAsia" w:ascii="宋体" w:hAnsi="宋体" w:cs="宋体"/>
          <w:strike/>
          <w:color w:val="auto"/>
          <w:highlight w:val="none"/>
        </w:rPr>
      </w:pPr>
      <w:r>
        <w:rPr>
          <w:rFonts w:hint="eastAsia" w:ascii="宋体" w:hAnsi="宋体" w:cs="宋体"/>
          <w:strike/>
          <w:color w:val="auto"/>
          <w:highlight w:val="none"/>
        </w:rPr>
        <w:t>投标文件存在投标人须知前附表10.1情形符合性内容之一的，评标委员会组织投标人询问核实后，情况属实的，资格审查不予通过，否决其投标，不再进入后续评审程序。</w:t>
      </w:r>
    </w:p>
    <w:p w14:paraId="6DD6601F">
      <w:pPr>
        <w:pStyle w:val="9"/>
        <w:tabs>
          <w:tab w:val="left" w:pos="1343"/>
          <w:tab w:val="left" w:pos="2697"/>
          <w:tab w:val="left" w:pos="3264"/>
          <w:tab w:val="left" w:pos="4896"/>
          <w:tab w:val="left" w:pos="6005"/>
          <w:tab w:val="left" w:pos="7085"/>
          <w:tab w:val="left" w:pos="7498"/>
        </w:tabs>
        <w:adjustRightInd/>
        <w:ind w:firstLine="480" w:firstLineChars="200"/>
        <w:jc w:val="both"/>
        <w:rPr>
          <w:strike/>
          <w:color w:val="auto"/>
          <w:highlight w:val="none"/>
        </w:rPr>
      </w:pPr>
      <w:r>
        <w:rPr>
          <w:rFonts w:hint="eastAsia"/>
          <w:strike/>
          <w:color w:val="auto"/>
          <w:highlight w:val="none"/>
        </w:rPr>
        <w:t>评标委员会应审查投标人须知前附表3.5规定要求的“资质动态核查结果证明”。</w:t>
      </w:r>
    </w:p>
    <w:p w14:paraId="54327055">
      <w:pPr>
        <w:pStyle w:val="9"/>
        <w:tabs>
          <w:tab w:val="left" w:pos="1343"/>
          <w:tab w:val="left" w:pos="2697"/>
          <w:tab w:val="left" w:pos="3264"/>
          <w:tab w:val="left" w:pos="4896"/>
          <w:tab w:val="left" w:pos="6005"/>
          <w:tab w:val="left" w:pos="7085"/>
          <w:tab w:val="left" w:pos="7498"/>
        </w:tabs>
        <w:adjustRightInd/>
        <w:ind w:firstLine="482" w:firstLineChars="200"/>
        <w:jc w:val="both"/>
        <w:rPr>
          <w:rFonts w:hint="eastAsia" w:ascii="宋体" w:hAnsi="宋体" w:cs="宋体"/>
          <w:strike/>
          <w:color w:val="auto"/>
          <w:kern w:val="2"/>
          <w:highlight w:val="none"/>
        </w:rPr>
      </w:pPr>
      <w:r>
        <w:rPr>
          <w:rFonts w:hint="eastAsia" w:ascii="宋体" w:hAnsi="宋体" w:cs="宋体"/>
          <w:b/>
          <w:strike/>
          <w:color w:val="auto"/>
          <w:highlight w:val="none"/>
        </w:rPr>
        <w:t>技术标评审</w:t>
      </w:r>
    </w:p>
    <w:p w14:paraId="2E0C5C73">
      <w:pPr>
        <w:ind w:firstLine="570"/>
        <w:rPr>
          <w:rFonts w:hint="eastAsia" w:ascii="宋体" w:hAnsi="宋体" w:cs="宋体"/>
          <w:strike/>
          <w:color w:val="auto"/>
          <w:highlight w:val="none"/>
        </w:rPr>
      </w:pPr>
      <w:r>
        <w:rPr>
          <w:rFonts w:hint="eastAsia" w:ascii="宋体" w:hAnsi="宋体" w:cs="宋体"/>
          <w:strike/>
          <w:color w:val="auto"/>
          <w:highlight w:val="none"/>
        </w:rPr>
        <w:t>评标委员会对进入投标文件进行技术标评审:</w:t>
      </w:r>
    </w:p>
    <w:p w14:paraId="2B436D03">
      <w:pPr>
        <w:ind w:firstLine="570"/>
        <w:rPr>
          <w:rFonts w:hint="eastAsia" w:ascii="宋体" w:hAnsi="宋体" w:cs="宋体"/>
          <w:strike/>
          <w:color w:val="auto"/>
          <w:highlight w:val="none"/>
        </w:rPr>
      </w:pPr>
      <w:r>
        <w:rPr>
          <w:rFonts w:hint="eastAsia" w:ascii="宋体" w:hAnsi="宋体" w:cs="宋体"/>
          <w:strike/>
          <w:color w:val="auto"/>
          <w:highlight w:val="none"/>
        </w:rPr>
        <w:t>（一）投标文件存在投标人须知前附表10.1情形技术性内容之一的或违反招标文件暗标要求的，评标委员会组织投标人询问核实后，情况属实的，技术标评审不予通过，否决其投标，不再进入后续评审程序。</w:t>
      </w:r>
    </w:p>
    <w:p w14:paraId="54B9DFA2">
      <w:pPr>
        <w:ind w:firstLine="570"/>
        <w:rPr>
          <w:rFonts w:hint="eastAsia" w:ascii="宋体" w:hAnsi="宋体" w:cs="宋体"/>
          <w:strike/>
          <w:color w:val="auto"/>
          <w:highlight w:val="none"/>
        </w:rPr>
      </w:pPr>
      <w:r>
        <w:rPr>
          <w:rFonts w:hint="eastAsia" w:ascii="宋体" w:hAnsi="宋体" w:cs="宋体"/>
          <w:strike/>
          <w:color w:val="auto"/>
          <w:highlight w:val="none"/>
        </w:rPr>
        <w:t>（二）技术标评分（☑≤30分，</w:t>
      </w:r>
      <w:r>
        <w:rPr>
          <w:rFonts w:hint="eastAsia" w:ascii="宋体" w:hAnsi="宋体" w:cs="宋体"/>
          <w:bCs/>
          <w:strike/>
          <w:color w:val="auto"/>
          <w:highlight w:val="none"/>
        </w:rPr>
        <w:t>适用于技术复杂项目；</w:t>
      </w:r>
      <w:r>
        <w:rPr>
          <w:rFonts w:hint="eastAsia" w:ascii="宋体" w:hAnsi="宋体" w:cs="宋体"/>
          <w:strike/>
          <w:color w:val="auto"/>
          <w:highlight w:val="none"/>
        </w:rPr>
        <w:t>□≤20分，</w:t>
      </w:r>
      <w:r>
        <w:rPr>
          <w:rFonts w:hint="eastAsia" w:ascii="宋体" w:hAnsi="宋体" w:cs="宋体"/>
          <w:bCs/>
          <w:strike/>
          <w:color w:val="auto"/>
          <w:highlight w:val="none"/>
        </w:rPr>
        <w:t>适用于非技术复杂项目）</w:t>
      </w:r>
    </w:p>
    <w:p w14:paraId="79C537FE">
      <w:pPr>
        <w:ind w:firstLine="570"/>
        <w:rPr>
          <w:rFonts w:hint="eastAsia" w:ascii="宋体" w:hAnsi="宋体" w:cs="宋体"/>
          <w:strike/>
          <w:color w:val="auto"/>
          <w:highlight w:val="none"/>
        </w:rPr>
      </w:pPr>
      <w:r>
        <w:rPr>
          <w:rFonts w:hint="eastAsia" w:ascii="宋体" w:hAnsi="宋体" w:cs="宋体"/>
          <w:strike/>
          <w:color w:val="auto"/>
          <w:highlight w:val="none"/>
        </w:rPr>
        <w:t>1.由评标委员会各成员按评审因素和评分标准进行独立评分（保留2位小数）并署名。单项评分最大范围在 A 分（A=B</w:t>
      </w:r>
      <w:r>
        <w:rPr>
          <w:rFonts w:ascii="Arial" w:hAnsi="Arial" w:cs="Arial"/>
          <w:strike/>
          <w:color w:val="auto"/>
          <w:highlight w:val="none"/>
        </w:rPr>
        <w:t>×</w:t>
      </w:r>
      <w:r>
        <w:rPr>
          <w:rFonts w:hint="eastAsia" w:ascii="Arial" w:hAnsi="Arial" w:cs="Arial"/>
          <w:strike/>
          <w:color w:val="auto"/>
          <w:highlight w:val="none"/>
        </w:rPr>
        <w:t>比值</w:t>
      </w:r>
      <w:r>
        <w:rPr>
          <w:rFonts w:hint="eastAsia" w:ascii="宋体" w:hAnsi="宋体" w:cs="宋体"/>
          <w:strike/>
          <w:color w:val="auto"/>
          <w:highlight w:val="none"/>
        </w:rPr>
        <w:t>）至 B 分（B=技术分满分</w:t>
      </w:r>
      <w:r>
        <w:rPr>
          <w:rFonts w:ascii="Arial" w:hAnsi="Arial" w:cs="Arial"/>
          <w:strike/>
          <w:color w:val="auto"/>
          <w:highlight w:val="none"/>
        </w:rPr>
        <w:t>×</w:t>
      </w:r>
      <w:r>
        <w:rPr>
          <w:rFonts w:hint="eastAsia" w:ascii="宋体" w:hAnsi="宋体" w:cs="宋体"/>
          <w:strike/>
          <w:color w:val="auto"/>
          <w:highlight w:val="none"/>
        </w:rPr>
        <w:t>分值权重</w:t>
      </w:r>
      <w:r>
        <w:rPr>
          <w:rFonts w:hint="eastAsia" w:ascii="Arial" w:hAnsi="Arial" w:cs="Arial"/>
          <w:strike/>
          <w:color w:val="auto"/>
          <w:highlight w:val="none"/>
        </w:rPr>
        <w:t>）</w:t>
      </w:r>
      <w:r>
        <w:rPr>
          <w:rFonts w:hint="eastAsia" w:ascii="宋体" w:hAnsi="宋体" w:cs="宋体"/>
          <w:strike/>
          <w:color w:val="auto"/>
          <w:highlight w:val="none"/>
        </w:rPr>
        <w:t>之间（含本数）；对低于</w:t>
      </w:r>
      <w:r>
        <w:rPr>
          <w:rFonts w:hint="eastAsia" w:ascii="宋体" w:hAnsi="宋体" w:cs="宋体"/>
          <w:strike/>
          <w:color w:val="auto"/>
          <w:highlight w:val="none"/>
          <w:u w:val="single"/>
        </w:rPr>
        <w:t xml:space="preserve"> A </w:t>
      </w:r>
      <w:r>
        <w:rPr>
          <w:rFonts w:hint="eastAsia" w:ascii="宋体" w:hAnsi="宋体" w:cs="宋体"/>
          <w:strike/>
          <w:color w:val="auto"/>
          <w:highlight w:val="none"/>
        </w:rPr>
        <w:t>分或高于</w:t>
      </w:r>
      <w:r>
        <w:rPr>
          <w:rFonts w:hint="eastAsia" w:ascii="宋体" w:hAnsi="宋体" w:cs="宋体"/>
          <w:strike/>
          <w:color w:val="auto"/>
          <w:highlight w:val="none"/>
          <w:u w:val="single"/>
        </w:rPr>
        <w:t xml:space="preserve"> B </w:t>
      </w:r>
      <w:r>
        <w:rPr>
          <w:rFonts w:hint="eastAsia" w:ascii="宋体" w:hAnsi="宋体" w:cs="宋体"/>
          <w:strike/>
          <w:color w:val="auto"/>
          <w:highlight w:val="none"/>
        </w:rPr>
        <w:t>分的评分表作无效处理。（A、B值由招标人根据当地招投标主管部门相关规定确定，其中A值与B值的比值详见技术评审因素表，所有技术标评分项的B值之和等于技术标分值）</w:t>
      </w:r>
    </w:p>
    <w:p w14:paraId="1E020BED">
      <w:pPr>
        <w:ind w:firstLine="570"/>
        <w:rPr>
          <w:rFonts w:hint="eastAsia" w:ascii="宋体" w:hAnsi="宋体" w:cs="宋体"/>
          <w:strike/>
          <w:color w:val="auto"/>
          <w:highlight w:val="none"/>
        </w:rPr>
      </w:pPr>
      <w:r>
        <w:rPr>
          <w:rFonts w:hint="eastAsia" w:ascii="宋体" w:hAnsi="宋体" w:cs="宋体"/>
          <w:strike/>
          <w:color w:val="auto"/>
          <w:highlight w:val="none"/>
        </w:rPr>
        <w:t>技术评审的单项评分最大分值（B）不得超过 4分。</w:t>
      </w:r>
    </w:p>
    <w:p w14:paraId="4F90584A">
      <w:pPr>
        <w:ind w:firstLine="480" w:firstLineChars="200"/>
        <w:rPr>
          <w:rFonts w:hint="eastAsia" w:ascii="宋体" w:hAnsi="宋体" w:cs="宋体"/>
          <w:strike/>
          <w:color w:val="auto"/>
          <w:highlight w:val="none"/>
        </w:rPr>
      </w:pPr>
      <w:r>
        <w:rPr>
          <w:rFonts w:hint="eastAsia" w:ascii="宋体" w:hAnsi="宋体" w:cs="宋体"/>
          <w:strike/>
          <w:color w:val="auto"/>
          <w:highlight w:val="none"/>
        </w:rPr>
        <w:t>此项评分为：从评标专家的有效评分大于等于5个的，扣除一个最高总分和一个最低总分后的算术平均值，有效评分少于5个的，按全部有效评分的算术平均值（保留小数2位）。</w:t>
      </w:r>
    </w:p>
    <w:p w14:paraId="6F97FCE0">
      <w:pPr>
        <w:ind w:firstLine="480" w:firstLineChars="200"/>
        <w:rPr>
          <w:rFonts w:hint="eastAsia" w:ascii="宋体" w:hAnsi="宋体"/>
          <w:b/>
          <w:strike/>
          <w:color w:val="auto"/>
          <w:highlight w:val="none"/>
        </w:rPr>
      </w:pPr>
      <w:r>
        <w:rPr>
          <w:rFonts w:hint="eastAsia" w:ascii="宋体" w:hAnsi="宋体" w:cs="宋体"/>
          <w:strike/>
          <w:color w:val="auto"/>
          <w:highlight w:val="none"/>
        </w:rPr>
        <w:t>2.技术评审主要因素包括以下内容（技术标打分条款由招标人根据项目实际情况进行设置）。</w:t>
      </w:r>
    </w:p>
    <w:p w14:paraId="34CD1017">
      <w:pPr>
        <w:pStyle w:val="42"/>
        <w:spacing w:line="240" w:lineRule="auto"/>
        <w:ind w:firstLine="0" w:firstLineChars="0"/>
        <w:jc w:val="center"/>
        <w:rPr>
          <w:rFonts w:hint="eastAsia" w:ascii="宋体" w:hAnsi="宋体"/>
          <w:b/>
          <w:strike/>
          <w:color w:val="auto"/>
          <w:szCs w:val="24"/>
          <w:highlight w:val="none"/>
        </w:rPr>
      </w:pPr>
      <w:r>
        <w:rPr>
          <w:rFonts w:hint="eastAsia" w:ascii="宋体" w:hAnsi="宋体"/>
          <w:b/>
          <w:strike/>
          <w:color w:val="auto"/>
          <w:szCs w:val="24"/>
          <w:highlight w:val="none"/>
        </w:rPr>
        <w:t>技术评审因素表</w:t>
      </w:r>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02"/>
        <w:gridCol w:w="995"/>
        <w:gridCol w:w="2415"/>
        <w:gridCol w:w="3088"/>
        <w:gridCol w:w="1247"/>
      </w:tblGrid>
      <w:tr w14:paraId="2E4AD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1402" w:type="dxa"/>
            <w:tcBorders>
              <w:top w:val="single" w:color="auto" w:sz="4" w:space="0"/>
              <w:left w:val="single" w:color="auto" w:sz="4" w:space="0"/>
              <w:right w:val="single" w:color="auto" w:sz="4" w:space="0"/>
            </w:tcBorders>
            <w:vAlign w:val="center"/>
          </w:tcPr>
          <w:p w14:paraId="39EF1FCB">
            <w:pPr>
              <w:jc w:val="center"/>
              <w:rPr>
                <w:rFonts w:hint="eastAsia" w:ascii="宋体" w:hAnsi="宋体" w:cs="Arial"/>
                <w:strike/>
                <w:color w:val="auto"/>
                <w:highlight w:val="none"/>
              </w:rPr>
            </w:pPr>
            <w:r>
              <w:rPr>
                <w:rFonts w:hint="eastAsia" w:ascii="宋体" w:hAnsi="宋体" w:cs="Arial"/>
                <w:strike/>
                <w:color w:val="auto"/>
                <w:highlight w:val="none"/>
              </w:rPr>
              <w:t>主项</w:t>
            </w:r>
          </w:p>
        </w:tc>
        <w:tc>
          <w:tcPr>
            <w:tcW w:w="995" w:type="dxa"/>
            <w:tcBorders>
              <w:top w:val="single" w:color="auto" w:sz="4" w:space="0"/>
              <w:left w:val="single" w:color="auto" w:sz="4" w:space="0"/>
              <w:bottom w:val="single" w:color="auto" w:sz="4" w:space="0"/>
              <w:right w:val="single" w:color="auto" w:sz="4" w:space="0"/>
            </w:tcBorders>
            <w:vAlign w:val="center"/>
          </w:tcPr>
          <w:p w14:paraId="25A375A1">
            <w:pPr>
              <w:jc w:val="center"/>
              <w:rPr>
                <w:rFonts w:hint="eastAsia" w:ascii="宋体" w:hAnsi="宋体" w:cs="Arial"/>
                <w:strike/>
                <w:color w:val="auto"/>
                <w:highlight w:val="none"/>
              </w:rPr>
            </w:pPr>
            <w:r>
              <w:rPr>
                <w:rFonts w:hint="eastAsia" w:ascii="宋体" w:hAnsi="宋体" w:cs="Arial"/>
                <w:strike/>
                <w:color w:val="auto"/>
                <w:highlight w:val="none"/>
              </w:rPr>
              <w:t>分值权重</w:t>
            </w: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0AE474E3">
            <w:pPr>
              <w:jc w:val="center"/>
              <w:rPr>
                <w:rFonts w:hint="eastAsia" w:ascii="宋体" w:hAnsi="宋体" w:cs="Arial"/>
                <w:strike/>
                <w:color w:val="auto"/>
                <w:highlight w:val="none"/>
              </w:rPr>
            </w:pPr>
            <w:r>
              <w:rPr>
                <w:rFonts w:hint="eastAsia" w:ascii="宋体" w:hAnsi="宋体" w:cs="Arial"/>
                <w:strike/>
                <w:color w:val="auto"/>
                <w:highlight w:val="none"/>
              </w:rPr>
              <w:t>内容</w:t>
            </w:r>
          </w:p>
        </w:tc>
        <w:tc>
          <w:tcPr>
            <w:tcW w:w="1247" w:type="dxa"/>
            <w:tcBorders>
              <w:top w:val="single" w:color="auto" w:sz="4" w:space="0"/>
              <w:left w:val="single" w:color="auto" w:sz="4" w:space="0"/>
              <w:bottom w:val="single" w:color="auto" w:sz="4" w:space="0"/>
              <w:right w:val="single" w:color="auto" w:sz="4" w:space="0"/>
            </w:tcBorders>
            <w:vAlign w:val="center"/>
          </w:tcPr>
          <w:p w14:paraId="7964E24E">
            <w:pPr>
              <w:jc w:val="center"/>
              <w:rPr>
                <w:rFonts w:hint="eastAsia" w:ascii="宋体" w:hAnsi="宋体" w:cs="Arial"/>
                <w:strike/>
                <w:color w:val="auto"/>
                <w:highlight w:val="none"/>
              </w:rPr>
            </w:pPr>
            <w:r>
              <w:rPr>
                <w:rFonts w:hint="eastAsia" w:ascii="宋体" w:hAnsi="宋体" w:cs="Arial"/>
                <w:strike/>
                <w:color w:val="auto"/>
                <w:highlight w:val="none"/>
              </w:rPr>
              <w:t>比值</w:t>
            </w:r>
          </w:p>
        </w:tc>
      </w:tr>
      <w:tr w14:paraId="353050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7" w:hRule="exact"/>
          <w:jc w:val="center"/>
        </w:trPr>
        <w:tc>
          <w:tcPr>
            <w:tcW w:w="1402" w:type="dxa"/>
            <w:vMerge w:val="restart"/>
            <w:tcBorders>
              <w:top w:val="single" w:color="auto" w:sz="4" w:space="0"/>
              <w:left w:val="single" w:color="auto" w:sz="4" w:space="0"/>
              <w:right w:val="single" w:color="auto" w:sz="4" w:space="0"/>
            </w:tcBorders>
            <w:vAlign w:val="center"/>
          </w:tcPr>
          <w:p w14:paraId="079652E2">
            <w:pPr>
              <w:jc w:val="center"/>
              <w:rPr>
                <w:rFonts w:hint="eastAsia" w:ascii="宋体" w:hAnsi="宋体" w:cs="Arial"/>
                <w:strike/>
                <w:color w:val="auto"/>
                <w:highlight w:val="none"/>
              </w:rPr>
            </w:pPr>
            <w:r>
              <w:rPr>
                <w:rFonts w:hint="eastAsia" w:ascii="宋体" w:hAnsi="宋体" w:cs="Arial"/>
                <w:strike/>
                <w:color w:val="auto"/>
                <w:highlight w:val="none"/>
              </w:rPr>
              <w:t>总体项目管理方案</w:t>
            </w:r>
          </w:p>
          <w:p w14:paraId="2CF6506A">
            <w:pPr>
              <w:jc w:val="center"/>
              <w:rPr>
                <w:rFonts w:hint="eastAsia" w:ascii="宋体" w:hAnsi="宋体" w:cs="Arial"/>
                <w:strike/>
                <w:color w:val="auto"/>
                <w:highlight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0077C1B6">
            <w:pPr>
              <w:rPr>
                <w:rFonts w:hint="eastAsia" w:ascii="宋体" w:hAnsi="宋体" w:cs="Arial"/>
                <w:strike/>
                <w:color w:val="auto"/>
                <w:highlight w:val="none"/>
              </w:rPr>
            </w:pPr>
            <w:r>
              <w:rPr>
                <w:rFonts w:hint="eastAsia" w:ascii="宋体" w:hAnsi="宋体" w:cs="宋体"/>
                <w:b/>
                <w:strike/>
                <w:color w:val="auto"/>
                <w:highlight w:val="none"/>
              </w:rPr>
              <w:t>≤</w:t>
            </w:r>
            <w:r>
              <w:rPr>
                <w:rFonts w:hint="eastAsia" w:ascii="宋体" w:hAnsi="宋体" w:cs="Arial"/>
                <w:strike/>
                <w:color w:val="auto"/>
                <w:highlight w:val="none"/>
              </w:rPr>
              <w:t>10%</w:t>
            </w: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0D4F165F">
            <w:pPr>
              <w:rPr>
                <w:rFonts w:hint="eastAsia" w:ascii="宋体" w:hAnsi="宋体" w:cs="Arial"/>
                <w:strike/>
                <w:color w:val="auto"/>
                <w:highlight w:val="none"/>
              </w:rPr>
            </w:pPr>
            <w:r>
              <w:rPr>
                <w:rFonts w:hint="eastAsia" w:ascii="宋体" w:hAnsi="宋体" w:cs="Arial"/>
                <w:strike/>
                <w:color w:val="auto"/>
                <w:highlight w:val="none"/>
              </w:rPr>
              <w:t>项目目标分解、项目情况分析</w:t>
            </w:r>
          </w:p>
        </w:tc>
        <w:tc>
          <w:tcPr>
            <w:tcW w:w="1247" w:type="dxa"/>
            <w:tcBorders>
              <w:top w:val="single" w:color="auto" w:sz="4" w:space="0"/>
              <w:left w:val="single" w:color="auto" w:sz="4" w:space="0"/>
              <w:bottom w:val="single" w:color="auto" w:sz="4" w:space="0"/>
              <w:right w:val="single" w:color="auto" w:sz="4" w:space="0"/>
            </w:tcBorders>
            <w:vAlign w:val="center"/>
          </w:tcPr>
          <w:p w14:paraId="2E19F748">
            <w:pPr>
              <w:jc w:val="center"/>
              <w:rPr>
                <w:rFonts w:hint="eastAsia" w:ascii="宋体" w:hAnsi="宋体" w:cs="Arial"/>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r w14:paraId="05897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1402" w:type="dxa"/>
            <w:vMerge w:val="continue"/>
            <w:tcBorders>
              <w:left w:val="single" w:color="auto" w:sz="4" w:space="0"/>
              <w:right w:val="single" w:color="auto" w:sz="4" w:space="0"/>
            </w:tcBorders>
            <w:vAlign w:val="center"/>
          </w:tcPr>
          <w:p w14:paraId="197BB81D">
            <w:pPr>
              <w:jc w:val="center"/>
              <w:rPr>
                <w:rFonts w:hint="eastAsia" w:ascii="宋体" w:hAnsi="宋体" w:cs="Arial"/>
                <w:strike/>
                <w:color w:val="auto"/>
                <w:highlight w:val="none"/>
              </w:rPr>
            </w:pPr>
          </w:p>
        </w:tc>
        <w:tc>
          <w:tcPr>
            <w:tcW w:w="995" w:type="dxa"/>
            <w:vMerge w:val="continue"/>
            <w:tcBorders>
              <w:left w:val="single" w:color="auto" w:sz="4" w:space="0"/>
              <w:right w:val="single" w:color="auto" w:sz="4" w:space="0"/>
            </w:tcBorders>
            <w:vAlign w:val="center"/>
          </w:tcPr>
          <w:p w14:paraId="3A52E0E7">
            <w:pPr>
              <w:rPr>
                <w:rFonts w:hint="eastAsia" w:ascii="宋体" w:hAnsi="宋体" w:cs="Arial"/>
                <w:strike/>
                <w:color w:val="auto"/>
                <w:highlight w:val="none"/>
              </w:rPr>
            </w:pP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188ACE22">
            <w:pPr>
              <w:rPr>
                <w:rFonts w:hint="eastAsia" w:ascii="宋体" w:hAnsi="宋体" w:cs="Arial"/>
                <w:strike/>
                <w:color w:val="auto"/>
                <w:highlight w:val="none"/>
              </w:rPr>
            </w:pPr>
            <w:r>
              <w:rPr>
                <w:rFonts w:hint="eastAsia" w:ascii="宋体" w:hAnsi="宋体" w:cs="Arial"/>
                <w:strike/>
                <w:color w:val="auto"/>
                <w:highlight w:val="none"/>
              </w:rPr>
              <w:t>项目概述，工程总承包项目管理，具体包括专项管理、综合集成、采购和试运行等</w:t>
            </w:r>
          </w:p>
        </w:tc>
        <w:tc>
          <w:tcPr>
            <w:tcW w:w="1247" w:type="dxa"/>
            <w:tcBorders>
              <w:top w:val="single" w:color="auto" w:sz="4" w:space="0"/>
              <w:left w:val="single" w:color="auto" w:sz="4" w:space="0"/>
              <w:bottom w:val="single" w:color="auto" w:sz="4" w:space="0"/>
              <w:right w:val="single" w:color="auto" w:sz="4" w:space="0"/>
            </w:tcBorders>
            <w:vAlign w:val="center"/>
          </w:tcPr>
          <w:p w14:paraId="20129FCE">
            <w:pPr>
              <w:jc w:val="center"/>
              <w:rPr>
                <w:rFonts w:hint="eastAsia" w:ascii="宋体" w:hAnsi="宋体" w:cs="Arial"/>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r w14:paraId="7914D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3" w:hRule="atLeast"/>
          <w:jc w:val="center"/>
        </w:trPr>
        <w:tc>
          <w:tcPr>
            <w:tcW w:w="1402" w:type="dxa"/>
            <w:tcBorders>
              <w:top w:val="single" w:color="auto" w:sz="4" w:space="0"/>
              <w:left w:val="single" w:color="auto" w:sz="4" w:space="0"/>
              <w:bottom w:val="single" w:color="auto" w:sz="4" w:space="0"/>
              <w:right w:val="single" w:color="auto" w:sz="4" w:space="0"/>
            </w:tcBorders>
            <w:vAlign w:val="center"/>
          </w:tcPr>
          <w:p w14:paraId="05ADF548">
            <w:pPr>
              <w:jc w:val="center"/>
              <w:rPr>
                <w:rFonts w:hint="eastAsia" w:ascii="宋体" w:hAnsi="宋体" w:cs="Arial"/>
                <w:strike/>
                <w:color w:val="auto"/>
                <w:highlight w:val="none"/>
              </w:rPr>
            </w:pPr>
            <w:r>
              <w:rPr>
                <w:rFonts w:hint="eastAsia" w:ascii="宋体" w:hAnsi="宋体"/>
                <w:strike/>
                <w:color w:val="auto"/>
                <w:highlight w:val="none"/>
              </w:rPr>
              <w:t>投标人陈述和答辩</w:t>
            </w:r>
          </w:p>
        </w:tc>
        <w:tc>
          <w:tcPr>
            <w:tcW w:w="995" w:type="dxa"/>
            <w:tcBorders>
              <w:top w:val="single" w:color="auto" w:sz="4" w:space="0"/>
              <w:left w:val="single" w:color="auto" w:sz="4" w:space="0"/>
              <w:bottom w:val="single" w:color="auto" w:sz="4" w:space="0"/>
              <w:right w:val="single" w:color="auto" w:sz="4" w:space="0"/>
            </w:tcBorders>
            <w:vAlign w:val="center"/>
          </w:tcPr>
          <w:p w14:paraId="7DA78F43">
            <w:pPr>
              <w:rPr>
                <w:rFonts w:hint="eastAsia" w:ascii="宋体" w:hAnsi="宋体" w:cs="Arial"/>
                <w:strike/>
                <w:color w:val="auto"/>
                <w:highlight w:val="none"/>
              </w:rPr>
            </w:pPr>
            <w:r>
              <w:rPr>
                <w:rFonts w:hint="eastAsia" w:ascii="宋体" w:hAnsi="宋体" w:cs="宋体"/>
                <w:b/>
                <w:strike/>
                <w:color w:val="auto"/>
                <w:highlight w:val="none"/>
              </w:rPr>
              <w:t>≤</w:t>
            </w:r>
            <w:r>
              <w:rPr>
                <w:rFonts w:hint="eastAsia" w:ascii="宋体" w:hAnsi="宋体" w:cs="Arial"/>
                <w:strike/>
                <w:color w:val="auto"/>
                <w:highlight w:val="none"/>
              </w:rPr>
              <w:t>10%</w:t>
            </w: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203001D1">
            <w:pPr>
              <w:rPr>
                <w:rFonts w:hint="eastAsia" w:ascii="宋体" w:hAnsi="宋体" w:cs="Arial"/>
                <w:strike/>
                <w:color w:val="auto"/>
                <w:highlight w:val="none"/>
              </w:rPr>
            </w:pPr>
            <w:r>
              <w:rPr>
                <w:rFonts w:hint="eastAsia" w:ascii="宋体" w:hAnsi="宋体" w:cs="Arial"/>
                <w:strike/>
                <w:color w:val="auto"/>
                <w:highlight w:val="none"/>
              </w:rPr>
              <w:t>（若有）</w:t>
            </w:r>
          </w:p>
        </w:tc>
        <w:tc>
          <w:tcPr>
            <w:tcW w:w="1247" w:type="dxa"/>
            <w:tcBorders>
              <w:top w:val="single" w:color="auto" w:sz="4" w:space="0"/>
              <w:left w:val="single" w:color="auto" w:sz="4" w:space="0"/>
              <w:bottom w:val="single" w:color="auto" w:sz="4" w:space="0"/>
              <w:right w:val="single" w:color="auto" w:sz="4" w:space="0"/>
            </w:tcBorders>
            <w:vAlign w:val="center"/>
          </w:tcPr>
          <w:p w14:paraId="6CC267CB">
            <w:pPr>
              <w:jc w:val="center"/>
              <w:rPr>
                <w:rFonts w:hint="eastAsia" w:ascii="宋体" w:hAnsi="宋体" w:cs="Arial"/>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70%</w:t>
            </w:r>
          </w:p>
        </w:tc>
      </w:tr>
      <w:tr w14:paraId="1CA95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402" w:type="dxa"/>
            <w:vMerge w:val="restart"/>
            <w:tcBorders>
              <w:top w:val="single" w:color="auto" w:sz="4" w:space="0"/>
              <w:left w:val="single" w:color="auto" w:sz="4" w:space="0"/>
              <w:right w:val="single" w:color="auto" w:sz="4" w:space="0"/>
            </w:tcBorders>
            <w:vAlign w:val="center"/>
          </w:tcPr>
          <w:p w14:paraId="2EC0A306">
            <w:pPr>
              <w:jc w:val="center"/>
              <w:rPr>
                <w:rFonts w:hint="eastAsia" w:ascii="宋体" w:hAnsi="宋体" w:cs="Arial"/>
                <w:strike/>
                <w:color w:val="auto"/>
                <w:highlight w:val="none"/>
              </w:rPr>
            </w:pPr>
            <w:r>
              <w:rPr>
                <w:rFonts w:hint="eastAsia" w:ascii="宋体" w:hAnsi="宋体" w:cs="Arial"/>
                <w:strike/>
                <w:color w:val="auto"/>
                <w:highlight w:val="none"/>
              </w:rPr>
              <w:t>设计方案评审因素</w:t>
            </w:r>
          </w:p>
        </w:tc>
        <w:tc>
          <w:tcPr>
            <w:tcW w:w="995" w:type="dxa"/>
            <w:vMerge w:val="restart"/>
            <w:tcBorders>
              <w:top w:val="single" w:color="auto" w:sz="4" w:space="0"/>
              <w:left w:val="single" w:color="auto" w:sz="4" w:space="0"/>
              <w:right w:val="single" w:color="auto" w:sz="4" w:space="0"/>
            </w:tcBorders>
            <w:vAlign w:val="center"/>
          </w:tcPr>
          <w:p w14:paraId="2F3AEE07">
            <w:pPr>
              <w:jc w:val="center"/>
              <w:rPr>
                <w:rFonts w:hint="eastAsia" w:ascii="宋体" w:hAnsi="宋体" w:cs="Arial"/>
                <w:strike/>
                <w:color w:val="auto"/>
                <w:highlight w:val="none"/>
              </w:rPr>
            </w:pPr>
            <w:r>
              <w:rPr>
                <w:rFonts w:hint="eastAsia" w:ascii="宋体" w:hAnsi="宋体" w:cs="宋体"/>
                <w:b/>
                <w:strike/>
                <w:color w:val="auto"/>
                <w:highlight w:val="none"/>
              </w:rPr>
              <w:t>≤</w:t>
            </w:r>
            <w:r>
              <w:rPr>
                <w:rFonts w:hint="eastAsia" w:ascii="宋体" w:hAnsi="宋体" w:cs="Arial"/>
                <w:strike/>
                <w:color w:val="auto"/>
                <w:highlight w:val="none"/>
              </w:rPr>
              <w:t>45%</w:t>
            </w: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02CA5C03">
            <w:pPr>
              <w:rPr>
                <w:rFonts w:hint="eastAsia" w:ascii="宋体" w:hAnsi="宋体" w:cs="Arial"/>
                <w:strike/>
                <w:color w:val="auto"/>
                <w:highlight w:val="none"/>
              </w:rPr>
            </w:pPr>
            <w:r>
              <w:rPr>
                <w:rFonts w:hint="eastAsia" w:ascii="宋体" w:hAnsi="宋体" w:cs="Arial"/>
                <w:strike/>
                <w:color w:val="auto"/>
                <w:highlight w:val="none"/>
              </w:rPr>
              <w:t>方案设计（或初步设计）的优化，具体包括主要设计思路、设计创新、先进技术应用、节能环保等</w:t>
            </w:r>
          </w:p>
        </w:tc>
        <w:tc>
          <w:tcPr>
            <w:tcW w:w="1247" w:type="dxa"/>
            <w:tcBorders>
              <w:top w:val="single" w:color="auto" w:sz="4" w:space="0"/>
              <w:left w:val="single" w:color="auto" w:sz="4" w:space="0"/>
              <w:bottom w:val="single" w:color="auto" w:sz="4" w:space="0"/>
              <w:right w:val="single" w:color="auto" w:sz="4" w:space="0"/>
            </w:tcBorders>
            <w:vAlign w:val="center"/>
          </w:tcPr>
          <w:p w14:paraId="28388DEC">
            <w:pPr>
              <w:jc w:val="center"/>
              <w:rPr>
                <w:rFonts w:hint="eastAsia" w:ascii="宋体" w:hAnsi="宋体" w:cs="Arial"/>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60%</w:t>
            </w:r>
          </w:p>
        </w:tc>
      </w:tr>
      <w:tr w14:paraId="659FE5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402" w:type="dxa"/>
            <w:vMerge w:val="continue"/>
            <w:tcBorders>
              <w:left w:val="single" w:color="auto" w:sz="4" w:space="0"/>
              <w:right w:val="single" w:color="auto" w:sz="4" w:space="0"/>
            </w:tcBorders>
            <w:vAlign w:val="center"/>
          </w:tcPr>
          <w:p w14:paraId="28961F81">
            <w:pPr>
              <w:jc w:val="center"/>
              <w:rPr>
                <w:rFonts w:hint="eastAsia" w:ascii="宋体" w:hAnsi="宋体" w:cs="Arial"/>
                <w:strike/>
                <w:color w:val="auto"/>
                <w:highlight w:val="none"/>
              </w:rPr>
            </w:pPr>
          </w:p>
        </w:tc>
        <w:tc>
          <w:tcPr>
            <w:tcW w:w="995" w:type="dxa"/>
            <w:vMerge w:val="continue"/>
            <w:tcBorders>
              <w:left w:val="single" w:color="auto" w:sz="4" w:space="0"/>
              <w:right w:val="single" w:color="auto" w:sz="4" w:space="0"/>
            </w:tcBorders>
            <w:vAlign w:val="center"/>
          </w:tcPr>
          <w:p w14:paraId="22436C29">
            <w:pPr>
              <w:rPr>
                <w:rFonts w:hint="eastAsia" w:ascii="宋体" w:hAnsi="宋体" w:cs="Arial"/>
                <w:strike/>
                <w:color w:val="auto"/>
                <w:highlight w:val="none"/>
              </w:rPr>
            </w:pP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0F9921A3">
            <w:pPr>
              <w:rPr>
                <w:rFonts w:hint="eastAsia" w:ascii="宋体" w:hAnsi="宋体" w:cs="Arial"/>
                <w:strike/>
                <w:color w:val="auto"/>
                <w:highlight w:val="none"/>
              </w:rPr>
            </w:pPr>
            <w:r>
              <w:rPr>
                <w:rFonts w:hint="eastAsia" w:ascii="宋体" w:hAnsi="宋体" w:cs="Arial"/>
                <w:strike/>
                <w:color w:val="auto"/>
                <w:highlight w:val="none"/>
              </w:rPr>
              <w:t>工程经济的合理性分析、评价（投资估算是否与设计方案匹配、是否结合现场建设条件，各项指标取值是否合理、是否满足相关规范要求等）</w:t>
            </w:r>
          </w:p>
        </w:tc>
        <w:tc>
          <w:tcPr>
            <w:tcW w:w="1247" w:type="dxa"/>
            <w:tcBorders>
              <w:top w:val="single" w:color="auto" w:sz="4" w:space="0"/>
              <w:left w:val="single" w:color="auto" w:sz="4" w:space="0"/>
              <w:bottom w:val="single" w:color="auto" w:sz="4" w:space="0"/>
              <w:right w:val="single" w:color="auto" w:sz="4" w:space="0"/>
            </w:tcBorders>
            <w:vAlign w:val="center"/>
          </w:tcPr>
          <w:p w14:paraId="00AC1B4C">
            <w:pPr>
              <w:jc w:val="center"/>
              <w:rPr>
                <w:rFonts w:hint="eastAsia" w:ascii="宋体" w:hAnsi="宋体" w:cs="Arial"/>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60%</w:t>
            </w:r>
          </w:p>
        </w:tc>
      </w:tr>
      <w:tr w14:paraId="23BAA8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402" w:type="dxa"/>
            <w:vMerge w:val="continue"/>
            <w:tcBorders>
              <w:left w:val="single" w:color="auto" w:sz="4" w:space="0"/>
              <w:right w:val="single" w:color="auto" w:sz="4" w:space="0"/>
            </w:tcBorders>
            <w:vAlign w:val="center"/>
          </w:tcPr>
          <w:p w14:paraId="42254D59">
            <w:pPr>
              <w:jc w:val="center"/>
              <w:rPr>
                <w:rFonts w:hint="eastAsia" w:ascii="宋体" w:hAnsi="宋体" w:cs="Arial"/>
                <w:strike/>
                <w:color w:val="auto"/>
                <w:highlight w:val="none"/>
              </w:rPr>
            </w:pPr>
          </w:p>
        </w:tc>
        <w:tc>
          <w:tcPr>
            <w:tcW w:w="995" w:type="dxa"/>
            <w:vMerge w:val="continue"/>
            <w:tcBorders>
              <w:left w:val="single" w:color="auto" w:sz="4" w:space="0"/>
              <w:right w:val="single" w:color="auto" w:sz="4" w:space="0"/>
            </w:tcBorders>
            <w:vAlign w:val="center"/>
          </w:tcPr>
          <w:p w14:paraId="2C151D09">
            <w:pPr>
              <w:rPr>
                <w:rFonts w:hint="eastAsia" w:ascii="宋体" w:hAnsi="宋体" w:cs="Arial"/>
                <w:strike/>
                <w:color w:val="auto"/>
                <w:highlight w:val="none"/>
              </w:rPr>
            </w:pP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4107A39B">
            <w:pPr>
              <w:rPr>
                <w:rFonts w:hint="eastAsia" w:ascii="宋体" w:hAnsi="宋体" w:cs="Arial"/>
                <w:strike/>
                <w:color w:val="auto"/>
                <w:highlight w:val="none"/>
              </w:rPr>
            </w:pPr>
            <w:r>
              <w:rPr>
                <w:rFonts w:hint="eastAsia" w:ascii="宋体" w:hAnsi="宋体" w:cs="Arial"/>
                <w:strike/>
                <w:color w:val="auto"/>
                <w:highlight w:val="none"/>
              </w:rPr>
              <w:t>设计管理机构的构成和设计力量的配备</w:t>
            </w:r>
          </w:p>
        </w:tc>
        <w:tc>
          <w:tcPr>
            <w:tcW w:w="1247" w:type="dxa"/>
            <w:tcBorders>
              <w:top w:val="single" w:color="auto" w:sz="4" w:space="0"/>
              <w:left w:val="single" w:color="auto" w:sz="4" w:space="0"/>
              <w:bottom w:val="single" w:color="auto" w:sz="4" w:space="0"/>
              <w:right w:val="single" w:color="auto" w:sz="4" w:space="0"/>
            </w:tcBorders>
            <w:vAlign w:val="center"/>
          </w:tcPr>
          <w:p w14:paraId="5D1C5A22">
            <w:pPr>
              <w:jc w:val="center"/>
              <w:rPr>
                <w:rFonts w:hint="eastAsia" w:ascii="宋体" w:hAnsi="宋体" w:cs="Arial"/>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60%</w:t>
            </w:r>
          </w:p>
        </w:tc>
      </w:tr>
      <w:tr w14:paraId="3B995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1402" w:type="dxa"/>
            <w:vMerge w:val="continue"/>
            <w:tcBorders>
              <w:left w:val="single" w:color="auto" w:sz="4" w:space="0"/>
              <w:right w:val="single" w:color="auto" w:sz="4" w:space="0"/>
            </w:tcBorders>
            <w:vAlign w:val="center"/>
          </w:tcPr>
          <w:p w14:paraId="4AE355D8">
            <w:pPr>
              <w:jc w:val="center"/>
              <w:rPr>
                <w:rFonts w:hint="eastAsia" w:ascii="宋体" w:hAnsi="宋体" w:cs="Arial"/>
                <w:strike/>
                <w:color w:val="auto"/>
                <w:highlight w:val="none"/>
              </w:rPr>
            </w:pPr>
          </w:p>
        </w:tc>
        <w:tc>
          <w:tcPr>
            <w:tcW w:w="995" w:type="dxa"/>
            <w:vMerge w:val="continue"/>
            <w:tcBorders>
              <w:left w:val="single" w:color="auto" w:sz="4" w:space="0"/>
              <w:right w:val="single" w:color="auto" w:sz="4" w:space="0"/>
            </w:tcBorders>
            <w:vAlign w:val="center"/>
          </w:tcPr>
          <w:p w14:paraId="0E610BE6">
            <w:pPr>
              <w:rPr>
                <w:rFonts w:hint="eastAsia" w:ascii="宋体" w:hAnsi="宋体" w:cs="Arial"/>
                <w:strike/>
                <w:color w:val="auto"/>
                <w:highlight w:val="none"/>
              </w:rPr>
            </w:pP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3C123485">
            <w:pPr>
              <w:rPr>
                <w:rFonts w:hint="eastAsia" w:ascii="宋体" w:hAnsi="宋体" w:cs="Arial"/>
                <w:strike/>
                <w:color w:val="auto"/>
                <w:highlight w:val="none"/>
              </w:rPr>
            </w:pPr>
            <w:r>
              <w:rPr>
                <w:rFonts w:hint="eastAsia" w:ascii="宋体" w:hAnsi="宋体" w:cs="Arial"/>
                <w:strike/>
                <w:color w:val="auto"/>
                <w:highlight w:val="none"/>
              </w:rPr>
              <w:t>设计组织方案及各阶段计划进度安排</w:t>
            </w:r>
          </w:p>
        </w:tc>
        <w:tc>
          <w:tcPr>
            <w:tcW w:w="1247" w:type="dxa"/>
            <w:tcBorders>
              <w:top w:val="single" w:color="auto" w:sz="4" w:space="0"/>
              <w:left w:val="single" w:color="auto" w:sz="4" w:space="0"/>
              <w:bottom w:val="single" w:color="auto" w:sz="4" w:space="0"/>
              <w:right w:val="single" w:color="auto" w:sz="4" w:space="0"/>
            </w:tcBorders>
            <w:vAlign w:val="center"/>
          </w:tcPr>
          <w:p w14:paraId="2175B47A">
            <w:pPr>
              <w:jc w:val="center"/>
              <w:rPr>
                <w:rFonts w:hint="eastAsia" w:ascii="宋体" w:hAnsi="宋体" w:cs="Arial"/>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60%</w:t>
            </w:r>
          </w:p>
        </w:tc>
      </w:tr>
      <w:tr w14:paraId="3AF8A9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1402" w:type="dxa"/>
            <w:vMerge w:val="continue"/>
            <w:tcBorders>
              <w:left w:val="single" w:color="auto" w:sz="4" w:space="0"/>
              <w:right w:val="single" w:color="auto" w:sz="4" w:space="0"/>
            </w:tcBorders>
            <w:vAlign w:val="center"/>
          </w:tcPr>
          <w:p w14:paraId="05B22A26">
            <w:pPr>
              <w:jc w:val="center"/>
              <w:rPr>
                <w:rFonts w:hint="eastAsia" w:ascii="宋体" w:hAnsi="宋体" w:cs="Arial"/>
                <w:strike/>
                <w:color w:val="auto"/>
                <w:highlight w:val="none"/>
              </w:rPr>
            </w:pPr>
          </w:p>
        </w:tc>
        <w:tc>
          <w:tcPr>
            <w:tcW w:w="995" w:type="dxa"/>
            <w:vMerge w:val="continue"/>
            <w:tcBorders>
              <w:left w:val="single" w:color="auto" w:sz="4" w:space="0"/>
              <w:right w:val="single" w:color="auto" w:sz="4" w:space="0"/>
            </w:tcBorders>
            <w:vAlign w:val="center"/>
          </w:tcPr>
          <w:p w14:paraId="1F079EE4">
            <w:pPr>
              <w:rPr>
                <w:rFonts w:hint="eastAsia" w:ascii="宋体" w:hAnsi="宋体" w:cs="Arial"/>
                <w:strike/>
                <w:color w:val="auto"/>
                <w:highlight w:val="none"/>
              </w:rPr>
            </w:pP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02675551">
            <w:pPr>
              <w:rPr>
                <w:rFonts w:hint="eastAsia" w:ascii="宋体" w:hAnsi="宋体" w:cs="Arial"/>
                <w:strike/>
                <w:color w:val="auto"/>
                <w:highlight w:val="none"/>
              </w:rPr>
            </w:pPr>
            <w:r>
              <w:rPr>
                <w:rFonts w:hint="eastAsia" w:ascii="宋体" w:hAnsi="宋体" w:cs="Arial"/>
                <w:strike/>
                <w:color w:val="auto"/>
                <w:highlight w:val="none"/>
              </w:rPr>
              <w:t>施工图设计质量控制措施</w:t>
            </w:r>
          </w:p>
        </w:tc>
        <w:tc>
          <w:tcPr>
            <w:tcW w:w="1247" w:type="dxa"/>
            <w:tcBorders>
              <w:top w:val="single" w:color="auto" w:sz="4" w:space="0"/>
              <w:left w:val="single" w:color="auto" w:sz="4" w:space="0"/>
              <w:bottom w:val="single" w:color="auto" w:sz="4" w:space="0"/>
              <w:right w:val="single" w:color="auto" w:sz="4" w:space="0"/>
            </w:tcBorders>
            <w:vAlign w:val="center"/>
          </w:tcPr>
          <w:p w14:paraId="5140B8A6">
            <w:pPr>
              <w:jc w:val="center"/>
              <w:rPr>
                <w:rFonts w:hint="eastAsia" w:ascii="宋体" w:hAnsi="宋体" w:cs="Arial"/>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60%</w:t>
            </w:r>
          </w:p>
        </w:tc>
      </w:tr>
      <w:tr w14:paraId="7F8BDF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402" w:type="dxa"/>
            <w:vMerge w:val="continue"/>
            <w:tcBorders>
              <w:left w:val="single" w:color="auto" w:sz="4" w:space="0"/>
              <w:right w:val="single" w:color="auto" w:sz="4" w:space="0"/>
            </w:tcBorders>
            <w:vAlign w:val="center"/>
          </w:tcPr>
          <w:p w14:paraId="7083B627">
            <w:pPr>
              <w:jc w:val="center"/>
              <w:rPr>
                <w:rFonts w:hint="eastAsia" w:ascii="宋体" w:hAnsi="宋体" w:cs="Arial"/>
                <w:strike/>
                <w:color w:val="auto"/>
                <w:highlight w:val="none"/>
              </w:rPr>
            </w:pPr>
          </w:p>
        </w:tc>
        <w:tc>
          <w:tcPr>
            <w:tcW w:w="995" w:type="dxa"/>
            <w:vMerge w:val="continue"/>
            <w:tcBorders>
              <w:left w:val="single" w:color="auto" w:sz="4" w:space="0"/>
              <w:right w:val="single" w:color="auto" w:sz="4" w:space="0"/>
            </w:tcBorders>
            <w:vAlign w:val="center"/>
          </w:tcPr>
          <w:p w14:paraId="07EFE571">
            <w:pPr>
              <w:rPr>
                <w:rFonts w:hint="eastAsia" w:ascii="宋体" w:hAnsi="宋体" w:cs="Arial"/>
                <w:strike/>
                <w:color w:val="auto"/>
                <w:highlight w:val="none"/>
              </w:rPr>
            </w:pP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1941C97D">
            <w:pPr>
              <w:rPr>
                <w:rFonts w:hint="eastAsia" w:ascii="宋体" w:hAnsi="宋体" w:cs="Arial"/>
                <w:strike/>
                <w:color w:val="auto"/>
                <w:highlight w:val="none"/>
              </w:rPr>
            </w:pPr>
            <w:r>
              <w:rPr>
                <w:rFonts w:hint="eastAsia" w:ascii="宋体" w:hAnsi="宋体" w:cs="Arial"/>
                <w:strike/>
                <w:color w:val="auto"/>
                <w:highlight w:val="none"/>
              </w:rPr>
              <w:t>新型技术应用服务措施（如建筑工业化、BIM技术、绿色建筑、海绵城市应用等）</w:t>
            </w:r>
          </w:p>
        </w:tc>
        <w:tc>
          <w:tcPr>
            <w:tcW w:w="1247" w:type="dxa"/>
            <w:tcBorders>
              <w:top w:val="single" w:color="auto" w:sz="4" w:space="0"/>
              <w:left w:val="single" w:color="auto" w:sz="4" w:space="0"/>
              <w:bottom w:val="single" w:color="auto" w:sz="4" w:space="0"/>
              <w:right w:val="single" w:color="auto" w:sz="4" w:space="0"/>
            </w:tcBorders>
            <w:vAlign w:val="center"/>
          </w:tcPr>
          <w:p w14:paraId="0BDB850C">
            <w:pPr>
              <w:jc w:val="center"/>
              <w:rPr>
                <w:rFonts w:hint="eastAsia" w:ascii="宋体" w:hAnsi="宋体" w:cs="Arial"/>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60%</w:t>
            </w:r>
          </w:p>
        </w:tc>
      </w:tr>
      <w:tr w14:paraId="5B814D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402" w:type="dxa"/>
            <w:vMerge w:val="continue"/>
            <w:tcBorders>
              <w:left w:val="single" w:color="auto" w:sz="4" w:space="0"/>
              <w:right w:val="single" w:color="auto" w:sz="4" w:space="0"/>
            </w:tcBorders>
            <w:vAlign w:val="center"/>
          </w:tcPr>
          <w:p w14:paraId="340ADA11">
            <w:pPr>
              <w:jc w:val="center"/>
              <w:rPr>
                <w:rFonts w:hint="eastAsia" w:ascii="宋体" w:hAnsi="宋体" w:cs="Arial"/>
                <w:strike/>
                <w:color w:val="auto"/>
                <w:highlight w:val="none"/>
              </w:rPr>
            </w:pPr>
          </w:p>
        </w:tc>
        <w:tc>
          <w:tcPr>
            <w:tcW w:w="995" w:type="dxa"/>
            <w:vMerge w:val="continue"/>
            <w:tcBorders>
              <w:left w:val="single" w:color="auto" w:sz="4" w:space="0"/>
              <w:bottom w:val="single" w:color="auto" w:sz="4" w:space="0"/>
              <w:right w:val="single" w:color="auto" w:sz="4" w:space="0"/>
            </w:tcBorders>
            <w:vAlign w:val="center"/>
          </w:tcPr>
          <w:p w14:paraId="1F5C959F">
            <w:pPr>
              <w:rPr>
                <w:rFonts w:hint="eastAsia" w:ascii="宋体" w:hAnsi="宋体" w:cs="Arial"/>
                <w:strike/>
                <w:color w:val="auto"/>
                <w:highlight w:val="none"/>
              </w:rPr>
            </w:pPr>
          </w:p>
        </w:tc>
        <w:tc>
          <w:tcPr>
            <w:tcW w:w="5503" w:type="dxa"/>
            <w:gridSpan w:val="2"/>
            <w:tcBorders>
              <w:top w:val="single" w:color="auto" w:sz="4" w:space="0"/>
              <w:left w:val="single" w:color="auto" w:sz="4" w:space="0"/>
              <w:bottom w:val="single" w:color="auto" w:sz="4" w:space="0"/>
              <w:right w:val="single" w:color="auto" w:sz="4" w:space="0"/>
            </w:tcBorders>
            <w:vAlign w:val="center"/>
          </w:tcPr>
          <w:p w14:paraId="3DE4A744">
            <w:pPr>
              <w:rPr>
                <w:rFonts w:hint="eastAsia" w:ascii="宋体" w:hAnsi="宋体" w:cs="Arial"/>
                <w:strike/>
                <w:color w:val="auto"/>
                <w:highlight w:val="none"/>
              </w:rPr>
            </w:pPr>
            <w:r>
              <w:rPr>
                <w:rFonts w:hint="eastAsia" w:ascii="宋体" w:hAnsi="宋体" w:cs="Arial"/>
                <w:strike/>
                <w:color w:val="auto"/>
                <w:highlight w:val="none"/>
              </w:rPr>
              <w:t>其他</w:t>
            </w:r>
          </w:p>
        </w:tc>
        <w:tc>
          <w:tcPr>
            <w:tcW w:w="1247" w:type="dxa"/>
            <w:tcBorders>
              <w:top w:val="single" w:color="auto" w:sz="4" w:space="0"/>
              <w:left w:val="single" w:color="auto" w:sz="4" w:space="0"/>
              <w:bottom w:val="single" w:color="auto" w:sz="4" w:space="0"/>
              <w:right w:val="single" w:color="auto" w:sz="4" w:space="0"/>
            </w:tcBorders>
            <w:vAlign w:val="center"/>
          </w:tcPr>
          <w:p w14:paraId="07F19F84">
            <w:pPr>
              <w:jc w:val="center"/>
              <w:rPr>
                <w:rFonts w:hint="eastAsia" w:ascii="宋体" w:hAnsi="宋体" w:cs="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60%</w:t>
            </w:r>
          </w:p>
        </w:tc>
      </w:tr>
      <w:tr w14:paraId="11510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402" w:type="dxa"/>
            <w:vMerge w:val="restart"/>
            <w:tcBorders>
              <w:top w:val="single" w:color="auto" w:sz="4" w:space="0"/>
              <w:left w:val="single" w:color="auto" w:sz="4" w:space="0"/>
              <w:right w:val="single" w:color="auto" w:sz="4" w:space="0"/>
            </w:tcBorders>
            <w:vAlign w:val="center"/>
          </w:tcPr>
          <w:p w14:paraId="0A7B1A29">
            <w:pPr>
              <w:rPr>
                <w:rFonts w:hint="eastAsia" w:ascii="宋体" w:hAnsi="宋体"/>
                <w:strike/>
                <w:color w:val="auto"/>
                <w:highlight w:val="none"/>
              </w:rPr>
            </w:pPr>
            <w:r>
              <w:rPr>
                <w:rFonts w:hint="eastAsia" w:ascii="宋体" w:hAnsi="宋体"/>
                <w:strike/>
                <w:color w:val="auto"/>
                <w:highlight w:val="none"/>
              </w:rPr>
              <w:t>采购方案评审因素</w:t>
            </w:r>
          </w:p>
        </w:tc>
        <w:tc>
          <w:tcPr>
            <w:tcW w:w="995" w:type="dxa"/>
            <w:vMerge w:val="restart"/>
            <w:tcBorders>
              <w:top w:val="single" w:color="auto" w:sz="4" w:space="0"/>
              <w:left w:val="single" w:color="auto" w:sz="4" w:space="0"/>
              <w:right w:val="single" w:color="auto" w:sz="4" w:space="0"/>
            </w:tcBorders>
            <w:vAlign w:val="center"/>
          </w:tcPr>
          <w:p w14:paraId="2FA743B4">
            <w:pPr>
              <w:rPr>
                <w:rFonts w:hint="eastAsia" w:ascii="宋体" w:hAnsi="宋体"/>
                <w:strike/>
                <w:color w:val="auto"/>
                <w:highlight w:val="none"/>
              </w:rPr>
            </w:pPr>
            <w:r>
              <w:rPr>
                <w:rFonts w:hint="eastAsia" w:ascii="宋体" w:hAnsi="宋体" w:cs="宋体"/>
                <w:b/>
                <w:strike/>
                <w:color w:val="auto"/>
                <w:highlight w:val="none"/>
              </w:rPr>
              <w:t>≤</w:t>
            </w:r>
            <w:r>
              <w:rPr>
                <w:rFonts w:hint="eastAsia" w:ascii="宋体" w:hAnsi="宋体" w:cs="Arial"/>
                <w:strike/>
                <w:color w:val="auto"/>
                <w:highlight w:val="none"/>
              </w:rPr>
              <w:t>15%</w:t>
            </w:r>
          </w:p>
        </w:tc>
        <w:tc>
          <w:tcPr>
            <w:tcW w:w="5503" w:type="dxa"/>
            <w:gridSpan w:val="2"/>
            <w:tcBorders>
              <w:top w:val="single" w:color="auto" w:sz="4" w:space="0"/>
              <w:left w:val="single" w:color="auto" w:sz="4" w:space="0"/>
              <w:right w:val="single" w:color="auto" w:sz="4" w:space="0"/>
            </w:tcBorders>
            <w:vAlign w:val="center"/>
          </w:tcPr>
          <w:p w14:paraId="3EDD1BB2">
            <w:pPr>
              <w:jc w:val="both"/>
              <w:rPr>
                <w:rFonts w:hint="eastAsia" w:ascii="宋体" w:hAnsi="宋体"/>
                <w:strike/>
                <w:color w:val="auto"/>
                <w:highlight w:val="none"/>
              </w:rPr>
            </w:pPr>
            <w:r>
              <w:rPr>
                <w:rFonts w:hint="eastAsia" w:ascii="宋体" w:hAnsi="宋体"/>
                <w:strike/>
                <w:color w:val="auto"/>
                <w:highlight w:val="none"/>
              </w:rPr>
              <w:t>设备采购、分包工作的总体安排与资源配置</w:t>
            </w:r>
          </w:p>
        </w:tc>
        <w:tc>
          <w:tcPr>
            <w:tcW w:w="1247" w:type="dxa"/>
            <w:tcBorders>
              <w:top w:val="single" w:color="auto" w:sz="4" w:space="0"/>
              <w:left w:val="single" w:color="auto" w:sz="4" w:space="0"/>
              <w:right w:val="single" w:color="auto" w:sz="4" w:space="0"/>
            </w:tcBorders>
            <w:vAlign w:val="center"/>
          </w:tcPr>
          <w:p w14:paraId="437C4432">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70%</w:t>
            </w:r>
          </w:p>
        </w:tc>
      </w:tr>
      <w:tr w14:paraId="5F0238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402" w:type="dxa"/>
            <w:vMerge w:val="continue"/>
            <w:tcBorders>
              <w:left w:val="single" w:color="auto" w:sz="4" w:space="0"/>
              <w:right w:val="single" w:color="auto" w:sz="4" w:space="0"/>
            </w:tcBorders>
            <w:vAlign w:val="center"/>
          </w:tcPr>
          <w:p w14:paraId="6C495F6A">
            <w:pPr>
              <w:ind w:firstLine="360" w:firstLineChars="150"/>
              <w:rPr>
                <w:rFonts w:hint="eastAsia" w:ascii="宋体" w:hAnsi="宋体"/>
                <w:strike/>
                <w:color w:val="auto"/>
                <w:highlight w:val="none"/>
              </w:rPr>
            </w:pPr>
          </w:p>
        </w:tc>
        <w:tc>
          <w:tcPr>
            <w:tcW w:w="995" w:type="dxa"/>
            <w:vMerge w:val="continue"/>
            <w:tcBorders>
              <w:left w:val="single" w:color="auto" w:sz="4" w:space="0"/>
              <w:right w:val="single" w:color="auto" w:sz="4" w:space="0"/>
            </w:tcBorders>
            <w:vAlign w:val="center"/>
          </w:tcPr>
          <w:p w14:paraId="55DE5048">
            <w:pPr>
              <w:ind w:firstLine="420"/>
              <w:rPr>
                <w:rFonts w:hint="eastAsia" w:ascii="宋体" w:hAnsi="宋体"/>
                <w:strike/>
                <w:color w:val="auto"/>
                <w:highlight w:val="none"/>
              </w:rPr>
            </w:pPr>
          </w:p>
        </w:tc>
        <w:tc>
          <w:tcPr>
            <w:tcW w:w="5503" w:type="dxa"/>
            <w:gridSpan w:val="2"/>
            <w:tcBorders>
              <w:top w:val="single" w:color="auto" w:sz="4" w:space="0"/>
              <w:left w:val="single" w:color="auto" w:sz="4" w:space="0"/>
              <w:right w:val="single" w:color="auto" w:sz="4" w:space="0"/>
            </w:tcBorders>
            <w:vAlign w:val="center"/>
          </w:tcPr>
          <w:p w14:paraId="4CBAADDA">
            <w:pPr>
              <w:jc w:val="both"/>
              <w:rPr>
                <w:rFonts w:hint="eastAsia" w:ascii="宋体" w:hAnsi="宋体"/>
                <w:strike/>
                <w:color w:val="auto"/>
                <w:highlight w:val="none"/>
              </w:rPr>
            </w:pPr>
            <w:r>
              <w:rPr>
                <w:rFonts w:hint="eastAsia" w:ascii="宋体" w:hAnsi="宋体"/>
                <w:strike/>
                <w:color w:val="auto"/>
                <w:highlight w:val="none"/>
              </w:rPr>
              <w:t>设备采购进度、质量控制措施</w:t>
            </w:r>
          </w:p>
        </w:tc>
        <w:tc>
          <w:tcPr>
            <w:tcW w:w="1247" w:type="dxa"/>
            <w:tcBorders>
              <w:top w:val="single" w:color="auto" w:sz="4" w:space="0"/>
              <w:left w:val="single" w:color="auto" w:sz="4" w:space="0"/>
              <w:right w:val="single" w:color="auto" w:sz="4" w:space="0"/>
            </w:tcBorders>
            <w:vAlign w:val="center"/>
          </w:tcPr>
          <w:p w14:paraId="30AC59EA">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70%</w:t>
            </w:r>
          </w:p>
        </w:tc>
      </w:tr>
      <w:tr w14:paraId="7C8DA8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402" w:type="dxa"/>
            <w:vMerge w:val="continue"/>
            <w:tcBorders>
              <w:left w:val="single" w:color="auto" w:sz="4" w:space="0"/>
              <w:right w:val="single" w:color="auto" w:sz="4" w:space="0"/>
            </w:tcBorders>
            <w:vAlign w:val="center"/>
          </w:tcPr>
          <w:p w14:paraId="732D46F3">
            <w:pPr>
              <w:ind w:firstLine="360" w:firstLineChars="150"/>
              <w:rPr>
                <w:rFonts w:hint="eastAsia" w:ascii="宋体" w:hAnsi="宋体"/>
                <w:strike/>
                <w:color w:val="auto"/>
                <w:highlight w:val="none"/>
              </w:rPr>
            </w:pPr>
          </w:p>
        </w:tc>
        <w:tc>
          <w:tcPr>
            <w:tcW w:w="995" w:type="dxa"/>
            <w:vMerge w:val="continue"/>
            <w:tcBorders>
              <w:left w:val="single" w:color="auto" w:sz="4" w:space="0"/>
              <w:right w:val="single" w:color="auto" w:sz="4" w:space="0"/>
            </w:tcBorders>
            <w:vAlign w:val="center"/>
          </w:tcPr>
          <w:p w14:paraId="2B07DEA0">
            <w:pPr>
              <w:ind w:firstLine="420"/>
              <w:rPr>
                <w:rFonts w:hint="eastAsia" w:ascii="宋体" w:hAnsi="宋体"/>
                <w:strike/>
                <w:color w:val="auto"/>
                <w:highlight w:val="none"/>
              </w:rPr>
            </w:pPr>
          </w:p>
        </w:tc>
        <w:tc>
          <w:tcPr>
            <w:tcW w:w="5503" w:type="dxa"/>
            <w:gridSpan w:val="2"/>
            <w:tcBorders>
              <w:top w:val="single" w:color="auto" w:sz="4" w:space="0"/>
              <w:left w:val="single" w:color="auto" w:sz="4" w:space="0"/>
              <w:right w:val="single" w:color="auto" w:sz="4" w:space="0"/>
            </w:tcBorders>
            <w:vAlign w:val="center"/>
          </w:tcPr>
          <w:p w14:paraId="67F46DD3">
            <w:pPr>
              <w:jc w:val="both"/>
              <w:rPr>
                <w:rFonts w:hint="eastAsia" w:ascii="宋体" w:hAnsi="宋体"/>
                <w:strike/>
                <w:color w:val="auto"/>
                <w:highlight w:val="none"/>
              </w:rPr>
            </w:pPr>
            <w:r>
              <w:rPr>
                <w:rFonts w:hint="eastAsia" w:ascii="宋体" w:hAnsi="宋体"/>
                <w:strike/>
                <w:color w:val="auto"/>
                <w:highlight w:val="none"/>
              </w:rPr>
              <w:t>分包商进度、质量和安全文明的管理措施及违约处理</w:t>
            </w:r>
          </w:p>
        </w:tc>
        <w:tc>
          <w:tcPr>
            <w:tcW w:w="1247" w:type="dxa"/>
            <w:tcBorders>
              <w:top w:val="single" w:color="auto" w:sz="4" w:space="0"/>
              <w:left w:val="single" w:color="auto" w:sz="4" w:space="0"/>
              <w:right w:val="single" w:color="auto" w:sz="4" w:space="0"/>
            </w:tcBorders>
            <w:vAlign w:val="center"/>
          </w:tcPr>
          <w:p w14:paraId="27261F5B">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70%</w:t>
            </w:r>
          </w:p>
        </w:tc>
      </w:tr>
      <w:tr w14:paraId="63CE9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4" w:hRule="atLeast"/>
          <w:jc w:val="center"/>
        </w:trPr>
        <w:tc>
          <w:tcPr>
            <w:tcW w:w="1402" w:type="dxa"/>
            <w:vMerge w:val="continue"/>
            <w:tcBorders>
              <w:left w:val="single" w:color="auto" w:sz="4" w:space="0"/>
              <w:right w:val="single" w:color="auto" w:sz="4" w:space="0"/>
            </w:tcBorders>
            <w:vAlign w:val="center"/>
          </w:tcPr>
          <w:p w14:paraId="6186D493">
            <w:pPr>
              <w:ind w:firstLine="360" w:firstLineChars="150"/>
              <w:rPr>
                <w:rFonts w:hint="eastAsia" w:ascii="宋体" w:hAnsi="宋体"/>
                <w:strike/>
                <w:color w:val="auto"/>
                <w:highlight w:val="none"/>
              </w:rPr>
            </w:pPr>
          </w:p>
        </w:tc>
        <w:tc>
          <w:tcPr>
            <w:tcW w:w="995" w:type="dxa"/>
            <w:vMerge w:val="continue"/>
            <w:tcBorders>
              <w:left w:val="single" w:color="auto" w:sz="4" w:space="0"/>
              <w:right w:val="single" w:color="auto" w:sz="4" w:space="0"/>
            </w:tcBorders>
            <w:vAlign w:val="center"/>
          </w:tcPr>
          <w:p w14:paraId="0C95F8BA">
            <w:pPr>
              <w:ind w:firstLine="420"/>
              <w:rPr>
                <w:rFonts w:hint="eastAsia" w:ascii="宋体" w:hAnsi="宋体" w:cs="Arial"/>
                <w:strike/>
                <w:color w:val="auto"/>
                <w:highlight w:val="none"/>
              </w:rPr>
            </w:pPr>
          </w:p>
        </w:tc>
        <w:tc>
          <w:tcPr>
            <w:tcW w:w="5503" w:type="dxa"/>
            <w:gridSpan w:val="2"/>
            <w:tcBorders>
              <w:top w:val="single" w:color="auto" w:sz="4" w:space="0"/>
              <w:left w:val="single" w:color="auto" w:sz="4" w:space="0"/>
              <w:right w:val="single" w:color="auto" w:sz="4" w:space="0"/>
            </w:tcBorders>
            <w:vAlign w:val="center"/>
          </w:tcPr>
          <w:p w14:paraId="7073AB91">
            <w:pPr>
              <w:jc w:val="both"/>
              <w:rPr>
                <w:rFonts w:hint="eastAsia" w:ascii="宋体" w:hAnsi="宋体"/>
                <w:strike/>
                <w:color w:val="auto"/>
                <w:highlight w:val="none"/>
              </w:rPr>
            </w:pPr>
            <w:r>
              <w:rPr>
                <w:rFonts w:hint="eastAsia" w:ascii="宋体" w:hAnsi="宋体" w:cs="Arial"/>
                <w:strike/>
                <w:color w:val="auto"/>
                <w:highlight w:val="none"/>
              </w:rPr>
              <w:t>其他</w:t>
            </w:r>
          </w:p>
        </w:tc>
        <w:tc>
          <w:tcPr>
            <w:tcW w:w="1247" w:type="dxa"/>
            <w:tcBorders>
              <w:top w:val="single" w:color="auto" w:sz="4" w:space="0"/>
              <w:left w:val="single" w:color="auto" w:sz="4" w:space="0"/>
              <w:right w:val="single" w:color="auto" w:sz="4" w:space="0"/>
            </w:tcBorders>
            <w:vAlign w:val="center"/>
          </w:tcPr>
          <w:p w14:paraId="2089DC21">
            <w:pPr>
              <w:jc w:val="center"/>
              <w:rPr>
                <w:rFonts w:hint="eastAsia" w:ascii="宋体" w:hAnsi="宋体" w:cs="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70%</w:t>
            </w:r>
          </w:p>
        </w:tc>
      </w:tr>
      <w:tr w14:paraId="58BE3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1402" w:type="dxa"/>
            <w:vMerge w:val="restart"/>
            <w:tcBorders>
              <w:top w:val="single" w:color="auto" w:sz="4" w:space="0"/>
              <w:left w:val="single" w:color="auto" w:sz="4" w:space="0"/>
              <w:right w:val="single" w:color="auto" w:sz="4" w:space="0"/>
            </w:tcBorders>
            <w:vAlign w:val="center"/>
          </w:tcPr>
          <w:p w14:paraId="080E0421">
            <w:pPr>
              <w:rPr>
                <w:rFonts w:hint="eastAsia" w:ascii="宋体" w:hAnsi="宋体"/>
                <w:strike/>
                <w:color w:val="auto"/>
                <w:highlight w:val="none"/>
              </w:rPr>
            </w:pPr>
            <w:r>
              <w:rPr>
                <w:rFonts w:hint="eastAsia" w:ascii="宋体" w:hAnsi="宋体"/>
                <w:strike/>
                <w:color w:val="auto"/>
                <w:highlight w:val="none"/>
              </w:rPr>
              <w:t>施工方案评审因素</w:t>
            </w:r>
          </w:p>
          <w:p w14:paraId="1CC114F9">
            <w:pPr>
              <w:tabs>
                <w:tab w:val="left" w:pos="240"/>
              </w:tabs>
              <w:ind w:firstLine="360" w:firstLineChars="150"/>
              <w:rPr>
                <w:rFonts w:hint="eastAsia" w:ascii="宋体" w:hAnsi="宋体"/>
                <w:strike/>
                <w:color w:val="auto"/>
                <w:highlight w:val="none"/>
              </w:rPr>
            </w:pPr>
          </w:p>
        </w:tc>
        <w:tc>
          <w:tcPr>
            <w:tcW w:w="995" w:type="dxa"/>
            <w:vMerge w:val="restart"/>
            <w:tcBorders>
              <w:top w:val="single" w:color="auto" w:sz="4" w:space="0"/>
              <w:left w:val="single" w:color="auto" w:sz="4" w:space="0"/>
              <w:right w:val="single" w:color="auto" w:sz="4" w:space="0"/>
            </w:tcBorders>
            <w:vAlign w:val="center"/>
          </w:tcPr>
          <w:p w14:paraId="364E43AA">
            <w:pPr>
              <w:rPr>
                <w:rFonts w:hint="eastAsia" w:ascii="宋体" w:hAnsi="宋体"/>
                <w:strike/>
                <w:color w:val="auto"/>
                <w:highlight w:val="none"/>
              </w:rPr>
            </w:pPr>
            <w:r>
              <w:rPr>
                <w:rFonts w:hint="eastAsia" w:ascii="宋体" w:hAnsi="宋体" w:cs="宋体"/>
                <w:b/>
                <w:strike/>
                <w:color w:val="auto"/>
                <w:highlight w:val="none"/>
              </w:rPr>
              <w:t>≤</w:t>
            </w:r>
            <w:r>
              <w:rPr>
                <w:rFonts w:hint="eastAsia" w:ascii="宋体" w:hAnsi="宋体" w:cs="Arial"/>
                <w:strike/>
                <w:color w:val="auto"/>
                <w:highlight w:val="none"/>
              </w:rPr>
              <w:t>25%</w:t>
            </w:r>
          </w:p>
        </w:tc>
        <w:tc>
          <w:tcPr>
            <w:tcW w:w="2415" w:type="dxa"/>
            <w:tcBorders>
              <w:top w:val="single" w:color="auto" w:sz="4" w:space="0"/>
              <w:left w:val="single" w:color="auto" w:sz="4" w:space="0"/>
              <w:right w:val="single" w:color="auto" w:sz="4" w:space="0"/>
            </w:tcBorders>
            <w:vAlign w:val="center"/>
          </w:tcPr>
          <w:p w14:paraId="738694DD">
            <w:pPr>
              <w:rPr>
                <w:rFonts w:hint="eastAsia" w:ascii="宋体" w:hAnsi="宋体"/>
                <w:strike/>
                <w:color w:val="auto"/>
                <w:highlight w:val="none"/>
              </w:rPr>
            </w:pPr>
            <w:r>
              <w:rPr>
                <w:rFonts w:hint="eastAsia" w:ascii="宋体" w:hAnsi="宋体"/>
                <w:strike/>
                <w:color w:val="auto"/>
                <w:highlight w:val="none"/>
              </w:rPr>
              <w:t>项目重点难点分析</w:t>
            </w:r>
          </w:p>
        </w:tc>
        <w:tc>
          <w:tcPr>
            <w:tcW w:w="3088" w:type="dxa"/>
            <w:tcBorders>
              <w:top w:val="single" w:color="auto" w:sz="4" w:space="0"/>
              <w:left w:val="single" w:color="auto" w:sz="4" w:space="0"/>
              <w:bottom w:val="single" w:color="auto" w:sz="4" w:space="0"/>
              <w:right w:val="single" w:color="auto" w:sz="4" w:space="0"/>
            </w:tcBorders>
            <w:vAlign w:val="center"/>
          </w:tcPr>
          <w:p w14:paraId="0D09E6C3">
            <w:pPr>
              <w:rPr>
                <w:rFonts w:hint="eastAsia" w:ascii="宋体" w:hAnsi="宋体"/>
                <w:strike/>
                <w:color w:val="auto"/>
                <w:highlight w:val="none"/>
              </w:rPr>
            </w:pPr>
            <w:r>
              <w:rPr>
                <w:rFonts w:hint="eastAsia" w:ascii="宋体" w:hAnsi="宋体"/>
                <w:strike/>
                <w:color w:val="auto"/>
                <w:highlight w:val="none"/>
              </w:rPr>
              <w:t>项目重点难点分析及合理化建议</w:t>
            </w:r>
          </w:p>
        </w:tc>
        <w:tc>
          <w:tcPr>
            <w:tcW w:w="1247" w:type="dxa"/>
            <w:tcBorders>
              <w:top w:val="single" w:color="auto" w:sz="4" w:space="0"/>
              <w:left w:val="single" w:color="auto" w:sz="4" w:space="0"/>
              <w:bottom w:val="single" w:color="auto" w:sz="4" w:space="0"/>
              <w:right w:val="single" w:color="auto" w:sz="4" w:space="0"/>
            </w:tcBorders>
            <w:vAlign w:val="center"/>
          </w:tcPr>
          <w:p w14:paraId="4FE67FB6">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r w14:paraId="33C92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402" w:type="dxa"/>
            <w:vMerge w:val="continue"/>
            <w:tcBorders>
              <w:left w:val="single" w:color="auto" w:sz="4" w:space="0"/>
              <w:right w:val="single" w:color="auto" w:sz="4" w:space="0"/>
            </w:tcBorders>
            <w:vAlign w:val="center"/>
          </w:tcPr>
          <w:p w14:paraId="15552B9A">
            <w:pPr>
              <w:ind w:firstLine="360" w:firstLineChars="150"/>
              <w:rPr>
                <w:rFonts w:hint="eastAsia" w:ascii="宋体" w:hAnsi="宋体"/>
                <w:strike/>
                <w:color w:val="auto"/>
                <w:highlight w:val="none"/>
              </w:rPr>
            </w:pPr>
          </w:p>
        </w:tc>
        <w:tc>
          <w:tcPr>
            <w:tcW w:w="995" w:type="dxa"/>
            <w:vMerge w:val="continue"/>
            <w:tcBorders>
              <w:top w:val="single" w:color="auto" w:sz="4" w:space="0"/>
              <w:left w:val="single" w:color="auto" w:sz="4" w:space="0"/>
              <w:right w:val="single" w:color="auto" w:sz="4" w:space="0"/>
            </w:tcBorders>
            <w:vAlign w:val="center"/>
          </w:tcPr>
          <w:p w14:paraId="7F7675C7">
            <w:pPr>
              <w:ind w:firstLine="360" w:firstLineChars="150"/>
              <w:rPr>
                <w:rFonts w:hint="eastAsia" w:ascii="宋体" w:hAnsi="宋体"/>
                <w:strike/>
                <w:color w:val="auto"/>
                <w:highlight w:val="none"/>
              </w:rPr>
            </w:pPr>
          </w:p>
        </w:tc>
        <w:tc>
          <w:tcPr>
            <w:tcW w:w="2415" w:type="dxa"/>
            <w:vMerge w:val="restart"/>
            <w:tcBorders>
              <w:top w:val="single" w:color="auto" w:sz="4" w:space="0"/>
              <w:left w:val="single" w:color="auto" w:sz="4" w:space="0"/>
              <w:right w:val="single" w:color="auto" w:sz="4" w:space="0"/>
            </w:tcBorders>
            <w:vAlign w:val="center"/>
          </w:tcPr>
          <w:p w14:paraId="7E915464">
            <w:pPr>
              <w:rPr>
                <w:rFonts w:hint="eastAsia" w:ascii="宋体" w:hAnsi="宋体"/>
                <w:strike/>
                <w:color w:val="auto"/>
                <w:highlight w:val="none"/>
              </w:rPr>
            </w:pPr>
            <w:r>
              <w:rPr>
                <w:rFonts w:hint="eastAsia" w:ascii="宋体" w:hAnsi="宋体"/>
                <w:strike/>
                <w:color w:val="auto"/>
                <w:highlight w:val="none"/>
              </w:rPr>
              <w:t>工程施工管理</w:t>
            </w:r>
          </w:p>
        </w:tc>
        <w:tc>
          <w:tcPr>
            <w:tcW w:w="3088" w:type="dxa"/>
            <w:tcBorders>
              <w:top w:val="single" w:color="auto" w:sz="4" w:space="0"/>
              <w:left w:val="single" w:color="auto" w:sz="4" w:space="0"/>
              <w:bottom w:val="single" w:color="auto" w:sz="4" w:space="0"/>
              <w:right w:val="single" w:color="auto" w:sz="4" w:space="0"/>
            </w:tcBorders>
            <w:vAlign w:val="center"/>
          </w:tcPr>
          <w:p w14:paraId="285F7F55">
            <w:pPr>
              <w:rPr>
                <w:rFonts w:hint="eastAsia" w:ascii="宋体" w:hAnsi="宋体"/>
                <w:strike/>
                <w:color w:val="auto"/>
                <w:highlight w:val="none"/>
              </w:rPr>
            </w:pPr>
            <w:r>
              <w:rPr>
                <w:rFonts w:hint="eastAsia" w:ascii="宋体" w:hAnsi="宋体"/>
                <w:strike/>
                <w:color w:val="auto"/>
                <w:highlight w:val="none"/>
              </w:rPr>
              <w:t>工程施工进度控制和管理</w:t>
            </w:r>
          </w:p>
        </w:tc>
        <w:tc>
          <w:tcPr>
            <w:tcW w:w="1247" w:type="dxa"/>
            <w:tcBorders>
              <w:top w:val="single" w:color="auto" w:sz="4" w:space="0"/>
              <w:left w:val="single" w:color="auto" w:sz="4" w:space="0"/>
              <w:bottom w:val="single" w:color="auto" w:sz="4" w:space="0"/>
              <w:right w:val="single" w:color="auto" w:sz="4" w:space="0"/>
            </w:tcBorders>
            <w:vAlign w:val="center"/>
          </w:tcPr>
          <w:p w14:paraId="72A4B538">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r w14:paraId="63E330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402" w:type="dxa"/>
            <w:vMerge w:val="continue"/>
            <w:tcBorders>
              <w:left w:val="single" w:color="auto" w:sz="4" w:space="0"/>
              <w:right w:val="single" w:color="auto" w:sz="4" w:space="0"/>
            </w:tcBorders>
            <w:vAlign w:val="center"/>
          </w:tcPr>
          <w:p w14:paraId="460E650D">
            <w:pPr>
              <w:ind w:firstLine="360" w:firstLineChars="150"/>
              <w:rPr>
                <w:rFonts w:hint="eastAsia" w:ascii="宋体" w:hAnsi="宋体"/>
                <w:strike/>
                <w:color w:val="auto"/>
                <w:highlight w:val="none"/>
              </w:rPr>
            </w:pPr>
          </w:p>
        </w:tc>
        <w:tc>
          <w:tcPr>
            <w:tcW w:w="995" w:type="dxa"/>
            <w:vMerge w:val="continue"/>
            <w:tcBorders>
              <w:left w:val="single" w:color="auto" w:sz="4" w:space="0"/>
              <w:right w:val="single" w:color="auto" w:sz="4" w:space="0"/>
            </w:tcBorders>
            <w:vAlign w:val="center"/>
          </w:tcPr>
          <w:p w14:paraId="31478FC5">
            <w:pPr>
              <w:ind w:firstLine="360" w:firstLineChars="150"/>
              <w:rPr>
                <w:rFonts w:hint="eastAsia" w:ascii="宋体" w:hAnsi="宋体"/>
                <w:strike/>
                <w:color w:val="auto"/>
                <w:highlight w:val="none"/>
              </w:rPr>
            </w:pPr>
          </w:p>
        </w:tc>
        <w:tc>
          <w:tcPr>
            <w:tcW w:w="2415" w:type="dxa"/>
            <w:vMerge w:val="continue"/>
            <w:tcBorders>
              <w:left w:val="single" w:color="auto" w:sz="4" w:space="0"/>
              <w:right w:val="single" w:color="auto" w:sz="4" w:space="0"/>
            </w:tcBorders>
            <w:vAlign w:val="center"/>
          </w:tcPr>
          <w:p w14:paraId="21634F8F">
            <w:pPr>
              <w:ind w:firstLine="360" w:firstLineChars="150"/>
              <w:rPr>
                <w:rFonts w:hint="eastAsia" w:ascii="宋体" w:hAnsi="宋体"/>
                <w:strike/>
                <w:color w:val="auto"/>
                <w:highlight w:val="none"/>
              </w:rPr>
            </w:pPr>
          </w:p>
        </w:tc>
        <w:tc>
          <w:tcPr>
            <w:tcW w:w="3088" w:type="dxa"/>
            <w:tcBorders>
              <w:top w:val="single" w:color="auto" w:sz="4" w:space="0"/>
              <w:left w:val="single" w:color="auto" w:sz="4" w:space="0"/>
              <w:bottom w:val="single" w:color="auto" w:sz="4" w:space="0"/>
              <w:right w:val="single" w:color="auto" w:sz="4" w:space="0"/>
            </w:tcBorders>
            <w:vAlign w:val="center"/>
          </w:tcPr>
          <w:p w14:paraId="79EFF65D">
            <w:pPr>
              <w:rPr>
                <w:rFonts w:hint="eastAsia" w:ascii="宋体" w:hAnsi="宋体"/>
                <w:strike/>
                <w:color w:val="auto"/>
                <w:highlight w:val="none"/>
              </w:rPr>
            </w:pPr>
            <w:r>
              <w:rPr>
                <w:rFonts w:hint="eastAsia" w:ascii="宋体" w:hAnsi="宋体"/>
                <w:strike/>
                <w:color w:val="auto"/>
                <w:highlight w:val="none"/>
              </w:rPr>
              <w:t>工程施工质量管理</w:t>
            </w:r>
          </w:p>
        </w:tc>
        <w:tc>
          <w:tcPr>
            <w:tcW w:w="1247" w:type="dxa"/>
            <w:tcBorders>
              <w:top w:val="single" w:color="auto" w:sz="4" w:space="0"/>
              <w:left w:val="single" w:color="auto" w:sz="4" w:space="0"/>
              <w:bottom w:val="single" w:color="auto" w:sz="4" w:space="0"/>
              <w:right w:val="single" w:color="auto" w:sz="4" w:space="0"/>
            </w:tcBorders>
            <w:vAlign w:val="center"/>
          </w:tcPr>
          <w:p w14:paraId="05CB50B0">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r w14:paraId="1D77B7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402" w:type="dxa"/>
            <w:vMerge w:val="continue"/>
            <w:tcBorders>
              <w:left w:val="single" w:color="auto" w:sz="4" w:space="0"/>
              <w:right w:val="single" w:color="auto" w:sz="4" w:space="0"/>
            </w:tcBorders>
            <w:vAlign w:val="center"/>
          </w:tcPr>
          <w:p w14:paraId="1DB55575">
            <w:pPr>
              <w:ind w:firstLine="360" w:firstLineChars="150"/>
              <w:rPr>
                <w:rFonts w:hint="eastAsia" w:ascii="宋体" w:hAnsi="宋体"/>
                <w:strike/>
                <w:color w:val="auto"/>
                <w:highlight w:val="none"/>
              </w:rPr>
            </w:pPr>
          </w:p>
        </w:tc>
        <w:tc>
          <w:tcPr>
            <w:tcW w:w="995" w:type="dxa"/>
            <w:vMerge w:val="continue"/>
            <w:tcBorders>
              <w:left w:val="single" w:color="auto" w:sz="4" w:space="0"/>
              <w:right w:val="single" w:color="auto" w:sz="4" w:space="0"/>
            </w:tcBorders>
            <w:vAlign w:val="center"/>
          </w:tcPr>
          <w:p w14:paraId="509C1ABB">
            <w:pPr>
              <w:ind w:firstLine="360" w:firstLineChars="150"/>
              <w:rPr>
                <w:rFonts w:hint="eastAsia" w:ascii="宋体" w:hAnsi="宋体"/>
                <w:strike/>
                <w:color w:val="auto"/>
                <w:highlight w:val="none"/>
              </w:rPr>
            </w:pPr>
          </w:p>
        </w:tc>
        <w:tc>
          <w:tcPr>
            <w:tcW w:w="2415" w:type="dxa"/>
            <w:vMerge w:val="continue"/>
            <w:tcBorders>
              <w:left w:val="single" w:color="auto" w:sz="4" w:space="0"/>
              <w:right w:val="single" w:color="auto" w:sz="4" w:space="0"/>
            </w:tcBorders>
            <w:vAlign w:val="center"/>
          </w:tcPr>
          <w:p w14:paraId="0FBA5EBD">
            <w:pPr>
              <w:ind w:firstLine="360" w:firstLineChars="150"/>
              <w:rPr>
                <w:rFonts w:hint="eastAsia" w:ascii="宋体" w:hAnsi="宋体"/>
                <w:strike/>
                <w:color w:val="auto"/>
                <w:highlight w:val="none"/>
              </w:rPr>
            </w:pPr>
          </w:p>
        </w:tc>
        <w:tc>
          <w:tcPr>
            <w:tcW w:w="3088" w:type="dxa"/>
            <w:tcBorders>
              <w:top w:val="single" w:color="auto" w:sz="4" w:space="0"/>
              <w:left w:val="single" w:color="auto" w:sz="4" w:space="0"/>
              <w:bottom w:val="single" w:color="auto" w:sz="4" w:space="0"/>
              <w:right w:val="single" w:color="auto" w:sz="4" w:space="0"/>
            </w:tcBorders>
            <w:vAlign w:val="center"/>
          </w:tcPr>
          <w:p w14:paraId="7BD1343A">
            <w:pPr>
              <w:rPr>
                <w:rFonts w:hint="eastAsia" w:ascii="宋体" w:hAnsi="宋体"/>
                <w:strike/>
                <w:color w:val="auto"/>
                <w:highlight w:val="none"/>
              </w:rPr>
            </w:pPr>
            <w:r>
              <w:rPr>
                <w:rFonts w:hint="eastAsia" w:ascii="宋体" w:hAnsi="宋体"/>
                <w:strike/>
                <w:color w:val="auto"/>
                <w:highlight w:val="none"/>
              </w:rPr>
              <w:t>工程施工安全文明管理</w:t>
            </w:r>
          </w:p>
        </w:tc>
        <w:tc>
          <w:tcPr>
            <w:tcW w:w="1247" w:type="dxa"/>
            <w:tcBorders>
              <w:top w:val="single" w:color="auto" w:sz="4" w:space="0"/>
              <w:left w:val="single" w:color="auto" w:sz="4" w:space="0"/>
              <w:bottom w:val="single" w:color="auto" w:sz="4" w:space="0"/>
              <w:right w:val="single" w:color="auto" w:sz="4" w:space="0"/>
            </w:tcBorders>
            <w:vAlign w:val="center"/>
          </w:tcPr>
          <w:p w14:paraId="23CD7E6C">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r w14:paraId="1C5A80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402" w:type="dxa"/>
            <w:vMerge w:val="continue"/>
            <w:tcBorders>
              <w:left w:val="single" w:color="auto" w:sz="4" w:space="0"/>
              <w:right w:val="single" w:color="auto" w:sz="4" w:space="0"/>
            </w:tcBorders>
            <w:vAlign w:val="center"/>
          </w:tcPr>
          <w:p w14:paraId="14CF05ED">
            <w:pPr>
              <w:ind w:firstLine="360" w:firstLineChars="150"/>
              <w:rPr>
                <w:rFonts w:hint="eastAsia" w:ascii="宋体" w:hAnsi="宋体"/>
                <w:strike/>
                <w:color w:val="auto"/>
                <w:highlight w:val="none"/>
              </w:rPr>
            </w:pPr>
          </w:p>
        </w:tc>
        <w:tc>
          <w:tcPr>
            <w:tcW w:w="995" w:type="dxa"/>
            <w:vMerge w:val="continue"/>
            <w:tcBorders>
              <w:left w:val="single" w:color="auto" w:sz="4" w:space="0"/>
              <w:right w:val="single" w:color="auto" w:sz="4" w:space="0"/>
            </w:tcBorders>
            <w:vAlign w:val="center"/>
          </w:tcPr>
          <w:p w14:paraId="65231BE7">
            <w:pPr>
              <w:ind w:firstLine="360" w:firstLineChars="150"/>
              <w:rPr>
                <w:rFonts w:hint="eastAsia" w:ascii="宋体" w:hAnsi="宋体"/>
                <w:strike/>
                <w:color w:val="auto"/>
                <w:highlight w:val="none"/>
              </w:rPr>
            </w:pPr>
          </w:p>
        </w:tc>
        <w:tc>
          <w:tcPr>
            <w:tcW w:w="2415" w:type="dxa"/>
            <w:vMerge w:val="continue"/>
            <w:tcBorders>
              <w:left w:val="single" w:color="auto" w:sz="4" w:space="0"/>
              <w:bottom w:val="single" w:color="auto" w:sz="4" w:space="0"/>
              <w:right w:val="single" w:color="auto" w:sz="4" w:space="0"/>
            </w:tcBorders>
            <w:vAlign w:val="center"/>
          </w:tcPr>
          <w:p w14:paraId="0EF25FB6">
            <w:pPr>
              <w:ind w:firstLine="360" w:firstLineChars="150"/>
              <w:rPr>
                <w:rFonts w:hint="eastAsia" w:ascii="宋体" w:hAnsi="宋体"/>
                <w:strike/>
                <w:color w:val="auto"/>
                <w:highlight w:val="none"/>
              </w:rPr>
            </w:pPr>
          </w:p>
        </w:tc>
        <w:tc>
          <w:tcPr>
            <w:tcW w:w="3088" w:type="dxa"/>
            <w:tcBorders>
              <w:top w:val="single" w:color="auto" w:sz="4" w:space="0"/>
              <w:left w:val="single" w:color="auto" w:sz="4" w:space="0"/>
              <w:bottom w:val="single" w:color="auto" w:sz="4" w:space="0"/>
              <w:right w:val="single" w:color="auto" w:sz="4" w:space="0"/>
            </w:tcBorders>
            <w:vAlign w:val="center"/>
          </w:tcPr>
          <w:p w14:paraId="034E8716">
            <w:pPr>
              <w:rPr>
                <w:rFonts w:hint="eastAsia" w:ascii="宋体" w:hAnsi="宋体"/>
                <w:strike/>
                <w:color w:val="auto"/>
                <w:highlight w:val="none"/>
              </w:rPr>
            </w:pPr>
            <w:r>
              <w:rPr>
                <w:rFonts w:hint="eastAsia" w:ascii="宋体" w:hAnsi="宋体"/>
                <w:strike/>
                <w:color w:val="auto"/>
                <w:highlight w:val="none"/>
              </w:rPr>
              <w:t>关键技术方案可行性</w:t>
            </w:r>
          </w:p>
        </w:tc>
        <w:tc>
          <w:tcPr>
            <w:tcW w:w="1247" w:type="dxa"/>
            <w:tcBorders>
              <w:top w:val="single" w:color="auto" w:sz="4" w:space="0"/>
              <w:left w:val="single" w:color="auto" w:sz="4" w:space="0"/>
              <w:bottom w:val="single" w:color="auto" w:sz="4" w:space="0"/>
              <w:right w:val="single" w:color="auto" w:sz="4" w:space="0"/>
            </w:tcBorders>
            <w:vAlign w:val="center"/>
          </w:tcPr>
          <w:p w14:paraId="76A112C8">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r w14:paraId="19CF4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402" w:type="dxa"/>
            <w:vMerge w:val="continue"/>
            <w:tcBorders>
              <w:left w:val="single" w:color="auto" w:sz="4" w:space="0"/>
              <w:right w:val="single" w:color="auto" w:sz="4" w:space="0"/>
            </w:tcBorders>
            <w:vAlign w:val="center"/>
          </w:tcPr>
          <w:p w14:paraId="57105DF5">
            <w:pPr>
              <w:ind w:firstLine="360" w:firstLineChars="150"/>
              <w:rPr>
                <w:rFonts w:hint="eastAsia" w:ascii="宋体" w:hAnsi="宋体"/>
                <w:strike/>
                <w:color w:val="auto"/>
                <w:highlight w:val="none"/>
              </w:rPr>
            </w:pPr>
          </w:p>
        </w:tc>
        <w:tc>
          <w:tcPr>
            <w:tcW w:w="995" w:type="dxa"/>
            <w:vMerge w:val="continue"/>
            <w:tcBorders>
              <w:left w:val="single" w:color="auto" w:sz="4" w:space="0"/>
              <w:right w:val="single" w:color="auto" w:sz="4" w:space="0"/>
            </w:tcBorders>
            <w:vAlign w:val="center"/>
          </w:tcPr>
          <w:p w14:paraId="29F16EC0">
            <w:pPr>
              <w:ind w:firstLine="360" w:firstLineChars="150"/>
              <w:rPr>
                <w:rFonts w:hint="eastAsia" w:ascii="宋体" w:hAnsi="宋体"/>
                <w:strike/>
                <w:color w:val="auto"/>
                <w:highlight w:val="none"/>
              </w:rPr>
            </w:pPr>
          </w:p>
        </w:tc>
        <w:tc>
          <w:tcPr>
            <w:tcW w:w="2415" w:type="dxa"/>
            <w:tcBorders>
              <w:top w:val="single" w:color="auto" w:sz="4" w:space="0"/>
              <w:left w:val="single" w:color="auto" w:sz="4" w:space="0"/>
              <w:bottom w:val="single" w:color="auto" w:sz="4" w:space="0"/>
              <w:right w:val="single" w:color="auto" w:sz="4" w:space="0"/>
            </w:tcBorders>
            <w:vAlign w:val="center"/>
          </w:tcPr>
          <w:p w14:paraId="2E32810F">
            <w:pPr>
              <w:rPr>
                <w:rFonts w:hint="eastAsia" w:ascii="宋体" w:hAnsi="宋体"/>
                <w:strike/>
                <w:color w:val="auto"/>
                <w:highlight w:val="none"/>
              </w:rPr>
            </w:pPr>
            <w:r>
              <w:rPr>
                <w:rFonts w:hint="eastAsia" w:ascii="宋体" w:hAnsi="宋体"/>
                <w:strike/>
                <w:color w:val="auto"/>
                <w:highlight w:val="none"/>
              </w:rPr>
              <w:t>外部协调管理</w:t>
            </w:r>
          </w:p>
        </w:tc>
        <w:tc>
          <w:tcPr>
            <w:tcW w:w="3088" w:type="dxa"/>
            <w:tcBorders>
              <w:top w:val="single" w:color="auto" w:sz="4" w:space="0"/>
              <w:left w:val="single" w:color="auto" w:sz="4" w:space="0"/>
              <w:bottom w:val="single" w:color="auto" w:sz="4" w:space="0"/>
              <w:right w:val="single" w:color="auto" w:sz="4" w:space="0"/>
            </w:tcBorders>
            <w:vAlign w:val="center"/>
          </w:tcPr>
          <w:p w14:paraId="628DF6F6">
            <w:pPr>
              <w:rPr>
                <w:rFonts w:hint="eastAsia" w:ascii="宋体" w:hAnsi="宋体"/>
                <w:strike/>
                <w:color w:val="auto"/>
                <w:highlight w:val="none"/>
              </w:rPr>
            </w:pPr>
            <w:r>
              <w:rPr>
                <w:rFonts w:hint="eastAsia" w:ascii="宋体" w:hAnsi="宋体"/>
                <w:strike/>
                <w:color w:val="auto"/>
                <w:highlight w:val="none"/>
              </w:rPr>
              <w:t>外部协调管理，验收、结算、移交的合理组织和配合</w:t>
            </w:r>
          </w:p>
        </w:tc>
        <w:tc>
          <w:tcPr>
            <w:tcW w:w="1247" w:type="dxa"/>
            <w:tcBorders>
              <w:top w:val="single" w:color="auto" w:sz="4" w:space="0"/>
              <w:left w:val="single" w:color="auto" w:sz="4" w:space="0"/>
              <w:bottom w:val="single" w:color="auto" w:sz="4" w:space="0"/>
              <w:right w:val="single" w:color="auto" w:sz="4" w:space="0"/>
            </w:tcBorders>
            <w:vAlign w:val="center"/>
          </w:tcPr>
          <w:p w14:paraId="7B482563">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r w14:paraId="32EBB2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4" w:hRule="atLeast"/>
          <w:jc w:val="center"/>
        </w:trPr>
        <w:tc>
          <w:tcPr>
            <w:tcW w:w="1402" w:type="dxa"/>
            <w:vMerge w:val="continue"/>
            <w:tcBorders>
              <w:left w:val="single" w:color="auto" w:sz="4" w:space="0"/>
              <w:bottom w:val="single" w:color="auto" w:sz="4" w:space="0"/>
              <w:right w:val="single" w:color="auto" w:sz="4" w:space="0"/>
            </w:tcBorders>
            <w:vAlign w:val="center"/>
          </w:tcPr>
          <w:p w14:paraId="4009AD05">
            <w:pPr>
              <w:ind w:firstLine="360" w:firstLineChars="150"/>
              <w:rPr>
                <w:rFonts w:hint="eastAsia" w:ascii="宋体" w:hAnsi="宋体"/>
                <w:strike/>
                <w:color w:val="auto"/>
                <w:highlight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4E3F792C">
            <w:pPr>
              <w:rPr>
                <w:rFonts w:hint="eastAsia" w:ascii="宋体" w:hAnsi="宋体"/>
                <w:strike/>
                <w:color w:val="auto"/>
                <w:highlight w:val="none"/>
              </w:rPr>
            </w:pPr>
          </w:p>
        </w:tc>
        <w:tc>
          <w:tcPr>
            <w:tcW w:w="2415" w:type="dxa"/>
            <w:tcBorders>
              <w:top w:val="single" w:color="auto" w:sz="4" w:space="0"/>
              <w:left w:val="single" w:color="auto" w:sz="4" w:space="0"/>
              <w:bottom w:val="single" w:color="auto" w:sz="4" w:space="0"/>
              <w:right w:val="single" w:color="auto" w:sz="4" w:space="0"/>
            </w:tcBorders>
            <w:vAlign w:val="center"/>
          </w:tcPr>
          <w:p w14:paraId="74187D73">
            <w:pPr>
              <w:rPr>
                <w:rFonts w:hint="eastAsia" w:ascii="宋体" w:hAnsi="宋体"/>
                <w:strike/>
                <w:color w:val="auto"/>
                <w:highlight w:val="none"/>
              </w:rPr>
            </w:pPr>
            <w:r>
              <w:rPr>
                <w:rFonts w:hint="eastAsia" w:ascii="宋体" w:hAnsi="宋体"/>
                <w:strike/>
                <w:color w:val="auto"/>
                <w:highlight w:val="none"/>
              </w:rPr>
              <w:t>其他</w:t>
            </w:r>
          </w:p>
        </w:tc>
        <w:tc>
          <w:tcPr>
            <w:tcW w:w="3088" w:type="dxa"/>
            <w:tcBorders>
              <w:top w:val="single" w:color="auto" w:sz="4" w:space="0"/>
              <w:left w:val="single" w:color="auto" w:sz="4" w:space="0"/>
              <w:bottom w:val="single" w:color="auto" w:sz="4" w:space="0"/>
              <w:right w:val="single" w:color="auto" w:sz="4" w:space="0"/>
            </w:tcBorders>
            <w:vAlign w:val="center"/>
          </w:tcPr>
          <w:p w14:paraId="6A919744">
            <w:pPr>
              <w:ind w:firstLine="420"/>
              <w:rPr>
                <w:rFonts w:hint="eastAsia" w:ascii="宋体" w:hAnsi="宋体"/>
                <w:strike/>
                <w:color w:val="auto"/>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6E64FA85">
            <w:pPr>
              <w:jc w:val="center"/>
              <w:rPr>
                <w:rFonts w:hint="eastAsia" w:ascii="宋体" w:hAnsi="宋体" w:cs="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r w14:paraId="3D7E8F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402" w:type="dxa"/>
            <w:tcBorders>
              <w:top w:val="single" w:color="auto" w:sz="4" w:space="0"/>
              <w:left w:val="single" w:color="auto" w:sz="4" w:space="0"/>
              <w:right w:val="single" w:color="auto" w:sz="4" w:space="0"/>
            </w:tcBorders>
            <w:vAlign w:val="center"/>
          </w:tcPr>
          <w:p w14:paraId="173D378D">
            <w:pPr>
              <w:ind w:firstLine="360" w:firstLineChars="150"/>
              <w:rPr>
                <w:rFonts w:hint="eastAsia" w:ascii="宋体" w:hAnsi="宋体"/>
                <w:strike/>
                <w:color w:val="auto"/>
                <w:highlight w:val="none"/>
              </w:rPr>
            </w:pPr>
            <w:r>
              <w:rPr>
                <w:rFonts w:hint="eastAsia" w:ascii="宋体" w:hAnsi="宋体"/>
                <w:strike/>
                <w:color w:val="auto"/>
                <w:highlight w:val="none"/>
              </w:rPr>
              <w:t>其他</w:t>
            </w:r>
          </w:p>
        </w:tc>
        <w:tc>
          <w:tcPr>
            <w:tcW w:w="995" w:type="dxa"/>
            <w:tcBorders>
              <w:top w:val="single" w:color="auto" w:sz="4" w:space="0"/>
              <w:left w:val="single" w:color="auto" w:sz="4" w:space="0"/>
              <w:bottom w:val="single" w:color="auto" w:sz="4" w:space="0"/>
              <w:right w:val="single" w:color="auto" w:sz="4" w:space="0"/>
            </w:tcBorders>
            <w:vAlign w:val="center"/>
          </w:tcPr>
          <w:p w14:paraId="2288C7D5">
            <w:pPr>
              <w:rPr>
                <w:rFonts w:hint="eastAsia" w:ascii="宋体" w:hAnsi="宋体"/>
                <w:strike/>
                <w:color w:val="auto"/>
                <w:highlight w:val="none"/>
              </w:rPr>
            </w:pPr>
            <w:r>
              <w:rPr>
                <w:rFonts w:hint="eastAsia" w:ascii="宋体" w:hAnsi="宋体" w:cs="宋体"/>
                <w:b/>
                <w:strike/>
                <w:color w:val="auto"/>
                <w:highlight w:val="none"/>
              </w:rPr>
              <w:t>≤</w:t>
            </w:r>
            <w:r>
              <w:rPr>
                <w:rFonts w:hint="eastAsia" w:ascii="宋体" w:hAnsi="宋体" w:cs="Arial"/>
                <w:strike/>
                <w:color w:val="auto"/>
                <w:highlight w:val="none"/>
              </w:rPr>
              <w:t>10%</w:t>
            </w:r>
          </w:p>
        </w:tc>
        <w:tc>
          <w:tcPr>
            <w:tcW w:w="2415" w:type="dxa"/>
            <w:tcBorders>
              <w:top w:val="single" w:color="auto" w:sz="4" w:space="0"/>
              <w:left w:val="single" w:color="auto" w:sz="4" w:space="0"/>
              <w:bottom w:val="single" w:color="auto" w:sz="4" w:space="0"/>
              <w:right w:val="single" w:color="auto" w:sz="4" w:space="0"/>
            </w:tcBorders>
            <w:vAlign w:val="center"/>
          </w:tcPr>
          <w:p w14:paraId="74670547">
            <w:pPr>
              <w:rPr>
                <w:rFonts w:hint="eastAsia" w:ascii="宋体" w:hAnsi="宋体"/>
                <w:strike/>
                <w:color w:val="auto"/>
                <w:highlight w:val="none"/>
              </w:rPr>
            </w:pPr>
            <w:r>
              <w:rPr>
                <w:rFonts w:hint="eastAsia" w:ascii="宋体" w:hAnsi="宋体"/>
                <w:strike/>
                <w:color w:val="auto"/>
                <w:highlight w:val="none"/>
              </w:rPr>
              <w:t>其他</w:t>
            </w:r>
          </w:p>
        </w:tc>
        <w:tc>
          <w:tcPr>
            <w:tcW w:w="3088" w:type="dxa"/>
            <w:tcBorders>
              <w:top w:val="single" w:color="auto" w:sz="4" w:space="0"/>
              <w:left w:val="single" w:color="auto" w:sz="4" w:space="0"/>
              <w:bottom w:val="single" w:color="auto" w:sz="4" w:space="0"/>
              <w:right w:val="single" w:color="auto" w:sz="4" w:space="0"/>
            </w:tcBorders>
            <w:vAlign w:val="center"/>
          </w:tcPr>
          <w:p w14:paraId="2F4258E6">
            <w:pPr>
              <w:ind w:firstLine="420"/>
              <w:rPr>
                <w:rFonts w:hint="eastAsia" w:ascii="宋体" w:hAnsi="宋体"/>
                <w:strike/>
                <w:color w:val="auto"/>
                <w:highlight w:val="none"/>
              </w:rPr>
            </w:pPr>
          </w:p>
        </w:tc>
        <w:tc>
          <w:tcPr>
            <w:tcW w:w="1247" w:type="dxa"/>
            <w:tcBorders>
              <w:top w:val="single" w:color="auto" w:sz="4" w:space="0"/>
              <w:left w:val="single" w:color="auto" w:sz="4" w:space="0"/>
              <w:bottom w:val="single" w:color="auto" w:sz="4" w:space="0"/>
              <w:right w:val="single" w:color="auto" w:sz="4" w:space="0"/>
            </w:tcBorders>
            <w:vAlign w:val="center"/>
          </w:tcPr>
          <w:p w14:paraId="1F593CCF">
            <w:pPr>
              <w:jc w:val="center"/>
              <w:rPr>
                <w:rFonts w:hint="eastAsia" w:ascii="宋体" w:hAnsi="宋体"/>
                <w:strike/>
                <w:color w:val="auto"/>
                <w:highlight w:val="none"/>
              </w:rPr>
            </w:pPr>
            <w:r>
              <w:rPr>
                <w:rFonts w:hint="eastAsia" w:ascii="宋体" w:hAnsi="宋体" w:cs="宋体"/>
                <w:strike/>
                <w:color w:val="auto"/>
                <w:highlight w:val="none"/>
              </w:rPr>
              <w:t>≥</w:t>
            </w:r>
            <w:r>
              <w:rPr>
                <w:rFonts w:hint="eastAsia" w:ascii="宋体" w:hAnsi="宋体" w:cs="Arial"/>
                <w:strike/>
                <w:color w:val="auto"/>
                <w:highlight w:val="none"/>
              </w:rPr>
              <w:t>80%</w:t>
            </w:r>
          </w:p>
        </w:tc>
      </w:tr>
    </w:tbl>
    <w:p w14:paraId="3B44408B">
      <w:pPr>
        <w:pStyle w:val="35"/>
        <w:adjustRightInd/>
        <w:ind w:firstLine="482"/>
        <w:jc w:val="both"/>
        <w:rPr>
          <w:rFonts w:ascii="Times New Roman" w:hAnsi="Times New Roman"/>
          <w:b/>
          <w:strike/>
          <w:color w:val="auto"/>
          <w:highlight w:val="none"/>
        </w:rPr>
      </w:pPr>
      <w:r>
        <w:rPr>
          <w:rFonts w:hint="eastAsia" w:ascii="宋体" w:hAnsi="宋体" w:cs="宋体"/>
          <w:b/>
          <w:strike/>
          <w:color w:val="auto"/>
          <w:highlight w:val="none"/>
        </w:rPr>
        <w:t>注：</w:t>
      </w:r>
      <w:r>
        <w:rPr>
          <w:rFonts w:hint="eastAsia" w:ascii="仿宋" w:hAnsi="仿宋" w:eastAsia="仿宋"/>
          <w:strike/>
          <w:color w:val="auto"/>
          <w:sz w:val="28"/>
          <w:szCs w:val="28"/>
          <w:highlight w:val="none"/>
        </w:rPr>
        <w:t>1.</w:t>
      </w:r>
      <w:r>
        <w:rPr>
          <w:rFonts w:hint="eastAsia" w:ascii="宋体" w:hAnsi="宋体"/>
          <w:strike/>
          <w:color w:val="auto"/>
          <w:highlight w:val="none"/>
        </w:rPr>
        <w:t>技术标评审通过的但技术标</w:t>
      </w:r>
      <w:r>
        <w:rPr>
          <w:rFonts w:hint="eastAsia" w:ascii="Times New Roman" w:hAnsi="Times New Roman"/>
          <w:b/>
          <w:strike/>
          <w:color w:val="auto"/>
          <w:highlight w:val="none"/>
        </w:rPr>
        <w:t>缺项，该项得0分。2.</w:t>
      </w:r>
      <w:r>
        <w:rPr>
          <w:rFonts w:hint="eastAsia" w:ascii="仿宋" w:hAnsi="仿宋" w:eastAsia="仿宋"/>
          <w:strike/>
          <w:color w:val="auto"/>
          <w:sz w:val="28"/>
          <w:szCs w:val="28"/>
          <w:highlight w:val="none"/>
        </w:rPr>
        <w:t>技术标评审一般不宜设置以施工图设计为评审因素。</w:t>
      </w:r>
    </w:p>
    <w:p w14:paraId="446CF082">
      <w:pPr>
        <w:pStyle w:val="36"/>
        <w:snapToGrid w:val="0"/>
        <w:ind w:firstLine="482" w:firstLineChars="200"/>
        <w:rPr>
          <w:rFonts w:hint="eastAsia" w:ascii="宋体" w:hAnsi="宋体" w:cs="宋体"/>
          <w:b/>
          <w:strike/>
          <w:color w:val="auto"/>
          <w:highlight w:val="none"/>
        </w:rPr>
      </w:pPr>
      <w:r>
        <w:rPr>
          <w:rFonts w:hint="eastAsia" w:ascii="宋体" w:hAnsi="宋体" w:cs="宋体"/>
          <w:b/>
          <w:strike/>
          <w:color w:val="auto"/>
          <w:highlight w:val="none"/>
        </w:rPr>
        <w:t>初步评审</w:t>
      </w:r>
    </w:p>
    <w:p w14:paraId="2253872A">
      <w:pPr>
        <w:pStyle w:val="42"/>
        <w:spacing w:line="240" w:lineRule="auto"/>
        <w:ind w:firstLine="480"/>
        <w:rPr>
          <w:rFonts w:hint="eastAsia" w:ascii="宋体" w:hAnsi="宋体"/>
          <w:strike/>
          <w:color w:val="auto"/>
          <w:szCs w:val="24"/>
          <w:highlight w:val="none"/>
        </w:rPr>
      </w:pPr>
      <w:r>
        <w:rPr>
          <w:rFonts w:hint="eastAsia" w:ascii="宋体" w:hAnsi="宋体"/>
          <w:strike/>
          <w:color w:val="auto"/>
          <w:szCs w:val="24"/>
          <w:highlight w:val="none"/>
        </w:rPr>
        <w:t>评标委员会对通过技术标评审和资格审查的投标文件进行初步评审，投标文件存在投标人须知前附表10.1情形之一的，评标委员会组织投标人询问核实后，情况属实的，初步评审不予通过，否决其投标，不再进入后续评审程序。</w:t>
      </w:r>
    </w:p>
    <w:p w14:paraId="79752B39">
      <w:pPr>
        <w:pStyle w:val="36"/>
        <w:snapToGrid w:val="0"/>
        <w:ind w:left="480"/>
        <w:rPr>
          <w:rFonts w:hint="eastAsia" w:ascii="宋体" w:hAnsi="宋体" w:cs="宋体"/>
          <w:b/>
          <w:strike/>
          <w:color w:val="auto"/>
          <w:highlight w:val="none"/>
        </w:rPr>
      </w:pPr>
      <w:r>
        <w:rPr>
          <w:rFonts w:hint="eastAsia" w:ascii="宋体" w:hAnsi="宋体" w:cs="宋体"/>
          <w:b/>
          <w:strike/>
          <w:color w:val="auto"/>
          <w:highlight w:val="none"/>
        </w:rPr>
        <w:t>五、资信标评审（≤10分）</w:t>
      </w:r>
    </w:p>
    <w:p w14:paraId="1F08292A">
      <w:pPr>
        <w:pStyle w:val="42"/>
        <w:spacing w:line="240" w:lineRule="auto"/>
        <w:ind w:firstLine="480"/>
        <w:rPr>
          <w:rFonts w:hint="eastAsia" w:ascii="宋体" w:hAnsi="宋体"/>
          <w:strike/>
          <w:color w:val="auto"/>
          <w:szCs w:val="24"/>
          <w:highlight w:val="none"/>
        </w:rPr>
      </w:pPr>
      <w:r>
        <w:rPr>
          <w:rFonts w:hint="eastAsia" w:ascii="宋体" w:hAnsi="宋体"/>
          <w:strike/>
          <w:color w:val="auto"/>
          <w:highlight w:val="none"/>
        </w:rPr>
        <w:t>评标委员会对通过资格审查、技术标评审、初步评审的投标文件进行资信标评审。</w:t>
      </w:r>
      <w:r>
        <w:rPr>
          <w:rFonts w:hint="eastAsia" w:ascii="宋体" w:hAnsi="宋体"/>
          <w:strike/>
          <w:color w:val="auto"/>
          <w:szCs w:val="24"/>
          <w:highlight w:val="none"/>
        </w:rPr>
        <w:t>（</w:t>
      </w:r>
      <w:r>
        <w:rPr>
          <w:rFonts w:hint="eastAsia" w:ascii="宋体" w:hAnsi="宋体"/>
          <w:strike/>
          <w:color w:val="auto"/>
          <w:highlight w:val="none"/>
        </w:rPr>
        <w:t>资信评分设置</w:t>
      </w:r>
      <w:r>
        <w:rPr>
          <w:rFonts w:hint="eastAsia" w:ascii="宋体" w:hAnsi="宋体"/>
          <w:strike/>
          <w:color w:val="auto"/>
          <w:szCs w:val="24"/>
          <w:highlight w:val="none"/>
        </w:rPr>
        <w:t>具体内容和分值由招标人根据当地招投标主管部门相关规定确定；允许联合投标的，</w:t>
      </w:r>
      <w:r>
        <w:rPr>
          <w:rFonts w:hint="eastAsia" w:ascii="宋体" w:hAnsi="宋体"/>
          <w:strike/>
          <w:color w:val="auto"/>
          <w:highlight w:val="none"/>
        </w:rPr>
        <w:t>资信评分设置应当和联合体投标单位在项目中所承担的工作内容相对应</w:t>
      </w:r>
      <w:r>
        <w:rPr>
          <w:rFonts w:ascii="宋体" w:hAnsi="宋体"/>
          <w:strike/>
          <w:color w:val="auto"/>
          <w:szCs w:val="24"/>
          <w:highlight w:val="none"/>
          <w:lang w:val="en"/>
        </w:rPr>
        <w:t>)</w:t>
      </w:r>
      <w:r>
        <w:rPr>
          <w:rFonts w:hint="eastAsia" w:ascii="宋体" w:hAnsi="宋体"/>
          <w:strike/>
          <w:color w:val="auto"/>
          <w:szCs w:val="24"/>
          <w:highlight w:val="none"/>
        </w:rPr>
        <w:t>。</w:t>
      </w:r>
    </w:p>
    <w:p w14:paraId="171FE2B0">
      <w:pPr>
        <w:jc w:val="center"/>
        <w:rPr>
          <w:rFonts w:hint="eastAsia" w:ascii="宋体" w:hAnsi="宋体" w:cs="宋体"/>
          <w:b/>
          <w:strike/>
          <w:color w:val="auto"/>
          <w:highlight w:val="none"/>
        </w:rPr>
      </w:pPr>
      <w:r>
        <w:rPr>
          <w:rFonts w:hint="eastAsia" w:ascii="宋体" w:hAnsi="宋体" w:cs="宋体"/>
          <w:b/>
          <w:strike/>
          <w:color w:val="auto"/>
          <w:highlight w:val="none"/>
        </w:rPr>
        <w:t>资信评审因素表</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2"/>
        <w:gridCol w:w="5282"/>
        <w:gridCol w:w="1780"/>
      </w:tblGrid>
      <w:tr w14:paraId="6EB21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2" w:type="dxa"/>
          </w:tcPr>
          <w:p w14:paraId="3D4836C8">
            <w:pPr>
              <w:widowControl/>
              <w:jc w:val="center"/>
              <w:rPr>
                <w:rFonts w:hint="eastAsia" w:ascii="宋体" w:hAnsi="宋体"/>
                <w:b/>
                <w:strike/>
                <w:color w:val="auto"/>
                <w:spacing w:val="-12"/>
                <w:highlight w:val="none"/>
              </w:rPr>
            </w:pPr>
            <w:r>
              <w:rPr>
                <w:rFonts w:hint="eastAsia" w:ascii="宋体" w:hAnsi="宋体"/>
                <w:b/>
                <w:strike/>
                <w:color w:val="auto"/>
                <w:spacing w:val="-12"/>
                <w:highlight w:val="none"/>
              </w:rPr>
              <w:t>评审因素</w:t>
            </w:r>
          </w:p>
        </w:tc>
        <w:tc>
          <w:tcPr>
            <w:tcW w:w="5282" w:type="dxa"/>
          </w:tcPr>
          <w:p w14:paraId="166A5D04">
            <w:pPr>
              <w:widowControl/>
              <w:jc w:val="center"/>
              <w:rPr>
                <w:rFonts w:hint="eastAsia" w:ascii="宋体" w:hAnsi="宋体"/>
                <w:b/>
                <w:strike/>
                <w:color w:val="auto"/>
                <w:spacing w:val="-12"/>
                <w:highlight w:val="none"/>
              </w:rPr>
            </w:pPr>
            <w:r>
              <w:rPr>
                <w:rFonts w:hint="eastAsia" w:ascii="宋体" w:hAnsi="宋体"/>
                <w:b/>
                <w:strike/>
                <w:color w:val="auto"/>
                <w:spacing w:val="-12"/>
                <w:highlight w:val="none"/>
              </w:rPr>
              <w:t>内容</w:t>
            </w:r>
          </w:p>
        </w:tc>
        <w:tc>
          <w:tcPr>
            <w:tcW w:w="1780" w:type="dxa"/>
          </w:tcPr>
          <w:p w14:paraId="097F2B70">
            <w:pPr>
              <w:widowControl/>
              <w:jc w:val="center"/>
              <w:rPr>
                <w:rFonts w:hint="eastAsia" w:ascii="宋体" w:hAnsi="宋体"/>
                <w:b/>
                <w:strike/>
                <w:color w:val="auto"/>
                <w:spacing w:val="-12"/>
                <w:highlight w:val="none"/>
              </w:rPr>
            </w:pPr>
            <w:r>
              <w:rPr>
                <w:rFonts w:hint="eastAsia" w:ascii="宋体" w:hAnsi="宋体"/>
                <w:b/>
                <w:strike/>
                <w:color w:val="auto"/>
                <w:spacing w:val="-12"/>
                <w:highlight w:val="none"/>
              </w:rPr>
              <w:t>分值权重</w:t>
            </w:r>
          </w:p>
        </w:tc>
      </w:tr>
      <w:tr w14:paraId="7C870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2" w:type="dxa"/>
            <w:vMerge w:val="restart"/>
            <w:vAlign w:val="center"/>
          </w:tcPr>
          <w:p w14:paraId="4150315D">
            <w:pPr>
              <w:widowControl/>
              <w:rPr>
                <w:rFonts w:hint="eastAsia" w:ascii="宋体" w:hAnsi="宋体"/>
                <w:strike/>
                <w:color w:val="auto"/>
                <w:spacing w:val="-12"/>
                <w:highlight w:val="none"/>
              </w:rPr>
            </w:pPr>
            <w:r>
              <w:rPr>
                <w:rFonts w:hint="eastAsia" w:ascii="宋体" w:hAnsi="宋体"/>
                <w:strike/>
                <w:color w:val="auto"/>
                <w:spacing w:val="-12"/>
                <w:highlight w:val="none"/>
              </w:rPr>
              <w:t>类似工程业绩</w:t>
            </w:r>
          </w:p>
        </w:tc>
        <w:tc>
          <w:tcPr>
            <w:tcW w:w="5282" w:type="dxa"/>
            <w:vAlign w:val="center"/>
          </w:tcPr>
          <w:p w14:paraId="3C828371">
            <w:pPr>
              <w:widowControl/>
              <w:rPr>
                <w:rFonts w:hint="eastAsia" w:ascii="宋体" w:hAnsi="宋体"/>
                <w:strike/>
                <w:color w:val="auto"/>
                <w:spacing w:val="-12"/>
                <w:highlight w:val="none"/>
              </w:rPr>
            </w:pPr>
            <w:r>
              <w:rPr>
                <w:rFonts w:hint="eastAsia" w:ascii="宋体" w:hAnsi="宋体"/>
                <w:strike/>
                <w:color w:val="auto"/>
                <w:spacing w:val="-12"/>
                <w:highlight w:val="none"/>
              </w:rPr>
              <w:t>企业业绩</w:t>
            </w:r>
          </w:p>
        </w:tc>
        <w:tc>
          <w:tcPr>
            <w:tcW w:w="1780" w:type="dxa"/>
            <w:vAlign w:val="center"/>
          </w:tcPr>
          <w:p w14:paraId="75F96AE7">
            <w:pPr>
              <w:widowControl/>
              <w:jc w:val="center"/>
              <w:rPr>
                <w:rFonts w:hint="eastAsia" w:ascii="宋体" w:hAnsi="宋体"/>
                <w:strike/>
                <w:color w:val="auto"/>
                <w:spacing w:val="-12"/>
                <w:highlight w:val="none"/>
              </w:rPr>
            </w:pPr>
            <w:r>
              <w:rPr>
                <w:rFonts w:hint="eastAsia" w:ascii="宋体" w:hAnsi="宋体" w:cs="宋体"/>
                <w:b/>
                <w:strike/>
                <w:color w:val="auto"/>
                <w:highlight w:val="none"/>
              </w:rPr>
              <w:t>≤</w:t>
            </w:r>
            <w:r>
              <w:rPr>
                <w:rFonts w:hint="eastAsia" w:ascii="宋体" w:hAnsi="宋体" w:cs="Arial"/>
                <w:strike/>
                <w:color w:val="auto"/>
                <w:highlight w:val="none"/>
              </w:rPr>
              <w:t>2分</w:t>
            </w:r>
          </w:p>
        </w:tc>
      </w:tr>
      <w:tr w14:paraId="4CE85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2242" w:type="dxa"/>
            <w:vMerge w:val="continue"/>
            <w:vAlign w:val="center"/>
          </w:tcPr>
          <w:p w14:paraId="63F6F8E4">
            <w:pPr>
              <w:widowControl/>
              <w:rPr>
                <w:rFonts w:hint="eastAsia" w:ascii="宋体" w:hAnsi="宋体"/>
                <w:strike/>
                <w:color w:val="auto"/>
                <w:spacing w:val="-12"/>
                <w:highlight w:val="none"/>
              </w:rPr>
            </w:pPr>
          </w:p>
        </w:tc>
        <w:tc>
          <w:tcPr>
            <w:tcW w:w="5282" w:type="dxa"/>
            <w:vAlign w:val="center"/>
          </w:tcPr>
          <w:p w14:paraId="14B728CF">
            <w:pPr>
              <w:widowControl/>
              <w:rPr>
                <w:rFonts w:hint="eastAsia" w:ascii="宋体" w:hAnsi="宋体"/>
                <w:strike/>
                <w:color w:val="auto"/>
                <w:spacing w:val="-12"/>
                <w:highlight w:val="none"/>
              </w:rPr>
            </w:pPr>
            <w:r>
              <w:rPr>
                <w:rFonts w:hint="eastAsia" w:ascii="宋体" w:hAnsi="宋体"/>
                <w:strike/>
                <w:color w:val="auto"/>
                <w:spacing w:val="-12"/>
                <w:highlight w:val="none"/>
              </w:rPr>
              <w:t>人员业绩</w:t>
            </w:r>
          </w:p>
        </w:tc>
        <w:tc>
          <w:tcPr>
            <w:tcW w:w="1780" w:type="dxa"/>
            <w:vAlign w:val="center"/>
          </w:tcPr>
          <w:p w14:paraId="51A548D7">
            <w:pPr>
              <w:widowControl/>
              <w:jc w:val="center"/>
              <w:rPr>
                <w:rFonts w:hint="eastAsia" w:ascii="宋体" w:hAnsi="宋体"/>
                <w:strike/>
                <w:color w:val="auto"/>
                <w:spacing w:val="-12"/>
                <w:highlight w:val="none"/>
              </w:rPr>
            </w:pPr>
            <w:r>
              <w:rPr>
                <w:rFonts w:hint="eastAsia" w:ascii="宋体" w:hAnsi="宋体" w:cs="宋体"/>
                <w:b/>
                <w:strike/>
                <w:color w:val="auto"/>
                <w:highlight w:val="none"/>
              </w:rPr>
              <w:t>≤</w:t>
            </w:r>
            <w:r>
              <w:rPr>
                <w:rFonts w:hint="eastAsia" w:ascii="宋体" w:hAnsi="宋体" w:cs="Arial"/>
                <w:strike/>
                <w:color w:val="auto"/>
                <w:highlight w:val="none"/>
              </w:rPr>
              <w:t>2分</w:t>
            </w:r>
          </w:p>
        </w:tc>
      </w:tr>
      <w:tr w14:paraId="04F85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2242" w:type="dxa"/>
            <w:vMerge w:val="restart"/>
            <w:vAlign w:val="center"/>
          </w:tcPr>
          <w:p w14:paraId="076223CB">
            <w:pPr>
              <w:widowControl/>
              <w:rPr>
                <w:rFonts w:hint="eastAsia" w:ascii="宋体" w:hAnsi="宋体"/>
                <w:strike/>
                <w:color w:val="auto"/>
                <w:spacing w:val="-12"/>
                <w:highlight w:val="none"/>
              </w:rPr>
            </w:pPr>
            <w:r>
              <w:rPr>
                <w:rFonts w:hint="eastAsia" w:ascii="宋体" w:hAnsi="宋体"/>
                <w:strike/>
                <w:color w:val="auto"/>
                <w:spacing w:val="-12"/>
                <w:highlight w:val="none"/>
              </w:rPr>
              <w:t>信用评分</w:t>
            </w:r>
          </w:p>
        </w:tc>
        <w:tc>
          <w:tcPr>
            <w:tcW w:w="5282" w:type="dxa"/>
            <w:vAlign w:val="center"/>
          </w:tcPr>
          <w:p w14:paraId="5B03CD14">
            <w:pPr>
              <w:widowControl/>
              <w:rPr>
                <w:rFonts w:hint="eastAsia" w:ascii="宋体" w:hAnsi="宋体"/>
                <w:strike/>
                <w:color w:val="auto"/>
                <w:spacing w:val="-12"/>
                <w:highlight w:val="none"/>
              </w:rPr>
            </w:pPr>
            <w:r>
              <w:rPr>
                <w:rFonts w:hint="eastAsia" w:ascii="宋体" w:hAnsi="宋体"/>
                <w:strike/>
                <w:color w:val="auto"/>
                <w:highlight w:val="none"/>
                <w:u w:val="single"/>
              </w:rPr>
              <w:t>建设行政</w:t>
            </w:r>
            <w:r>
              <w:rPr>
                <w:rFonts w:hint="eastAsia" w:ascii="宋体" w:hAnsi="宋体"/>
                <w:strike/>
                <w:color w:val="auto"/>
                <w:spacing w:val="-12"/>
                <w:highlight w:val="none"/>
                <w:u w:val="single"/>
              </w:rPr>
              <w:t>主管部门公布的企业信用评价。</w:t>
            </w:r>
          </w:p>
        </w:tc>
        <w:tc>
          <w:tcPr>
            <w:tcW w:w="1780" w:type="dxa"/>
            <w:vAlign w:val="center"/>
          </w:tcPr>
          <w:p w14:paraId="3BDF6A28">
            <w:pPr>
              <w:widowControl/>
              <w:jc w:val="center"/>
              <w:rPr>
                <w:rFonts w:hint="eastAsia" w:ascii="宋体" w:hAnsi="宋体"/>
                <w:strike/>
                <w:color w:val="auto"/>
                <w:spacing w:val="-12"/>
                <w:highlight w:val="none"/>
              </w:rPr>
            </w:pPr>
            <w:r>
              <w:rPr>
                <w:rFonts w:hint="eastAsia" w:ascii="宋体" w:hAnsi="宋体" w:cs="Arial"/>
                <w:strike/>
                <w:color w:val="auto"/>
                <w:highlight w:val="none"/>
              </w:rPr>
              <w:t>2-3分</w:t>
            </w:r>
          </w:p>
        </w:tc>
      </w:tr>
      <w:tr w14:paraId="3CFAB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2242" w:type="dxa"/>
            <w:vMerge w:val="continue"/>
            <w:vAlign w:val="center"/>
          </w:tcPr>
          <w:p w14:paraId="4739B9FA">
            <w:pPr>
              <w:widowControl/>
              <w:rPr>
                <w:rFonts w:hint="eastAsia" w:ascii="宋体" w:hAnsi="宋体"/>
                <w:strike/>
                <w:color w:val="auto"/>
                <w:spacing w:val="-12"/>
                <w:highlight w:val="none"/>
              </w:rPr>
            </w:pPr>
          </w:p>
        </w:tc>
        <w:tc>
          <w:tcPr>
            <w:tcW w:w="5282" w:type="dxa"/>
            <w:vAlign w:val="center"/>
          </w:tcPr>
          <w:p w14:paraId="0CA07F38">
            <w:pPr>
              <w:widowControl/>
              <w:rPr>
                <w:rFonts w:hint="eastAsia" w:ascii="宋体" w:hAnsi="宋体"/>
                <w:strike/>
                <w:color w:val="auto"/>
                <w:highlight w:val="none"/>
                <w:u w:val="single"/>
              </w:rPr>
            </w:pPr>
            <w:r>
              <w:rPr>
                <w:rFonts w:hint="eastAsia" w:ascii="宋体" w:hAnsi="宋体"/>
                <w:strike/>
                <w:color w:val="auto"/>
                <w:highlight w:val="none"/>
                <w:u w:val="single"/>
              </w:rPr>
              <w:t>建设行政</w:t>
            </w:r>
            <w:r>
              <w:rPr>
                <w:rFonts w:hint="eastAsia" w:ascii="宋体" w:hAnsi="宋体"/>
                <w:strike/>
                <w:color w:val="auto"/>
                <w:spacing w:val="-12"/>
                <w:highlight w:val="none"/>
                <w:u w:val="single"/>
              </w:rPr>
              <w:t>主管部门公布的人员（具体项目班组人员中由招标人或</w:t>
            </w:r>
            <w:r>
              <w:rPr>
                <w:rFonts w:hint="eastAsia" w:ascii="宋体" w:hAnsi="宋体"/>
                <w:strike/>
                <w:color w:val="auto"/>
                <w:highlight w:val="none"/>
                <w:u w:val="single"/>
              </w:rPr>
              <w:t>当地招投标主管部门</w:t>
            </w:r>
            <w:r>
              <w:rPr>
                <w:rFonts w:hint="eastAsia" w:ascii="宋体" w:hAnsi="宋体"/>
                <w:strike/>
                <w:color w:val="auto"/>
                <w:spacing w:val="-12"/>
                <w:highlight w:val="none"/>
                <w:u w:val="single"/>
              </w:rPr>
              <w:t>确定）信用评价。</w:t>
            </w:r>
          </w:p>
        </w:tc>
        <w:tc>
          <w:tcPr>
            <w:tcW w:w="1780" w:type="dxa"/>
            <w:vAlign w:val="center"/>
          </w:tcPr>
          <w:p w14:paraId="043D4131">
            <w:pPr>
              <w:widowControl/>
              <w:jc w:val="center"/>
              <w:rPr>
                <w:rFonts w:hint="eastAsia" w:ascii="宋体" w:hAnsi="宋体" w:cs="Arial"/>
                <w:strike/>
                <w:color w:val="auto"/>
                <w:highlight w:val="none"/>
              </w:rPr>
            </w:pPr>
            <w:r>
              <w:rPr>
                <w:rFonts w:hint="eastAsia" w:ascii="宋体" w:hAnsi="宋体" w:cs="Arial"/>
                <w:strike/>
                <w:color w:val="auto"/>
                <w:highlight w:val="none"/>
              </w:rPr>
              <w:t>1-2分</w:t>
            </w:r>
          </w:p>
        </w:tc>
      </w:tr>
      <w:tr w14:paraId="17F0B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2" w:type="dxa"/>
            <w:vAlign w:val="center"/>
          </w:tcPr>
          <w:p w14:paraId="7863EE76">
            <w:pPr>
              <w:widowControl/>
              <w:rPr>
                <w:rFonts w:hint="eastAsia" w:ascii="宋体" w:hAnsi="宋体"/>
                <w:strike/>
                <w:color w:val="auto"/>
                <w:spacing w:val="-12"/>
                <w:highlight w:val="none"/>
              </w:rPr>
            </w:pPr>
            <w:r>
              <w:rPr>
                <w:rFonts w:hint="eastAsia" w:ascii="宋体" w:hAnsi="宋体"/>
                <w:strike/>
                <w:color w:val="auto"/>
                <w:spacing w:val="-12"/>
                <w:highlight w:val="none"/>
              </w:rPr>
              <w:t>项目负责人及项目管理班子人员能力</w:t>
            </w:r>
          </w:p>
        </w:tc>
        <w:tc>
          <w:tcPr>
            <w:tcW w:w="5282" w:type="dxa"/>
            <w:vAlign w:val="center"/>
          </w:tcPr>
          <w:p w14:paraId="2CC012F0">
            <w:pPr>
              <w:widowControl/>
              <w:rPr>
                <w:rFonts w:hint="eastAsia" w:ascii="宋体" w:hAnsi="宋体"/>
                <w:strike/>
                <w:color w:val="auto"/>
                <w:spacing w:val="-12"/>
                <w:highlight w:val="none"/>
              </w:rPr>
            </w:pPr>
            <w:r>
              <w:rPr>
                <w:rFonts w:hint="eastAsia" w:ascii="宋体" w:hAnsi="宋体"/>
                <w:strike/>
                <w:color w:val="auto"/>
                <w:spacing w:val="-12"/>
                <w:highlight w:val="none"/>
              </w:rPr>
              <w:t>项目管理班子专业能力配备情况，项目负责人及</w:t>
            </w:r>
            <w:r>
              <w:rPr>
                <w:rFonts w:ascii="宋体" w:hAnsi="宋体"/>
                <w:strike/>
                <w:color w:val="auto"/>
                <w:spacing w:val="-12"/>
                <w:highlight w:val="none"/>
              </w:rPr>
              <w:t>各专业负责人</w:t>
            </w:r>
            <w:r>
              <w:rPr>
                <w:rFonts w:hint="eastAsia" w:ascii="宋体" w:hAnsi="宋体"/>
                <w:strike/>
                <w:color w:val="auto"/>
                <w:spacing w:val="-12"/>
                <w:highlight w:val="none"/>
              </w:rPr>
              <w:t>执业资格、执业年限、职称，</w:t>
            </w:r>
            <w:r>
              <w:rPr>
                <w:rFonts w:ascii="宋体" w:hAnsi="宋体"/>
                <w:strike/>
                <w:color w:val="auto"/>
                <w:spacing w:val="-12"/>
                <w:highlight w:val="none"/>
              </w:rPr>
              <w:t>其他主要人员资格</w:t>
            </w:r>
            <w:r>
              <w:rPr>
                <w:rFonts w:hint="eastAsia" w:ascii="宋体" w:hAnsi="宋体"/>
                <w:strike/>
                <w:color w:val="auto"/>
                <w:spacing w:val="-12"/>
                <w:highlight w:val="none"/>
              </w:rPr>
              <w:t>等综合情况要求</w:t>
            </w:r>
          </w:p>
        </w:tc>
        <w:tc>
          <w:tcPr>
            <w:tcW w:w="1780" w:type="dxa"/>
            <w:vAlign w:val="center"/>
          </w:tcPr>
          <w:p w14:paraId="5FA35495">
            <w:pPr>
              <w:widowControl/>
              <w:jc w:val="center"/>
              <w:rPr>
                <w:rFonts w:hint="eastAsia" w:ascii="宋体" w:hAnsi="宋体"/>
                <w:strike/>
                <w:color w:val="auto"/>
                <w:spacing w:val="-12"/>
                <w:highlight w:val="none"/>
              </w:rPr>
            </w:pPr>
            <w:r>
              <w:rPr>
                <w:rFonts w:hint="eastAsia" w:ascii="宋体" w:hAnsi="宋体" w:cs="宋体"/>
                <w:b/>
                <w:strike/>
                <w:color w:val="auto"/>
                <w:highlight w:val="none"/>
              </w:rPr>
              <w:t>≤</w:t>
            </w:r>
            <w:r>
              <w:rPr>
                <w:rFonts w:hint="eastAsia" w:ascii="宋体" w:hAnsi="宋体" w:cs="Arial"/>
                <w:strike/>
                <w:color w:val="auto"/>
                <w:highlight w:val="none"/>
              </w:rPr>
              <w:t>2分</w:t>
            </w:r>
          </w:p>
        </w:tc>
      </w:tr>
      <w:tr w14:paraId="31D7E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2" w:type="dxa"/>
            <w:vAlign w:val="center"/>
          </w:tcPr>
          <w:p w14:paraId="08DC9DC7">
            <w:pPr>
              <w:widowControl/>
              <w:rPr>
                <w:rFonts w:hint="eastAsia" w:ascii="宋体" w:hAnsi="宋体"/>
                <w:strike/>
                <w:color w:val="auto"/>
                <w:spacing w:val="-12"/>
                <w:highlight w:val="none"/>
              </w:rPr>
            </w:pPr>
            <w:r>
              <w:rPr>
                <w:rFonts w:hint="eastAsia" w:ascii="宋体" w:hAnsi="宋体"/>
                <w:strike/>
                <w:color w:val="auto"/>
                <w:spacing w:val="-12"/>
                <w:highlight w:val="none"/>
              </w:rPr>
              <w:t>企业综合实力</w:t>
            </w:r>
          </w:p>
        </w:tc>
        <w:tc>
          <w:tcPr>
            <w:tcW w:w="5282" w:type="dxa"/>
            <w:vAlign w:val="center"/>
          </w:tcPr>
          <w:p w14:paraId="129D894D">
            <w:pPr>
              <w:widowControl/>
              <w:rPr>
                <w:rFonts w:hint="eastAsia" w:ascii="宋体" w:hAnsi="宋体"/>
                <w:strike/>
                <w:color w:val="auto"/>
                <w:spacing w:val="-12"/>
                <w:highlight w:val="none"/>
              </w:rPr>
            </w:pPr>
            <w:r>
              <w:rPr>
                <w:rFonts w:hint="eastAsia" w:ascii="宋体" w:hAnsi="宋体"/>
                <w:strike/>
                <w:color w:val="auto"/>
                <w:spacing w:val="-12"/>
                <w:highlight w:val="none"/>
              </w:rPr>
              <w:t>招标人可根据项目实际情况，合理确定企业综合实力相关内容和因素，但不得设置超过项目实际需要的指标。（适用于技术复杂项目）</w:t>
            </w:r>
          </w:p>
        </w:tc>
        <w:tc>
          <w:tcPr>
            <w:tcW w:w="1780" w:type="dxa"/>
            <w:vAlign w:val="center"/>
          </w:tcPr>
          <w:p w14:paraId="40A916AE">
            <w:pPr>
              <w:widowControl/>
              <w:jc w:val="center"/>
              <w:rPr>
                <w:rFonts w:hint="eastAsia" w:ascii="宋体" w:hAnsi="宋体"/>
                <w:strike/>
                <w:color w:val="auto"/>
                <w:spacing w:val="-12"/>
                <w:highlight w:val="none"/>
              </w:rPr>
            </w:pPr>
            <w:r>
              <w:rPr>
                <w:rFonts w:hint="eastAsia" w:ascii="宋体" w:hAnsi="宋体" w:cs="宋体"/>
                <w:b/>
                <w:strike/>
                <w:color w:val="auto"/>
                <w:highlight w:val="none"/>
              </w:rPr>
              <w:t>≤</w:t>
            </w:r>
            <w:r>
              <w:rPr>
                <w:rFonts w:hint="eastAsia" w:ascii="宋体" w:hAnsi="宋体" w:cs="Arial"/>
                <w:strike/>
                <w:color w:val="auto"/>
                <w:highlight w:val="none"/>
              </w:rPr>
              <w:t>2分</w:t>
            </w:r>
          </w:p>
        </w:tc>
      </w:tr>
      <w:tr w14:paraId="10A43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9" w:hRule="atLeast"/>
          <w:jc w:val="center"/>
        </w:trPr>
        <w:tc>
          <w:tcPr>
            <w:tcW w:w="2242" w:type="dxa"/>
            <w:vMerge w:val="restart"/>
            <w:vAlign w:val="center"/>
          </w:tcPr>
          <w:p w14:paraId="42670EA5">
            <w:pPr>
              <w:widowControl/>
              <w:rPr>
                <w:rFonts w:hint="eastAsia" w:ascii="宋体" w:hAnsi="宋体"/>
                <w:strike/>
                <w:color w:val="auto"/>
                <w:spacing w:val="-12"/>
                <w:highlight w:val="none"/>
              </w:rPr>
            </w:pPr>
            <w:r>
              <w:rPr>
                <w:rFonts w:hint="eastAsia" w:ascii="宋体" w:hAnsi="宋体"/>
                <w:strike/>
                <w:color w:val="auto"/>
                <w:spacing w:val="-12"/>
                <w:highlight w:val="none"/>
              </w:rPr>
              <w:t>其他</w:t>
            </w:r>
          </w:p>
        </w:tc>
        <w:tc>
          <w:tcPr>
            <w:tcW w:w="5282" w:type="dxa"/>
            <w:vAlign w:val="center"/>
          </w:tcPr>
          <w:p w14:paraId="06A9B699">
            <w:pPr>
              <w:widowControl/>
              <w:rPr>
                <w:rFonts w:hint="eastAsia" w:ascii="宋体" w:hAnsi="宋体"/>
                <w:strike/>
                <w:color w:val="auto"/>
                <w:spacing w:val="-12"/>
                <w:highlight w:val="none"/>
              </w:rPr>
            </w:pPr>
            <w:r>
              <w:rPr>
                <w:rFonts w:hint="eastAsia"/>
                <w:strike/>
                <w:color w:val="auto"/>
                <w:highlight w:val="none"/>
              </w:rPr>
              <w:t>1.投标人同时具备满足招标公告资格条件要求的设计、施工等资质并且独立参与投标的（适用于非技术复杂项目）</w:t>
            </w:r>
          </w:p>
        </w:tc>
        <w:tc>
          <w:tcPr>
            <w:tcW w:w="1780" w:type="dxa"/>
            <w:vAlign w:val="center"/>
          </w:tcPr>
          <w:p w14:paraId="37CEB937">
            <w:pPr>
              <w:widowControl/>
              <w:jc w:val="center"/>
              <w:rPr>
                <w:rFonts w:hint="eastAsia" w:ascii="宋体" w:hAnsi="宋体"/>
                <w:strike/>
                <w:color w:val="auto"/>
                <w:spacing w:val="-12"/>
                <w:highlight w:val="none"/>
              </w:rPr>
            </w:pPr>
            <w:r>
              <w:rPr>
                <w:rFonts w:hint="eastAsia" w:ascii="宋体" w:hAnsi="宋体" w:cs="宋体"/>
                <w:b/>
                <w:strike/>
                <w:color w:val="auto"/>
                <w:highlight w:val="none"/>
              </w:rPr>
              <w:t>≤</w:t>
            </w:r>
            <w:r>
              <w:rPr>
                <w:rFonts w:hint="eastAsia" w:ascii="宋体" w:hAnsi="宋体" w:cs="Arial"/>
                <w:strike/>
                <w:color w:val="auto"/>
                <w:highlight w:val="none"/>
              </w:rPr>
              <w:t>0.5分</w:t>
            </w:r>
          </w:p>
        </w:tc>
      </w:tr>
      <w:tr w14:paraId="781B7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2" w:type="dxa"/>
            <w:vMerge w:val="continue"/>
            <w:vAlign w:val="center"/>
          </w:tcPr>
          <w:p w14:paraId="07F35F2F">
            <w:pPr>
              <w:widowControl/>
              <w:rPr>
                <w:rFonts w:hint="eastAsia" w:ascii="宋体" w:hAnsi="宋体"/>
                <w:strike/>
                <w:color w:val="auto"/>
                <w:spacing w:val="-12"/>
                <w:highlight w:val="none"/>
              </w:rPr>
            </w:pPr>
          </w:p>
        </w:tc>
        <w:tc>
          <w:tcPr>
            <w:tcW w:w="5282" w:type="dxa"/>
            <w:vAlign w:val="center"/>
          </w:tcPr>
          <w:p w14:paraId="1E973F14">
            <w:pPr>
              <w:widowControl/>
              <w:rPr>
                <w:rFonts w:hint="eastAsia" w:ascii="宋体" w:hAnsi="宋体"/>
                <w:strike/>
                <w:color w:val="auto"/>
                <w:spacing w:val="-12"/>
                <w:highlight w:val="none"/>
              </w:rPr>
            </w:pPr>
            <w:r>
              <w:rPr>
                <w:rFonts w:hint="eastAsia" w:ascii="宋体" w:hAnsi="宋体"/>
                <w:strike/>
                <w:color w:val="auto"/>
                <w:spacing w:val="-12"/>
                <w:highlight w:val="none"/>
              </w:rPr>
              <w:t>2.落实政府部门政策或其他（不得违反法律、法规、规章的规定）</w:t>
            </w:r>
          </w:p>
        </w:tc>
        <w:tc>
          <w:tcPr>
            <w:tcW w:w="1780" w:type="dxa"/>
            <w:vAlign w:val="center"/>
          </w:tcPr>
          <w:p w14:paraId="2B5BB42A">
            <w:pPr>
              <w:widowControl/>
              <w:jc w:val="center"/>
              <w:rPr>
                <w:rFonts w:hint="eastAsia" w:ascii="宋体" w:hAnsi="宋体"/>
                <w:strike/>
                <w:color w:val="auto"/>
                <w:spacing w:val="-12"/>
                <w:highlight w:val="none"/>
              </w:rPr>
            </w:pPr>
            <w:r>
              <w:rPr>
                <w:rFonts w:hint="eastAsia" w:ascii="宋体" w:hAnsi="宋体" w:cs="宋体"/>
                <w:b/>
                <w:strike/>
                <w:color w:val="auto"/>
                <w:highlight w:val="none"/>
              </w:rPr>
              <w:t>≤</w:t>
            </w:r>
            <w:r>
              <w:rPr>
                <w:rFonts w:hint="eastAsia" w:ascii="宋体" w:hAnsi="宋体" w:cs="Arial"/>
                <w:strike/>
                <w:color w:val="auto"/>
                <w:highlight w:val="none"/>
              </w:rPr>
              <w:t>0.5分</w:t>
            </w:r>
          </w:p>
        </w:tc>
      </w:tr>
    </w:tbl>
    <w:p w14:paraId="50B854A9">
      <w:pPr>
        <w:pStyle w:val="36"/>
        <w:numPr>
          <w:ilvl w:val="0"/>
          <w:numId w:val="22"/>
        </w:numPr>
        <w:snapToGrid w:val="0"/>
        <w:ind w:left="-1" w:firstLine="481"/>
        <w:rPr>
          <w:rFonts w:hint="eastAsia" w:ascii="宋体" w:hAnsi="宋体" w:cs="宋体"/>
          <w:b/>
          <w:strike/>
          <w:color w:val="auto"/>
          <w:highlight w:val="none"/>
        </w:rPr>
      </w:pPr>
      <w:r>
        <w:rPr>
          <w:rFonts w:hint="eastAsia" w:ascii="宋体" w:hAnsi="宋体" w:cs="宋体"/>
          <w:b/>
          <w:strike/>
          <w:color w:val="auto"/>
          <w:highlight w:val="none"/>
        </w:rPr>
        <w:t>商务标评审</w:t>
      </w:r>
    </w:p>
    <w:p w14:paraId="4A94CAB5">
      <w:pPr>
        <w:rPr>
          <w:rFonts w:hint="eastAsia" w:ascii="宋体" w:hAnsi="宋体" w:cs="宋体"/>
          <w:strike/>
          <w:color w:val="auto"/>
          <w:highlight w:val="none"/>
        </w:rPr>
      </w:pPr>
      <w:r>
        <w:rPr>
          <w:rFonts w:hint="eastAsia" w:ascii="宋体" w:hAnsi="宋体" w:cs="宋体"/>
          <w:strike/>
          <w:color w:val="auto"/>
          <w:highlight w:val="none"/>
        </w:rPr>
        <w:t xml:space="preserve">    （一）商务标评审是对投标文件中项目清单的范围、数量、报价进行全面审核和对比分析。投标文件存在投标人须知前附表10.1情形商务性内容之一的，评标委员会组织投标人询问核实后，情况属实的，商务标评审不予通过，否决其投标，不再进入后续评审程序。</w:t>
      </w:r>
    </w:p>
    <w:p w14:paraId="4931707F">
      <w:pPr>
        <w:ind w:firstLine="570"/>
        <w:rPr>
          <w:rFonts w:hint="eastAsia" w:ascii="宋体" w:hAnsi="宋体" w:cs="宋体"/>
          <w:strike/>
          <w:color w:val="auto"/>
          <w:highlight w:val="none"/>
        </w:rPr>
      </w:pPr>
      <w:r>
        <w:rPr>
          <w:rFonts w:hint="eastAsia" w:ascii="宋体" w:hAnsi="宋体" w:cs="宋体"/>
          <w:strike/>
          <w:color w:val="auto"/>
          <w:highlight w:val="none"/>
        </w:rPr>
        <w:t>（二）商务标评分（□≥60分，</w:t>
      </w:r>
      <w:r>
        <w:rPr>
          <w:rFonts w:hint="eastAsia" w:ascii="宋体" w:hAnsi="宋体" w:cs="宋体"/>
          <w:bCs/>
          <w:strike/>
          <w:color w:val="auto"/>
          <w:highlight w:val="none"/>
        </w:rPr>
        <w:t>适用于技术复杂项目；</w:t>
      </w:r>
      <w:r>
        <w:rPr>
          <w:rFonts w:hint="eastAsia" w:ascii="宋体" w:hAnsi="宋体" w:cs="宋体"/>
          <w:strike/>
          <w:color w:val="auto"/>
          <w:highlight w:val="none"/>
        </w:rPr>
        <w:t>□≥70分，</w:t>
      </w:r>
      <w:r>
        <w:rPr>
          <w:rFonts w:hint="eastAsia" w:ascii="宋体" w:hAnsi="宋体" w:cs="宋体"/>
          <w:bCs/>
          <w:strike/>
          <w:color w:val="auto"/>
          <w:highlight w:val="none"/>
        </w:rPr>
        <w:t>适用于非技术复杂项目）</w:t>
      </w:r>
    </w:p>
    <w:p w14:paraId="08B5A3D0">
      <w:pPr>
        <w:snapToGrid w:val="0"/>
        <w:ind w:left="240" w:leftChars="100" w:firstLine="240" w:firstLineChars="100"/>
        <w:rPr>
          <w:strike/>
          <w:color w:val="auto"/>
          <w:highlight w:val="none"/>
        </w:rPr>
      </w:pPr>
      <w:r>
        <w:rPr>
          <w:rFonts w:hint="eastAsia" w:ascii="宋体" w:hAnsi="宋体" w:cs="宋体"/>
          <w:strike/>
          <w:color w:val="auto"/>
          <w:highlight w:val="none"/>
        </w:rPr>
        <w:t>投标报价等于评标基准价时，商务评分为满分；投标报价每高于评标基准价1%扣</w:t>
      </w:r>
      <w:r>
        <w:rPr>
          <w:rFonts w:hint="eastAsia" w:ascii="宋体" w:hAnsi="宋体" w:cs="宋体"/>
          <w:strike/>
          <w:color w:val="auto"/>
          <w:highlight w:val="none"/>
          <w:u w:val="single"/>
        </w:rPr>
        <w:t xml:space="preserve"> 2C</w:t>
      </w:r>
      <w:r>
        <w:rPr>
          <w:rFonts w:hint="eastAsia" w:ascii="宋体" w:hAnsi="宋体" w:cs="宋体"/>
          <w:strike/>
          <w:color w:val="auto"/>
          <w:highlight w:val="none"/>
        </w:rPr>
        <w:t>分；每低于评标基准价1%扣</w:t>
      </w:r>
      <w:r>
        <w:rPr>
          <w:rFonts w:hint="eastAsia" w:ascii="宋体" w:hAnsi="宋体" w:cs="宋体"/>
          <w:strike/>
          <w:color w:val="auto"/>
          <w:highlight w:val="none"/>
          <w:u w:val="single"/>
        </w:rPr>
        <w:t xml:space="preserve"> C </w:t>
      </w:r>
      <w:r>
        <w:rPr>
          <w:rFonts w:hint="eastAsia" w:ascii="宋体" w:hAnsi="宋体" w:cs="宋体"/>
          <w:strike/>
          <w:color w:val="auto"/>
          <w:highlight w:val="none"/>
        </w:rPr>
        <w:t>分。不足一个百分点时，使用直线插入法计算，结果四舍五入保留两位小数。（C值分别为1.0、1.5和2.0，现场抽取。）</w:t>
      </w:r>
    </w:p>
    <w:p w14:paraId="3B5A16B7">
      <w:pPr>
        <w:snapToGrid w:val="0"/>
        <w:ind w:left="240" w:leftChars="100" w:firstLine="240" w:firstLineChars="100"/>
        <w:rPr>
          <w:strike/>
          <w:color w:val="auto"/>
          <w:highlight w:val="none"/>
        </w:rPr>
      </w:pPr>
      <w:r>
        <w:rPr>
          <w:rFonts w:hint="eastAsia" w:ascii="宋体" w:hAnsi="宋体"/>
          <w:strike/>
          <w:color w:val="auto"/>
          <w:highlight w:val="none"/>
          <w:lang w:bidi="ar"/>
        </w:rPr>
        <w:t>1).抽取权重系数、浮动系数。（若有）</w:t>
      </w:r>
    </w:p>
    <w:p w14:paraId="0A262E25">
      <w:pPr>
        <w:ind w:firstLine="480" w:firstLineChars="200"/>
        <w:rPr>
          <w:rFonts w:hint="eastAsia" w:ascii="宋体" w:hAnsi="宋体"/>
          <w:strike/>
          <w:color w:val="auto"/>
          <w:highlight w:val="none"/>
        </w:rPr>
      </w:pPr>
      <w:r>
        <w:rPr>
          <w:rFonts w:hint="eastAsia" w:ascii="宋体" w:hAnsi="宋体"/>
          <w:strike/>
          <w:color w:val="auto"/>
          <w:highlight w:val="none"/>
        </w:rPr>
        <w:t>2).抽取评标基准价（评标基准价计算范围为通过资格审查的投标人投标报价，且企业信用评价等级不低于</w:t>
      </w:r>
      <w:r>
        <w:rPr>
          <w:rFonts w:hint="eastAsia" w:ascii="宋体" w:hAnsi="宋体"/>
          <w:strike/>
          <w:color w:val="auto"/>
          <w:highlight w:val="none"/>
          <w:u w:val="single"/>
        </w:rPr>
        <w:t xml:space="preserve">  </w:t>
      </w:r>
      <w:r>
        <w:rPr>
          <w:rFonts w:hint="eastAsia" w:ascii="宋体" w:hAnsi="宋体" w:cs="宋体"/>
          <w:strike/>
          <w:color w:val="auto"/>
          <w:highlight w:val="none"/>
          <w:u w:val="single"/>
        </w:rPr>
        <w:t>□B级□C级□D级</w:t>
      </w:r>
      <w:r>
        <w:rPr>
          <w:rFonts w:hint="eastAsia" w:ascii="宋体" w:hAnsi="宋体"/>
          <w:strike/>
          <w:color w:val="auto"/>
          <w:highlight w:val="none"/>
          <w:u w:val="single"/>
        </w:rPr>
        <w:t>（ 由招标人确定,5000万元以上的项目可选B、C 、D级，不足5000万元的项目可选C 、D级）</w:t>
      </w:r>
      <w:r>
        <w:rPr>
          <w:rFonts w:hint="eastAsia" w:ascii="宋体" w:hAnsi="宋体"/>
          <w:strike/>
          <w:color w:val="auto"/>
          <w:highlight w:val="none"/>
        </w:rPr>
        <w:t xml:space="preserve"> 、□拟派项目负责人信用评价等级不低于</w:t>
      </w:r>
      <w:r>
        <w:rPr>
          <w:rFonts w:hint="eastAsia" w:ascii="宋体" w:hAnsi="宋体" w:cs="宋体"/>
          <w:strike/>
          <w:color w:val="auto"/>
          <w:highlight w:val="none"/>
          <w:u w:val="single"/>
        </w:rPr>
        <w:t>□B级□C级□D级</w:t>
      </w:r>
      <w:r>
        <w:rPr>
          <w:rFonts w:hint="eastAsia" w:ascii="宋体" w:hAnsi="宋体"/>
          <w:strike/>
          <w:color w:val="auto"/>
          <w:highlight w:val="none"/>
          <w:u w:val="single"/>
        </w:rPr>
        <w:t>（ 由招标人确定,5000万元以上的项目可选B、C 、D级，不足5000万元的项目可选C 、D级）</w:t>
      </w:r>
      <w:r>
        <w:rPr>
          <w:rFonts w:hint="eastAsia" w:ascii="宋体" w:hAnsi="宋体"/>
          <w:strike/>
          <w:color w:val="auto"/>
          <w:highlight w:val="none"/>
        </w:rPr>
        <w:t xml:space="preserve"> ，计算范围少于15家的则依次降低企业信用评价等级，如又选用拟派项目负责人信用评级，计算范围少于15家时应明确降低评价等级顺序。）计算精度保留到元，除计算差错外，评标过程中</w:t>
      </w:r>
      <w:r>
        <w:rPr>
          <w:rFonts w:hint="eastAsia" w:ascii="宋体" w:hAnsi="宋体" w:cs="宋体"/>
          <w:strike/>
          <w:color w:val="auto"/>
          <w:highlight w:val="none"/>
          <w:lang w:bidi="ar"/>
        </w:rPr>
        <w:t>（包括复评环节）</w:t>
      </w:r>
      <w:r>
        <w:rPr>
          <w:rFonts w:hint="eastAsia" w:ascii="宋体" w:hAnsi="宋体"/>
          <w:strike/>
          <w:color w:val="auto"/>
          <w:highlight w:val="none"/>
        </w:rPr>
        <w:t>基准价保持不变。</w:t>
      </w:r>
    </w:p>
    <w:p w14:paraId="75C4F5BD">
      <w:pPr>
        <w:snapToGrid w:val="0"/>
        <w:ind w:firstLine="480" w:firstLineChars="200"/>
        <w:rPr>
          <w:rFonts w:hint="eastAsia" w:ascii="宋体" w:hAnsi="宋体" w:cs="宋体"/>
          <w:strike/>
          <w:color w:val="auto"/>
          <w:highlight w:val="none"/>
        </w:rPr>
      </w:pPr>
      <w:r>
        <w:rPr>
          <w:rFonts w:hint="eastAsia" w:ascii="宋体" w:hAnsi="宋体" w:cs="宋体"/>
          <w:strike/>
          <w:color w:val="auto"/>
          <w:highlight w:val="none"/>
        </w:rPr>
        <w:t>计算差错，仅限于以下两种情况：（1）纯算术性四则运算差错；（2）未按约定的计算方法，多计或者少计投标人报价的。由于评标差错，导致否决投标错误，重新评标纠正等其他情况，不属于计算差错。</w:t>
      </w:r>
    </w:p>
    <w:p w14:paraId="20144B9F">
      <w:pPr>
        <w:snapToGrid w:val="0"/>
        <w:ind w:left="480"/>
        <w:rPr>
          <w:rFonts w:hint="eastAsia" w:ascii="宋体" w:hAnsi="宋体" w:cs="宋体"/>
          <w:b/>
          <w:strike/>
          <w:color w:val="auto"/>
          <w:highlight w:val="none"/>
        </w:rPr>
      </w:pPr>
      <w:r>
        <w:rPr>
          <w:rFonts w:hint="eastAsia" w:ascii="宋体" w:hAnsi="宋体" w:cs="宋体"/>
          <w:strike/>
          <w:color w:val="auto"/>
          <w:highlight w:val="none"/>
        </w:rPr>
        <w:t>□</w:t>
      </w:r>
      <w:r>
        <w:rPr>
          <w:rFonts w:hint="eastAsia" w:ascii="宋体" w:hAnsi="宋体" w:cs="宋体"/>
          <w:b/>
          <w:strike/>
          <w:color w:val="auto"/>
          <w:highlight w:val="none"/>
        </w:rPr>
        <w:t>（</w:t>
      </w:r>
      <w:r>
        <w:rPr>
          <w:rFonts w:hint="eastAsia" w:ascii="宋体" w:hAnsi="宋体" w:cs="宋体"/>
          <w:strike/>
          <w:color w:val="auto"/>
          <w:highlight w:val="none"/>
        </w:rPr>
        <w:t>六</w:t>
      </w:r>
      <w:r>
        <w:rPr>
          <w:rFonts w:hint="eastAsia" w:ascii="Times New Roman" w:hAnsi="宋体"/>
          <w:b/>
          <w:strike/>
          <w:color w:val="auto"/>
          <w:highlight w:val="none"/>
        </w:rPr>
        <w:t>）</w:t>
      </w:r>
      <w:r>
        <w:rPr>
          <w:rFonts w:hint="eastAsia" w:ascii="宋体" w:hAnsi="宋体" w:cs="宋体"/>
          <w:b/>
          <w:strike/>
          <w:color w:val="auto"/>
          <w:highlight w:val="none"/>
        </w:rPr>
        <w:t>推荐中标候选人</w:t>
      </w:r>
    </w:p>
    <w:p w14:paraId="45A5E542">
      <w:pPr>
        <w:adjustRightInd/>
        <w:ind w:firstLine="480" w:firstLineChars="200"/>
        <w:jc w:val="both"/>
        <w:rPr>
          <w:rFonts w:hint="eastAsia" w:ascii="宋体" w:hAnsi="宋体"/>
          <w:strike/>
          <w:color w:val="auto"/>
          <w:highlight w:val="none"/>
        </w:rPr>
      </w:pPr>
      <w:r>
        <w:rPr>
          <w:rFonts w:hint="eastAsia" w:ascii="宋体" w:hAnsi="宋体"/>
          <w:strike/>
          <w:color w:val="auto"/>
          <w:highlight w:val="none"/>
        </w:rPr>
        <w:t>评标委员会对投标人按总分从高到低进行排序，并按照排序推荐中标候选人。</w:t>
      </w:r>
      <w:r>
        <w:rPr>
          <w:rFonts w:ascii="宋体" w:hAnsi="宋体"/>
          <w:strike/>
          <w:color w:val="auto"/>
          <w:highlight w:val="none"/>
        </w:rPr>
        <w:t>如</w:t>
      </w:r>
      <w:r>
        <w:rPr>
          <w:rFonts w:hint="eastAsia" w:ascii="宋体" w:hAnsi="宋体"/>
          <w:strike/>
          <w:color w:val="auto"/>
          <w:highlight w:val="none"/>
        </w:rPr>
        <w:t>总</w:t>
      </w:r>
      <w:r>
        <w:rPr>
          <w:rFonts w:ascii="宋体" w:hAnsi="宋体"/>
          <w:strike/>
          <w:color w:val="auto"/>
          <w:highlight w:val="none"/>
        </w:rPr>
        <w:t>分相同的，以投标报价低的</w:t>
      </w:r>
      <w:r>
        <w:rPr>
          <w:rFonts w:hint="eastAsia" w:ascii="宋体" w:hAnsi="宋体"/>
          <w:strike/>
          <w:color w:val="auto"/>
          <w:highlight w:val="none"/>
        </w:rPr>
        <w:t>优先</w:t>
      </w:r>
      <w:r>
        <w:rPr>
          <w:rFonts w:ascii="宋体" w:hAnsi="宋体"/>
          <w:strike/>
          <w:color w:val="auto"/>
          <w:highlight w:val="none"/>
        </w:rPr>
        <w:t>；上述均相同的</w:t>
      </w:r>
      <w:r>
        <w:rPr>
          <w:rFonts w:ascii="宋体" w:hAnsi="宋体"/>
          <w:strike/>
          <w:color w:val="auto"/>
          <w:highlight w:val="none"/>
          <w:u w:val="single"/>
        </w:rPr>
        <w:t xml:space="preserve">  （在招标文件中明确确定方式）    </w:t>
      </w:r>
      <w:r>
        <w:rPr>
          <w:rFonts w:hint="eastAsia" w:ascii="宋体" w:hAnsi="宋体"/>
          <w:strike/>
          <w:color w:val="auto"/>
          <w:highlight w:val="none"/>
        </w:rPr>
        <w:t>。</w:t>
      </w:r>
    </w:p>
    <w:p w14:paraId="0858EE4B">
      <w:pPr>
        <w:pStyle w:val="37"/>
        <w:widowControl w:val="0"/>
        <w:autoSpaceDE w:val="0"/>
        <w:autoSpaceDN w:val="0"/>
        <w:ind w:firstLine="480" w:firstLineChars="200"/>
        <w:jc w:val="both"/>
        <w:rPr>
          <w:rFonts w:hint="eastAsia"/>
          <w:strike/>
          <w:color w:val="auto"/>
          <w:szCs w:val="24"/>
          <w:highlight w:val="none"/>
          <w:lang w:val="en-US"/>
        </w:rPr>
      </w:pPr>
      <w:r>
        <w:rPr>
          <w:strike/>
          <w:color w:val="auto"/>
          <w:szCs w:val="24"/>
          <w:highlight w:val="none"/>
          <w:u w:val="single"/>
          <w:lang w:val="en-US"/>
        </w:rPr>
        <w:t xml:space="preserve">    （评标委员会或者招标人）   </w:t>
      </w:r>
      <w:r>
        <w:rPr>
          <w:rFonts w:ascii="Times New Roman"/>
          <w:strike/>
          <w:color w:val="auto"/>
          <w:szCs w:val="24"/>
          <w:highlight w:val="none"/>
          <w:lang w:val="en-US"/>
        </w:rPr>
        <w:t>对拟确定的推荐中标候选人和其拟派项目负责人，是否列入失信被执行人名单以及在本招标文件（招标公告）规定时间范围内是否有行贿犯罪记录</w:t>
      </w:r>
      <w:r>
        <w:rPr>
          <w:rFonts w:hint="eastAsia" w:ascii="Times New Roman"/>
          <w:strike/>
          <w:color w:val="auto"/>
          <w:szCs w:val="24"/>
          <w:highlight w:val="none"/>
          <w:lang w:val="en-US"/>
        </w:rPr>
        <w:t>；</w:t>
      </w:r>
      <w:r>
        <w:rPr>
          <w:rFonts w:ascii="Times New Roman"/>
          <w:strike/>
          <w:color w:val="auto"/>
          <w:szCs w:val="24"/>
          <w:highlight w:val="none"/>
          <w:lang w:val="en-US"/>
        </w:rPr>
        <w:t>投标人及其拟派项目负责人</w:t>
      </w:r>
      <w:r>
        <w:rPr>
          <w:rFonts w:hint="eastAsia" w:ascii="Times New Roman"/>
          <w:strike/>
          <w:color w:val="auto"/>
          <w:szCs w:val="24"/>
          <w:highlight w:val="none"/>
          <w:lang w:val="en-US"/>
        </w:rPr>
        <w:t>是否</w:t>
      </w:r>
      <w:r>
        <w:rPr>
          <w:rFonts w:ascii="Times New Roman"/>
          <w:strike/>
          <w:color w:val="auto"/>
          <w:szCs w:val="24"/>
          <w:highlight w:val="none"/>
          <w:lang w:val="en-US"/>
        </w:rPr>
        <w:t>被列入建筑市场严重失信名单的</w:t>
      </w:r>
      <w:r>
        <w:rPr>
          <w:rFonts w:hint="eastAsia" w:ascii="Times New Roman"/>
          <w:strike/>
          <w:color w:val="auto"/>
          <w:szCs w:val="24"/>
          <w:highlight w:val="none"/>
          <w:lang w:val="en-US"/>
        </w:rPr>
        <w:t>、是否被市场监督管理机关在全国企业信用信息公示系统中列入严重违法失信企业名单的、是否被人力资源社会保障行政部门列入失信联合惩戒名单（有效期内）并共享至信用信息共享平台的</w:t>
      </w:r>
      <w:r>
        <w:rPr>
          <w:rFonts w:ascii="Times New Roman"/>
          <w:strike/>
          <w:color w:val="auto"/>
          <w:szCs w:val="24"/>
          <w:highlight w:val="none"/>
          <w:lang w:val="en-US"/>
        </w:rPr>
        <w:t>进行查验。如查实存在的，则取消其中标候选资格。</w:t>
      </w:r>
    </w:p>
    <w:p w14:paraId="56BA7A80">
      <w:pPr>
        <w:adjustRightInd/>
        <w:ind w:firstLine="480" w:firstLineChars="200"/>
        <w:jc w:val="both"/>
        <w:rPr>
          <w:rFonts w:hint="eastAsia" w:ascii="宋体" w:hAnsi="宋体"/>
          <w:strike/>
          <w:color w:val="auto"/>
          <w:highlight w:val="none"/>
        </w:rPr>
      </w:pPr>
      <w:r>
        <w:rPr>
          <w:rFonts w:hint="eastAsia" w:ascii="宋体" w:hAnsi="宋体"/>
          <w:strike/>
          <w:color w:val="auto"/>
          <w:highlight w:val="none"/>
        </w:rPr>
        <w:t>当有效投标人</w:t>
      </w:r>
      <w:r>
        <w:rPr>
          <w:rFonts w:hint="eastAsia" w:ascii="宋体" w:hAnsi="宋体" w:cs="宋体"/>
          <w:strike/>
          <w:color w:val="auto"/>
          <w:highlight w:val="none"/>
        </w:rPr>
        <w:t>＜</w:t>
      </w:r>
      <w:r>
        <w:rPr>
          <w:rFonts w:ascii="宋体" w:hAnsi="宋体"/>
          <w:strike/>
          <w:color w:val="auto"/>
          <w:highlight w:val="none"/>
        </w:rPr>
        <w:t>3个时，评标委员会应判定本次投标是否具有竞争</w:t>
      </w:r>
      <w:r>
        <w:rPr>
          <w:rFonts w:hint="eastAsia" w:ascii="宋体" w:hAnsi="宋体"/>
          <w:strike/>
          <w:color w:val="auto"/>
          <w:highlight w:val="none"/>
        </w:rPr>
        <w:t>性</w:t>
      </w:r>
      <w:r>
        <w:rPr>
          <w:rFonts w:ascii="宋体" w:hAnsi="宋体"/>
          <w:strike/>
          <w:color w:val="auto"/>
          <w:highlight w:val="none"/>
        </w:rPr>
        <w:t>。若评标委员会认为本次投标明显缺乏竞争的，可以否决全部投标。</w:t>
      </w:r>
    </w:p>
    <w:p w14:paraId="4AFA76BD">
      <w:pPr>
        <w:adjustRightInd/>
        <w:ind w:left="480"/>
        <w:jc w:val="both"/>
        <w:rPr>
          <w:rFonts w:hint="eastAsia" w:ascii="Times New Roman" w:hAnsi="宋体"/>
          <w:b/>
          <w:strike/>
          <w:color w:val="auto"/>
          <w:highlight w:val="none"/>
        </w:rPr>
      </w:pPr>
      <w:r>
        <w:rPr>
          <w:rFonts w:hint="eastAsia" w:ascii="宋体" w:hAnsi="宋体" w:cs="宋体"/>
          <w:strike/>
          <w:color w:val="auto"/>
          <w:highlight w:val="none"/>
        </w:rPr>
        <w:t>□</w:t>
      </w:r>
      <w:r>
        <w:rPr>
          <w:rFonts w:hint="eastAsia" w:ascii="宋体" w:hAnsi="宋体" w:cs="宋体"/>
          <w:b/>
          <w:strike/>
          <w:color w:val="auto"/>
          <w:highlight w:val="none"/>
        </w:rPr>
        <w:t>（</w:t>
      </w:r>
      <w:r>
        <w:rPr>
          <w:rFonts w:hint="eastAsia" w:ascii="Times New Roman" w:hAnsi="宋体"/>
          <w:b/>
          <w:strike/>
          <w:color w:val="auto"/>
          <w:highlight w:val="none"/>
        </w:rPr>
        <w:t>六）</w:t>
      </w:r>
      <w:r>
        <w:rPr>
          <w:rFonts w:ascii="Times New Roman" w:hAnsi="宋体"/>
          <w:b/>
          <w:strike/>
          <w:color w:val="auto"/>
          <w:highlight w:val="none"/>
        </w:rPr>
        <w:t>推荐中标候选人</w:t>
      </w:r>
      <w:r>
        <w:rPr>
          <w:rFonts w:hint="eastAsia" w:ascii="Times New Roman" w:hAnsi="宋体"/>
          <w:b/>
          <w:strike/>
          <w:color w:val="auto"/>
          <w:highlight w:val="none"/>
        </w:rPr>
        <w:t>（</w:t>
      </w:r>
      <w:r>
        <w:rPr>
          <w:rFonts w:ascii="Times New Roman" w:hAnsi="宋体"/>
          <w:b/>
          <w:strike/>
          <w:color w:val="auto"/>
          <w:highlight w:val="none"/>
        </w:rPr>
        <w:t>适用</w:t>
      </w:r>
      <w:r>
        <w:rPr>
          <w:rFonts w:hint="eastAsia" w:ascii="Times New Roman" w:hAnsi="宋体"/>
          <w:b/>
          <w:strike/>
          <w:color w:val="auto"/>
          <w:highlight w:val="none"/>
        </w:rPr>
        <w:t>于</w:t>
      </w:r>
      <w:r>
        <w:rPr>
          <w:rFonts w:ascii="Times New Roman" w:hAnsi="宋体"/>
          <w:b/>
          <w:strike/>
          <w:color w:val="auto"/>
          <w:highlight w:val="none"/>
        </w:rPr>
        <w:t>“评定分离”</w:t>
      </w:r>
      <w:r>
        <w:rPr>
          <w:rFonts w:hint="eastAsia" w:ascii="Times New Roman" w:hAnsi="宋体"/>
          <w:strike/>
          <w:color w:val="auto"/>
          <w:highlight w:val="none"/>
        </w:rPr>
        <w:t>方法一</w:t>
      </w:r>
      <w:r>
        <w:rPr>
          <w:rFonts w:hint="eastAsia" w:ascii="Times New Roman" w:hAnsi="宋体"/>
          <w:b/>
          <w:strike/>
          <w:color w:val="auto"/>
          <w:highlight w:val="none"/>
        </w:rPr>
        <w:t>）</w:t>
      </w:r>
    </w:p>
    <w:p w14:paraId="05A9FC44">
      <w:pPr>
        <w:adjustRightInd/>
        <w:ind w:firstLine="480" w:firstLineChars="200"/>
        <w:jc w:val="both"/>
        <w:rPr>
          <w:rFonts w:hint="eastAsia" w:ascii="Times New Roman" w:hAnsi="宋体"/>
          <w:strike/>
          <w:color w:val="auto"/>
          <w:highlight w:val="none"/>
        </w:rPr>
      </w:pPr>
      <w:r>
        <w:rPr>
          <w:rFonts w:ascii="Times New Roman" w:hAnsi="宋体"/>
          <w:strike/>
          <w:color w:val="auto"/>
          <w:highlight w:val="none"/>
        </w:rPr>
        <w:t>评标委员会对投标人按总分从高到低进行排序，并按照排序推荐中标候选人。如总分相同的，以投标报价低的优先；投标报价仍相同的，以资信标排名靠前的优先；资信标排名仍相同的，以技术标排名靠前的优先；上述均相同的</w:t>
      </w:r>
      <w:r>
        <w:rPr>
          <w:rFonts w:ascii="Times New Roman" w:hAnsi="Times New Roman"/>
          <w:strike/>
          <w:color w:val="auto"/>
          <w:highlight w:val="none"/>
          <w:u w:val="single"/>
        </w:rPr>
        <w:t xml:space="preserve">  </w:t>
      </w:r>
      <w:r>
        <w:rPr>
          <w:rFonts w:ascii="Times New Roman" w:hAnsi="宋体"/>
          <w:strike/>
          <w:color w:val="auto"/>
          <w:highlight w:val="none"/>
          <w:u w:val="single"/>
        </w:rPr>
        <w:t>（在招标文件中明确确定方式）</w:t>
      </w:r>
      <w:r>
        <w:rPr>
          <w:rFonts w:ascii="Times New Roman" w:hAnsi="Times New Roman"/>
          <w:strike/>
          <w:color w:val="auto"/>
          <w:highlight w:val="none"/>
          <w:u w:val="single"/>
        </w:rPr>
        <w:t xml:space="preserve">   </w:t>
      </w:r>
      <w:r>
        <w:rPr>
          <w:rFonts w:ascii="Times New Roman" w:hAnsi="宋体"/>
          <w:strike/>
          <w:color w:val="auto"/>
          <w:highlight w:val="none"/>
        </w:rPr>
        <w:t>。</w:t>
      </w:r>
    </w:p>
    <w:p w14:paraId="653F7ABE">
      <w:pPr>
        <w:pStyle w:val="33"/>
        <w:widowControl w:val="0"/>
        <w:spacing w:line="240" w:lineRule="auto"/>
        <w:ind w:firstLine="0" w:firstLineChars="0"/>
        <w:rPr>
          <w:rFonts w:ascii="Times New Roman" w:hAnsi="Times New Roman"/>
          <w:strike/>
          <w:color w:val="auto"/>
          <w:szCs w:val="24"/>
          <w:highlight w:val="none"/>
        </w:rPr>
      </w:pPr>
      <w:r>
        <w:rPr>
          <w:rFonts w:ascii="Times New Roman"/>
          <w:strike/>
          <w:color w:val="auto"/>
          <w:szCs w:val="24"/>
          <w:highlight w:val="none"/>
          <w:u w:val="single"/>
        </w:rPr>
        <w:t>（评标委员会或者招标人）</w:t>
      </w:r>
      <w:r>
        <w:rPr>
          <w:rFonts w:ascii="Times New Roman" w:hAnsi="Times New Roman"/>
          <w:strike/>
          <w:color w:val="auto"/>
          <w:szCs w:val="24"/>
          <w:highlight w:val="none"/>
          <w:u w:val="single"/>
        </w:rPr>
        <w:t xml:space="preserve">   </w:t>
      </w:r>
      <w:r>
        <w:rPr>
          <w:rFonts w:ascii="Times New Roman" w:hAnsi="宋体"/>
          <w:strike/>
          <w:color w:val="auto"/>
          <w:sz w:val="24"/>
          <w:szCs w:val="24"/>
          <w:highlight w:val="none"/>
        </w:rPr>
        <w:t>对拟确定的推荐中标候选人和其拟派项目负责人，是否列入失信被执行人名单以及在本招标文件（招标公告）规定时间范围内是否有行贿犯罪记录</w:t>
      </w:r>
      <w:r>
        <w:rPr>
          <w:rFonts w:hint="eastAsia" w:ascii="Times New Roman" w:hAnsi="宋体"/>
          <w:strike/>
          <w:color w:val="auto"/>
          <w:sz w:val="24"/>
          <w:szCs w:val="24"/>
          <w:highlight w:val="none"/>
        </w:rPr>
        <w:t>；</w:t>
      </w:r>
      <w:r>
        <w:rPr>
          <w:rFonts w:ascii="Times New Roman" w:hAnsi="宋体"/>
          <w:strike/>
          <w:color w:val="auto"/>
          <w:sz w:val="24"/>
          <w:szCs w:val="24"/>
          <w:highlight w:val="none"/>
        </w:rPr>
        <w:t>投标人及其拟派项目负责人</w:t>
      </w:r>
      <w:r>
        <w:rPr>
          <w:rFonts w:hint="eastAsia" w:ascii="Times New Roman" w:hAnsi="宋体"/>
          <w:strike/>
          <w:color w:val="auto"/>
          <w:sz w:val="24"/>
          <w:szCs w:val="24"/>
          <w:highlight w:val="none"/>
        </w:rPr>
        <w:t>是否</w:t>
      </w:r>
      <w:r>
        <w:rPr>
          <w:rFonts w:ascii="Times New Roman" w:hAnsi="宋体"/>
          <w:strike/>
          <w:color w:val="auto"/>
          <w:sz w:val="24"/>
          <w:szCs w:val="24"/>
          <w:highlight w:val="none"/>
        </w:rPr>
        <w:t>被列入建筑市场严重失信名单的</w:t>
      </w:r>
      <w:r>
        <w:rPr>
          <w:rFonts w:hint="eastAsia" w:ascii="Times New Roman" w:hAnsi="宋体"/>
          <w:strike/>
          <w:color w:val="auto"/>
          <w:sz w:val="24"/>
          <w:szCs w:val="24"/>
          <w:highlight w:val="none"/>
        </w:rPr>
        <w:t>、是否被市场监督管理机关在全国企业信用信息公示系统中列入严重违法失信企业名单的、是否被人力资源社会保障行政部门列入失信联合惩戒名单（有效期内）并共享至信用信息共享平台的</w:t>
      </w:r>
      <w:r>
        <w:rPr>
          <w:rFonts w:ascii="Times New Roman" w:hAnsi="宋体"/>
          <w:strike/>
          <w:color w:val="auto"/>
          <w:sz w:val="24"/>
          <w:szCs w:val="24"/>
          <w:highlight w:val="none"/>
        </w:rPr>
        <w:t>进行查验。如查实存在的，则取消其中标候选资格。</w:t>
      </w:r>
    </w:p>
    <w:p w14:paraId="4F54B426">
      <w:pPr>
        <w:adjustRightInd/>
        <w:ind w:firstLine="480" w:firstLineChars="200"/>
        <w:jc w:val="both"/>
        <w:rPr>
          <w:rFonts w:hint="eastAsia" w:ascii="Times New Roman" w:hAnsi="宋体"/>
          <w:strike/>
          <w:color w:val="auto"/>
          <w:highlight w:val="none"/>
        </w:rPr>
      </w:pPr>
      <w:r>
        <w:rPr>
          <w:rFonts w:ascii="Times New Roman" w:hAnsi="宋体"/>
          <w:strike/>
          <w:color w:val="auto"/>
          <w:highlight w:val="none"/>
        </w:rPr>
        <w:t>当有效投标人＜</w:t>
      </w:r>
      <w:r>
        <w:rPr>
          <w:rFonts w:ascii="Times New Roman" w:hAnsi="Times New Roman"/>
          <w:strike/>
          <w:color w:val="auto"/>
          <w:highlight w:val="none"/>
        </w:rPr>
        <w:t>3</w:t>
      </w:r>
      <w:r>
        <w:rPr>
          <w:rFonts w:ascii="Times New Roman" w:hAnsi="宋体"/>
          <w:strike/>
          <w:color w:val="auto"/>
          <w:highlight w:val="none"/>
        </w:rPr>
        <w:t>个时，评标委员会应判定本次投标是否具有竞争</w:t>
      </w:r>
      <w:r>
        <w:rPr>
          <w:rFonts w:hint="eastAsia" w:ascii="Times New Roman" w:hAnsi="宋体"/>
          <w:strike/>
          <w:color w:val="auto"/>
          <w:highlight w:val="none"/>
        </w:rPr>
        <w:t>性</w:t>
      </w:r>
      <w:r>
        <w:rPr>
          <w:rFonts w:ascii="Times New Roman" w:hAnsi="宋体"/>
          <w:strike/>
          <w:color w:val="auto"/>
          <w:highlight w:val="none"/>
        </w:rPr>
        <w:t>。若评标委员会认为本次投标明显缺乏竞争的，可以否决全部投标。</w:t>
      </w:r>
    </w:p>
    <w:p w14:paraId="7F8FE992">
      <w:pPr>
        <w:adjustRightInd/>
        <w:ind w:firstLine="480" w:firstLineChars="200"/>
        <w:jc w:val="both"/>
        <w:rPr>
          <w:rFonts w:hint="eastAsia" w:ascii="Times New Roman" w:hAnsi="宋体"/>
          <w:strike/>
          <w:color w:val="auto"/>
          <w:highlight w:val="none"/>
        </w:rPr>
      </w:pPr>
      <w:r>
        <w:rPr>
          <w:rFonts w:hint="eastAsia" w:ascii="Times New Roman" w:hAnsi="宋体"/>
          <w:strike/>
          <w:color w:val="auto"/>
          <w:highlight w:val="none"/>
        </w:rPr>
        <w:t>□（六）</w:t>
      </w:r>
      <w:r>
        <w:rPr>
          <w:rFonts w:ascii="Times New Roman" w:hAnsi="宋体"/>
          <w:strike/>
          <w:color w:val="auto"/>
          <w:highlight w:val="none"/>
        </w:rPr>
        <w:t>推荐中标候选人</w:t>
      </w:r>
      <w:r>
        <w:rPr>
          <w:rFonts w:hint="eastAsia" w:ascii="Times New Roman" w:hAnsi="宋体"/>
          <w:strike/>
          <w:color w:val="auto"/>
          <w:highlight w:val="none"/>
        </w:rPr>
        <w:t>（</w:t>
      </w:r>
      <w:r>
        <w:rPr>
          <w:rFonts w:ascii="Times New Roman" w:hAnsi="宋体"/>
          <w:strike/>
          <w:color w:val="auto"/>
          <w:highlight w:val="none"/>
        </w:rPr>
        <w:t>适用</w:t>
      </w:r>
      <w:r>
        <w:rPr>
          <w:rFonts w:hint="eastAsia" w:ascii="Times New Roman" w:hAnsi="宋体"/>
          <w:strike/>
          <w:color w:val="auto"/>
          <w:highlight w:val="none"/>
        </w:rPr>
        <w:t>于</w:t>
      </w:r>
      <w:r>
        <w:rPr>
          <w:rFonts w:ascii="Times New Roman" w:hAnsi="宋体"/>
          <w:strike/>
          <w:color w:val="auto"/>
          <w:highlight w:val="none"/>
        </w:rPr>
        <w:t>“评定分离”</w:t>
      </w:r>
      <w:r>
        <w:rPr>
          <w:rFonts w:hint="eastAsia" w:ascii="Times New Roman" w:hAnsi="宋体"/>
          <w:strike/>
          <w:color w:val="auto"/>
          <w:highlight w:val="none"/>
        </w:rPr>
        <w:t>方法二，可完善修改）</w:t>
      </w:r>
    </w:p>
    <w:p w14:paraId="4F008917">
      <w:pPr>
        <w:ind w:firstLine="480" w:firstLineChars="200"/>
        <w:rPr>
          <w:rFonts w:hint="eastAsia" w:ascii="Times New Roman" w:hAnsi="宋体"/>
          <w:strike/>
          <w:color w:val="auto"/>
          <w:highlight w:val="none"/>
        </w:rPr>
      </w:pPr>
      <w:r>
        <w:rPr>
          <w:rFonts w:ascii="Times New Roman" w:hAnsi="宋体"/>
          <w:strike/>
          <w:color w:val="auto"/>
          <w:highlight w:val="none"/>
        </w:rPr>
        <w:t>评标委员会根据招标文件评标办法设置的技术评审项目和评分规则，对全部通过符合性审查的投标文件进行技术、资信打分。中标候选人具体推荐方式如下，进入推荐名单的中标候选人不排名次：</w:t>
      </w:r>
    </w:p>
    <w:p w14:paraId="6298055B">
      <w:pPr>
        <w:ind w:firstLine="480" w:firstLineChars="200"/>
        <w:rPr>
          <w:rFonts w:hint="eastAsia" w:ascii="Times New Roman" w:hAnsi="宋体"/>
          <w:strike/>
          <w:color w:val="auto"/>
          <w:highlight w:val="none"/>
        </w:rPr>
      </w:pPr>
      <w:r>
        <w:rPr>
          <w:rFonts w:hint="eastAsia" w:ascii="Times New Roman" w:hAnsi="宋体"/>
          <w:strike/>
          <w:color w:val="auto"/>
          <w:highlight w:val="none"/>
        </w:rPr>
        <w:t>1.</w:t>
      </w:r>
      <w:r>
        <w:rPr>
          <w:rFonts w:ascii="Times New Roman" w:hAnsi="宋体"/>
          <w:strike/>
          <w:color w:val="auto"/>
          <w:highlight w:val="none"/>
        </w:rPr>
        <w:t>通过符合性审查的合格投标人少于3家时，评标委员会应否决所有投标；</w:t>
      </w:r>
    </w:p>
    <w:p w14:paraId="7D125144">
      <w:pPr>
        <w:ind w:firstLine="480" w:firstLineChars="200"/>
        <w:rPr>
          <w:rFonts w:hint="eastAsia" w:ascii="Times New Roman" w:hAnsi="宋体"/>
          <w:strike/>
          <w:color w:val="auto"/>
          <w:highlight w:val="none"/>
        </w:rPr>
      </w:pPr>
      <w:r>
        <w:rPr>
          <w:rFonts w:hint="eastAsia" w:ascii="Times New Roman" w:hAnsi="宋体"/>
          <w:strike/>
          <w:color w:val="auto"/>
          <w:highlight w:val="none"/>
        </w:rPr>
        <w:t>2.</w:t>
      </w:r>
      <w:r>
        <w:rPr>
          <w:rFonts w:ascii="Times New Roman" w:hAnsi="宋体"/>
          <w:strike/>
          <w:color w:val="auto"/>
          <w:highlight w:val="none"/>
        </w:rPr>
        <w:t>通过符合性审查的合格投标人在3家及以上</w:t>
      </w:r>
      <w:r>
        <w:rPr>
          <w:rFonts w:ascii="Times New Roman" w:hAnsi="宋体"/>
          <w:strike/>
          <w:color w:val="auto"/>
          <w:highlight w:val="none"/>
          <w:u w:val="single"/>
        </w:rPr>
        <w:t xml:space="preserve">    </w:t>
      </w:r>
      <w:r>
        <w:rPr>
          <w:rFonts w:ascii="Times New Roman" w:hAnsi="宋体"/>
          <w:strike/>
          <w:color w:val="auto"/>
          <w:highlight w:val="none"/>
        </w:rPr>
        <w:t>家及以下时，全部合格投标人推荐为中标候选人；</w:t>
      </w:r>
    </w:p>
    <w:p w14:paraId="42C49C68">
      <w:pPr>
        <w:ind w:firstLine="480" w:firstLineChars="200"/>
        <w:rPr>
          <w:rFonts w:hint="eastAsia" w:ascii="Times New Roman" w:hAnsi="宋体"/>
          <w:strike/>
          <w:color w:val="auto"/>
          <w:highlight w:val="none"/>
        </w:rPr>
      </w:pPr>
      <w:r>
        <w:rPr>
          <w:rFonts w:hint="eastAsia" w:ascii="Times New Roman" w:hAnsi="宋体"/>
          <w:strike/>
          <w:color w:val="auto"/>
          <w:highlight w:val="none"/>
        </w:rPr>
        <w:t>3.</w:t>
      </w:r>
      <w:r>
        <w:rPr>
          <w:rFonts w:ascii="Times New Roman" w:hAnsi="宋体"/>
          <w:strike/>
          <w:color w:val="auto"/>
          <w:highlight w:val="none"/>
        </w:rPr>
        <w:t>通过符合性审查的合格投标人</w:t>
      </w:r>
      <w:r>
        <w:rPr>
          <w:rFonts w:ascii="Times New Roman" w:hAnsi="宋体"/>
          <w:strike/>
          <w:color w:val="auto"/>
          <w:highlight w:val="none"/>
          <w:u w:val="single"/>
        </w:rPr>
        <w:t xml:space="preserve">   </w:t>
      </w:r>
      <w:r>
        <w:rPr>
          <w:rFonts w:ascii="Times New Roman" w:hAnsi="宋体"/>
          <w:strike/>
          <w:color w:val="auto"/>
          <w:highlight w:val="none"/>
        </w:rPr>
        <w:t>家以上</w:t>
      </w:r>
      <w:r>
        <w:rPr>
          <w:rFonts w:ascii="Times New Roman" w:hAnsi="宋体"/>
          <w:strike/>
          <w:color w:val="auto"/>
          <w:highlight w:val="none"/>
          <w:u w:val="single"/>
        </w:rPr>
        <w:t xml:space="preserve">    </w:t>
      </w:r>
      <w:r>
        <w:rPr>
          <w:rFonts w:ascii="Times New Roman" w:hAnsi="宋体"/>
          <w:strike/>
          <w:color w:val="auto"/>
          <w:highlight w:val="none"/>
        </w:rPr>
        <w:t>家及以下时，全部合格投标人进入比选范围，从比选范围中选择投标报价与评标基准价之差绝对值最小的前5名推荐为中标候选人。</w:t>
      </w:r>
    </w:p>
    <w:p w14:paraId="0BB1219E">
      <w:pPr>
        <w:ind w:firstLine="480" w:firstLineChars="200"/>
        <w:rPr>
          <w:rFonts w:hint="eastAsia" w:ascii="Times New Roman" w:hAnsi="宋体"/>
          <w:strike/>
          <w:color w:val="auto"/>
          <w:highlight w:val="none"/>
        </w:rPr>
      </w:pPr>
      <w:r>
        <w:rPr>
          <w:rFonts w:ascii="Times New Roman" w:hAnsi="宋体"/>
          <w:strike/>
          <w:color w:val="auto"/>
          <w:highlight w:val="none"/>
        </w:rPr>
        <w:t>注：投标报价与评标基准价之差绝对值最小的第</w:t>
      </w:r>
      <w:r>
        <w:rPr>
          <w:rFonts w:ascii="Times New Roman" w:hAnsi="宋体"/>
          <w:strike/>
          <w:color w:val="auto"/>
          <w:highlight w:val="none"/>
          <w:u w:val="single"/>
        </w:rPr>
        <w:t xml:space="preserve">   </w:t>
      </w:r>
      <w:r>
        <w:rPr>
          <w:rFonts w:ascii="Times New Roman" w:hAnsi="宋体"/>
          <w:strike/>
          <w:color w:val="auto"/>
          <w:highlight w:val="none"/>
        </w:rPr>
        <w:t>名，若出现差值绝对值相同，以投标报价低者优先；若差值绝对值、投标报价均相同时，以技术资信评分高者优先；若差值绝对值、投标报价和技术资信评分均相同时，则由评标委员会记名投票表决方式进入推荐名单；</w:t>
      </w:r>
    </w:p>
    <w:p w14:paraId="25636A17">
      <w:pPr>
        <w:ind w:firstLine="480" w:firstLineChars="200"/>
        <w:rPr>
          <w:rFonts w:hint="eastAsia" w:ascii="Times New Roman" w:hAnsi="宋体"/>
          <w:strike/>
          <w:color w:val="auto"/>
          <w:highlight w:val="none"/>
        </w:rPr>
      </w:pPr>
      <w:r>
        <w:rPr>
          <w:rFonts w:hint="eastAsia" w:ascii="Times New Roman" w:hAnsi="宋体"/>
          <w:strike/>
          <w:color w:val="auto"/>
          <w:highlight w:val="none"/>
        </w:rPr>
        <w:t>4.</w:t>
      </w:r>
      <w:r>
        <w:rPr>
          <w:rFonts w:ascii="Times New Roman" w:hAnsi="宋体"/>
          <w:strike/>
          <w:color w:val="auto"/>
          <w:highlight w:val="none"/>
        </w:rPr>
        <w:t>通过符合性审查的合格投标人多于</w:t>
      </w:r>
      <w:r>
        <w:rPr>
          <w:rFonts w:ascii="Times New Roman" w:hAnsi="宋体"/>
          <w:strike/>
          <w:color w:val="auto"/>
          <w:highlight w:val="none"/>
          <w:u w:val="single"/>
        </w:rPr>
        <w:t xml:space="preserve">   </w:t>
      </w:r>
      <w:r>
        <w:rPr>
          <w:rFonts w:ascii="Times New Roman" w:hAnsi="宋体"/>
          <w:strike/>
          <w:color w:val="auto"/>
          <w:highlight w:val="none"/>
        </w:rPr>
        <w:t>家时，技术资信评分</w:t>
      </w:r>
      <w:r>
        <w:rPr>
          <w:rFonts w:ascii="Times New Roman" w:hAnsi="宋体"/>
          <w:strike/>
          <w:color w:val="auto"/>
          <w:highlight w:val="none"/>
          <w:u w:val="single"/>
        </w:rPr>
        <w:t xml:space="preserve">    </w:t>
      </w:r>
      <w:r>
        <w:rPr>
          <w:rFonts w:ascii="Times New Roman" w:hAnsi="宋体"/>
          <w:strike/>
          <w:color w:val="auto"/>
          <w:highlight w:val="none"/>
        </w:rPr>
        <w:t xml:space="preserve">分（满分为 </w:t>
      </w:r>
      <w:r>
        <w:rPr>
          <w:rFonts w:hint="eastAsia" w:ascii="Times New Roman" w:hAnsi="宋体"/>
          <w:strike/>
          <w:color w:val="auto"/>
          <w:highlight w:val="none"/>
          <w:u w:val="single"/>
        </w:rPr>
        <w:t xml:space="preserve">  </w:t>
      </w:r>
      <w:r>
        <w:rPr>
          <w:rFonts w:ascii="Times New Roman" w:hAnsi="宋体"/>
          <w:strike/>
          <w:color w:val="auto"/>
          <w:highlight w:val="none"/>
        </w:rPr>
        <w:t xml:space="preserve">     分，由招标人自行填写）及以上投标人在</w:t>
      </w:r>
      <w:r>
        <w:rPr>
          <w:rFonts w:hint="eastAsia" w:ascii="Times New Roman" w:hAnsi="宋体"/>
          <w:strike/>
          <w:color w:val="auto"/>
          <w:highlight w:val="none"/>
          <w:u w:val="single"/>
        </w:rPr>
        <w:t xml:space="preserve">   </w:t>
      </w:r>
      <w:r>
        <w:rPr>
          <w:rFonts w:ascii="Times New Roman" w:hAnsi="宋体"/>
          <w:strike/>
          <w:color w:val="auto"/>
          <w:highlight w:val="none"/>
        </w:rPr>
        <w:t>家及以下的，选择技术资信评分高低排名前</w:t>
      </w:r>
      <w:r>
        <w:rPr>
          <w:rFonts w:ascii="Times New Roman" w:hAnsi="宋体"/>
          <w:strike/>
          <w:color w:val="auto"/>
          <w:highlight w:val="none"/>
          <w:u w:val="single"/>
        </w:rPr>
        <w:t xml:space="preserve">        </w:t>
      </w:r>
      <w:r>
        <w:rPr>
          <w:rFonts w:ascii="Times New Roman" w:hAnsi="宋体"/>
          <w:strike/>
          <w:color w:val="auto"/>
          <w:highlight w:val="none"/>
        </w:rPr>
        <w:t>名合格投标人进入比选范围，从比选范围中选择投标报价与评标基准价之差绝对值最小的前</w:t>
      </w:r>
      <w:r>
        <w:rPr>
          <w:rFonts w:ascii="Times New Roman" w:hAnsi="宋体"/>
          <w:strike/>
          <w:color w:val="auto"/>
          <w:highlight w:val="none"/>
          <w:u w:val="single"/>
        </w:rPr>
        <w:t xml:space="preserve">     </w:t>
      </w:r>
      <w:r>
        <w:rPr>
          <w:rFonts w:ascii="Times New Roman" w:hAnsi="宋体"/>
          <w:strike/>
          <w:color w:val="auto"/>
          <w:highlight w:val="none"/>
        </w:rPr>
        <w:t>名推荐为中标候选人。</w:t>
      </w:r>
    </w:p>
    <w:p w14:paraId="71E9B6F7">
      <w:pPr>
        <w:ind w:firstLine="480" w:firstLineChars="200"/>
        <w:rPr>
          <w:rFonts w:hint="eastAsia" w:ascii="Times New Roman" w:hAnsi="宋体"/>
          <w:strike/>
          <w:color w:val="auto"/>
          <w:highlight w:val="none"/>
        </w:rPr>
      </w:pPr>
      <w:r>
        <w:rPr>
          <w:rFonts w:ascii="Times New Roman" w:hAnsi="宋体"/>
          <w:strike/>
          <w:color w:val="auto"/>
          <w:highlight w:val="none"/>
        </w:rPr>
        <w:t>注：1.技术资信评分第</w:t>
      </w:r>
      <w:r>
        <w:rPr>
          <w:rFonts w:ascii="Times New Roman" w:hAnsi="宋体"/>
          <w:strike/>
          <w:color w:val="auto"/>
          <w:highlight w:val="none"/>
          <w:u w:val="single"/>
        </w:rPr>
        <w:t xml:space="preserve">    </w:t>
      </w:r>
      <w:r>
        <w:rPr>
          <w:rFonts w:ascii="Times New Roman" w:hAnsi="宋体"/>
          <w:strike/>
          <w:color w:val="auto"/>
          <w:highlight w:val="none"/>
        </w:rPr>
        <w:t>名若出现技术资信评分相同时，以投标报价低者优先；技术资信评分、投标报价均相同时，则由评标委员会记名投票表决方式进入后续评审；</w:t>
      </w:r>
    </w:p>
    <w:p w14:paraId="2E1D0DEE">
      <w:pPr>
        <w:ind w:firstLine="480" w:firstLineChars="200"/>
        <w:rPr>
          <w:rFonts w:hint="eastAsia" w:ascii="Times New Roman" w:hAnsi="宋体"/>
          <w:strike/>
          <w:color w:val="auto"/>
          <w:highlight w:val="none"/>
        </w:rPr>
      </w:pPr>
      <w:r>
        <w:rPr>
          <w:rFonts w:ascii="Times New Roman" w:hAnsi="宋体"/>
          <w:strike/>
          <w:color w:val="auto"/>
          <w:highlight w:val="none"/>
        </w:rPr>
        <w:t>2.投标报价与评标基准价之差绝对值最小的第</w:t>
      </w:r>
      <w:r>
        <w:rPr>
          <w:rFonts w:ascii="Times New Roman" w:hAnsi="宋体"/>
          <w:strike/>
          <w:color w:val="auto"/>
          <w:highlight w:val="none"/>
          <w:u w:val="single"/>
        </w:rPr>
        <w:t xml:space="preserve">    </w:t>
      </w:r>
      <w:r>
        <w:rPr>
          <w:rFonts w:ascii="Times New Roman" w:hAnsi="宋体"/>
          <w:strike/>
          <w:color w:val="auto"/>
          <w:highlight w:val="none"/>
        </w:rPr>
        <w:t>名，若出现差值绝对值相同，以投标报价低者优先；若差值绝对值、投标报价均相同时，以技术资信评分高者优先；若差值绝对值、投标报价和技术资信评分均相同时，则由评标委员会记名投票表决方式进入推荐名单；</w:t>
      </w:r>
    </w:p>
    <w:p w14:paraId="2BAC2207">
      <w:pPr>
        <w:ind w:firstLine="480" w:firstLineChars="200"/>
        <w:rPr>
          <w:rFonts w:hint="eastAsia" w:ascii="Times New Roman" w:hAnsi="宋体"/>
          <w:strike/>
          <w:color w:val="auto"/>
          <w:highlight w:val="none"/>
        </w:rPr>
      </w:pPr>
      <w:r>
        <w:rPr>
          <w:rFonts w:hint="eastAsia" w:ascii="Times New Roman" w:hAnsi="宋体"/>
          <w:strike/>
          <w:color w:val="auto"/>
          <w:highlight w:val="none"/>
        </w:rPr>
        <w:t>5.</w:t>
      </w:r>
      <w:r>
        <w:rPr>
          <w:rFonts w:ascii="Times New Roman" w:hAnsi="宋体"/>
          <w:strike/>
          <w:color w:val="auto"/>
          <w:highlight w:val="none"/>
        </w:rPr>
        <w:t>通过符合性审查的合格投标人多于</w:t>
      </w:r>
      <w:r>
        <w:rPr>
          <w:rFonts w:ascii="Times New Roman" w:hAnsi="宋体"/>
          <w:strike/>
          <w:color w:val="auto"/>
          <w:highlight w:val="none"/>
          <w:u w:val="single"/>
        </w:rPr>
        <w:t xml:space="preserve">   </w:t>
      </w:r>
      <w:r>
        <w:rPr>
          <w:rFonts w:ascii="Times New Roman" w:hAnsi="宋体"/>
          <w:strike/>
          <w:color w:val="auto"/>
          <w:highlight w:val="none"/>
        </w:rPr>
        <w:t>家时，技术资信评分</w:t>
      </w:r>
      <w:r>
        <w:rPr>
          <w:rFonts w:ascii="Times New Roman" w:hAnsi="宋体"/>
          <w:strike/>
          <w:color w:val="auto"/>
          <w:highlight w:val="none"/>
          <w:u w:val="single"/>
        </w:rPr>
        <w:t xml:space="preserve">   </w:t>
      </w:r>
      <w:r>
        <w:rPr>
          <w:rFonts w:ascii="Times New Roman" w:hAnsi="宋体"/>
          <w:strike/>
          <w:color w:val="auto"/>
          <w:highlight w:val="none"/>
        </w:rPr>
        <w:t>分及以上投标人在</w:t>
      </w:r>
      <w:r>
        <w:rPr>
          <w:rFonts w:ascii="Times New Roman" w:hAnsi="宋体"/>
          <w:strike/>
          <w:color w:val="auto"/>
          <w:highlight w:val="none"/>
          <w:u w:val="single"/>
        </w:rPr>
        <w:t xml:space="preserve">    </w:t>
      </w:r>
      <w:r>
        <w:rPr>
          <w:rFonts w:ascii="Times New Roman" w:hAnsi="宋体"/>
          <w:strike/>
          <w:color w:val="auto"/>
          <w:highlight w:val="none"/>
        </w:rPr>
        <w:t>家及以上</w:t>
      </w:r>
      <w:r>
        <w:rPr>
          <w:rFonts w:ascii="Times New Roman" w:hAnsi="宋体"/>
          <w:strike/>
          <w:color w:val="auto"/>
          <w:highlight w:val="none"/>
          <w:u w:val="single"/>
        </w:rPr>
        <w:t xml:space="preserve">    </w:t>
      </w:r>
      <w:r>
        <w:rPr>
          <w:rFonts w:ascii="Times New Roman" w:hAnsi="宋体"/>
          <w:strike/>
          <w:color w:val="auto"/>
          <w:highlight w:val="none"/>
        </w:rPr>
        <w:t>家以下的，所有技术资信评分在</w:t>
      </w:r>
      <w:r>
        <w:rPr>
          <w:rFonts w:ascii="Times New Roman" w:hAnsi="宋体"/>
          <w:strike/>
          <w:color w:val="auto"/>
          <w:highlight w:val="none"/>
          <w:u w:val="single"/>
        </w:rPr>
        <w:t xml:space="preserve">    </w:t>
      </w:r>
      <w:r>
        <w:rPr>
          <w:rFonts w:ascii="Times New Roman" w:hAnsi="宋体"/>
          <w:strike/>
          <w:color w:val="auto"/>
          <w:highlight w:val="none"/>
        </w:rPr>
        <w:t>分及以上的合格投标人进入比选范围，从比选范围中选择投标报价与评标基准价之差绝对值最小的前</w:t>
      </w:r>
      <w:r>
        <w:rPr>
          <w:rFonts w:ascii="Times New Roman" w:hAnsi="宋体"/>
          <w:strike/>
          <w:color w:val="auto"/>
          <w:highlight w:val="none"/>
          <w:u w:val="single"/>
        </w:rPr>
        <w:t xml:space="preserve">    </w:t>
      </w:r>
      <w:r>
        <w:rPr>
          <w:rFonts w:ascii="Times New Roman" w:hAnsi="宋体"/>
          <w:strike/>
          <w:color w:val="auto"/>
          <w:highlight w:val="none"/>
        </w:rPr>
        <w:t>名推荐为中标候选人</w:t>
      </w:r>
    </w:p>
    <w:p w14:paraId="05A233B9">
      <w:pPr>
        <w:ind w:firstLine="480" w:firstLineChars="200"/>
        <w:rPr>
          <w:rFonts w:hint="eastAsia" w:ascii="Times New Roman" w:hAnsi="宋体"/>
          <w:strike/>
          <w:color w:val="auto"/>
          <w:highlight w:val="none"/>
        </w:rPr>
      </w:pPr>
      <w:r>
        <w:rPr>
          <w:rFonts w:ascii="Times New Roman" w:hAnsi="宋体"/>
          <w:strike/>
          <w:color w:val="auto"/>
          <w:highlight w:val="none"/>
        </w:rPr>
        <w:t>注：投标报价与评标基准价之差绝对值最小的第</w:t>
      </w:r>
      <w:r>
        <w:rPr>
          <w:rFonts w:ascii="Times New Roman" w:hAnsi="宋体"/>
          <w:strike/>
          <w:color w:val="auto"/>
          <w:highlight w:val="none"/>
          <w:u w:val="single"/>
        </w:rPr>
        <w:t xml:space="preserve">    </w:t>
      </w:r>
      <w:r>
        <w:rPr>
          <w:rFonts w:ascii="Times New Roman" w:hAnsi="宋体"/>
          <w:strike/>
          <w:color w:val="auto"/>
          <w:highlight w:val="none"/>
        </w:rPr>
        <w:t>名，若出现差值绝对值相同，以投标报价低者优先；若差值绝对值、投标报价均相同时，以技术资信评分高者优先；若差值绝对值、投标报价和技术资信评分均相同时，则由评标委员会记名投票表决方式进入推荐名单；</w:t>
      </w:r>
    </w:p>
    <w:p w14:paraId="3AA6F721">
      <w:pPr>
        <w:ind w:firstLine="480" w:firstLineChars="200"/>
        <w:rPr>
          <w:rFonts w:hint="eastAsia" w:ascii="Times New Roman" w:hAnsi="宋体"/>
          <w:strike/>
          <w:color w:val="auto"/>
          <w:highlight w:val="none"/>
        </w:rPr>
      </w:pPr>
      <w:r>
        <w:rPr>
          <w:rFonts w:hint="eastAsia" w:ascii="Times New Roman" w:hAnsi="宋体"/>
          <w:strike/>
          <w:color w:val="auto"/>
          <w:highlight w:val="none"/>
        </w:rPr>
        <w:t>6.</w:t>
      </w:r>
      <w:r>
        <w:rPr>
          <w:rFonts w:ascii="Times New Roman" w:hAnsi="宋体"/>
          <w:strike/>
          <w:color w:val="auto"/>
          <w:highlight w:val="none"/>
        </w:rPr>
        <w:t>通过符合性审查的合格投标人多于</w:t>
      </w:r>
      <w:r>
        <w:rPr>
          <w:rFonts w:ascii="Times New Roman" w:hAnsi="宋体"/>
          <w:strike/>
          <w:color w:val="auto"/>
          <w:highlight w:val="none"/>
          <w:u w:val="single"/>
        </w:rPr>
        <w:t xml:space="preserve">    </w:t>
      </w:r>
      <w:r>
        <w:rPr>
          <w:rFonts w:ascii="Times New Roman" w:hAnsi="宋体"/>
          <w:strike/>
          <w:color w:val="auto"/>
          <w:highlight w:val="none"/>
        </w:rPr>
        <w:t>家时，技术资信评分</w:t>
      </w:r>
      <w:r>
        <w:rPr>
          <w:rFonts w:ascii="Times New Roman" w:hAnsi="宋体"/>
          <w:strike/>
          <w:color w:val="auto"/>
          <w:highlight w:val="none"/>
          <w:u w:val="single"/>
        </w:rPr>
        <w:t xml:space="preserve">   </w:t>
      </w:r>
      <w:r>
        <w:rPr>
          <w:rFonts w:ascii="Times New Roman" w:hAnsi="宋体"/>
          <w:strike/>
          <w:color w:val="auto"/>
          <w:highlight w:val="none"/>
        </w:rPr>
        <w:t xml:space="preserve">分及以上投标人在 </w:t>
      </w:r>
      <w:r>
        <w:rPr>
          <w:rFonts w:ascii="Times New Roman" w:hAnsi="宋体"/>
          <w:strike/>
          <w:color w:val="auto"/>
          <w:highlight w:val="none"/>
          <w:u w:val="single"/>
        </w:rPr>
        <w:t xml:space="preserve">  </w:t>
      </w:r>
      <w:r>
        <w:rPr>
          <w:rFonts w:ascii="Times New Roman" w:hAnsi="宋体"/>
          <w:strike/>
          <w:color w:val="auto"/>
          <w:highlight w:val="none"/>
        </w:rPr>
        <w:t>家及以上的，选择技术资信评分高低排名前</w:t>
      </w:r>
      <w:r>
        <w:rPr>
          <w:rFonts w:ascii="Times New Roman" w:hAnsi="宋体"/>
          <w:strike/>
          <w:color w:val="auto"/>
          <w:highlight w:val="none"/>
          <w:u w:val="single"/>
        </w:rPr>
        <w:t xml:space="preserve">   </w:t>
      </w:r>
      <w:r>
        <w:rPr>
          <w:rFonts w:ascii="Times New Roman" w:hAnsi="宋体"/>
          <w:strike/>
          <w:color w:val="auto"/>
          <w:highlight w:val="none"/>
        </w:rPr>
        <w:t>名投标人进入比选范围，从比选范围中选择投标报价与评标基准价之差绝对值最小的前</w:t>
      </w:r>
      <w:r>
        <w:rPr>
          <w:rFonts w:ascii="Times New Roman" w:hAnsi="宋体"/>
          <w:strike/>
          <w:color w:val="auto"/>
          <w:highlight w:val="none"/>
          <w:u w:val="single"/>
        </w:rPr>
        <w:t xml:space="preserve">   </w:t>
      </w:r>
      <w:r>
        <w:rPr>
          <w:rFonts w:ascii="Times New Roman" w:hAnsi="宋体"/>
          <w:strike/>
          <w:color w:val="auto"/>
          <w:highlight w:val="none"/>
        </w:rPr>
        <w:t>名推荐为中标候选人</w:t>
      </w:r>
    </w:p>
    <w:p w14:paraId="32638C4C">
      <w:pPr>
        <w:ind w:firstLine="480" w:firstLineChars="200"/>
        <w:rPr>
          <w:rFonts w:hint="eastAsia" w:ascii="Times New Roman" w:hAnsi="宋体"/>
          <w:strike/>
          <w:color w:val="auto"/>
          <w:highlight w:val="none"/>
        </w:rPr>
      </w:pPr>
      <w:r>
        <w:rPr>
          <w:rFonts w:ascii="Times New Roman" w:hAnsi="宋体"/>
          <w:strike/>
          <w:color w:val="auto"/>
          <w:highlight w:val="none"/>
        </w:rPr>
        <w:t>注：1.技术资信评分</w:t>
      </w:r>
      <w:r>
        <w:rPr>
          <w:rFonts w:ascii="Times New Roman" w:hAnsi="宋体"/>
          <w:strike/>
          <w:color w:val="auto"/>
          <w:highlight w:val="none"/>
          <w:u w:val="single"/>
        </w:rPr>
        <w:t xml:space="preserve">   </w:t>
      </w:r>
      <w:r>
        <w:rPr>
          <w:rFonts w:ascii="Times New Roman" w:hAnsi="宋体"/>
          <w:strike/>
          <w:color w:val="auto"/>
          <w:highlight w:val="none"/>
        </w:rPr>
        <w:t>分及以上的合格投标人中，如技术资信评分第</w:t>
      </w:r>
      <w:r>
        <w:rPr>
          <w:rFonts w:ascii="Times New Roman" w:hAnsi="宋体"/>
          <w:strike/>
          <w:color w:val="auto"/>
          <w:highlight w:val="none"/>
          <w:u w:val="single"/>
        </w:rPr>
        <w:t xml:space="preserve">   </w:t>
      </w:r>
      <w:r>
        <w:rPr>
          <w:rFonts w:ascii="Times New Roman" w:hAnsi="宋体"/>
          <w:strike/>
          <w:color w:val="auto"/>
          <w:highlight w:val="none"/>
        </w:rPr>
        <w:t>名若出现技术资信评分相同时，以投标报价低者优先；技术资信评分、投标报价均相同时，则由评标委员会记名投票表决方式进入后续评审；</w:t>
      </w:r>
    </w:p>
    <w:p w14:paraId="300A1B3F">
      <w:pPr>
        <w:adjustRightInd/>
        <w:ind w:firstLine="480" w:firstLineChars="200"/>
        <w:rPr>
          <w:rFonts w:hint="eastAsia" w:ascii="Times New Roman" w:hAnsi="宋体"/>
          <w:strike/>
          <w:color w:val="auto"/>
          <w:highlight w:val="none"/>
        </w:rPr>
      </w:pPr>
      <w:r>
        <w:rPr>
          <w:rFonts w:ascii="Times New Roman" w:hAnsi="宋体"/>
          <w:strike/>
          <w:color w:val="auto"/>
          <w:highlight w:val="none"/>
        </w:rPr>
        <w:t>2.投标报价与评标基准价之差绝对值最小的第</w:t>
      </w:r>
      <w:r>
        <w:rPr>
          <w:rFonts w:ascii="Times New Roman" w:hAnsi="宋体"/>
          <w:strike/>
          <w:color w:val="auto"/>
          <w:highlight w:val="none"/>
          <w:u w:val="single"/>
        </w:rPr>
        <w:t xml:space="preserve">   </w:t>
      </w:r>
      <w:r>
        <w:rPr>
          <w:rFonts w:ascii="Times New Roman" w:hAnsi="宋体"/>
          <w:strike/>
          <w:color w:val="auto"/>
          <w:highlight w:val="none"/>
        </w:rPr>
        <w:t>名，若出现差值绝对值相同，以投标报价低者优先；若差值绝对值、投标报价均相同时，以技术资信评分高者优先；若差值绝对值、投标报价和技术资信评分均相同时，则由评标委员会记名投票表决方式进入推荐名单。</w:t>
      </w:r>
    </w:p>
    <w:p w14:paraId="0EC41F59">
      <w:pPr>
        <w:pStyle w:val="3"/>
        <w:keepNext w:val="0"/>
        <w:keepLines w:val="0"/>
        <w:spacing w:line="240" w:lineRule="auto"/>
        <w:ind w:firstLine="241"/>
        <w:jc w:val="center"/>
        <w:rPr>
          <w:rFonts w:hint="eastAsia" w:ascii="宋体" w:hAnsi="宋体"/>
          <w:color w:val="auto"/>
          <w:sz w:val="24"/>
          <w:szCs w:val="24"/>
          <w:highlight w:val="none"/>
        </w:rPr>
      </w:pPr>
      <w:r>
        <w:rPr>
          <w:rFonts w:ascii="Times New Roman" w:hAnsi="宋体"/>
          <w:strike/>
          <w:color w:val="auto"/>
          <w:highlight w:val="none"/>
        </w:rPr>
        <w:br w:type="page"/>
      </w:r>
      <w:bookmarkStart w:id="116" w:name="_Toc493511449"/>
      <w:bookmarkStart w:id="117" w:name="_Toc20545"/>
      <w:r>
        <w:rPr>
          <w:rFonts w:hint="eastAsia" w:ascii="Times New Roman" w:hAnsi="宋体"/>
          <w:color w:val="auto"/>
          <w:sz w:val="24"/>
          <w:szCs w:val="24"/>
          <w:highlight w:val="none"/>
        </w:rPr>
        <w:t>☑</w:t>
      </w:r>
      <w:r>
        <w:rPr>
          <w:rFonts w:ascii="宋体" w:hAnsi="宋体"/>
          <w:color w:val="auto"/>
          <w:sz w:val="24"/>
          <w:szCs w:val="24"/>
          <w:highlight w:val="none"/>
        </w:rPr>
        <w:t>第二节 定标办法</w:t>
      </w:r>
      <w:r>
        <w:rPr>
          <w:rFonts w:hint="eastAsia" w:ascii="宋体" w:hAnsi="宋体"/>
          <w:color w:val="auto"/>
          <w:sz w:val="24"/>
          <w:szCs w:val="24"/>
          <w:highlight w:val="none"/>
        </w:rPr>
        <w:t>（适用于“评定分离”项目）</w:t>
      </w:r>
    </w:p>
    <w:p w14:paraId="14F35C8C">
      <w:pPr>
        <w:ind w:firstLine="480" w:firstLineChars="200"/>
        <w:rPr>
          <w:rFonts w:hint="eastAsia" w:ascii="宋体" w:hAnsi="宋体"/>
          <w:color w:val="auto"/>
          <w:highlight w:val="none"/>
        </w:rPr>
      </w:pPr>
      <w:r>
        <w:rPr>
          <w:rFonts w:ascii="宋体" w:hAnsi="宋体"/>
          <w:color w:val="auto"/>
          <w:highlight w:val="none"/>
        </w:rPr>
        <w:t>一、定标原则</w:t>
      </w:r>
    </w:p>
    <w:p w14:paraId="573217B6">
      <w:pPr>
        <w:ind w:firstLine="480" w:firstLineChars="200"/>
        <w:rPr>
          <w:rFonts w:hint="eastAsia" w:ascii="宋体" w:hAnsi="宋体"/>
          <w:color w:val="auto"/>
          <w:highlight w:val="none"/>
        </w:rPr>
      </w:pPr>
      <w:r>
        <w:rPr>
          <w:rFonts w:ascii="宋体" w:hAnsi="宋体"/>
          <w:color w:val="auto"/>
          <w:highlight w:val="none"/>
        </w:rPr>
        <w:t>定标应遵循</w:t>
      </w:r>
      <w:r>
        <w:rPr>
          <w:rFonts w:hint="eastAsia" w:ascii="宋体" w:hAnsi="宋体"/>
          <w:color w:val="auto"/>
          <w:highlight w:val="none"/>
        </w:rPr>
        <w:t>招标人负责制</w:t>
      </w:r>
      <w:r>
        <w:rPr>
          <w:rFonts w:ascii="宋体" w:hAnsi="宋体"/>
          <w:color w:val="auto"/>
          <w:highlight w:val="none"/>
        </w:rPr>
        <w:t>、公开透明、诚信守约的原则。</w:t>
      </w:r>
    </w:p>
    <w:p w14:paraId="37C48B71">
      <w:pPr>
        <w:ind w:firstLine="480" w:firstLineChars="200"/>
        <w:rPr>
          <w:rFonts w:hint="eastAsia" w:ascii="宋体" w:hAnsi="宋体"/>
          <w:color w:val="auto"/>
          <w:highlight w:val="none"/>
        </w:rPr>
      </w:pPr>
      <w:r>
        <w:rPr>
          <w:rFonts w:ascii="宋体" w:hAnsi="宋体"/>
          <w:color w:val="auto"/>
          <w:highlight w:val="none"/>
        </w:rPr>
        <w:t>二、定标组织</w:t>
      </w:r>
    </w:p>
    <w:p w14:paraId="0A263E3A">
      <w:pPr>
        <w:ind w:firstLine="480" w:firstLineChars="200"/>
        <w:rPr>
          <w:rFonts w:hint="eastAsia" w:ascii="宋体" w:hAnsi="宋体"/>
          <w:color w:val="auto"/>
          <w:highlight w:val="none"/>
        </w:rPr>
      </w:pPr>
      <w:r>
        <w:rPr>
          <w:rFonts w:hint="eastAsia" w:ascii="宋体" w:hAnsi="宋体"/>
          <w:color w:val="auto"/>
          <w:highlight w:val="none"/>
        </w:rPr>
        <w:t>（一）</w:t>
      </w:r>
      <w:r>
        <w:rPr>
          <w:rFonts w:ascii="宋体" w:hAnsi="宋体"/>
          <w:color w:val="auto"/>
          <w:highlight w:val="none"/>
        </w:rPr>
        <w:t>定标工作由招标人组建的定标委员会负责，定标委员会的组建</w:t>
      </w:r>
      <w:r>
        <w:rPr>
          <w:rFonts w:hint="eastAsia" w:ascii="宋体" w:hAnsi="宋体"/>
          <w:color w:val="auto"/>
          <w:highlight w:val="none"/>
        </w:rPr>
        <w:t>：</w:t>
      </w:r>
    </w:p>
    <w:p w14:paraId="782DF82E">
      <w:pPr>
        <w:ind w:firstLine="48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定标委员会</w:t>
      </w:r>
      <w:r>
        <w:rPr>
          <w:rFonts w:hint="eastAsia" w:ascii="宋体" w:hAnsi="宋体"/>
          <w:color w:val="auto"/>
          <w:highlight w:val="none"/>
        </w:rPr>
        <w:t>组建人数</w:t>
      </w:r>
      <w:r>
        <w:rPr>
          <w:rFonts w:ascii="宋体" w:hAnsi="宋体"/>
          <w:color w:val="auto"/>
          <w:highlight w:val="none"/>
        </w:rPr>
        <w:t>见投标人须知前附表</w:t>
      </w:r>
      <w:r>
        <w:rPr>
          <w:rFonts w:hint="eastAsia" w:ascii="宋体" w:hAnsi="宋体"/>
          <w:color w:val="auto"/>
          <w:highlight w:val="none"/>
        </w:rPr>
        <w:t>。</w:t>
      </w:r>
    </w:p>
    <w:p w14:paraId="1696F6FF">
      <w:pPr>
        <w:ind w:firstLine="48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定标委员会成员一般由招标人代表、项目业主代表和项目使用单位代表组成。确有需要的，招标人可邀请外部专家担任定标委员会成员，但邀请的外部成员人数不得超过定标委员会成员总人数的二分之一。评标委员会成员原则上不得担任定标委员会成员。</w:t>
      </w:r>
    </w:p>
    <w:p w14:paraId="388E58E6">
      <w:pPr>
        <w:ind w:firstLine="480" w:firstLineChars="200"/>
        <w:rPr>
          <w:rFonts w:hint="eastAsia" w:ascii="宋体" w:hAnsi="宋体"/>
          <w:color w:val="auto"/>
          <w:highlight w:val="none"/>
        </w:rPr>
      </w:pPr>
      <w:r>
        <w:rPr>
          <w:rFonts w:hint="eastAsia" w:ascii="宋体" w:hAnsi="宋体"/>
          <w:color w:val="auto"/>
          <w:highlight w:val="none"/>
        </w:rPr>
        <w:t>3.</w:t>
      </w:r>
      <w:r>
        <w:rPr>
          <w:rFonts w:ascii="宋体" w:hAnsi="宋体"/>
          <w:color w:val="auto"/>
          <w:highlight w:val="none"/>
        </w:rPr>
        <w:t>招标人的法定代表人或主要负责人或分管负责人应进入定标委员会，并担任组长，主持定标会议。招标人的法定代表人、主要负责人、分管负责人均进入定标委员会的，或其中两人进入定标委员会的，应从其中推选一人担任组长。</w:t>
      </w:r>
    </w:p>
    <w:p w14:paraId="47F5353D">
      <w:pPr>
        <w:ind w:firstLine="480" w:firstLineChars="200"/>
        <w:rPr>
          <w:rFonts w:hint="eastAsia" w:ascii="宋体" w:hAnsi="宋体"/>
          <w:color w:val="auto"/>
          <w:highlight w:val="none"/>
        </w:rPr>
      </w:pPr>
      <w:r>
        <w:rPr>
          <w:rFonts w:hint="eastAsia" w:ascii="宋体" w:hAnsi="宋体"/>
          <w:color w:val="auto"/>
          <w:highlight w:val="none"/>
        </w:rPr>
        <w:t>4.</w:t>
      </w:r>
      <w:r>
        <w:rPr>
          <w:rFonts w:ascii="宋体" w:hAnsi="宋体"/>
          <w:color w:val="auto"/>
          <w:highlight w:val="none"/>
        </w:rPr>
        <w:t>定标委员会成员与中标候选人有利害关系的应主动说明并申请回避。</w:t>
      </w:r>
    </w:p>
    <w:p w14:paraId="25083C27">
      <w:pPr>
        <w:ind w:firstLine="480" w:firstLineChars="200"/>
        <w:rPr>
          <w:rFonts w:hint="eastAsia" w:ascii="宋体" w:hAnsi="宋体"/>
          <w:color w:val="auto"/>
          <w:highlight w:val="none"/>
        </w:rPr>
      </w:pPr>
      <w:r>
        <w:rPr>
          <w:rFonts w:hint="eastAsia" w:ascii="宋体" w:hAnsi="宋体"/>
          <w:color w:val="auto"/>
          <w:highlight w:val="none"/>
        </w:rPr>
        <w:t>5.</w:t>
      </w:r>
      <w:r>
        <w:rPr>
          <w:rFonts w:ascii="宋体" w:hAnsi="宋体"/>
          <w:color w:val="auto"/>
          <w:highlight w:val="none"/>
        </w:rPr>
        <w:t>定标委员会名单在中标结果确定前应保密。</w:t>
      </w:r>
    </w:p>
    <w:p w14:paraId="47F87996">
      <w:pPr>
        <w:ind w:firstLine="480" w:firstLineChars="200"/>
        <w:rPr>
          <w:rFonts w:hint="eastAsia" w:ascii="宋体" w:hAnsi="宋体"/>
          <w:color w:val="auto"/>
          <w:highlight w:val="none"/>
        </w:rPr>
      </w:pPr>
      <w:r>
        <w:rPr>
          <w:rFonts w:hint="eastAsia" w:ascii="宋体" w:hAnsi="宋体"/>
          <w:color w:val="auto"/>
          <w:highlight w:val="none"/>
        </w:rPr>
        <w:t>（二）</w:t>
      </w:r>
      <w:r>
        <w:rPr>
          <w:rFonts w:ascii="宋体" w:hAnsi="宋体"/>
          <w:color w:val="auto"/>
          <w:highlight w:val="none"/>
        </w:rPr>
        <w:t>定标委员会应当按照招标文件确定的定标标准和方法，客观、公正定标，招标文件没有规定的定标标准和方法不得作为定标的依据。</w:t>
      </w:r>
    </w:p>
    <w:p w14:paraId="225D4C08">
      <w:pPr>
        <w:ind w:firstLine="480" w:firstLineChars="200"/>
        <w:rPr>
          <w:rFonts w:hint="eastAsia" w:ascii="宋体" w:hAnsi="宋体"/>
          <w:color w:val="auto"/>
          <w:highlight w:val="none"/>
        </w:rPr>
      </w:pPr>
      <w:r>
        <w:rPr>
          <w:rFonts w:ascii="宋体" w:hAnsi="宋体"/>
          <w:color w:val="auto"/>
          <w:highlight w:val="none"/>
        </w:rPr>
        <w:t xml:space="preserve"> 三、定标方法</w:t>
      </w:r>
    </w:p>
    <w:p w14:paraId="703A8EE4">
      <w:pPr>
        <w:ind w:firstLine="480" w:firstLineChars="200"/>
        <w:rPr>
          <w:rFonts w:hint="eastAsia" w:ascii="宋体" w:hAnsi="宋体"/>
          <w:color w:val="auto"/>
          <w:highlight w:val="none"/>
        </w:rPr>
      </w:pPr>
      <w:r>
        <w:rPr>
          <w:rFonts w:ascii="宋体" w:hAnsi="宋体"/>
          <w:color w:val="auto"/>
          <w:highlight w:val="none"/>
        </w:rPr>
        <w:t>定标委员会按</w:t>
      </w:r>
      <w:r>
        <w:rPr>
          <w:rFonts w:hint="eastAsia" w:ascii="宋体" w:hAnsi="宋体"/>
          <w:color w:val="auto"/>
          <w:highlight w:val="none"/>
        </w:rPr>
        <w:t>下列</w:t>
      </w:r>
      <w:r>
        <w:rPr>
          <w:rFonts w:ascii="宋体" w:hAnsi="宋体"/>
          <w:color w:val="auto"/>
          <w:highlight w:val="none"/>
        </w:rPr>
        <w:t>方法确定中标人</w:t>
      </w:r>
      <w:r>
        <w:rPr>
          <w:rFonts w:hint="eastAsia" w:ascii="宋体" w:hAnsi="宋体"/>
          <w:color w:val="auto"/>
          <w:highlight w:val="none"/>
        </w:rPr>
        <w:t>：</w:t>
      </w:r>
    </w:p>
    <w:p w14:paraId="1188C5AE">
      <w:pPr>
        <w:ind w:firstLine="480" w:firstLineChars="200"/>
        <w:rPr>
          <w:rFonts w:hint="eastAsia" w:ascii="宋体" w:hAnsi="宋体"/>
          <w:color w:val="auto"/>
          <w:highlight w:val="none"/>
        </w:rPr>
      </w:pPr>
      <w:r>
        <w:rPr>
          <w:rFonts w:hint="eastAsia" w:ascii="宋体" w:hAnsi="宋体"/>
          <w:color w:val="auto"/>
          <w:highlight w:val="none"/>
        </w:rPr>
        <w:t>☑票决法。由定标委员会以直接票决或者逐轮票决的方式确定中标人。</w:t>
      </w:r>
    </w:p>
    <w:p w14:paraId="471459A2">
      <w:pPr>
        <w:ind w:firstLine="480" w:firstLineChars="200"/>
        <w:rPr>
          <w:rFonts w:hint="eastAsia" w:ascii="宋体" w:hAnsi="宋体"/>
          <w:color w:val="auto"/>
          <w:highlight w:val="none"/>
        </w:rPr>
      </w:pPr>
      <w:r>
        <w:rPr>
          <w:rFonts w:hint="eastAsia" w:ascii="宋体" w:hAnsi="宋体"/>
          <w:color w:val="auto"/>
          <w:highlight w:val="none"/>
        </w:rPr>
        <w:t>☑直接票决法：</w:t>
      </w:r>
    </w:p>
    <w:p w14:paraId="72BF893E">
      <w:pPr>
        <w:ind w:firstLine="480" w:firstLineChars="200"/>
        <w:rPr>
          <w:rFonts w:hint="eastAsia" w:ascii="宋体" w:hAnsi="宋体"/>
          <w:color w:val="auto"/>
          <w:highlight w:val="none"/>
        </w:rPr>
      </w:pPr>
      <w:r>
        <w:rPr>
          <w:rFonts w:hint="eastAsia" w:ascii="宋体" w:hAnsi="宋体"/>
          <w:color w:val="auto"/>
          <w:highlight w:val="none"/>
        </w:rPr>
        <w:t>☑直接票决法一：定标委员会在进入投票范围的中标候选人中，以每人投票支持一个中标候选人的方式，得票最多且过半数的中标候选人为中标人。</w:t>
      </w:r>
    </w:p>
    <w:p w14:paraId="39011738">
      <w:pPr>
        <w:ind w:firstLine="480" w:firstLineChars="200"/>
        <w:rPr>
          <w:rFonts w:hint="eastAsia" w:ascii="宋体" w:hAnsi="宋体"/>
          <w:color w:val="auto"/>
          <w:highlight w:val="none"/>
        </w:rPr>
      </w:pPr>
      <w:r>
        <w:rPr>
          <w:rFonts w:hint="eastAsia" w:ascii="宋体" w:hAnsi="宋体"/>
          <w:color w:val="auto"/>
          <w:highlight w:val="none"/>
        </w:rPr>
        <w:t>当没有中标候选人得票超过半数时，选择得票较多的2个中标候选人（按上一轮得票多少的顺序选择，在选择第2个中标候选人时出现同票的中标候选人时，□抽签抽取中标候选人☑报价低者（报价相同时抽签抽取1个中标候选人）□由招标人法定代表人或其委托代表直接确定1个中标候选人作为二次投票的范围，直至出现得票过半数的中标候选人为止。</w:t>
      </w:r>
    </w:p>
    <w:p w14:paraId="79E49762">
      <w:pPr>
        <w:ind w:firstLine="480" w:firstLineChars="200"/>
        <w:rPr>
          <w:rFonts w:hint="eastAsia" w:ascii="宋体" w:hAnsi="宋体"/>
          <w:strike/>
          <w:color w:val="auto"/>
          <w:highlight w:val="none"/>
        </w:rPr>
      </w:pPr>
      <w:r>
        <w:rPr>
          <w:rFonts w:hint="eastAsia" w:ascii="宋体" w:hAnsi="宋体"/>
          <w:strike/>
          <w:color w:val="auto"/>
          <w:highlight w:val="none"/>
        </w:rPr>
        <w:t>□直接票决法二：定标委员会在进入投票范围的中标候选人中，以每人投票支持</w:t>
      </w:r>
      <w:r>
        <w:rPr>
          <w:rFonts w:hint="eastAsia" w:ascii="宋体" w:hAnsi="宋体"/>
          <w:strike/>
          <w:color w:val="auto"/>
          <w:highlight w:val="none"/>
          <w:u w:val="single"/>
        </w:rPr>
        <w:t xml:space="preserve"> N </w:t>
      </w:r>
      <w:r>
        <w:rPr>
          <w:rFonts w:hint="eastAsia" w:ascii="宋体" w:hAnsi="宋体"/>
          <w:strike/>
          <w:color w:val="auto"/>
          <w:highlight w:val="none"/>
        </w:rPr>
        <w:t>（N不得超过中标候选人数）个中标候选人的方式，得票最多且过半数的中标候选人为中标人。</w:t>
      </w:r>
    </w:p>
    <w:p w14:paraId="519074D9">
      <w:pPr>
        <w:ind w:firstLine="480" w:firstLineChars="200"/>
        <w:rPr>
          <w:rFonts w:hint="eastAsia" w:ascii="宋体" w:hAnsi="宋体"/>
          <w:strike/>
          <w:color w:val="auto"/>
          <w:highlight w:val="none"/>
        </w:rPr>
      </w:pPr>
      <w:r>
        <w:rPr>
          <w:rFonts w:hint="eastAsia" w:ascii="宋体" w:hAnsi="宋体"/>
          <w:strike/>
          <w:color w:val="auto"/>
          <w:highlight w:val="none"/>
        </w:rPr>
        <w:t>当没有中标候选人得票超过半数时，选择得票较多的2个中标候选人（按上一轮得票多少的顺序选择，在选择第2个中标候选人时出现同票的中标候选人时，□抽签抽取中标候选人□报价低者（报价相同时抽签抽取1个中标候选人）□由招标人法定代表人或其委托代表直接确定1个中标候选人作为二次投票的范围，直至出现得票过半数的中标候选人为止。</w:t>
      </w:r>
    </w:p>
    <w:p w14:paraId="2DDF988D">
      <w:pPr>
        <w:ind w:firstLine="480" w:firstLineChars="200"/>
        <w:rPr>
          <w:rFonts w:hint="eastAsia" w:ascii="宋体" w:hAnsi="宋体"/>
          <w:strike/>
          <w:color w:val="auto"/>
          <w:highlight w:val="none"/>
        </w:rPr>
      </w:pPr>
      <w:r>
        <w:rPr>
          <w:rFonts w:hint="eastAsia" w:ascii="宋体" w:hAnsi="宋体"/>
          <w:strike/>
          <w:color w:val="auto"/>
          <w:highlight w:val="none"/>
        </w:rPr>
        <w:t>□直接票决法三：定标委员会在进入投票范围的中标候选人中，以每人投票支持N （N不得超过中标候选人数）个中标候选人的方式，得票最多的中标候选人为中标人。</w:t>
      </w:r>
    </w:p>
    <w:p w14:paraId="75EC2C64">
      <w:pPr>
        <w:ind w:firstLine="480" w:firstLineChars="200"/>
        <w:rPr>
          <w:rFonts w:hint="eastAsia" w:ascii="宋体" w:hAnsi="宋体"/>
          <w:strike/>
          <w:color w:val="auto"/>
          <w:highlight w:val="none"/>
        </w:rPr>
      </w:pPr>
      <w:r>
        <w:rPr>
          <w:rFonts w:hint="eastAsia" w:ascii="宋体" w:hAnsi="宋体"/>
          <w:strike/>
          <w:color w:val="auto"/>
          <w:highlight w:val="none"/>
        </w:rPr>
        <w:t>当得票最多的中标候选人出现多个时，采用□抽签抽取 □报价低者（报价相同时抽签抽取1个中标候选人）</w:t>
      </w:r>
      <w:r>
        <w:rPr>
          <w:rFonts w:hint="eastAsia" w:ascii="宋体" w:hAnsi="宋体"/>
          <w:strike/>
          <w:color w:val="auto"/>
          <w:highlight w:val="none"/>
        </w:rPr>
        <w:sym w:font="Wingdings 2" w:char="00A3"/>
      </w:r>
      <w:r>
        <w:rPr>
          <w:rFonts w:hint="eastAsia" w:ascii="宋体" w:hAnsi="宋体"/>
          <w:strike/>
          <w:color w:val="auto"/>
          <w:highlight w:val="none"/>
        </w:rPr>
        <w:t xml:space="preserve">由招标人法定代表人或其委托代表直接确定1个中标候选人作为中标人。         </w:t>
      </w:r>
    </w:p>
    <w:p w14:paraId="006FEA00">
      <w:pPr>
        <w:ind w:firstLine="480" w:firstLineChars="200"/>
        <w:rPr>
          <w:rFonts w:hint="eastAsia" w:ascii="宋体" w:hAnsi="宋体"/>
          <w:strike/>
          <w:color w:val="auto"/>
          <w:highlight w:val="none"/>
        </w:rPr>
      </w:pPr>
      <w:r>
        <w:rPr>
          <w:rFonts w:hint="eastAsia" w:ascii="宋体" w:hAnsi="宋体"/>
          <w:strike/>
          <w:color w:val="auto"/>
          <w:highlight w:val="none"/>
        </w:rPr>
        <w:t>□逐轮票决法：</w:t>
      </w:r>
    </w:p>
    <w:p w14:paraId="6070A43E">
      <w:pPr>
        <w:ind w:firstLine="480" w:firstLineChars="200"/>
        <w:rPr>
          <w:rFonts w:hint="eastAsia" w:ascii="宋体" w:hAnsi="宋体"/>
          <w:strike/>
          <w:color w:val="auto"/>
          <w:highlight w:val="none"/>
        </w:rPr>
      </w:pPr>
      <w:r>
        <w:rPr>
          <w:rFonts w:hint="eastAsia" w:ascii="宋体" w:hAnsi="宋体"/>
          <w:strike/>
          <w:color w:val="auto"/>
          <w:highlight w:val="none"/>
        </w:rPr>
        <w:t>□逐轮票决法一：定标委员会在进入投票范围的中标候选人中，以每人投票支持</w:t>
      </w:r>
      <w:r>
        <w:rPr>
          <w:rFonts w:hint="eastAsia" w:ascii="宋体" w:hAnsi="宋体"/>
          <w:strike/>
          <w:color w:val="auto"/>
          <w:highlight w:val="none"/>
          <w:u w:val="single"/>
        </w:rPr>
        <w:t xml:space="preserve">N </w:t>
      </w:r>
      <w:r>
        <w:rPr>
          <w:rFonts w:hint="eastAsia" w:ascii="宋体" w:hAnsi="宋体"/>
          <w:strike/>
          <w:color w:val="auto"/>
          <w:highlight w:val="none"/>
        </w:rPr>
        <w:t>(N≥3)个中标候选人的方式，得票最多的N个中标候选人进入下一轮的淘汰投票。在确定第N个中标候选人时如果出现同票的，则采用□抽签抽取或报价低者（报价相同时抽签抽取1个中标候选人）□由招标人法定代表人或其委托代表直接确定1个中标候选人进入下一轮的淘汰投票。</w:t>
      </w:r>
    </w:p>
    <w:p w14:paraId="5C59B8BD">
      <w:pPr>
        <w:ind w:firstLine="480" w:firstLineChars="200"/>
        <w:rPr>
          <w:rFonts w:hint="eastAsia" w:ascii="宋体" w:hAnsi="宋体"/>
          <w:strike/>
          <w:color w:val="auto"/>
          <w:highlight w:val="none"/>
        </w:rPr>
      </w:pPr>
      <w:r>
        <w:rPr>
          <w:rFonts w:hint="eastAsia" w:ascii="宋体" w:hAnsi="宋体"/>
          <w:strike/>
          <w:color w:val="auto"/>
          <w:highlight w:val="none"/>
        </w:rPr>
        <w:t>对进入淘汰投票的中标候选人逐轮进行淘汰，原则上每轮淘汰1名中标候选人。各轮投票时，每人投1个淘汰单位，该轮得票最多的中标候选人被淘汰。得票最多的中标候选人不止1个时，一并加以淘汰，但必须确保第一次淘汰之后剩余的中标候选人不少于2名，否则在得票最多的N个中标候选人中按前述规则进行二次淘汰，剩余的中标候选人进入下一轮淘汰投票。根据前述规则，直至剩余1名中标候选人为中标人。</w:t>
      </w:r>
    </w:p>
    <w:p w14:paraId="79110445">
      <w:pPr>
        <w:ind w:firstLine="480" w:firstLineChars="200"/>
        <w:rPr>
          <w:rFonts w:hint="eastAsia" w:ascii="宋体" w:hAnsi="宋体"/>
          <w:strike/>
          <w:color w:val="auto"/>
          <w:highlight w:val="none"/>
        </w:rPr>
      </w:pPr>
      <w:r>
        <w:rPr>
          <w:rFonts w:hint="eastAsia" w:ascii="宋体" w:hAnsi="宋体"/>
          <w:strike/>
          <w:color w:val="auto"/>
          <w:highlight w:val="none"/>
        </w:rPr>
        <w:t>□逐轮票决法二：定标委员会对全部中标候选人采取多轮逆淘汰方式表决。原则上逐轮淘汰1名中标候选人。各轮投票时，每人投1个淘汰单位，该轮得票最多的中标候选人被淘汰。得票最多的中标候选人不止1个时，一并加以淘汰，但必须确保存在中标人，剩余的中标候选人进入下一轮淘汰投票，最终确定中标人。在确定最终中标人时如果出现同票的，则采用□抽签抽取或报价低者（报价相同时抽签抽取1个中标候选人）□由招标人法定代表人或其委托代表直接确定最终的中标人。</w:t>
      </w:r>
    </w:p>
    <w:p w14:paraId="1CDDD490">
      <w:pPr>
        <w:ind w:firstLine="480" w:firstLineChars="200"/>
        <w:rPr>
          <w:rFonts w:hint="eastAsia" w:ascii="宋体" w:hAnsi="宋体"/>
          <w:strike/>
          <w:color w:val="auto"/>
          <w:highlight w:val="none"/>
        </w:rPr>
      </w:pPr>
      <w:r>
        <w:rPr>
          <w:rFonts w:hint="eastAsia" w:ascii="宋体" w:hAnsi="宋体"/>
          <w:strike/>
          <w:color w:val="auto"/>
          <w:highlight w:val="none"/>
        </w:rPr>
        <w:t>□票决抽签法：</w:t>
      </w:r>
    </w:p>
    <w:p w14:paraId="053057C8">
      <w:pPr>
        <w:ind w:firstLine="480" w:firstLineChars="200"/>
        <w:rPr>
          <w:rFonts w:hint="eastAsia" w:ascii="宋体" w:hAnsi="宋体"/>
          <w:strike/>
          <w:color w:val="auto"/>
          <w:highlight w:val="none"/>
        </w:rPr>
      </w:pPr>
      <w:r>
        <w:rPr>
          <w:rFonts w:hint="eastAsia" w:ascii="宋体" w:hAnsi="宋体"/>
          <w:strike/>
          <w:color w:val="auto"/>
          <w:highlight w:val="none"/>
        </w:rPr>
        <w:t>□票决抽签法一：定标委员会在进入投票范围的中标候选人中，以每人投票支持</w:t>
      </w:r>
      <w:r>
        <w:rPr>
          <w:rFonts w:hint="eastAsia" w:ascii="宋体" w:hAnsi="宋体"/>
          <w:strike/>
          <w:color w:val="auto"/>
          <w:highlight w:val="none"/>
          <w:u w:val="single"/>
        </w:rPr>
        <w:t>N</w:t>
      </w:r>
      <w:r>
        <w:rPr>
          <w:rFonts w:hint="eastAsia" w:ascii="宋体" w:hAnsi="宋体"/>
          <w:strike/>
          <w:color w:val="auto"/>
          <w:highlight w:val="none"/>
        </w:rPr>
        <w:t xml:space="preserve"> (N≥3)个中标候选人的方式，得票较多的N个中标候选人（最终得票均须超过半数）进入抽签环节，中标候选人数量不足时全部进入。投票过程中出现票数相同时，则采用□抽签抽取 □报价低者（报价相同时抽签抽取1个中标候选人） □由招标人法定代表人或其委托代表直接确定1个中标候选人的方式确定进入抽签范围的中标候选人。</w:t>
      </w:r>
    </w:p>
    <w:p w14:paraId="2AA4415D">
      <w:pPr>
        <w:ind w:firstLine="480" w:firstLineChars="200"/>
        <w:rPr>
          <w:rFonts w:hint="eastAsia" w:ascii="宋体" w:hAnsi="宋体"/>
          <w:strike/>
          <w:color w:val="auto"/>
          <w:highlight w:val="none"/>
        </w:rPr>
      </w:pPr>
      <w:r>
        <w:rPr>
          <w:rFonts w:hint="eastAsia" w:ascii="宋体" w:hAnsi="宋体"/>
          <w:strike/>
          <w:color w:val="auto"/>
          <w:highlight w:val="none"/>
        </w:rPr>
        <w:t>当得票超过半数的中标候选人数量不足</w:t>
      </w:r>
      <w:r>
        <w:rPr>
          <w:rFonts w:hint="eastAsia" w:ascii="宋体" w:hAnsi="宋体"/>
          <w:strike/>
          <w:color w:val="auto"/>
          <w:highlight w:val="none"/>
          <w:u w:val="single"/>
        </w:rPr>
        <w:t>N</w:t>
      </w:r>
      <w:r>
        <w:rPr>
          <w:rFonts w:hint="eastAsia" w:ascii="宋体" w:hAnsi="宋体"/>
          <w:strike/>
          <w:color w:val="auto"/>
          <w:highlight w:val="none"/>
        </w:rPr>
        <w:t>时（假设此时得票超过半数中标候选人数量为n），按照前一轮得票数量由多到少的顺序，在得票未过半数的中标候选人中，取“N-n+2”个中标候选人进行二次投票（在取第“N-n+2”个中标候选人时出现同票的，一并进入二次投票），以每人投票支持“N-n”个中标候选人，直至确定</w:t>
      </w:r>
      <w:r>
        <w:rPr>
          <w:rFonts w:hint="eastAsia" w:ascii="宋体" w:hAnsi="宋体"/>
          <w:strike/>
          <w:color w:val="auto"/>
          <w:highlight w:val="none"/>
          <w:u w:val="single"/>
        </w:rPr>
        <w:t>N</w:t>
      </w:r>
      <w:r>
        <w:rPr>
          <w:rFonts w:hint="eastAsia" w:ascii="宋体" w:hAnsi="宋体"/>
          <w:strike/>
          <w:color w:val="auto"/>
          <w:highlight w:val="none"/>
        </w:rPr>
        <w:t>个得票超过半数的中标候选人为止。定标委员会在上述</w:t>
      </w:r>
      <w:r>
        <w:rPr>
          <w:rFonts w:hint="eastAsia" w:ascii="宋体" w:hAnsi="宋体"/>
          <w:strike/>
          <w:color w:val="auto"/>
          <w:highlight w:val="none"/>
          <w:u w:val="single"/>
        </w:rPr>
        <w:t>N</w:t>
      </w:r>
      <w:r>
        <w:rPr>
          <w:rFonts w:hint="eastAsia" w:ascii="宋体" w:hAnsi="宋体"/>
          <w:strike/>
          <w:color w:val="auto"/>
          <w:highlight w:val="none"/>
        </w:rPr>
        <w:t>个中标候选人中随机抽签确定中标人。</w:t>
      </w:r>
    </w:p>
    <w:p w14:paraId="7A6C5EFA">
      <w:pPr>
        <w:ind w:firstLine="480" w:firstLineChars="200"/>
        <w:rPr>
          <w:rFonts w:hint="eastAsia" w:ascii="宋体" w:hAnsi="宋体"/>
          <w:strike/>
          <w:color w:val="auto"/>
          <w:highlight w:val="none"/>
        </w:rPr>
      </w:pPr>
      <w:r>
        <w:rPr>
          <w:rFonts w:hint="eastAsia" w:ascii="宋体" w:hAnsi="宋体"/>
          <w:strike/>
          <w:color w:val="auto"/>
          <w:highlight w:val="none"/>
        </w:rPr>
        <w:t>□票决抽签法二：定标委员会对全部中标候选人采取逐轮逆淘汰方式表决。原则上逐轮淘汰1名中标候选人。各轮投票时，每人投1个淘汰单位，该轮得票最多的中标候选人被淘汰。得票最多的中标候选人不止1个时，一并加以淘汰，但必须确保N个中标候选人，剩余的中标候选人进入下一轮淘汰投票，最终确定N个中标候选人。在最终确定第N个中标候选人时如果出现同票的，则采用□抽签抽取 □报价低者（报价相同时抽签抽取1个中标候选人） □由招标人法定代表人或其委托代表直接确定进入抽签环节的中标候选人。定标委员会在上述</w:t>
      </w:r>
      <w:r>
        <w:rPr>
          <w:rFonts w:hint="eastAsia" w:ascii="宋体" w:hAnsi="宋体"/>
          <w:strike/>
          <w:color w:val="auto"/>
          <w:highlight w:val="none"/>
          <w:u w:val="single"/>
        </w:rPr>
        <w:t>N</w:t>
      </w:r>
      <w:r>
        <w:rPr>
          <w:rFonts w:hint="eastAsia" w:ascii="宋体" w:hAnsi="宋体"/>
          <w:strike/>
          <w:color w:val="auto"/>
          <w:highlight w:val="none"/>
        </w:rPr>
        <w:t>个中标候选人中随机抽签确定中标人。</w:t>
      </w:r>
    </w:p>
    <w:p w14:paraId="2A84A6FD">
      <w:pPr>
        <w:ind w:firstLine="480" w:firstLineChars="200"/>
        <w:rPr>
          <w:rFonts w:hint="eastAsia" w:ascii="宋体" w:hAnsi="宋体"/>
          <w:strike/>
          <w:color w:val="auto"/>
          <w:highlight w:val="none"/>
        </w:rPr>
      </w:pPr>
      <w:r>
        <w:rPr>
          <w:rFonts w:hint="eastAsia" w:ascii="宋体" w:hAnsi="宋体"/>
          <w:strike/>
          <w:color w:val="auto"/>
          <w:highlight w:val="none"/>
        </w:rPr>
        <w:t>□集体议事法。由定标委员会进行集体商议，定标委员会成员各自发表意见，由定标委员会组长最终确定中标人。所有参加会议的定标委员会成员的意见应当作书面记录，并由定标委员会成员签字确认。</w:t>
      </w:r>
    </w:p>
    <w:p w14:paraId="3E070FA7">
      <w:pPr>
        <w:ind w:firstLine="480" w:firstLineChars="200"/>
        <w:rPr>
          <w:rFonts w:hint="eastAsia" w:ascii="宋体" w:hAnsi="宋体"/>
          <w:strike/>
          <w:color w:val="auto"/>
          <w:highlight w:val="none"/>
        </w:rPr>
      </w:pPr>
      <w:r>
        <w:rPr>
          <w:rFonts w:hint="eastAsia" w:ascii="宋体" w:hAnsi="宋体"/>
          <w:strike/>
          <w:color w:val="auto"/>
          <w:highlight w:val="none"/>
        </w:rPr>
        <w:t>□其他定标办法：</w:t>
      </w:r>
      <w:r>
        <w:rPr>
          <w:rFonts w:hint="eastAsia" w:ascii="宋体" w:hAnsi="宋体"/>
          <w:strike/>
          <w:color w:val="auto"/>
          <w:highlight w:val="none"/>
          <w:u w:val="single"/>
        </w:rPr>
        <w:t xml:space="preserve">                  </w:t>
      </w:r>
      <w:r>
        <w:rPr>
          <w:rFonts w:hint="eastAsia" w:ascii="宋体" w:hAnsi="宋体"/>
          <w:strike/>
          <w:color w:val="auto"/>
          <w:highlight w:val="none"/>
        </w:rPr>
        <w:t xml:space="preserve">。   </w:t>
      </w:r>
    </w:p>
    <w:p w14:paraId="2FF0480B">
      <w:pPr>
        <w:ind w:firstLine="480" w:firstLineChars="200"/>
        <w:rPr>
          <w:rFonts w:hint="eastAsia" w:ascii="宋体" w:hAnsi="宋体"/>
          <w:color w:val="auto"/>
          <w:highlight w:val="none"/>
        </w:rPr>
      </w:pPr>
      <w:r>
        <w:rPr>
          <w:rFonts w:ascii="宋体" w:hAnsi="宋体"/>
          <w:color w:val="auto"/>
          <w:highlight w:val="none"/>
        </w:rPr>
        <w:t>四、定标报告</w:t>
      </w:r>
    </w:p>
    <w:p w14:paraId="3008A7B0">
      <w:pPr>
        <w:ind w:firstLine="480" w:firstLineChars="200"/>
        <w:rPr>
          <w:rFonts w:hint="eastAsia" w:ascii="宋体" w:hAnsi="宋体"/>
          <w:color w:val="auto"/>
          <w:highlight w:val="none"/>
        </w:rPr>
      </w:pPr>
      <w:r>
        <w:rPr>
          <w:rFonts w:ascii="宋体" w:hAnsi="宋体"/>
          <w:color w:val="auto"/>
          <w:highlight w:val="none"/>
        </w:rPr>
        <w:t>（一）定标委员会应当向招标人提交书面定标报告。</w:t>
      </w:r>
      <w:r>
        <w:rPr>
          <w:rFonts w:hint="eastAsia" w:ascii="宋体" w:hAnsi="宋体"/>
          <w:color w:val="auto"/>
          <w:highlight w:val="none"/>
        </w:rPr>
        <w:t>定标报告由定标委员会全体成员签字。对定标结果有不同意见的定标委员会成员应当以书面形式说明其不同意见和理由，定标报告应当注明该不同意见。定标委员会成员拒绝在定标报告上签字又不书面说明其不同意见和理由的，视为同意定标结果。</w:t>
      </w:r>
    </w:p>
    <w:p w14:paraId="5715CEAC">
      <w:pPr>
        <w:ind w:firstLine="480" w:firstLineChars="200"/>
        <w:rPr>
          <w:rFonts w:hint="eastAsia" w:ascii="宋体" w:hAnsi="宋体"/>
          <w:color w:val="auto"/>
          <w:highlight w:val="none"/>
        </w:rPr>
      </w:pPr>
      <w:r>
        <w:rPr>
          <w:rFonts w:ascii="宋体" w:hAnsi="宋体"/>
          <w:color w:val="auto"/>
          <w:highlight w:val="none"/>
        </w:rPr>
        <w:t>（二）定标报告应包括以下内容：</w:t>
      </w:r>
    </w:p>
    <w:p w14:paraId="7AA67E1D">
      <w:pPr>
        <w:ind w:firstLine="48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.定标程序；</w:t>
      </w:r>
    </w:p>
    <w:p w14:paraId="6041125F">
      <w:pPr>
        <w:ind w:firstLine="48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.定标委员名单</w:t>
      </w:r>
      <w:r>
        <w:rPr>
          <w:rFonts w:hint="eastAsia" w:ascii="宋体" w:hAnsi="宋体"/>
          <w:color w:val="auto"/>
          <w:highlight w:val="none"/>
        </w:rPr>
        <w:t>；</w:t>
      </w:r>
    </w:p>
    <w:p w14:paraId="3B6ABFD2">
      <w:pPr>
        <w:ind w:firstLine="480" w:firstLineChars="200"/>
        <w:rPr>
          <w:rFonts w:hint="eastAsia" w:ascii="宋体" w:hAnsi="宋体"/>
          <w:color w:val="auto"/>
          <w:highlight w:val="none"/>
        </w:rPr>
      </w:pPr>
      <w:r>
        <w:rPr>
          <w:rFonts w:hint="eastAsia" w:ascii="宋体" w:hAnsi="宋体"/>
          <w:color w:val="auto"/>
          <w:highlight w:val="none"/>
        </w:rPr>
        <w:t>3.定标要素；</w:t>
      </w:r>
    </w:p>
    <w:p w14:paraId="094DB80E">
      <w:pPr>
        <w:ind w:firstLine="480" w:firstLineChars="200"/>
        <w:rPr>
          <w:rFonts w:hint="eastAsia" w:ascii="宋体" w:hAnsi="宋体"/>
          <w:color w:val="auto"/>
          <w:highlight w:val="none"/>
        </w:rPr>
      </w:pPr>
      <w:r>
        <w:rPr>
          <w:rFonts w:hint="eastAsia" w:ascii="宋体" w:hAnsi="宋体"/>
          <w:color w:val="auto"/>
          <w:highlight w:val="none"/>
        </w:rPr>
        <w:t>4.定标办法；</w:t>
      </w:r>
    </w:p>
    <w:p w14:paraId="059A9F9F">
      <w:pPr>
        <w:ind w:firstLine="480" w:firstLineChars="200"/>
        <w:rPr>
          <w:rFonts w:hint="eastAsia" w:ascii="宋体" w:hAnsi="宋体"/>
          <w:color w:val="auto"/>
          <w:highlight w:val="none"/>
        </w:rPr>
      </w:pPr>
      <w:r>
        <w:rPr>
          <w:rFonts w:hint="eastAsia" w:ascii="宋体" w:hAnsi="宋体"/>
          <w:color w:val="auto"/>
          <w:highlight w:val="none"/>
        </w:rPr>
        <w:t>5</w:t>
      </w:r>
      <w:r>
        <w:rPr>
          <w:rFonts w:ascii="宋体" w:hAnsi="宋体"/>
          <w:color w:val="auto"/>
          <w:highlight w:val="none"/>
        </w:rPr>
        <w:t>.定标结果</w:t>
      </w:r>
      <w:r>
        <w:rPr>
          <w:rFonts w:hint="eastAsia" w:ascii="宋体" w:hAnsi="宋体"/>
          <w:color w:val="auto"/>
          <w:highlight w:val="none"/>
        </w:rPr>
        <w:t>。</w:t>
      </w:r>
    </w:p>
    <w:bookmarkEnd w:id="116"/>
    <w:bookmarkEnd w:id="117"/>
    <w:p w14:paraId="17EA4286">
      <w:pPr>
        <w:adjustRightInd/>
        <w:spacing w:line="360" w:lineRule="auto"/>
        <w:ind w:firstLine="480" w:firstLineChars="200"/>
        <w:rPr>
          <w:rFonts w:hint="eastAsia" w:ascii="宋体" w:hAnsi="宋体"/>
          <w:strike/>
          <w:color w:val="auto"/>
          <w:highlight w:val="none"/>
        </w:rPr>
      </w:pPr>
    </w:p>
    <w:p w14:paraId="1106C528">
      <w:pPr>
        <w:spacing w:line="360" w:lineRule="auto"/>
        <w:ind w:firstLine="476" w:firstLineChars="200"/>
        <w:rPr>
          <w:rFonts w:hint="eastAsia" w:hAnsi="宋体"/>
          <w:strike/>
          <w:color w:val="auto"/>
          <w:spacing w:val="-1"/>
          <w:szCs w:val="21"/>
          <w:highlight w:val="none"/>
        </w:rPr>
      </w:pPr>
    </w:p>
    <w:p w14:paraId="4BC64508">
      <w:pPr>
        <w:adjustRightInd/>
        <w:spacing w:line="360" w:lineRule="auto"/>
        <w:ind w:firstLine="480" w:firstLineChars="200"/>
        <w:jc w:val="both"/>
        <w:rPr>
          <w:rFonts w:hint="eastAsia" w:ascii="Times New Roman" w:hAnsi="宋体"/>
          <w:strike/>
          <w:color w:val="auto"/>
          <w:highlight w:val="none"/>
        </w:rPr>
      </w:pPr>
    </w:p>
    <w:p w14:paraId="105311E9">
      <w:pPr>
        <w:spacing w:line="360" w:lineRule="auto"/>
        <w:ind w:firstLine="480" w:firstLineChars="200"/>
        <w:rPr>
          <w:rFonts w:hint="eastAsia" w:ascii="宋体" w:hAnsi="宋体" w:cs="宋体"/>
          <w:strike/>
          <w:color w:val="auto"/>
          <w:highlight w:val="none"/>
        </w:rPr>
      </w:pPr>
    </w:p>
    <w:p w14:paraId="5DE2CE7E">
      <w:pPr>
        <w:spacing w:line="360" w:lineRule="auto"/>
        <w:jc w:val="center"/>
        <w:rPr>
          <w:rFonts w:hint="eastAsia" w:ascii="宋体" w:hAnsi="宋体" w:cs="宋体"/>
          <w:b/>
          <w:bCs/>
          <w:color w:val="auto"/>
          <w:sz w:val="32"/>
          <w:szCs w:val="32"/>
          <w:highlight w:val="none"/>
        </w:rPr>
      </w:pPr>
    </w:p>
    <w:p w14:paraId="6118901D">
      <w:pPr>
        <w:pStyle w:val="17"/>
        <w:rPr>
          <w:rFonts w:hint="eastAsia"/>
          <w:color w:val="auto"/>
          <w:highlight w:val="none"/>
        </w:rPr>
      </w:pPr>
    </w:p>
    <w:p w14:paraId="065D884C">
      <w:pPr>
        <w:rPr>
          <w:color w:val="auto"/>
          <w:highlight w:val="none"/>
        </w:rPr>
      </w:pPr>
    </w:p>
    <w:bookmarkEnd w:id="110"/>
    <w:bookmarkEnd w:id="111"/>
    <w:p w14:paraId="4D428454">
      <w:pPr>
        <w:pStyle w:val="17"/>
        <w:rPr>
          <w:rFonts w:hint="eastAsia"/>
          <w:color w:val="auto"/>
          <w:highlight w:val="none"/>
        </w:rPr>
      </w:pPr>
    </w:p>
    <w:p w14:paraId="0BDB779D">
      <w:pPr>
        <w:rPr>
          <w:color w:val="auto"/>
          <w:highlight w:val="none"/>
        </w:rPr>
      </w:pPr>
      <w:r>
        <w:rPr>
          <w:color w:val="auto"/>
          <w:highlight w:val="none"/>
        </w:rPr>
        <w:br w:type="page"/>
      </w:r>
    </w:p>
    <w:bookmarkEnd w:id="67"/>
    <w:bookmarkEnd w:id="68"/>
    <w:bookmarkEnd w:id="69"/>
    <w:p w14:paraId="7D88877E">
      <w:pPr>
        <w:pStyle w:val="2"/>
        <w:adjustRightInd/>
        <w:spacing w:before="120" w:after="120" w:line="480" w:lineRule="auto"/>
        <w:ind w:left="22" w:right="-51" w:hanging="22" w:hangingChars="5"/>
        <w:rPr>
          <w:rFonts w:hint="eastAsia" w:ascii="宋体" w:hAnsi="宋体" w:eastAsia="宋体" w:cs="宋体"/>
          <w:color w:val="auto"/>
          <w:highlight w:val="none"/>
        </w:rPr>
      </w:pPr>
      <w:bookmarkStart w:id="118" w:name="_Toc54862351"/>
      <w:r>
        <w:rPr>
          <w:rFonts w:hint="eastAsia" w:ascii="宋体" w:hAnsi="宋体" w:eastAsia="宋体" w:cs="宋体"/>
          <w:color w:val="auto"/>
          <w:highlight w:val="none"/>
        </w:rPr>
        <w:t>第四章 合同条款及格式</w:t>
      </w:r>
    </w:p>
    <w:p w14:paraId="79C2D538">
      <w:pPr>
        <w:pStyle w:val="9"/>
        <w:kinsoku w:val="0"/>
        <w:overflowPunct w:val="0"/>
        <w:spacing w:before="3"/>
        <w:ind w:firstLine="640" w:firstLineChars="200"/>
        <w:rPr>
          <w:rFonts w:hint="eastAsia" w:ascii="宋体" w:hAnsi="宋体" w:cs="宋体"/>
          <w:color w:val="auto"/>
          <w:sz w:val="32"/>
          <w:highlight w:val="none"/>
        </w:rPr>
      </w:pPr>
      <w:r>
        <w:rPr>
          <w:rFonts w:hint="eastAsia" w:ascii="宋体" w:hAnsi="宋体" w:cs="宋体"/>
          <w:color w:val="auto"/>
          <w:sz w:val="32"/>
          <w:highlight w:val="none"/>
        </w:rPr>
        <w:t>使用</w:t>
      </w:r>
      <w:r>
        <w:rPr>
          <w:rFonts w:hint="eastAsia" w:ascii="宋体" w:hAnsi="宋体" w:cs="宋体"/>
          <w:color w:val="auto"/>
          <w:sz w:val="30"/>
          <w:szCs w:val="30"/>
          <w:highlight w:val="none"/>
        </w:rPr>
        <w:t>住房和城乡建设部、市场监管总局制定的《建设项目工程总承包合同（示范文本）》（GF-2020-0216）</w:t>
      </w:r>
      <w:r>
        <w:rPr>
          <w:rFonts w:hint="eastAsia" w:ascii="宋体" w:hAnsi="宋体" w:cs="宋体"/>
          <w:color w:val="auto"/>
          <w:sz w:val="32"/>
          <w:highlight w:val="none"/>
        </w:rPr>
        <w:t>。</w:t>
      </w:r>
    </w:p>
    <w:p w14:paraId="427ACDA3">
      <w:pPr>
        <w:spacing w:line="360" w:lineRule="auto"/>
        <w:ind w:firstLine="482" w:firstLineChars="200"/>
        <w:rPr>
          <w:rFonts w:hint="eastAsia" w:ascii="宋体" w:hAnsi="宋体" w:cs="宋体"/>
          <w:b/>
          <w:bCs/>
          <w:color w:val="auto"/>
          <w:highlight w:val="none"/>
        </w:rPr>
      </w:pPr>
    </w:p>
    <w:p w14:paraId="7C2FCFA3">
      <w:pPr>
        <w:spacing w:line="360" w:lineRule="auto"/>
        <w:ind w:firstLine="482" w:firstLineChars="200"/>
        <w:rPr>
          <w:rFonts w:hint="eastAsia" w:ascii="宋体" w:hAnsi="宋体" w:cs="宋体"/>
          <w:b/>
          <w:bCs/>
          <w:color w:val="auto"/>
          <w:highlight w:val="none"/>
        </w:rPr>
      </w:pPr>
    </w:p>
    <w:p w14:paraId="513D8FDB">
      <w:pPr>
        <w:spacing w:line="360" w:lineRule="auto"/>
        <w:ind w:firstLine="482" w:firstLineChars="200"/>
        <w:rPr>
          <w:rFonts w:hint="eastAsia" w:ascii="宋体" w:hAnsi="宋体" w:cs="宋体"/>
          <w:b/>
          <w:bCs/>
          <w:color w:val="auto"/>
          <w:highlight w:val="none"/>
        </w:rPr>
      </w:pPr>
    </w:p>
    <w:p w14:paraId="41C4B746">
      <w:pPr>
        <w:spacing w:line="360" w:lineRule="auto"/>
        <w:ind w:firstLine="482" w:firstLineChars="200"/>
        <w:rPr>
          <w:rFonts w:hint="eastAsia" w:ascii="宋体" w:hAnsi="宋体" w:cs="宋体"/>
          <w:b/>
          <w:bCs/>
          <w:color w:val="auto"/>
          <w:highlight w:val="none"/>
        </w:rPr>
      </w:pPr>
    </w:p>
    <w:p w14:paraId="32B7D5CB">
      <w:pPr>
        <w:spacing w:line="360" w:lineRule="auto"/>
        <w:ind w:firstLine="482" w:firstLineChars="200"/>
        <w:rPr>
          <w:rFonts w:hint="eastAsia" w:ascii="宋体" w:hAnsi="宋体" w:cs="宋体"/>
          <w:b/>
          <w:bCs/>
          <w:color w:val="auto"/>
          <w:highlight w:val="none"/>
        </w:rPr>
      </w:pPr>
    </w:p>
    <w:p w14:paraId="51918CA9">
      <w:pPr>
        <w:spacing w:line="360" w:lineRule="auto"/>
        <w:ind w:firstLine="482" w:firstLineChars="200"/>
        <w:rPr>
          <w:rFonts w:hint="eastAsia" w:ascii="宋体" w:hAnsi="宋体" w:cs="宋体"/>
          <w:b/>
          <w:bCs/>
          <w:color w:val="auto"/>
          <w:highlight w:val="none"/>
        </w:rPr>
      </w:pPr>
    </w:p>
    <w:p w14:paraId="57CE06E9">
      <w:pPr>
        <w:spacing w:line="360" w:lineRule="auto"/>
        <w:ind w:firstLine="482" w:firstLineChars="200"/>
        <w:rPr>
          <w:rFonts w:hint="eastAsia" w:ascii="宋体" w:hAnsi="宋体" w:cs="宋体"/>
          <w:b/>
          <w:bCs/>
          <w:color w:val="auto"/>
          <w:highlight w:val="none"/>
        </w:rPr>
      </w:pPr>
    </w:p>
    <w:p w14:paraId="15EBF87B">
      <w:pPr>
        <w:spacing w:line="360" w:lineRule="auto"/>
        <w:ind w:firstLine="482" w:firstLineChars="200"/>
        <w:rPr>
          <w:rFonts w:hint="eastAsia" w:ascii="宋体" w:hAnsi="宋体" w:cs="宋体"/>
          <w:b/>
          <w:bCs/>
          <w:color w:val="auto"/>
          <w:highlight w:val="none"/>
        </w:rPr>
      </w:pPr>
    </w:p>
    <w:p w14:paraId="18A84660">
      <w:pPr>
        <w:spacing w:line="360" w:lineRule="auto"/>
        <w:ind w:firstLine="482" w:firstLineChars="200"/>
        <w:rPr>
          <w:rFonts w:hint="eastAsia" w:ascii="宋体" w:hAnsi="宋体" w:cs="宋体"/>
          <w:b/>
          <w:bCs/>
          <w:color w:val="auto"/>
          <w:highlight w:val="none"/>
        </w:rPr>
      </w:pPr>
    </w:p>
    <w:p w14:paraId="0AA0937D">
      <w:pPr>
        <w:spacing w:line="360" w:lineRule="auto"/>
        <w:ind w:firstLine="482" w:firstLineChars="200"/>
        <w:rPr>
          <w:rFonts w:hint="eastAsia" w:ascii="宋体" w:hAnsi="宋体" w:cs="宋体"/>
          <w:b/>
          <w:bCs/>
          <w:color w:val="auto"/>
          <w:highlight w:val="none"/>
        </w:rPr>
      </w:pPr>
    </w:p>
    <w:p w14:paraId="4D46E83E">
      <w:pPr>
        <w:spacing w:line="360" w:lineRule="auto"/>
        <w:ind w:firstLine="482" w:firstLineChars="200"/>
        <w:rPr>
          <w:rFonts w:hint="eastAsia" w:ascii="宋体" w:hAnsi="宋体" w:cs="宋体"/>
          <w:b/>
          <w:bCs/>
          <w:color w:val="auto"/>
          <w:highlight w:val="none"/>
        </w:rPr>
      </w:pPr>
    </w:p>
    <w:p w14:paraId="34487774">
      <w:pPr>
        <w:spacing w:line="360" w:lineRule="auto"/>
        <w:ind w:firstLine="482" w:firstLineChars="200"/>
        <w:rPr>
          <w:rFonts w:hint="eastAsia" w:ascii="宋体" w:hAnsi="宋体" w:cs="宋体"/>
          <w:b/>
          <w:bCs/>
          <w:color w:val="auto"/>
          <w:highlight w:val="none"/>
        </w:rPr>
      </w:pPr>
    </w:p>
    <w:p w14:paraId="5B1B6A51">
      <w:pPr>
        <w:spacing w:line="360" w:lineRule="auto"/>
        <w:ind w:firstLine="482" w:firstLineChars="200"/>
        <w:rPr>
          <w:rFonts w:hint="eastAsia" w:ascii="宋体" w:hAnsi="宋体" w:cs="宋体"/>
          <w:b/>
          <w:bCs/>
          <w:color w:val="auto"/>
          <w:highlight w:val="none"/>
        </w:rPr>
      </w:pPr>
    </w:p>
    <w:p w14:paraId="45CA82B6">
      <w:pPr>
        <w:spacing w:line="360" w:lineRule="auto"/>
        <w:ind w:firstLine="482" w:firstLineChars="200"/>
        <w:rPr>
          <w:rFonts w:hint="eastAsia" w:ascii="宋体" w:hAnsi="宋体" w:cs="宋体"/>
          <w:b/>
          <w:bCs/>
          <w:color w:val="auto"/>
          <w:highlight w:val="none"/>
        </w:rPr>
      </w:pPr>
    </w:p>
    <w:p w14:paraId="05055F6E">
      <w:pPr>
        <w:spacing w:line="360" w:lineRule="auto"/>
        <w:ind w:firstLine="482" w:firstLineChars="200"/>
        <w:rPr>
          <w:rFonts w:hint="eastAsia" w:ascii="宋体" w:hAnsi="宋体" w:cs="宋体"/>
          <w:b/>
          <w:bCs/>
          <w:color w:val="auto"/>
          <w:highlight w:val="none"/>
        </w:rPr>
      </w:pPr>
    </w:p>
    <w:p w14:paraId="3A2AB43C">
      <w:pPr>
        <w:spacing w:line="360" w:lineRule="auto"/>
        <w:ind w:firstLine="482" w:firstLineChars="200"/>
        <w:rPr>
          <w:rFonts w:hint="eastAsia" w:ascii="宋体" w:hAnsi="宋体" w:cs="宋体"/>
          <w:b/>
          <w:bCs/>
          <w:color w:val="auto"/>
          <w:highlight w:val="none"/>
        </w:rPr>
      </w:pPr>
    </w:p>
    <w:p w14:paraId="13514142">
      <w:pPr>
        <w:spacing w:line="360" w:lineRule="auto"/>
        <w:ind w:firstLine="482" w:firstLineChars="200"/>
        <w:rPr>
          <w:rFonts w:hint="eastAsia" w:ascii="宋体" w:hAnsi="宋体" w:cs="宋体"/>
          <w:b/>
          <w:bCs/>
          <w:color w:val="auto"/>
          <w:highlight w:val="none"/>
        </w:rPr>
      </w:pPr>
    </w:p>
    <w:p w14:paraId="2F414430">
      <w:pPr>
        <w:spacing w:line="360" w:lineRule="auto"/>
        <w:ind w:firstLine="482" w:firstLineChars="200"/>
        <w:rPr>
          <w:rFonts w:hint="eastAsia" w:ascii="宋体" w:hAnsi="宋体" w:cs="宋体"/>
          <w:b/>
          <w:bCs/>
          <w:color w:val="auto"/>
          <w:highlight w:val="none"/>
        </w:rPr>
      </w:pPr>
    </w:p>
    <w:p w14:paraId="75E1BCA7">
      <w:pPr>
        <w:spacing w:line="360" w:lineRule="auto"/>
        <w:ind w:firstLine="482" w:firstLineChars="200"/>
        <w:rPr>
          <w:rFonts w:hint="eastAsia" w:ascii="宋体" w:hAnsi="宋体" w:cs="宋体"/>
          <w:b/>
          <w:bCs/>
          <w:color w:val="auto"/>
          <w:highlight w:val="none"/>
        </w:rPr>
      </w:pPr>
    </w:p>
    <w:p w14:paraId="700F3CFD">
      <w:pPr>
        <w:spacing w:line="360" w:lineRule="auto"/>
        <w:ind w:firstLine="482" w:firstLineChars="200"/>
        <w:rPr>
          <w:rFonts w:hint="eastAsia" w:ascii="宋体" w:hAnsi="宋体" w:cs="宋体"/>
          <w:b/>
          <w:bCs/>
          <w:color w:val="auto"/>
          <w:highlight w:val="none"/>
        </w:rPr>
      </w:pPr>
    </w:p>
    <w:p w14:paraId="13A3AC86">
      <w:pPr>
        <w:spacing w:line="360" w:lineRule="auto"/>
        <w:ind w:firstLine="482" w:firstLineChars="200"/>
        <w:rPr>
          <w:rFonts w:hint="eastAsia" w:ascii="宋体" w:hAnsi="宋体" w:cs="宋体"/>
          <w:b/>
          <w:bCs/>
          <w:color w:val="auto"/>
          <w:highlight w:val="none"/>
        </w:rPr>
      </w:pPr>
    </w:p>
    <w:p w14:paraId="091E58D7">
      <w:pPr>
        <w:pStyle w:val="9"/>
        <w:tabs>
          <w:tab w:val="left" w:pos="6696"/>
          <w:tab w:val="left" w:pos="8902"/>
        </w:tabs>
        <w:spacing w:before="72" w:line="360" w:lineRule="auto"/>
        <w:ind w:right="371"/>
        <w:rPr>
          <w:rFonts w:hint="eastAsia" w:ascii="黑体" w:hAnsi="黑体" w:eastAsia="黑体" w:cs="黑体"/>
          <w:b/>
          <w:color w:val="auto"/>
          <w:sz w:val="32"/>
          <w:szCs w:val="32"/>
          <w:highlight w:val="none"/>
        </w:rPr>
      </w:pPr>
    </w:p>
    <w:p w14:paraId="6C42E082">
      <w:pPr>
        <w:pStyle w:val="9"/>
        <w:tabs>
          <w:tab w:val="left" w:pos="6696"/>
          <w:tab w:val="left" w:pos="8902"/>
        </w:tabs>
        <w:spacing w:before="72" w:line="360" w:lineRule="auto"/>
        <w:ind w:right="371"/>
        <w:rPr>
          <w:rFonts w:hint="eastAsia" w:ascii="黑体" w:hAnsi="黑体" w:eastAsia="黑体" w:cs="黑体"/>
          <w:b/>
          <w:color w:val="auto"/>
          <w:sz w:val="32"/>
          <w:szCs w:val="32"/>
          <w:highlight w:val="none"/>
        </w:rPr>
      </w:pPr>
    </w:p>
    <w:bookmarkEnd w:id="118"/>
    <w:p w14:paraId="5CABC21A">
      <w:pPr>
        <w:pStyle w:val="2"/>
        <w:spacing w:before="120" w:after="120"/>
        <w:rPr>
          <w:color w:val="auto"/>
          <w:highlight w:val="none"/>
        </w:rPr>
      </w:pPr>
      <w:bookmarkStart w:id="119" w:name="_Toc54862164"/>
      <w:r>
        <w:rPr>
          <w:rFonts w:hint="eastAsia"/>
          <w:color w:val="auto"/>
          <w:highlight w:val="none"/>
        </w:rPr>
        <w:t>第一部分 合同协议书</w:t>
      </w:r>
      <w:bookmarkEnd w:id="119"/>
    </w:p>
    <w:p w14:paraId="4442486B">
      <w:pPr>
        <w:spacing w:line="440" w:lineRule="exact"/>
        <w:ind w:firstLine="480" w:firstLineChars="200"/>
        <w:rPr>
          <w:color w:val="auto"/>
          <w:highlight w:val="none"/>
        </w:rPr>
      </w:pPr>
      <w:r>
        <w:rPr>
          <w:rFonts w:hint="eastAsia"/>
          <w:color w:val="auto"/>
          <w:highlight w:val="none"/>
        </w:rPr>
        <w:t xml:space="preserve">发包人（全称）： </w:t>
      </w:r>
      <w:r>
        <w:rPr>
          <w:rFonts w:hint="eastAsia"/>
          <w:color w:val="auto"/>
          <w:highlight w:val="none"/>
          <w:u w:val="single"/>
        </w:rPr>
        <w:t>越润集成电路（绍兴）有限公司</w:t>
      </w:r>
      <w:r>
        <w:rPr>
          <w:rFonts w:hint="eastAsia"/>
          <w:color w:val="auto"/>
          <w:highlight w:val="none"/>
        </w:rPr>
        <w:t xml:space="preserve">                                      </w:t>
      </w:r>
    </w:p>
    <w:p w14:paraId="3DE11D11">
      <w:pPr>
        <w:spacing w:line="440" w:lineRule="exact"/>
        <w:ind w:firstLine="480" w:firstLineChars="200"/>
        <w:rPr>
          <w:color w:val="auto"/>
          <w:highlight w:val="none"/>
        </w:rPr>
      </w:pPr>
      <w:r>
        <w:rPr>
          <w:rFonts w:hint="eastAsia"/>
          <w:color w:val="auto"/>
          <w:highlight w:val="none"/>
        </w:rPr>
        <w:t xml:space="preserve">承包人（全称）： </w:t>
      </w:r>
      <w:r>
        <w:rPr>
          <w:rFonts w:hint="eastAsia"/>
          <w:color w:val="auto"/>
          <w:highlight w:val="none"/>
          <w:u w:val="single"/>
        </w:rPr>
        <w:t xml:space="preserve">                          </w:t>
      </w:r>
      <w:r>
        <w:rPr>
          <w:rFonts w:hint="eastAsia"/>
          <w:color w:val="auto"/>
          <w:highlight w:val="none"/>
        </w:rPr>
        <w:t xml:space="preserve">         </w:t>
      </w:r>
    </w:p>
    <w:p w14:paraId="0024FA1C">
      <w:pPr>
        <w:spacing w:line="440" w:lineRule="exact"/>
        <w:ind w:firstLine="480" w:firstLineChars="200"/>
        <w:rPr>
          <w:color w:val="auto"/>
          <w:highlight w:val="none"/>
        </w:rPr>
      </w:pPr>
      <w:r>
        <w:rPr>
          <w:rFonts w:hint="eastAsia"/>
          <w:color w:val="auto"/>
          <w:highlight w:val="none"/>
        </w:rPr>
        <w:t>根据《中华人民共和国民法典》、《中华人民共和国建筑法》及有关法律规定，遵循平等、自愿、公平和诚实信用的原则，</w:t>
      </w:r>
      <w:r>
        <w:rPr>
          <w:rFonts w:hint="eastAsia"/>
          <w:b/>
          <w:bCs/>
          <w:color w:val="auto"/>
          <w:highlight w:val="none"/>
        </w:rPr>
        <w:t>三</w:t>
      </w:r>
      <w:r>
        <w:rPr>
          <w:rFonts w:hint="eastAsia"/>
          <w:color w:val="auto"/>
          <w:highlight w:val="none"/>
        </w:rPr>
        <w:t>方就</w:t>
      </w:r>
      <w:r>
        <w:rPr>
          <w:rFonts w:hint="eastAsia"/>
          <w:color w:val="auto"/>
          <w:szCs w:val="21"/>
          <w:highlight w:val="none"/>
          <w:u w:val="single"/>
        </w:rPr>
        <w:t>越润集成电路（绍兴）有限公司下一代异构集成先进封装技术及DDIC项目</w:t>
      </w:r>
      <w:r>
        <w:rPr>
          <w:rFonts w:hint="eastAsia"/>
          <w:color w:val="auto"/>
          <w:highlight w:val="none"/>
        </w:rPr>
        <w:t>的工程总承包及有关事项协商一致，共同达成如下协议：</w:t>
      </w:r>
    </w:p>
    <w:p w14:paraId="259BAAFD">
      <w:pPr>
        <w:pStyle w:val="3"/>
        <w:rPr>
          <w:color w:val="auto"/>
          <w:highlight w:val="none"/>
        </w:rPr>
      </w:pPr>
      <w:bookmarkStart w:id="120" w:name="_Toc54862165"/>
      <w:r>
        <w:rPr>
          <w:rFonts w:hint="eastAsia"/>
          <w:color w:val="auto"/>
          <w:highlight w:val="none"/>
        </w:rPr>
        <w:t>一、工程概况</w:t>
      </w:r>
      <w:bookmarkEnd w:id="120"/>
    </w:p>
    <w:p w14:paraId="5FFB62D5">
      <w:pPr>
        <w:spacing w:line="440" w:lineRule="exact"/>
        <w:ind w:firstLine="480" w:firstLineChars="200"/>
        <w:rPr>
          <w:color w:val="auto"/>
          <w:szCs w:val="21"/>
          <w:highlight w:val="none"/>
          <w:u w:val="single"/>
        </w:rPr>
      </w:pPr>
      <w:r>
        <w:rPr>
          <w:rFonts w:hint="eastAsia"/>
          <w:color w:val="auto"/>
          <w:highlight w:val="none"/>
        </w:rPr>
        <w:t>1. 工程名称：</w:t>
      </w:r>
      <w:r>
        <w:rPr>
          <w:rFonts w:hint="eastAsia"/>
          <w:color w:val="auto"/>
          <w:szCs w:val="21"/>
          <w:highlight w:val="none"/>
          <w:u w:val="single"/>
        </w:rPr>
        <w:t>越润集成电路（绍兴）有限公司下一代异构集成先进封装技术及DDIC项目</w:t>
      </w:r>
      <w:r>
        <w:rPr>
          <w:rFonts w:hint="eastAsia"/>
          <w:color w:val="auto"/>
          <w:highlight w:val="none"/>
          <w:u w:val="single"/>
        </w:rPr>
        <w:t>。</w:t>
      </w:r>
    </w:p>
    <w:p w14:paraId="4A0B7313">
      <w:pPr>
        <w:spacing w:line="440" w:lineRule="exact"/>
        <w:ind w:firstLine="480" w:firstLineChars="200"/>
        <w:rPr>
          <w:color w:val="auto"/>
          <w:highlight w:val="none"/>
          <w:u w:val="single"/>
        </w:rPr>
      </w:pPr>
      <w:r>
        <w:rPr>
          <w:rFonts w:hint="eastAsia"/>
          <w:color w:val="auto"/>
          <w:highlight w:val="none"/>
        </w:rPr>
        <w:t>2. 工程地点：</w:t>
      </w:r>
      <w:r>
        <w:rPr>
          <w:rFonts w:hint="eastAsia"/>
          <w:color w:val="auto"/>
          <w:highlight w:val="none"/>
          <w:u w:val="single"/>
        </w:rPr>
        <w:t>绍兴市越城区</w:t>
      </w:r>
      <w:r>
        <w:rPr>
          <w:rFonts w:hint="eastAsia" w:ascii="宋体" w:hAnsi="宋体" w:cs="宋体"/>
          <w:color w:val="auto"/>
          <w:highlight w:val="none"/>
          <w:u w:val="single"/>
        </w:rPr>
        <w:t>临江路500号</w:t>
      </w:r>
      <w:r>
        <w:rPr>
          <w:rFonts w:hint="eastAsia"/>
          <w:color w:val="auto"/>
          <w:highlight w:val="none"/>
          <w:u w:val="single"/>
        </w:rPr>
        <w:t>。</w:t>
      </w:r>
    </w:p>
    <w:p w14:paraId="344A76BF">
      <w:pPr>
        <w:spacing w:line="440" w:lineRule="exact"/>
        <w:ind w:firstLine="480" w:firstLineChars="200"/>
        <w:rPr>
          <w:color w:val="auto"/>
          <w:highlight w:val="none"/>
          <w:u w:val="single"/>
        </w:rPr>
      </w:pPr>
      <w:r>
        <w:rPr>
          <w:rFonts w:hint="eastAsia"/>
          <w:color w:val="auto"/>
          <w:highlight w:val="none"/>
        </w:rPr>
        <w:t>3. 工程审批、核准或备案文号：</w:t>
      </w:r>
      <w:r>
        <w:rPr>
          <w:rFonts w:hint="eastAsia"/>
          <w:color w:val="auto"/>
          <w:highlight w:val="none"/>
          <w:u w:val="single"/>
        </w:rPr>
        <w:t>2512-330602-07-02-713409。</w:t>
      </w:r>
    </w:p>
    <w:p w14:paraId="27BA44DF">
      <w:pPr>
        <w:spacing w:line="440" w:lineRule="exact"/>
        <w:ind w:firstLine="480" w:firstLineChars="200"/>
        <w:rPr>
          <w:color w:val="auto"/>
          <w:highlight w:val="none"/>
          <w:u w:val="single"/>
        </w:rPr>
      </w:pPr>
      <w:r>
        <w:rPr>
          <w:rFonts w:hint="eastAsia"/>
          <w:color w:val="auto"/>
          <w:highlight w:val="none"/>
        </w:rPr>
        <w:t>4. 资金来源：</w:t>
      </w:r>
      <w:r>
        <w:rPr>
          <w:rFonts w:hint="eastAsia"/>
          <w:color w:val="auto"/>
          <w:highlight w:val="none"/>
          <w:u w:val="single"/>
        </w:rPr>
        <w:t>自筹。</w:t>
      </w:r>
    </w:p>
    <w:p w14:paraId="2FF0DD6E">
      <w:pPr>
        <w:spacing w:line="440" w:lineRule="exact"/>
        <w:ind w:firstLine="480" w:firstLineChars="200"/>
        <w:rPr>
          <w:color w:val="auto"/>
          <w:highlight w:val="none"/>
          <w:u w:val="single"/>
        </w:rPr>
      </w:pPr>
      <w:r>
        <w:rPr>
          <w:rFonts w:hint="eastAsia"/>
          <w:color w:val="auto"/>
          <w:highlight w:val="none"/>
        </w:rPr>
        <w:t>5. 工程内容及规模：</w:t>
      </w:r>
      <w:r>
        <w:rPr>
          <w:rFonts w:hint="eastAsia" w:ascii="宋体" w:hAnsi="宋体" w:cs="宋体"/>
          <w:color w:val="auto"/>
          <w:highlight w:val="none"/>
          <w:u w:val="single"/>
        </w:rPr>
        <w:t>本项目建筑面积约14557㎡，</w:t>
      </w:r>
      <w:bookmarkStart w:id="121" w:name="_Hlk218766010"/>
      <w:r>
        <w:rPr>
          <w:rFonts w:hint="eastAsia" w:ascii="宋体" w:hAnsi="宋体" w:cs="宋体"/>
          <w:color w:val="auto"/>
          <w:highlight w:val="none"/>
          <w:u w:val="single"/>
        </w:rPr>
        <w:t>其中洁净室面积约8037㎡（洁净室等级7级面积约500m²，洁净等级6级面积约6550m²，洁净室等级5级面积约987m²）</w:t>
      </w:r>
      <w:bookmarkEnd w:id="121"/>
      <w:r>
        <w:rPr>
          <w:rFonts w:hint="eastAsia" w:ascii="宋体" w:hAnsi="宋体" w:cs="宋体"/>
          <w:color w:val="auto"/>
          <w:highlight w:val="none"/>
          <w:u w:val="single"/>
        </w:rPr>
        <w:t>，辅房及其他区域约6520㎡。</w:t>
      </w:r>
    </w:p>
    <w:p w14:paraId="466B8433">
      <w:pPr>
        <w:spacing w:line="440" w:lineRule="exact"/>
        <w:ind w:firstLine="480" w:firstLineChars="200"/>
        <w:rPr>
          <w:color w:val="auto"/>
          <w:highlight w:val="none"/>
          <w:u w:val="single"/>
        </w:rPr>
      </w:pPr>
      <w:r>
        <w:rPr>
          <w:rFonts w:hint="eastAsia"/>
          <w:color w:val="auto"/>
          <w:highlight w:val="none"/>
        </w:rPr>
        <w:t>6. 工程承包范围：</w:t>
      </w:r>
      <w:r>
        <w:rPr>
          <w:rFonts w:hint="eastAsia"/>
          <w:color w:val="auto"/>
          <w:highlight w:val="none"/>
          <w:u w:val="single"/>
        </w:rPr>
        <w:t>主要涵盖A1厂房的洁净室装修及配套动力设施安装（洁净室新风处理系统、洁净室FFU系统、洁净室干式冷盘管系统、一般机电系统、工艺排气处理系统、工艺真空系统、清扫真空系统、工艺冷却水系统、冷热源供应系统、紧急冲淋和洗眼系统、中低压系统、自控系统（FMCS）、一般空调系统、纯废水/废液系统、给排水系统、集中供液系统、压缩空气系统、气体管道系统（4种）、消防系统、安防含监控网络系统、ESD系统等）一切项目内容，直至验收检测合格交付至建设单位使用。</w:t>
      </w:r>
    </w:p>
    <w:p w14:paraId="25BB7E0F">
      <w:pPr>
        <w:pStyle w:val="3"/>
        <w:rPr>
          <w:color w:val="auto"/>
          <w:highlight w:val="none"/>
        </w:rPr>
      </w:pPr>
      <w:bookmarkStart w:id="122" w:name="_Toc54862166"/>
      <w:r>
        <w:rPr>
          <w:rFonts w:hint="eastAsia"/>
          <w:color w:val="auto"/>
          <w:highlight w:val="none"/>
        </w:rPr>
        <w:t>二、合同工期</w:t>
      </w:r>
      <w:bookmarkEnd w:id="122"/>
    </w:p>
    <w:p w14:paraId="24DFBDA6">
      <w:pPr>
        <w:spacing w:line="440" w:lineRule="exact"/>
        <w:ind w:firstLine="480" w:firstLineChars="200"/>
        <w:rPr>
          <w:color w:val="auto"/>
          <w:highlight w:val="none"/>
        </w:rPr>
      </w:pPr>
      <w:r>
        <w:rPr>
          <w:rFonts w:hint="eastAsia"/>
          <w:color w:val="auto"/>
          <w:highlight w:val="none"/>
        </w:rPr>
        <w:t>计划开始工作日期：</w:t>
      </w:r>
      <w:r>
        <w:rPr>
          <w:rFonts w:hint="eastAsia"/>
          <w:color w:val="auto"/>
          <w:highlight w:val="none"/>
          <w:u w:val="single"/>
        </w:rPr>
        <w:t xml:space="preserve">         年     月     日</w:t>
      </w:r>
      <w:r>
        <w:rPr>
          <w:rFonts w:hint="eastAsia"/>
          <w:color w:val="auto"/>
          <w:highlight w:val="none"/>
        </w:rPr>
        <w:t>。</w:t>
      </w:r>
    </w:p>
    <w:p w14:paraId="367B459F">
      <w:pPr>
        <w:spacing w:line="440" w:lineRule="exact"/>
        <w:ind w:firstLine="480" w:firstLineChars="200"/>
        <w:rPr>
          <w:color w:val="auto"/>
          <w:highlight w:val="none"/>
        </w:rPr>
      </w:pPr>
      <w:r>
        <w:rPr>
          <w:rFonts w:hint="eastAsia"/>
          <w:color w:val="auto"/>
          <w:highlight w:val="none"/>
        </w:rPr>
        <w:t>计划开始现场施工日期：</w:t>
      </w:r>
      <w:r>
        <w:rPr>
          <w:rFonts w:hint="eastAsia"/>
          <w:color w:val="auto"/>
          <w:highlight w:val="none"/>
          <w:u w:val="single"/>
        </w:rPr>
        <w:t xml:space="preserve">         年     月     日</w:t>
      </w:r>
      <w:r>
        <w:rPr>
          <w:rFonts w:hint="eastAsia"/>
          <w:color w:val="auto"/>
          <w:highlight w:val="none"/>
        </w:rPr>
        <w:t>。</w:t>
      </w:r>
    </w:p>
    <w:p w14:paraId="322AC712">
      <w:pPr>
        <w:spacing w:line="440" w:lineRule="exact"/>
        <w:ind w:firstLine="480" w:firstLineChars="200"/>
        <w:rPr>
          <w:color w:val="auto"/>
          <w:highlight w:val="none"/>
        </w:rPr>
      </w:pPr>
      <w:r>
        <w:rPr>
          <w:rFonts w:hint="eastAsia"/>
          <w:color w:val="auto"/>
          <w:highlight w:val="none"/>
        </w:rPr>
        <w:t>计划竣工日期：</w:t>
      </w:r>
      <w:r>
        <w:rPr>
          <w:rFonts w:hint="eastAsia"/>
          <w:color w:val="auto"/>
          <w:highlight w:val="none"/>
          <w:u w:val="single"/>
        </w:rPr>
        <w:t xml:space="preserve"> </w:t>
      </w:r>
      <w:r>
        <w:rPr>
          <w:rFonts w:hint="eastAsia"/>
          <w:color w:val="auto"/>
          <w:highlight w:val="none"/>
          <w:u w:val="single"/>
        </w:rPr>
        <w:t xml:space="preserve"> 2026年5月30日。</w:t>
      </w:r>
    </w:p>
    <w:p w14:paraId="2E23BD01">
      <w:pPr>
        <w:spacing w:line="440" w:lineRule="exact"/>
        <w:ind w:firstLine="480" w:firstLineChars="200"/>
        <w:rPr>
          <w:color w:val="auto"/>
          <w:highlight w:val="none"/>
          <w:u w:val="single"/>
        </w:rPr>
      </w:pPr>
      <w:r>
        <w:rPr>
          <w:rFonts w:hint="eastAsia"/>
          <w:color w:val="auto"/>
          <w:highlight w:val="none"/>
        </w:rPr>
        <w:t>工期总日历天数：</w:t>
      </w:r>
      <w:r>
        <w:rPr>
          <w:rFonts w:hint="eastAsia"/>
          <w:color w:val="auto"/>
          <w:highlight w:val="none"/>
          <w:u w:val="single"/>
        </w:rPr>
        <w:t>90日历天（含施工图设计15日历天及施工等所有内容的完成时间），项目确保在2026年5月30日前完工。工期总日历天数与根据前述计划日期计算的工期天数不一致的，以工期总日历天数为准。</w:t>
      </w:r>
    </w:p>
    <w:p w14:paraId="2C16A36F">
      <w:pPr>
        <w:pStyle w:val="3"/>
        <w:rPr>
          <w:color w:val="auto"/>
          <w:highlight w:val="none"/>
        </w:rPr>
      </w:pPr>
      <w:bookmarkStart w:id="123" w:name="_Toc54862167"/>
      <w:r>
        <w:rPr>
          <w:rFonts w:hint="eastAsia"/>
          <w:color w:val="auto"/>
          <w:highlight w:val="none"/>
        </w:rPr>
        <w:t>三、质量标准</w:t>
      </w:r>
      <w:bookmarkEnd w:id="123"/>
    </w:p>
    <w:p w14:paraId="7B88AB84">
      <w:pPr>
        <w:spacing w:line="440" w:lineRule="exact"/>
        <w:ind w:firstLine="480" w:firstLineChars="200"/>
        <w:rPr>
          <w:color w:val="auto"/>
          <w:highlight w:val="none"/>
        </w:rPr>
      </w:pPr>
      <w:r>
        <w:rPr>
          <w:rFonts w:hint="eastAsia"/>
          <w:color w:val="auto"/>
          <w:highlight w:val="none"/>
        </w:rPr>
        <w:t>工程质量标准：                                。</w:t>
      </w:r>
    </w:p>
    <w:p w14:paraId="4528F11F">
      <w:pPr>
        <w:pStyle w:val="3"/>
        <w:rPr>
          <w:color w:val="auto"/>
          <w:highlight w:val="none"/>
        </w:rPr>
      </w:pPr>
      <w:bookmarkStart w:id="124" w:name="_Toc54862168"/>
      <w:r>
        <w:rPr>
          <w:rFonts w:hint="eastAsia"/>
          <w:color w:val="auto"/>
          <w:highlight w:val="none"/>
        </w:rPr>
        <w:t>四、签约合同价与合同价格形式</w:t>
      </w:r>
      <w:bookmarkEnd w:id="124"/>
    </w:p>
    <w:p w14:paraId="4EB70A01">
      <w:pPr>
        <w:spacing w:line="440" w:lineRule="exact"/>
        <w:ind w:firstLine="480" w:firstLineChars="200"/>
        <w:rPr>
          <w:color w:val="auto"/>
          <w:highlight w:val="none"/>
        </w:rPr>
      </w:pPr>
      <w:r>
        <w:rPr>
          <w:rFonts w:hint="eastAsia"/>
          <w:color w:val="auto"/>
          <w:highlight w:val="none"/>
        </w:rPr>
        <w:t>1. 签约合同价（含税）为：</w:t>
      </w:r>
    </w:p>
    <w:p w14:paraId="5F0796BD">
      <w:pPr>
        <w:spacing w:line="440" w:lineRule="exact"/>
        <w:ind w:firstLine="480" w:firstLineChars="200"/>
        <w:rPr>
          <w:color w:val="auto"/>
          <w:highlight w:val="none"/>
        </w:rPr>
      </w:pPr>
      <w:r>
        <w:rPr>
          <w:rFonts w:hint="eastAsia"/>
          <w:color w:val="auto"/>
          <w:highlight w:val="none"/>
        </w:rPr>
        <w:t>人民币（大写)</w:t>
      </w:r>
      <w:r>
        <w:rPr>
          <w:rFonts w:hint="eastAsia"/>
          <w:color w:val="auto"/>
          <w:highlight w:val="none"/>
          <w:u w:val="single"/>
        </w:rPr>
        <w:t xml:space="preserve">                 （¥              元）</w:t>
      </w:r>
      <w:r>
        <w:rPr>
          <w:rFonts w:hint="eastAsia"/>
          <w:color w:val="auto"/>
          <w:highlight w:val="none"/>
        </w:rPr>
        <w:t>。</w:t>
      </w:r>
    </w:p>
    <w:p w14:paraId="412EAA59">
      <w:pPr>
        <w:spacing w:line="440" w:lineRule="exact"/>
        <w:ind w:firstLine="480" w:firstLineChars="200"/>
        <w:rPr>
          <w:color w:val="auto"/>
          <w:highlight w:val="none"/>
        </w:rPr>
      </w:pPr>
      <w:r>
        <w:rPr>
          <w:rFonts w:hint="eastAsia"/>
          <w:color w:val="auto"/>
          <w:highlight w:val="none"/>
        </w:rPr>
        <w:t xml:space="preserve">具体构成详见价格清单。其中： </w:t>
      </w:r>
    </w:p>
    <w:p w14:paraId="364A026E">
      <w:pPr>
        <w:spacing w:line="440" w:lineRule="exact"/>
        <w:ind w:firstLine="480" w:firstLineChars="200"/>
        <w:rPr>
          <w:color w:val="auto"/>
          <w:highlight w:val="none"/>
        </w:rPr>
      </w:pPr>
      <w:r>
        <w:rPr>
          <w:rFonts w:hint="eastAsia"/>
          <w:color w:val="auto"/>
          <w:highlight w:val="none"/>
        </w:rPr>
        <w:t>（1） 设计费（含税）：</w:t>
      </w:r>
    </w:p>
    <w:p w14:paraId="504C1798">
      <w:pPr>
        <w:spacing w:line="440" w:lineRule="exact"/>
        <w:ind w:firstLine="480" w:firstLineChars="200"/>
        <w:rPr>
          <w:color w:val="auto"/>
          <w:highlight w:val="none"/>
        </w:rPr>
      </w:pPr>
      <w:r>
        <w:rPr>
          <w:rFonts w:hint="eastAsia"/>
          <w:color w:val="auto"/>
          <w:highlight w:val="none"/>
        </w:rPr>
        <w:t>人民币（大写)</w:t>
      </w:r>
      <w:r>
        <w:rPr>
          <w:rFonts w:hint="eastAsia"/>
          <w:color w:val="auto"/>
          <w:highlight w:val="none"/>
          <w:u w:val="single"/>
        </w:rPr>
        <w:t xml:space="preserve">             （¥         元）</w:t>
      </w:r>
      <w:r>
        <w:rPr>
          <w:rFonts w:hint="eastAsia"/>
          <w:color w:val="auto"/>
          <w:highlight w:val="none"/>
        </w:rPr>
        <w:t>；适用税率：</w:t>
      </w:r>
      <w:r>
        <w:rPr>
          <w:rFonts w:hint="eastAsia"/>
          <w:color w:val="auto"/>
          <w:highlight w:val="none"/>
          <w:u w:val="single"/>
        </w:rPr>
        <w:t xml:space="preserve">    %</w:t>
      </w:r>
      <w:r>
        <w:rPr>
          <w:rFonts w:hint="eastAsia"/>
          <w:color w:val="auto"/>
          <w:highlight w:val="none"/>
        </w:rPr>
        <w:t>，税金为人民币（大写)</w:t>
      </w:r>
      <w:r>
        <w:rPr>
          <w:rFonts w:hint="eastAsia"/>
          <w:color w:val="auto"/>
          <w:highlight w:val="none"/>
          <w:u w:val="single"/>
        </w:rPr>
        <w:t xml:space="preserve">           （¥          元）</w:t>
      </w:r>
      <w:r>
        <w:rPr>
          <w:rFonts w:hint="eastAsia"/>
          <w:color w:val="auto"/>
          <w:highlight w:val="none"/>
        </w:rPr>
        <w:t xml:space="preserve">； </w:t>
      </w:r>
    </w:p>
    <w:p w14:paraId="1231EFB3">
      <w:pPr>
        <w:spacing w:line="440" w:lineRule="exact"/>
        <w:ind w:firstLine="480" w:firstLineChars="200"/>
        <w:rPr>
          <w:color w:val="auto"/>
          <w:highlight w:val="none"/>
        </w:rPr>
      </w:pPr>
      <w:r>
        <w:rPr>
          <w:rFonts w:hint="eastAsia"/>
          <w:color w:val="auto"/>
          <w:highlight w:val="none"/>
        </w:rPr>
        <w:t>（2） 设备购置费（含税）：</w:t>
      </w:r>
    </w:p>
    <w:p w14:paraId="20C55276">
      <w:pPr>
        <w:spacing w:line="440" w:lineRule="exact"/>
        <w:ind w:firstLine="480" w:firstLineChars="200"/>
        <w:rPr>
          <w:color w:val="auto"/>
          <w:highlight w:val="none"/>
        </w:rPr>
      </w:pPr>
      <w:r>
        <w:rPr>
          <w:rFonts w:hint="eastAsia"/>
          <w:color w:val="auto"/>
          <w:highlight w:val="none"/>
        </w:rPr>
        <w:t>人民币（大写)</w:t>
      </w:r>
      <w:r>
        <w:rPr>
          <w:rFonts w:hint="eastAsia"/>
          <w:color w:val="auto"/>
          <w:highlight w:val="none"/>
          <w:u w:val="single"/>
        </w:rPr>
        <w:t xml:space="preserve">             （¥        元）</w:t>
      </w:r>
      <w:r>
        <w:rPr>
          <w:rFonts w:hint="eastAsia"/>
          <w:color w:val="auto"/>
          <w:highlight w:val="none"/>
        </w:rPr>
        <w:t>；适用税率：</w:t>
      </w:r>
      <w:r>
        <w:rPr>
          <w:rFonts w:hint="eastAsia"/>
          <w:color w:val="auto"/>
          <w:highlight w:val="none"/>
          <w:u w:val="single"/>
        </w:rPr>
        <w:t xml:space="preserve">   %，</w:t>
      </w:r>
      <w:r>
        <w:rPr>
          <w:rFonts w:hint="eastAsia"/>
          <w:color w:val="auto"/>
          <w:highlight w:val="none"/>
        </w:rPr>
        <w:t>税金为人民币（大写)</w:t>
      </w:r>
      <w:r>
        <w:rPr>
          <w:rFonts w:hint="eastAsia"/>
          <w:color w:val="auto"/>
          <w:highlight w:val="none"/>
          <w:u w:val="single"/>
        </w:rPr>
        <w:t xml:space="preserve">          （¥        元）</w:t>
      </w:r>
      <w:r>
        <w:rPr>
          <w:rFonts w:hint="eastAsia"/>
          <w:color w:val="auto"/>
          <w:highlight w:val="none"/>
        </w:rPr>
        <w:t xml:space="preserve">； </w:t>
      </w:r>
    </w:p>
    <w:p w14:paraId="4CF947B1">
      <w:pPr>
        <w:spacing w:line="440" w:lineRule="exact"/>
        <w:ind w:firstLine="480" w:firstLineChars="200"/>
        <w:rPr>
          <w:color w:val="auto"/>
          <w:highlight w:val="none"/>
        </w:rPr>
      </w:pPr>
      <w:r>
        <w:rPr>
          <w:rFonts w:hint="eastAsia"/>
          <w:color w:val="auto"/>
          <w:highlight w:val="none"/>
        </w:rPr>
        <w:t>（3） 建筑安装工程费（含税）：</w:t>
      </w:r>
    </w:p>
    <w:p w14:paraId="12402E71">
      <w:pPr>
        <w:spacing w:line="440" w:lineRule="exact"/>
        <w:ind w:firstLine="480" w:firstLineChars="200"/>
        <w:rPr>
          <w:color w:val="auto"/>
          <w:highlight w:val="none"/>
        </w:rPr>
      </w:pPr>
      <w:r>
        <w:rPr>
          <w:rFonts w:hint="eastAsia"/>
          <w:color w:val="auto"/>
          <w:highlight w:val="none"/>
        </w:rPr>
        <w:t>人民币（大写)</w:t>
      </w:r>
      <w:r>
        <w:rPr>
          <w:rFonts w:hint="eastAsia"/>
          <w:color w:val="auto"/>
          <w:highlight w:val="none"/>
          <w:u w:val="single"/>
        </w:rPr>
        <w:t xml:space="preserve">             （¥        元）</w:t>
      </w:r>
      <w:r>
        <w:rPr>
          <w:rFonts w:hint="eastAsia"/>
          <w:color w:val="auto"/>
          <w:highlight w:val="none"/>
        </w:rPr>
        <w:t>；适用税率：</w:t>
      </w:r>
      <w:r>
        <w:rPr>
          <w:rFonts w:hint="eastAsia"/>
          <w:color w:val="auto"/>
          <w:highlight w:val="none"/>
          <w:u w:val="single"/>
        </w:rPr>
        <w:t xml:space="preserve">   %，</w:t>
      </w:r>
      <w:r>
        <w:rPr>
          <w:rFonts w:hint="eastAsia"/>
          <w:color w:val="auto"/>
          <w:highlight w:val="none"/>
        </w:rPr>
        <w:t>税金为人民币（大写)</w:t>
      </w:r>
      <w:r>
        <w:rPr>
          <w:rFonts w:hint="eastAsia"/>
          <w:color w:val="auto"/>
          <w:highlight w:val="none"/>
          <w:u w:val="single"/>
        </w:rPr>
        <w:t xml:space="preserve">          （¥        元）</w:t>
      </w:r>
      <w:r>
        <w:rPr>
          <w:rFonts w:hint="eastAsia"/>
          <w:color w:val="auto"/>
          <w:highlight w:val="none"/>
        </w:rPr>
        <w:t xml:space="preserve">； </w:t>
      </w:r>
    </w:p>
    <w:p w14:paraId="4342500F">
      <w:pPr>
        <w:spacing w:line="440" w:lineRule="exact"/>
        <w:ind w:firstLine="480" w:firstLineChars="200"/>
        <w:rPr>
          <w:color w:val="auto"/>
          <w:highlight w:val="none"/>
        </w:rPr>
      </w:pPr>
      <w:r>
        <w:rPr>
          <w:rFonts w:hint="eastAsia"/>
          <w:color w:val="auto"/>
          <w:highlight w:val="none"/>
        </w:rPr>
        <w:t>（4） 暂估价（含税）：</w:t>
      </w:r>
    </w:p>
    <w:p w14:paraId="62063354">
      <w:pPr>
        <w:spacing w:line="440" w:lineRule="exact"/>
        <w:ind w:firstLine="480" w:firstLineChars="200"/>
        <w:rPr>
          <w:color w:val="auto"/>
          <w:highlight w:val="none"/>
        </w:rPr>
      </w:pPr>
      <w:r>
        <w:rPr>
          <w:rFonts w:hint="eastAsia"/>
          <w:color w:val="auto"/>
          <w:highlight w:val="none"/>
        </w:rPr>
        <w:t>人民币（大写)</w:t>
      </w:r>
      <w:r>
        <w:rPr>
          <w:rFonts w:hint="eastAsia"/>
          <w:color w:val="auto"/>
          <w:highlight w:val="none"/>
          <w:u w:val="single"/>
        </w:rPr>
        <w:t xml:space="preserve">                 （¥            元）</w:t>
      </w:r>
      <w:r>
        <w:rPr>
          <w:rFonts w:hint="eastAsia"/>
          <w:color w:val="auto"/>
          <w:highlight w:val="none"/>
        </w:rPr>
        <w:t>。</w:t>
      </w:r>
    </w:p>
    <w:p w14:paraId="22EBFC3A">
      <w:pPr>
        <w:spacing w:line="440" w:lineRule="exact"/>
        <w:ind w:firstLine="480" w:firstLineChars="200"/>
        <w:rPr>
          <w:color w:val="auto"/>
          <w:highlight w:val="none"/>
        </w:rPr>
      </w:pPr>
      <w:r>
        <w:rPr>
          <w:rFonts w:hint="eastAsia"/>
          <w:color w:val="auto"/>
          <w:highlight w:val="none"/>
        </w:rPr>
        <w:t>（5） 暂列金额（含税）：</w:t>
      </w:r>
    </w:p>
    <w:p w14:paraId="52380753">
      <w:pPr>
        <w:spacing w:line="440" w:lineRule="exact"/>
        <w:ind w:firstLine="480" w:firstLineChars="200"/>
        <w:rPr>
          <w:color w:val="auto"/>
          <w:highlight w:val="none"/>
        </w:rPr>
      </w:pPr>
      <w:r>
        <w:rPr>
          <w:rFonts w:hint="eastAsia"/>
          <w:color w:val="auto"/>
          <w:highlight w:val="none"/>
        </w:rPr>
        <w:t>人民币（大写)</w:t>
      </w:r>
      <w:r>
        <w:rPr>
          <w:rFonts w:hint="eastAsia"/>
          <w:color w:val="auto"/>
          <w:highlight w:val="none"/>
          <w:u w:val="single"/>
        </w:rPr>
        <w:t xml:space="preserve">                 （¥            元）</w:t>
      </w:r>
      <w:r>
        <w:rPr>
          <w:rFonts w:hint="eastAsia"/>
          <w:color w:val="auto"/>
          <w:highlight w:val="none"/>
        </w:rPr>
        <w:t>。</w:t>
      </w:r>
    </w:p>
    <w:p w14:paraId="4A7DD537">
      <w:pPr>
        <w:spacing w:line="440" w:lineRule="exact"/>
        <w:ind w:firstLine="480" w:firstLineChars="200"/>
        <w:rPr>
          <w:color w:val="auto"/>
          <w:highlight w:val="none"/>
        </w:rPr>
      </w:pPr>
      <w:r>
        <w:rPr>
          <w:rFonts w:hint="eastAsia"/>
          <w:color w:val="auto"/>
          <w:highlight w:val="none"/>
        </w:rPr>
        <w:t>（6） 双方约定的其他费用（含税）：</w:t>
      </w:r>
    </w:p>
    <w:p w14:paraId="5869858E">
      <w:pPr>
        <w:spacing w:line="440" w:lineRule="exact"/>
        <w:ind w:firstLine="480" w:firstLineChars="200"/>
        <w:rPr>
          <w:color w:val="auto"/>
          <w:highlight w:val="none"/>
        </w:rPr>
      </w:pPr>
      <w:r>
        <w:rPr>
          <w:rFonts w:hint="eastAsia"/>
          <w:color w:val="auto"/>
          <w:highlight w:val="none"/>
        </w:rPr>
        <w:t>人民币（大写)</w:t>
      </w:r>
      <w:r>
        <w:rPr>
          <w:rFonts w:hint="eastAsia"/>
          <w:color w:val="auto"/>
          <w:highlight w:val="none"/>
          <w:u w:val="single"/>
        </w:rPr>
        <w:t xml:space="preserve">                （¥          元）</w:t>
      </w:r>
      <w:r>
        <w:rPr>
          <w:rFonts w:hint="eastAsia"/>
          <w:color w:val="auto"/>
          <w:highlight w:val="none"/>
        </w:rPr>
        <w:t>；适用税率：</w:t>
      </w:r>
      <w:r>
        <w:rPr>
          <w:rFonts w:hint="eastAsia"/>
          <w:color w:val="auto"/>
          <w:highlight w:val="none"/>
          <w:u w:val="single"/>
        </w:rPr>
        <w:t xml:space="preserve">  %</w:t>
      </w:r>
      <w:r>
        <w:rPr>
          <w:rFonts w:hint="eastAsia"/>
          <w:color w:val="auto"/>
          <w:highlight w:val="none"/>
        </w:rPr>
        <w:t>，税金为人民币（大写)</w:t>
      </w:r>
      <w:r>
        <w:rPr>
          <w:rFonts w:hint="eastAsia"/>
          <w:color w:val="auto"/>
          <w:highlight w:val="none"/>
          <w:u w:val="single"/>
        </w:rPr>
        <w:t xml:space="preserve">                 （¥     元）</w:t>
      </w:r>
      <w:r>
        <w:rPr>
          <w:rFonts w:hint="eastAsia"/>
          <w:color w:val="auto"/>
          <w:highlight w:val="none"/>
        </w:rPr>
        <w:t>。</w:t>
      </w:r>
    </w:p>
    <w:p w14:paraId="63358BF9">
      <w:pPr>
        <w:spacing w:line="440" w:lineRule="exact"/>
        <w:ind w:firstLine="480" w:firstLineChars="200"/>
        <w:rPr>
          <w:color w:val="auto"/>
          <w:highlight w:val="none"/>
        </w:rPr>
      </w:pPr>
      <w:r>
        <w:rPr>
          <w:rFonts w:hint="eastAsia"/>
          <w:color w:val="auto"/>
          <w:highlight w:val="none"/>
        </w:rPr>
        <w:t>2. 合同价格形式：</w:t>
      </w:r>
    </w:p>
    <w:p w14:paraId="1847C52C">
      <w:pPr>
        <w:spacing w:line="440" w:lineRule="exact"/>
        <w:ind w:firstLine="480" w:firstLineChars="200"/>
        <w:rPr>
          <w:color w:val="auto"/>
          <w:highlight w:val="none"/>
        </w:rPr>
      </w:pPr>
      <w:r>
        <w:rPr>
          <w:rFonts w:hint="eastAsia"/>
          <w:color w:val="auto"/>
          <w:highlight w:val="none"/>
        </w:rPr>
        <w:t>合同价格形式为固定单价（审定的施工图预算单价）合同，除法律规定情形外，合同价格不因物价波动进行调整。</w:t>
      </w:r>
    </w:p>
    <w:p w14:paraId="1463EA2D">
      <w:pPr>
        <w:spacing w:line="440" w:lineRule="exact"/>
        <w:ind w:firstLine="480" w:firstLineChars="200"/>
        <w:rPr>
          <w:color w:val="auto"/>
          <w:highlight w:val="none"/>
        </w:rPr>
      </w:pPr>
      <w:r>
        <w:rPr>
          <w:rFonts w:hint="eastAsia"/>
          <w:color w:val="auto"/>
          <w:highlight w:val="none"/>
        </w:rPr>
        <w:t>合同当事人对合同价格形式的其他约定：</w:t>
      </w:r>
      <w:r>
        <w:rPr>
          <w:rFonts w:hint="eastAsia"/>
          <w:color w:val="auto"/>
          <w:highlight w:val="none"/>
          <w:u w:val="single"/>
        </w:rPr>
        <w:t xml:space="preserve">   。</w:t>
      </w:r>
    </w:p>
    <w:p w14:paraId="581B74DF">
      <w:pPr>
        <w:pStyle w:val="3"/>
        <w:rPr>
          <w:color w:val="auto"/>
          <w:highlight w:val="none"/>
        </w:rPr>
      </w:pPr>
      <w:bookmarkStart w:id="125" w:name="_Toc54862169"/>
      <w:r>
        <w:rPr>
          <w:rFonts w:hint="eastAsia"/>
          <w:color w:val="auto"/>
          <w:highlight w:val="none"/>
        </w:rPr>
        <w:t>五、工程总承包项目经理</w:t>
      </w:r>
      <w:bookmarkEnd w:id="125"/>
    </w:p>
    <w:p w14:paraId="305F7584">
      <w:pPr>
        <w:spacing w:line="440" w:lineRule="exact"/>
        <w:ind w:firstLine="480" w:firstLineChars="200"/>
        <w:rPr>
          <w:color w:val="auto"/>
          <w:highlight w:val="none"/>
        </w:rPr>
      </w:pPr>
      <w:r>
        <w:rPr>
          <w:rFonts w:hint="eastAsia"/>
          <w:color w:val="auto"/>
          <w:highlight w:val="none"/>
        </w:rPr>
        <w:t>工程总承包项目经理：</w:t>
      </w:r>
      <w:r>
        <w:rPr>
          <w:rFonts w:hint="eastAsia"/>
          <w:color w:val="auto"/>
          <w:highlight w:val="none"/>
          <w:u w:val="single"/>
        </w:rPr>
        <w:t xml:space="preserve">             </w:t>
      </w:r>
      <w:r>
        <w:rPr>
          <w:rFonts w:hint="eastAsia"/>
          <w:color w:val="auto"/>
          <w:highlight w:val="none"/>
        </w:rPr>
        <w:t>。</w:t>
      </w:r>
    </w:p>
    <w:p w14:paraId="592C0F03">
      <w:pPr>
        <w:pStyle w:val="3"/>
        <w:rPr>
          <w:color w:val="auto"/>
          <w:highlight w:val="none"/>
        </w:rPr>
      </w:pPr>
      <w:bookmarkStart w:id="126" w:name="_Toc54862170"/>
      <w:r>
        <w:rPr>
          <w:rFonts w:hint="eastAsia"/>
          <w:color w:val="auto"/>
          <w:highlight w:val="none"/>
        </w:rPr>
        <w:t>六、合同文件构成</w:t>
      </w:r>
      <w:bookmarkEnd w:id="126"/>
    </w:p>
    <w:p w14:paraId="0A48B990">
      <w:pPr>
        <w:spacing w:line="440" w:lineRule="exact"/>
        <w:ind w:firstLine="480" w:firstLineChars="200"/>
        <w:rPr>
          <w:color w:val="auto"/>
          <w:highlight w:val="none"/>
        </w:rPr>
      </w:pPr>
      <w:r>
        <w:rPr>
          <w:rFonts w:hint="eastAsia"/>
          <w:color w:val="auto"/>
          <w:highlight w:val="none"/>
        </w:rPr>
        <w:t xml:space="preserve">本协议书与下列文件一起构成合同文件： </w:t>
      </w:r>
    </w:p>
    <w:p w14:paraId="23038A21">
      <w:pPr>
        <w:spacing w:line="440" w:lineRule="exact"/>
        <w:ind w:firstLine="480" w:firstLineChars="200"/>
        <w:rPr>
          <w:color w:val="auto"/>
          <w:highlight w:val="none"/>
        </w:rPr>
      </w:pPr>
      <w:r>
        <w:rPr>
          <w:rFonts w:hint="eastAsia"/>
          <w:color w:val="auto"/>
          <w:highlight w:val="none"/>
        </w:rPr>
        <w:t>（1） 中标通知书（如果有）；</w:t>
      </w:r>
    </w:p>
    <w:p w14:paraId="59D6CC09">
      <w:pPr>
        <w:spacing w:line="440" w:lineRule="exact"/>
        <w:ind w:firstLine="480" w:firstLineChars="200"/>
        <w:rPr>
          <w:color w:val="auto"/>
          <w:highlight w:val="none"/>
        </w:rPr>
      </w:pPr>
      <w:r>
        <w:rPr>
          <w:rFonts w:hint="eastAsia"/>
          <w:color w:val="auto"/>
          <w:highlight w:val="none"/>
        </w:rPr>
        <w:t>（2） 投标函及投标函附录（如果有）；</w:t>
      </w:r>
    </w:p>
    <w:p w14:paraId="205E4A04">
      <w:pPr>
        <w:spacing w:line="440" w:lineRule="exact"/>
        <w:ind w:firstLine="480" w:firstLineChars="200"/>
        <w:rPr>
          <w:color w:val="auto"/>
          <w:highlight w:val="none"/>
        </w:rPr>
      </w:pPr>
      <w:r>
        <w:rPr>
          <w:rFonts w:hint="eastAsia"/>
          <w:color w:val="auto"/>
          <w:highlight w:val="none"/>
        </w:rPr>
        <w:t>（3） 专用合同条件及《发包人要求》等附件；</w:t>
      </w:r>
    </w:p>
    <w:p w14:paraId="5C4A3FA3">
      <w:pPr>
        <w:spacing w:line="440" w:lineRule="exact"/>
        <w:ind w:firstLine="480" w:firstLineChars="200"/>
        <w:rPr>
          <w:color w:val="auto"/>
          <w:highlight w:val="none"/>
        </w:rPr>
      </w:pPr>
      <w:r>
        <w:rPr>
          <w:rFonts w:hint="eastAsia"/>
          <w:color w:val="auto"/>
          <w:highlight w:val="none"/>
        </w:rPr>
        <w:t>（4） 通用合同条件；</w:t>
      </w:r>
    </w:p>
    <w:p w14:paraId="2778354C">
      <w:pPr>
        <w:spacing w:line="440" w:lineRule="exact"/>
        <w:ind w:firstLine="480" w:firstLineChars="200"/>
        <w:rPr>
          <w:color w:val="auto"/>
          <w:highlight w:val="none"/>
        </w:rPr>
      </w:pPr>
      <w:r>
        <w:rPr>
          <w:rFonts w:hint="eastAsia"/>
          <w:color w:val="auto"/>
          <w:highlight w:val="none"/>
        </w:rPr>
        <w:t xml:space="preserve">（5） 承包人建议书； </w:t>
      </w:r>
    </w:p>
    <w:p w14:paraId="49A1595C">
      <w:pPr>
        <w:spacing w:line="440" w:lineRule="exact"/>
        <w:ind w:firstLine="480" w:firstLineChars="200"/>
        <w:rPr>
          <w:color w:val="auto"/>
          <w:highlight w:val="none"/>
        </w:rPr>
      </w:pPr>
      <w:r>
        <w:rPr>
          <w:rFonts w:hint="eastAsia"/>
          <w:color w:val="auto"/>
          <w:highlight w:val="none"/>
        </w:rPr>
        <w:t>（6） 价格清单；</w:t>
      </w:r>
    </w:p>
    <w:p w14:paraId="4DEDF377">
      <w:pPr>
        <w:spacing w:line="440" w:lineRule="exact"/>
        <w:ind w:firstLine="480" w:firstLineChars="200"/>
        <w:rPr>
          <w:color w:val="auto"/>
          <w:highlight w:val="none"/>
        </w:rPr>
      </w:pPr>
      <w:r>
        <w:rPr>
          <w:rFonts w:hint="eastAsia"/>
          <w:color w:val="auto"/>
          <w:highlight w:val="none"/>
        </w:rPr>
        <w:t>（7） 双方约定的其他合同文件。</w:t>
      </w:r>
    </w:p>
    <w:p w14:paraId="3CA1FC4A">
      <w:pPr>
        <w:spacing w:line="440" w:lineRule="exact"/>
        <w:ind w:firstLine="480" w:firstLineChars="200"/>
        <w:rPr>
          <w:color w:val="auto"/>
          <w:highlight w:val="none"/>
        </w:rPr>
      </w:pPr>
      <w:r>
        <w:rPr>
          <w:rFonts w:hint="eastAsia"/>
          <w:color w:val="auto"/>
          <w:highlight w:val="none"/>
        </w:rPr>
        <w:t>上述各项合同文件包括双方就该项合同文件所作出的补充和修改，属于同一类内容的合同文件应以最新签署的为准。专用合同条件及其附件须经合同当事人签字或盖章。</w:t>
      </w:r>
    </w:p>
    <w:p w14:paraId="2D58777A">
      <w:pPr>
        <w:pStyle w:val="3"/>
        <w:rPr>
          <w:color w:val="auto"/>
          <w:highlight w:val="none"/>
        </w:rPr>
      </w:pPr>
      <w:bookmarkStart w:id="127" w:name="_Toc54862171"/>
      <w:r>
        <w:rPr>
          <w:rFonts w:hint="eastAsia"/>
          <w:color w:val="auto"/>
          <w:highlight w:val="none"/>
        </w:rPr>
        <w:t>七、承诺</w:t>
      </w:r>
      <w:bookmarkEnd w:id="127"/>
    </w:p>
    <w:p w14:paraId="35EC5FEF">
      <w:pPr>
        <w:spacing w:line="440" w:lineRule="exact"/>
        <w:ind w:firstLine="480" w:firstLineChars="200"/>
        <w:rPr>
          <w:color w:val="auto"/>
          <w:highlight w:val="none"/>
        </w:rPr>
      </w:pPr>
      <w:r>
        <w:rPr>
          <w:rFonts w:hint="eastAsia"/>
          <w:color w:val="auto"/>
          <w:highlight w:val="none"/>
        </w:rPr>
        <w:t>1. 发包人承诺按照法律规定履行项目审批手续、筹集工程建设资金并按照合同约定的期限和方式支付合同价款。</w:t>
      </w:r>
    </w:p>
    <w:p w14:paraId="48291AC8">
      <w:pPr>
        <w:spacing w:line="440" w:lineRule="exact"/>
        <w:ind w:firstLine="480" w:firstLineChars="200"/>
        <w:rPr>
          <w:color w:val="auto"/>
          <w:highlight w:val="none"/>
        </w:rPr>
      </w:pPr>
      <w:r>
        <w:rPr>
          <w:rFonts w:hint="eastAsia"/>
          <w:color w:val="auto"/>
          <w:highlight w:val="none"/>
        </w:rPr>
        <w:t>2. 承包人承诺按照法律规定及合同约定组织完成工程的设计、采购和施工等工作，确保工程质量和安全，不进行转包及违法分包，并在缺陷责任期及保修期内承担相应的工程维修责任。</w:t>
      </w:r>
    </w:p>
    <w:p w14:paraId="6BF54504">
      <w:pPr>
        <w:pStyle w:val="3"/>
        <w:rPr>
          <w:color w:val="auto"/>
          <w:highlight w:val="none"/>
        </w:rPr>
      </w:pPr>
      <w:bookmarkStart w:id="128" w:name="_Toc54862172"/>
      <w:r>
        <w:rPr>
          <w:rFonts w:hint="eastAsia"/>
          <w:color w:val="auto"/>
          <w:highlight w:val="none"/>
        </w:rPr>
        <w:t>八、订立时间</w:t>
      </w:r>
      <w:bookmarkEnd w:id="128"/>
    </w:p>
    <w:p w14:paraId="3B65ACE7">
      <w:pPr>
        <w:spacing w:line="440" w:lineRule="exact"/>
        <w:ind w:firstLine="480" w:firstLineChars="200"/>
        <w:rPr>
          <w:color w:val="auto"/>
          <w:highlight w:val="none"/>
        </w:rPr>
      </w:pPr>
      <w:r>
        <w:rPr>
          <w:rFonts w:hint="eastAsia"/>
          <w:color w:val="auto"/>
          <w:highlight w:val="none"/>
        </w:rPr>
        <w:t>本合同于</w:t>
      </w:r>
      <w:r>
        <w:rPr>
          <w:rFonts w:hint="eastAsia"/>
          <w:color w:val="auto"/>
          <w:highlight w:val="none"/>
          <w:u w:val="single"/>
        </w:rPr>
        <w:t xml:space="preserve">        年     月     日</w:t>
      </w:r>
      <w:r>
        <w:rPr>
          <w:rFonts w:hint="eastAsia"/>
          <w:color w:val="auto"/>
          <w:highlight w:val="none"/>
        </w:rPr>
        <w:t>订立。</w:t>
      </w:r>
    </w:p>
    <w:p w14:paraId="46A6FCE6">
      <w:pPr>
        <w:pStyle w:val="3"/>
        <w:rPr>
          <w:color w:val="auto"/>
          <w:highlight w:val="none"/>
        </w:rPr>
      </w:pPr>
      <w:bookmarkStart w:id="129" w:name="_Toc54862173"/>
      <w:r>
        <w:rPr>
          <w:rFonts w:hint="eastAsia"/>
          <w:color w:val="auto"/>
          <w:highlight w:val="none"/>
        </w:rPr>
        <w:t>九、订立地点</w:t>
      </w:r>
      <w:bookmarkEnd w:id="129"/>
    </w:p>
    <w:p w14:paraId="0F40DB60">
      <w:pPr>
        <w:spacing w:line="440" w:lineRule="exact"/>
        <w:ind w:firstLine="480" w:firstLineChars="200"/>
        <w:rPr>
          <w:color w:val="auto"/>
          <w:highlight w:val="none"/>
        </w:rPr>
      </w:pPr>
      <w:r>
        <w:rPr>
          <w:rFonts w:hint="eastAsia"/>
          <w:color w:val="auto"/>
          <w:highlight w:val="none"/>
        </w:rPr>
        <w:t>本合同在</w:t>
      </w:r>
      <w:r>
        <w:rPr>
          <w:rFonts w:hint="eastAsia"/>
          <w:color w:val="auto"/>
          <w:highlight w:val="none"/>
          <w:u w:val="single"/>
        </w:rPr>
        <w:t xml:space="preserve">                        </w:t>
      </w:r>
      <w:r>
        <w:rPr>
          <w:rFonts w:hint="eastAsia"/>
          <w:color w:val="auto"/>
          <w:highlight w:val="none"/>
        </w:rPr>
        <w:t>订立。</w:t>
      </w:r>
    </w:p>
    <w:p w14:paraId="462CA0DB">
      <w:pPr>
        <w:pStyle w:val="3"/>
        <w:rPr>
          <w:color w:val="auto"/>
          <w:highlight w:val="none"/>
        </w:rPr>
      </w:pPr>
      <w:bookmarkStart w:id="130" w:name="_Toc54862174"/>
      <w:r>
        <w:rPr>
          <w:rFonts w:hint="eastAsia"/>
          <w:color w:val="auto"/>
          <w:highlight w:val="none"/>
        </w:rPr>
        <w:t>十、合同生效</w:t>
      </w:r>
      <w:bookmarkEnd w:id="130"/>
    </w:p>
    <w:p w14:paraId="3923C721">
      <w:pPr>
        <w:spacing w:line="440" w:lineRule="exact"/>
        <w:ind w:firstLine="480" w:firstLineChars="200"/>
        <w:rPr>
          <w:rFonts w:eastAsia="仿宋"/>
          <w:color w:val="auto"/>
          <w:highlight w:val="none"/>
        </w:rPr>
      </w:pPr>
      <w:r>
        <w:rPr>
          <w:rFonts w:hint="eastAsia"/>
          <w:color w:val="auto"/>
          <w:highlight w:val="none"/>
        </w:rPr>
        <w:t>本合同经双方签字或盖章后成立，并自</w:t>
      </w:r>
      <w:r>
        <w:rPr>
          <w:rFonts w:hint="eastAsia"/>
          <w:color w:val="auto"/>
          <w:highlight w:val="none"/>
          <w:u w:val="single"/>
        </w:rPr>
        <w:t xml:space="preserve">            </w:t>
      </w:r>
      <w:r>
        <w:rPr>
          <w:rFonts w:hint="eastAsia"/>
          <w:color w:val="auto"/>
          <w:highlight w:val="none"/>
        </w:rPr>
        <w:t>生效。合同未尽事宜，另行签订补充协议。补充协议是合同的组成部分。</w:t>
      </w:r>
    </w:p>
    <w:p w14:paraId="2C9B011A">
      <w:pPr>
        <w:pStyle w:val="3"/>
        <w:rPr>
          <w:color w:val="auto"/>
          <w:highlight w:val="none"/>
        </w:rPr>
      </w:pPr>
      <w:bookmarkStart w:id="131" w:name="_Toc54862175"/>
      <w:r>
        <w:rPr>
          <w:rFonts w:hint="eastAsia"/>
          <w:color w:val="auto"/>
          <w:highlight w:val="none"/>
        </w:rPr>
        <w:t>十一、合同份数</w:t>
      </w:r>
      <w:bookmarkEnd w:id="131"/>
    </w:p>
    <w:p w14:paraId="5185FA31">
      <w:pPr>
        <w:spacing w:line="440" w:lineRule="exact"/>
        <w:ind w:firstLine="480" w:firstLineChars="200"/>
        <w:rPr>
          <w:color w:val="auto"/>
          <w:highlight w:val="none"/>
        </w:rPr>
      </w:pPr>
      <w:r>
        <w:rPr>
          <w:rFonts w:hint="eastAsia"/>
          <w:color w:val="auto"/>
          <w:highlight w:val="none"/>
        </w:rPr>
        <w:t>本合同一式</w:t>
      </w:r>
      <w:r>
        <w:rPr>
          <w:rFonts w:hint="eastAsia"/>
          <w:color w:val="auto"/>
          <w:highlight w:val="none"/>
          <w:u w:val="single"/>
        </w:rPr>
        <w:t xml:space="preserve">    </w:t>
      </w:r>
      <w:r>
        <w:rPr>
          <w:rFonts w:hint="eastAsia"/>
          <w:color w:val="auto"/>
          <w:highlight w:val="none"/>
        </w:rPr>
        <w:t>份，均具有同等法律效力，发包人执</w:t>
      </w:r>
      <w:r>
        <w:rPr>
          <w:rFonts w:hint="eastAsia"/>
          <w:color w:val="auto"/>
          <w:highlight w:val="none"/>
          <w:u w:val="single"/>
        </w:rPr>
        <w:t xml:space="preserve">    </w:t>
      </w:r>
      <w:r>
        <w:rPr>
          <w:rFonts w:hint="eastAsia"/>
          <w:color w:val="auto"/>
          <w:highlight w:val="none"/>
        </w:rPr>
        <w:t>份，承包人执</w:t>
      </w:r>
      <w:r>
        <w:rPr>
          <w:rFonts w:hint="eastAsia"/>
          <w:color w:val="auto"/>
          <w:highlight w:val="none"/>
          <w:u w:val="single"/>
        </w:rPr>
        <w:t xml:space="preserve">   </w:t>
      </w:r>
      <w:r>
        <w:rPr>
          <w:rFonts w:hint="eastAsia"/>
          <w:color w:val="auto"/>
          <w:highlight w:val="none"/>
        </w:rPr>
        <w:t xml:space="preserve"> 份。</w:t>
      </w:r>
    </w:p>
    <w:p w14:paraId="1BDC090A">
      <w:pPr>
        <w:rPr>
          <w:color w:val="auto"/>
          <w:highlight w:val="none"/>
        </w:rPr>
      </w:pPr>
    </w:p>
    <w:tbl>
      <w:tblPr>
        <w:tblStyle w:val="23"/>
        <w:tblW w:w="9836" w:type="dxa"/>
        <w:tblInd w:w="-274" w:type="dxa"/>
        <w:tblLayout w:type="fixed"/>
        <w:tblCellMar>
          <w:top w:w="0" w:type="dxa"/>
          <w:left w:w="108" w:type="dxa"/>
          <w:bottom w:w="0" w:type="dxa"/>
          <w:right w:w="108" w:type="dxa"/>
        </w:tblCellMar>
      </w:tblPr>
      <w:tblGrid>
        <w:gridCol w:w="5024"/>
        <w:gridCol w:w="4812"/>
      </w:tblGrid>
      <w:tr w14:paraId="6826D627">
        <w:tblPrEx>
          <w:tblCellMar>
            <w:top w:w="0" w:type="dxa"/>
            <w:left w:w="108" w:type="dxa"/>
            <w:bottom w:w="0" w:type="dxa"/>
            <w:right w:w="108" w:type="dxa"/>
          </w:tblCellMar>
        </w:tblPrEx>
        <w:trPr>
          <w:trHeight w:val="90" w:hRule="atLeast"/>
        </w:trPr>
        <w:tc>
          <w:tcPr>
            <w:tcW w:w="5024" w:type="dxa"/>
          </w:tcPr>
          <w:p w14:paraId="635372F0">
            <w:pPr>
              <w:widowControl/>
              <w:autoSpaceDE/>
              <w:autoSpaceDN/>
              <w:snapToGrid w:val="0"/>
              <w:jc w:val="both"/>
              <w:rPr>
                <w:rFonts w:hint="eastAsia" w:ascii="宋体" w:hAnsi="宋体" w:cs="宋体"/>
                <w:color w:val="auto"/>
                <w:highlight w:val="none"/>
              </w:rPr>
            </w:pPr>
            <w:r>
              <w:rPr>
                <w:rFonts w:hint="eastAsia" w:ascii="宋体" w:hAnsi="宋体" w:cs="宋体"/>
                <w:color w:val="auto"/>
                <w:highlight w:val="none"/>
              </w:rPr>
              <w:t>发包人：（公章）：</w:t>
            </w:r>
          </w:p>
          <w:p w14:paraId="136D44C5">
            <w:pPr>
              <w:widowControl/>
              <w:autoSpaceDE/>
              <w:autoSpaceDN/>
              <w:snapToGrid w:val="0"/>
              <w:jc w:val="both"/>
              <w:rPr>
                <w:rFonts w:hint="eastAsia" w:ascii="宋体" w:hAnsi="宋体" w:cs="宋体"/>
                <w:color w:val="auto"/>
                <w:szCs w:val="28"/>
                <w:highlight w:val="none"/>
              </w:rPr>
            </w:pPr>
            <w:r>
              <w:rPr>
                <w:rFonts w:hint="eastAsia" w:ascii="宋体" w:hAnsi="宋体" w:cs="宋体"/>
                <w:color w:val="auto"/>
                <w:highlight w:val="none"/>
              </w:rPr>
              <w:t>越润集成电路（绍兴）有限公司</w:t>
            </w:r>
          </w:p>
        </w:tc>
        <w:tc>
          <w:tcPr>
            <w:tcW w:w="4812" w:type="dxa"/>
          </w:tcPr>
          <w:p w14:paraId="61F3FC67">
            <w:pPr>
              <w:widowControl/>
              <w:autoSpaceDE/>
              <w:autoSpaceDN/>
              <w:snapToGrid w:val="0"/>
              <w:jc w:val="both"/>
              <w:rPr>
                <w:rFonts w:hint="eastAsia" w:ascii="宋体" w:hAnsi="宋体" w:cs="宋体"/>
                <w:color w:val="auto"/>
                <w:szCs w:val="28"/>
                <w:highlight w:val="none"/>
              </w:rPr>
            </w:pPr>
          </w:p>
        </w:tc>
      </w:tr>
      <w:tr w14:paraId="10A01003">
        <w:tblPrEx>
          <w:tblCellMar>
            <w:top w:w="0" w:type="dxa"/>
            <w:left w:w="108" w:type="dxa"/>
            <w:bottom w:w="0" w:type="dxa"/>
            <w:right w:w="108" w:type="dxa"/>
          </w:tblCellMar>
        </w:tblPrEx>
        <w:tc>
          <w:tcPr>
            <w:tcW w:w="5024" w:type="dxa"/>
          </w:tcPr>
          <w:p w14:paraId="34F29519">
            <w:pPr>
              <w:widowControl/>
              <w:autoSpaceDE/>
              <w:autoSpaceDN/>
              <w:snapToGrid w:val="0"/>
              <w:jc w:val="both"/>
              <w:rPr>
                <w:rFonts w:hint="eastAsia" w:ascii="宋体" w:hAnsi="宋体" w:cs="宋体"/>
                <w:color w:val="auto"/>
                <w:highlight w:val="none"/>
              </w:rPr>
            </w:pPr>
            <w:r>
              <w:rPr>
                <w:rFonts w:hint="eastAsia" w:ascii="宋体" w:hAnsi="宋体" w:cs="宋体"/>
                <w:color w:val="auto"/>
                <w:highlight w:val="none"/>
              </w:rPr>
              <w:t>法定代表人或代表</w:t>
            </w:r>
          </w:p>
          <w:p w14:paraId="594EAE62">
            <w:pPr>
              <w:widowControl/>
              <w:autoSpaceDE/>
              <w:autoSpaceDN/>
              <w:snapToGrid w:val="0"/>
              <w:jc w:val="both"/>
              <w:rPr>
                <w:rFonts w:hint="eastAsia" w:ascii="宋体" w:hAnsi="宋体" w:cs="宋体"/>
                <w:color w:val="auto"/>
                <w:szCs w:val="28"/>
                <w:highlight w:val="none"/>
              </w:rPr>
            </w:pPr>
            <w:r>
              <w:rPr>
                <w:rFonts w:hint="eastAsia" w:ascii="宋体" w:hAnsi="宋体" w:cs="宋体"/>
                <w:color w:val="auto"/>
                <w:highlight w:val="none"/>
              </w:rPr>
              <w:t>（签字或盖章）：</w:t>
            </w:r>
          </w:p>
        </w:tc>
        <w:tc>
          <w:tcPr>
            <w:tcW w:w="4812" w:type="dxa"/>
          </w:tcPr>
          <w:p w14:paraId="3A84B853">
            <w:pPr>
              <w:widowControl/>
              <w:autoSpaceDE/>
              <w:autoSpaceDN/>
              <w:snapToGrid w:val="0"/>
              <w:jc w:val="both"/>
              <w:rPr>
                <w:rFonts w:hint="eastAsia" w:ascii="宋体" w:hAnsi="宋体" w:cs="宋体"/>
                <w:color w:val="auto"/>
                <w:szCs w:val="28"/>
                <w:highlight w:val="none"/>
              </w:rPr>
            </w:pPr>
          </w:p>
        </w:tc>
      </w:tr>
      <w:tr w14:paraId="18AB24E6">
        <w:tblPrEx>
          <w:tblCellMar>
            <w:top w:w="0" w:type="dxa"/>
            <w:left w:w="108" w:type="dxa"/>
            <w:bottom w:w="0" w:type="dxa"/>
            <w:right w:w="108" w:type="dxa"/>
          </w:tblCellMar>
        </w:tblPrEx>
        <w:tc>
          <w:tcPr>
            <w:tcW w:w="5024" w:type="dxa"/>
          </w:tcPr>
          <w:p w14:paraId="6792FDFB">
            <w:pPr>
              <w:widowControl/>
              <w:autoSpaceDE/>
              <w:autoSpaceDN/>
              <w:snapToGrid w:val="0"/>
              <w:jc w:val="both"/>
              <w:rPr>
                <w:rFonts w:hint="eastAsia" w:ascii="宋体" w:hAnsi="宋体" w:cs="宋体"/>
                <w:color w:val="auto"/>
                <w:szCs w:val="28"/>
                <w:highlight w:val="none"/>
              </w:rPr>
            </w:pPr>
            <w:r>
              <w:rPr>
                <w:rFonts w:hint="eastAsia" w:ascii="宋体" w:hAnsi="宋体" w:cs="宋体"/>
                <w:color w:val="auto"/>
                <w:highlight w:val="none"/>
              </w:rPr>
              <w:t>联系人（签字）：</w:t>
            </w:r>
          </w:p>
        </w:tc>
        <w:tc>
          <w:tcPr>
            <w:tcW w:w="4812" w:type="dxa"/>
          </w:tcPr>
          <w:p w14:paraId="0D267D8C">
            <w:pPr>
              <w:widowControl/>
              <w:autoSpaceDE/>
              <w:autoSpaceDN/>
              <w:snapToGrid w:val="0"/>
              <w:jc w:val="both"/>
              <w:rPr>
                <w:rFonts w:hint="eastAsia" w:ascii="宋体" w:hAnsi="宋体" w:cs="宋体"/>
                <w:color w:val="auto"/>
                <w:szCs w:val="28"/>
                <w:highlight w:val="none"/>
              </w:rPr>
            </w:pPr>
          </w:p>
        </w:tc>
      </w:tr>
      <w:tr w14:paraId="14969522">
        <w:tblPrEx>
          <w:tblCellMar>
            <w:top w:w="0" w:type="dxa"/>
            <w:left w:w="108" w:type="dxa"/>
            <w:bottom w:w="0" w:type="dxa"/>
            <w:right w:w="108" w:type="dxa"/>
          </w:tblCellMar>
        </w:tblPrEx>
        <w:tc>
          <w:tcPr>
            <w:tcW w:w="5024" w:type="dxa"/>
          </w:tcPr>
          <w:p w14:paraId="78B35881">
            <w:pPr>
              <w:widowControl/>
              <w:autoSpaceDE/>
              <w:autoSpaceDN/>
              <w:snapToGrid w:val="0"/>
              <w:jc w:val="both"/>
              <w:rPr>
                <w:rFonts w:hint="eastAsia" w:ascii="宋体" w:hAnsi="宋体" w:cs="宋体"/>
                <w:color w:val="auto"/>
                <w:szCs w:val="28"/>
                <w:highlight w:val="none"/>
              </w:rPr>
            </w:pPr>
            <w:r>
              <w:rPr>
                <w:rFonts w:hint="eastAsia" w:ascii="宋体" w:hAnsi="宋体" w:cs="宋体"/>
                <w:color w:val="auto"/>
                <w:highlight w:val="none"/>
              </w:rPr>
              <w:t>地址：</w:t>
            </w:r>
            <w:r>
              <w:rPr>
                <w:rFonts w:hint="eastAsia" w:ascii="宋体" w:hAnsi="宋体"/>
                <w:color w:val="auto"/>
                <w:highlight w:val="none"/>
              </w:rPr>
              <w:t>浙江省绍兴市越城区临江路500号</w:t>
            </w:r>
          </w:p>
        </w:tc>
        <w:tc>
          <w:tcPr>
            <w:tcW w:w="4812" w:type="dxa"/>
          </w:tcPr>
          <w:p w14:paraId="13573B9C">
            <w:pPr>
              <w:widowControl/>
              <w:autoSpaceDE/>
              <w:autoSpaceDN/>
              <w:snapToGrid w:val="0"/>
              <w:jc w:val="both"/>
              <w:rPr>
                <w:rFonts w:hint="eastAsia" w:ascii="宋体" w:hAnsi="宋体" w:cs="宋体"/>
                <w:color w:val="auto"/>
                <w:szCs w:val="28"/>
                <w:highlight w:val="none"/>
              </w:rPr>
            </w:pPr>
          </w:p>
        </w:tc>
      </w:tr>
      <w:tr w14:paraId="3C867327">
        <w:tblPrEx>
          <w:tblCellMar>
            <w:top w:w="0" w:type="dxa"/>
            <w:left w:w="108" w:type="dxa"/>
            <w:bottom w:w="0" w:type="dxa"/>
            <w:right w:w="108" w:type="dxa"/>
          </w:tblCellMar>
        </w:tblPrEx>
        <w:tc>
          <w:tcPr>
            <w:tcW w:w="5024" w:type="dxa"/>
          </w:tcPr>
          <w:p w14:paraId="6FE3FB70">
            <w:pPr>
              <w:widowControl/>
              <w:autoSpaceDE/>
              <w:autoSpaceDN/>
              <w:snapToGrid w:val="0"/>
              <w:jc w:val="both"/>
              <w:rPr>
                <w:rFonts w:hint="eastAsia" w:ascii="宋体" w:hAnsi="宋体" w:cs="宋体"/>
                <w:color w:val="auto"/>
                <w:highlight w:val="none"/>
              </w:rPr>
            </w:pPr>
            <w:r>
              <w:rPr>
                <w:rFonts w:hint="eastAsia" w:ascii="宋体" w:hAnsi="宋体" w:cs="宋体"/>
                <w:color w:val="auto"/>
                <w:highlight w:val="none"/>
              </w:rPr>
              <w:t>纳税人识别号：</w:t>
            </w:r>
          </w:p>
          <w:p w14:paraId="1831D979">
            <w:pPr>
              <w:widowControl/>
              <w:autoSpaceDE/>
              <w:autoSpaceDN/>
              <w:snapToGrid w:val="0"/>
              <w:jc w:val="both"/>
              <w:rPr>
                <w:rFonts w:hint="eastAsia" w:ascii="宋体" w:hAnsi="宋体" w:cs="宋体"/>
                <w:color w:val="auto"/>
                <w:szCs w:val="28"/>
                <w:highlight w:val="none"/>
              </w:rPr>
            </w:pPr>
            <w:r>
              <w:rPr>
                <w:rFonts w:hint="eastAsia" w:ascii="宋体" w:hAnsi="宋体" w:cs="宋体"/>
                <w:color w:val="auto"/>
                <w:highlight w:val="none"/>
              </w:rPr>
              <w:t>91330602MA2D7GYF3X</w:t>
            </w:r>
          </w:p>
        </w:tc>
        <w:tc>
          <w:tcPr>
            <w:tcW w:w="4812" w:type="dxa"/>
          </w:tcPr>
          <w:p w14:paraId="4B70AC15">
            <w:pPr>
              <w:widowControl/>
              <w:autoSpaceDE/>
              <w:autoSpaceDN/>
              <w:snapToGrid w:val="0"/>
              <w:jc w:val="both"/>
              <w:rPr>
                <w:rFonts w:hint="eastAsia" w:ascii="宋体" w:hAnsi="宋体" w:cs="宋体"/>
                <w:color w:val="auto"/>
                <w:szCs w:val="28"/>
                <w:highlight w:val="none"/>
              </w:rPr>
            </w:pPr>
          </w:p>
        </w:tc>
      </w:tr>
      <w:tr w14:paraId="0B149E71">
        <w:tblPrEx>
          <w:tblCellMar>
            <w:top w:w="0" w:type="dxa"/>
            <w:left w:w="108" w:type="dxa"/>
            <w:bottom w:w="0" w:type="dxa"/>
            <w:right w:w="108" w:type="dxa"/>
          </w:tblCellMar>
        </w:tblPrEx>
        <w:trPr>
          <w:trHeight w:val="1067" w:hRule="atLeast"/>
        </w:trPr>
        <w:tc>
          <w:tcPr>
            <w:tcW w:w="5024" w:type="dxa"/>
          </w:tcPr>
          <w:p w14:paraId="0CFC6AA0">
            <w:pPr>
              <w:widowControl/>
              <w:autoSpaceDE/>
              <w:autoSpaceDN/>
              <w:snapToGrid w:val="0"/>
              <w:jc w:val="both"/>
              <w:rPr>
                <w:rFonts w:hint="eastAsia" w:ascii="宋体" w:hAnsi="宋体" w:cs="宋体"/>
                <w:color w:val="auto"/>
                <w:szCs w:val="28"/>
                <w:highlight w:val="none"/>
              </w:rPr>
            </w:pPr>
            <w:r>
              <w:rPr>
                <w:rFonts w:hint="eastAsia" w:ascii="宋体" w:hAnsi="宋体" w:cs="宋体"/>
                <w:color w:val="auto"/>
                <w:highlight w:val="none"/>
              </w:rPr>
              <w:t>开户银行：</w:t>
            </w:r>
          </w:p>
        </w:tc>
        <w:tc>
          <w:tcPr>
            <w:tcW w:w="4812" w:type="dxa"/>
          </w:tcPr>
          <w:p w14:paraId="4A932C3B">
            <w:pPr>
              <w:widowControl/>
              <w:autoSpaceDE/>
              <w:autoSpaceDN/>
              <w:snapToGrid w:val="0"/>
              <w:jc w:val="both"/>
              <w:rPr>
                <w:rFonts w:hint="eastAsia" w:ascii="宋体" w:hAnsi="宋体" w:cs="宋体"/>
                <w:color w:val="auto"/>
                <w:szCs w:val="28"/>
                <w:highlight w:val="none"/>
              </w:rPr>
            </w:pPr>
          </w:p>
        </w:tc>
      </w:tr>
      <w:tr w14:paraId="409F45D2">
        <w:tblPrEx>
          <w:tblCellMar>
            <w:top w:w="0" w:type="dxa"/>
            <w:left w:w="108" w:type="dxa"/>
            <w:bottom w:w="0" w:type="dxa"/>
            <w:right w:w="108" w:type="dxa"/>
          </w:tblCellMar>
        </w:tblPrEx>
        <w:tc>
          <w:tcPr>
            <w:tcW w:w="5024" w:type="dxa"/>
          </w:tcPr>
          <w:p w14:paraId="310F01B6">
            <w:pPr>
              <w:widowControl/>
              <w:autoSpaceDE/>
              <w:autoSpaceDN/>
              <w:snapToGrid w:val="0"/>
              <w:jc w:val="both"/>
              <w:rPr>
                <w:rFonts w:hint="eastAsia" w:ascii="宋体" w:hAnsi="宋体" w:cs="宋体"/>
                <w:color w:val="auto"/>
                <w:szCs w:val="28"/>
                <w:highlight w:val="none"/>
              </w:rPr>
            </w:pPr>
            <w:r>
              <w:rPr>
                <w:rFonts w:hint="eastAsia" w:ascii="宋体" w:hAnsi="宋体" w:cs="宋体"/>
                <w:color w:val="auto"/>
                <w:highlight w:val="none"/>
              </w:rPr>
              <w:t>帐    号：</w:t>
            </w:r>
          </w:p>
        </w:tc>
        <w:tc>
          <w:tcPr>
            <w:tcW w:w="4812" w:type="dxa"/>
          </w:tcPr>
          <w:p w14:paraId="27C1607C">
            <w:pPr>
              <w:widowControl/>
              <w:autoSpaceDE/>
              <w:autoSpaceDN/>
              <w:snapToGrid w:val="0"/>
              <w:jc w:val="both"/>
              <w:rPr>
                <w:rFonts w:hint="eastAsia" w:ascii="宋体" w:hAnsi="宋体" w:cs="宋体"/>
                <w:color w:val="auto"/>
                <w:szCs w:val="28"/>
                <w:highlight w:val="none"/>
              </w:rPr>
            </w:pPr>
          </w:p>
        </w:tc>
      </w:tr>
      <w:tr w14:paraId="28F23580">
        <w:tblPrEx>
          <w:tblCellMar>
            <w:top w:w="0" w:type="dxa"/>
            <w:left w:w="108" w:type="dxa"/>
            <w:bottom w:w="0" w:type="dxa"/>
            <w:right w:w="108" w:type="dxa"/>
          </w:tblCellMar>
        </w:tblPrEx>
        <w:tc>
          <w:tcPr>
            <w:tcW w:w="5024" w:type="dxa"/>
          </w:tcPr>
          <w:p w14:paraId="39465BC9">
            <w:pPr>
              <w:widowControl/>
              <w:autoSpaceDE/>
              <w:autoSpaceDN/>
              <w:snapToGrid w:val="0"/>
              <w:jc w:val="both"/>
              <w:rPr>
                <w:rFonts w:hint="eastAsia" w:ascii="宋体" w:hAnsi="宋体" w:cs="宋体"/>
                <w:color w:val="auto"/>
                <w:szCs w:val="28"/>
                <w:highlight w:val="none"/>
              </w:rPr>
            </w:pPr>
            <w:r>
              <w:rPr>
                <w:rFonts w:hint="eastAsia" w:ascii="宋体" w:hAnsi="宋体" w:cs="宋体"/>
                <w:color w:val="auto"/>
                <w:highlight w:val="none"/>
              </w:rPr>
              <w:t>邮政编码：312000</w:t>
            </w:r>
          </w:p>
        </w:tc>
        <w:tc>
          <w:tcPr>
            <w:tcW w:w="4812" w:type="dxa"/>
          </w:tcPr>
          <w:p w14:paraId="5B3C0755">
            <w:pPr>
              <w:widowControl/>
              <w:autoSpaceDE/>
              <w:autoSpaceDN/>
              <w:snapToGrid w:val="0"/>
              <w:jc w:val="both"/>
              <w:rPr>
                <w:rFonts w:hint="eastAsia" w:ascii="宋体" w:hAnsi="宋体" w:cs="宋体"/>
                <w:color w:val="auto"/>
                <w:szCs w:val="28"/>
                <w:highlight w:val="none"/>
              </w:rPr>
            </w:pPr>
          </w:p>
        </w:tc>
      </w:tr>
      <w:tr w14:paraId="1E9A59CD">
        <w:tblPrEx>
          <w:tblCellMar>
            <w:top w:w="0" w:type="dxa"/>
            <w:left w:w="108" w:type="dxa"/>
            <w:bottom w:w="0" w:type="dxa"/>
            <w:right w:w="108" w:type="dxa"/>
          </w:tblCellMar>
        </w:tblPrEx>
        <w:trPr>
          <w:trHeight w:val="585" w:hRule="atLeast"/>
        </w:trPr>
        <w:tc>
          <w:tcPr>
            <w:tcW w:w="5024" w:type="dxa"/>
            <w:vAlign w:val="center"/>
          </w:tcPr>
          <w:p w14:paraId="6EFB3F5F">
            <w:pPr>
              <w:rPr>
                <w:rFonts w:hint="eastAsia" w:ascii="宋体" w:hAnsi="宋体" w:cs="宋体"/>
                <w:color w:val="auto"/>
                <w:szCs w:val="28"/>
                <w:highlight w:val="none"/>
              </w:rPr>
            </w:pPr>
            <w:r>
              <w:rPr>
                <w:rFonts w:hint="eastAsia" w:ascii="宋体" w:hAnsi="宋体" w:cs="宋体"/>
                <w:color w:val="auto"/>
                <w:highlight w:val="none"/>
              </w:rPr>
              <w:t>联系电话：</w:t>
            </w:r>
          </w:p>
        </w:tc>
        <w:tc>
          <w:tcPr>
            <w:tcW w:w="4812" w:type="dxa"/>
            <w:vAlign w:val="center"/>
          </w:tcPr>
          <w:p w14:paraId="37BB117A">
            <w:pPr>
              <w:rPr>
                <w:rFonts w:hint="eastAsia" w:ascii="宋体" w:hAnsi="宋体" w:cs="宋体"/>
                <w:color w:val="auto"/>
                <w:szCs w:val="28"/>
                <w:highlight w:val="none"/>
              </w:rPr>
            </w:pPr>
          </w:p>
        </w:tc>
      </w:tr>
      <w:tr w14:paraId="7C284C31">
        <w:tblPrEx>
          <w:tblCellMar>
            <w:top w:w="0" w:type="dxa"/>
            <w:left w:w="108" w:type="dxa"/>
            <w:bottom w:w="0" w:type="dxa"/>
            <w:right w:w="108" w:type="dxa"/>
          </w:tblCellMar>
        </w:tblPrEx>
        <w:trPr>
          <w:trHeight w:val="591" w:hRule="atLeast"/>
        </w:trPr>
        <w:tc>
          <w:tcPr>
            <w:tcW w:w="5024" w:type="dxa"/>
          </w:tcPr>
          <w:p w14:paraId="2273D734">
            <w:pPr>
              <w:widowControl/>
              <w:wordWrap w:val="0"/>
              <w:topLinePunct/>
              <w:autoSpaceDE/>
              <w:autoSpaceDN/>
              <w:snapToGrid w:val="0"/>
              <w:spacing w:line="520" w:lineRule="exact"/>
              <w:jc w:val="both"/>
              <w:rPr>
                <w:rFonts w:hint="eastAsia" w:ascii="宋体" w:hAnsi="宋体" w:cs="宋体"/>
                <w:color w:val="auto"/>
                <w:szCs w:val="21"/>
                <w:highlight w:val="none"/>
              </w:rPr>
            </w:pPr>
          </w:p>
        </w:tc>
        <w:tc>
          <w:tcPr>
            <w:tcW w:w="4812" w:type="dxa"/>
          </w:tcPr>
          <w:p w14:paraId="5113B58A">
            <w:pPr>
              <w:widowControl/>
              <w:wordWrap w:val="0"/>
              <w:topLinePunct/>
              <w:autoSpaceDE/>
              <w:autoSpaceDN/>
              <w:snapToGrid w:val="0"/>
              <w:spacing w:line="520" w:lineRule="exact"/>
              <w:jc w:val="both"/>
              <w:rPr>
                <w:rFonts w:hint="eastAsia" w:ascii="宋体" w:hAnsi="宋体" w:cs="宋体"/>
                <w:color w:val="auto"/>
                <w:szCs w:val="21"/>
                <w:highlight w:val="none"/>
              </w:rPr>
            </w:pPr>
          </w:p>
        </w:tc>
      </w:tr>
      <w:tr w14:paraId="62F5ECB4">
        <w:tblPrEx>
          <w:tblCellMar>
            <w:top w:w="0" w:type="dxa"/>
            <w:left w:w="108" w:type="dxa"/>
            <w:bottom w:w="0" w:type="dxa"/>
            <w:right w:w="108" w:type="dxa"/>
          </w:tblCellMar>
        </w:tblPrEx>
        <w:trPr>
          <w:trHeight w:val="1030" w:hRule="atLeast"/>
        </w:trPr>
        <w:tc>
          <w:tcPr>
            <w:tcW w:w="5024" w:type="dxa"/>
          </w:tcPr>
          <w:p w14:paraId="30FFE492">
            <w:pPr>
              <w:widowControl/>
              <w:autoSpaceDE/>
              <w:autoSpaceDN/>
              <w:snapToGrid w:val="0"/>
              <w:rPr>
                <w:rFonts w:hint="eastAsia" w:ascii="宋体" w:hAnsi="宋体" w:cs="宋体"/>
                <w:color w:val="auto"/>
                <w:highlight w:val="none"/>
              </w:rPr>
            </w:pPr>
            <w:r>
              <w:rPr>
                <w:rFonts w:hint="eastAsia" w:ascii="宋体" w:hAnsi="宋体" w:cs="宋体"/>
                <w:color w:val="auto"/>
                <w:highlight w:val="none"/>
              </w:rPr>
              <w:t>承包人</w:t>
            </w:r>
          </w:p>
          <w:p w14:paraId="63F076C0">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（公章）：</w:t>
            </w:r>
          </w:p>
        </w:tc>
        <w:tc>
          <w:tcPr>
            <w:tcW w:w="4812" w:type="dxa"/>
          </w:tcPr>
          <w:p w14:paraId="1B08890E">
            <w:pPr>
              <w:widowControl/>
              <w:autoSpaceDE/>
              <w:autoSpaceDN/>
              <w:snapToGrid w:val="0"/>
              <w:rPr>
                <w:rFonts w:hint="eastAsia" w:ascii="宋体" w:hAnsi="宋体" w:cs="宋体"/>
                <w:color w:val="auto"/>
                <w:highlight w:val="none"/>
              </w:rPr>
            </w:pPr>
            <w:r>
              <w:rPr>
                <w:rFonts w:hint="eastAsia" w:ascii="宋体" w:hAnsi="宋体" w:cs="宋体"/>
                <w:color w:val="auto"/>
                <w:highlight w:val="none"/>
              </w:rPr>
              <w:t>联合体成员单位（如有）</w:t>
            </w:r>
          </w:p>
          <w:p w14:paraId="317EA7BE">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（公章）：</w:t>
            </w:r>
          </w:p>
        </w:tc>
      </w:tr>
      <w:tr w14:paraId="07426D08">
        <w:tblPrEx>
          <w:tblCellMar>
            <w:top w:w="0" w:type="dxa"/>
            <w:left w:w="108" w:type="dxa"/>
            <w:bottom w:w="0" w:type="dxa"/>
            <w:right w:w="108" w:type="dxa"/>
          </w:tblCellMar>
        </w:tblPrEx>
        <w:tc>
          <w:tcPr>
            <w:tcW w:w="5024" w:type="dxa"/>
            <w:vAlign w:val="center"/>
          </w:tcPr>
          <w:p w14:paraId="0F869693">
            <w:pPr>
              <w:widowControl/>
              <w:autoSpaceDE/>
              <w:autoSpaceDN/>
              <w:snapToGrid w:val="0"/>
              <w:rPr>
                <w:rFonts w:hint="eastAsia" w:ascii="宋体" w:hAnsi="宋体" w:cs="宋体"/>
                <w:color w:val="auto"/>
                <w:highlight w:val="none"/>
              </w:rPr>
            </w:pPr>
            <w:r>
              <w:rPr>
                <w:rFonts w:hint="eastAsia" w:ascii="宋体" w:hAnsi="宋体" w:cs="宋体"/>
                <w:color w:val="auto"/>
                <w:highlight w:val="none"/>
              </w:rPr>
              <w:t>法定代表人或代表</w:t>
            </w:r>
          </w:p>
          <w:p w14:paraId="394B4F6F">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(签字或盖章)：   </w:t>
            </w:r>
          </w:p>
        </w:tc>
        <w:tc>
          <w:tcPr>
            <w:tcW w:w="4812" w:type="dxa"/>
            <w:vAlign w:val="center"/>
          </w:tcPr>
          <w:p w14:paraId="19331A7C">
            <w:pPr>
              <w:widowControl/>
              <w:autoSpaceDE/>
              <w:autoSpaceDN/>
              <w:snapToGrid w:val="0"/>
              <w:rPr>
                <w:rFonts w:hint="eastAsia" w:ascii="宋体" w:hAnsi="宋体" w:cs="宋体"/>
                <w:color w:val="auto"/>
                <w:highlight w:val="none"/>
              </w:rPr>
            </w:pPr>
            <w:r>
              <w:rPr>
                <w:rFonts w:hint="eastAsia" w:ascii="宋体" w:hAnsi="宋体" w:cs="宋体"/>
                <w:color w:val="auto"/>
                <w:highlight w:val="none"/>
              </w:rPr>
              <w:t>法定代表人或代表</w:t>
            </w:r>
          </w:p>
          <w:p w14:paraId="588BD39F">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(签字或盖章)：   </w:t>
            </w:r>
          </w:p>
        </w:tc>
      </w:tr>
      <w:tr w14:paraId="72AD54B5">
        <w:tblPrEx>
          <w:tblCellMar>
            <w:top w:w="0" w:type="dxa"/>
            <w:left w:w="108" w:type="dxa"/>
            <w:bottom w:w="0" w:type="dxa"/>
            <w:right w:w="108" w:type="dxa"/>
          </w:tblCellMar>
        </w:tblPrEx>
        <w:tc>
          <w:tcPr>
            <w:tcW w:w="5024" w:type="dxa"/>
            <w:vAlign w:val="center"/>
          </w:tcPr>
          <w:p w14:paraId="1A5D7F76">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联系人（签字）：               </w:t>
            </w:r>
            <w:r>
              <w:rPr>
                <w:rFonts w:hint="eastAsia" w:ascii="宋体" w:hAnsi="宋体" w:cs="宋体"/>
                <w:color w:val="auto"/>
                <w:highlight w:val="none"/>
              </w:rPr>
              <w:tab/>
            </w:r>
            <w:r>
              <w:rPr>
                <w:rFonts w:hint="eastAsia" w:ascii="宋体" w:hAnsi="宋体" w:cs="宋体"/>
                <w:color w:val="auto"/>
                <w:highlight w:val="none"/>
              </w:rPr>
              <w:t xml:space="preserve"> </w:t>
            </w:r>
          </w:p>
        </w:tc>
        <w:tc>
          <w:tcPr>
            <w:tcW w:w="4812" w:type="dxa"/>
            <w:vAlign w:val="center"/>
          </w:tcPr>
          <w:p w14:paraId="0FEF8426">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联系人（签字）：               </w:t>
            </w:r>
          </w:p>
        </w:tc>
      </w:tr>
      <w:tr w14:paraId="2E7BFD96">
        <w:tblPrEx>
          <w:tblCellMar>
            <w:top w:w="0" w:type="dxa"/>
            <w:left w:w="108" w:type="dxa"/>
            <w:bottom w:w="0" w:type="dxa"/>
            <w:right w:w="108" w:type="dxa"/>
          </w:tblCellMar>
        </w:tblPrEx>
        <w:tc>
          <w:tcPr>
            <w:tcW w:w="5024" w:type="dxa"/>
            <w:vAlign w:val="center"/>
          </w:tcPr>
          <w:p w14:paraId="7E9798B7">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单位地址：</w:t>
            </w:r>
          </w:p>
        </w:tc>
        <w:tc>
          <w:tcPr>
            <w:tcW w:w="4812" w:type="dxa"/>
            <w:vAlign w:val="center"/>
          </w:tcPr>
          <w:p w14:paraId="18CA9327">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单位地址：</w:t>
            </w:r>
          </w:p>
        </w:tc>
      </w:tr>
      <w:tr w14:paraId="2FAE9E6E">
        <w:tblPrEx>
          <w:tblCellMar>
            <w:top w:w="0" w:type="dxa"/>
            <w:left w:w="108" w:type="dxa"/>
            <w:bottom w:w="0" w:type="dxa"/>
            <w:right w:w="108" w:type="dxa"/>
          </w:tblCellMar>
        </w:tblPrEx>
        <w:tc>
          <w:tcPr>
            <w:tcW w:w="5024" w:type="dxa"/>
            <w:vAlign w:val="center"/>
          </w:tcPr>
          <w:p w14:paraId="65BC22BB">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纳税登记号：  </w:t>
            </w:r>
            <w:r>
              <w:rPr>
                <w:rFonts w:hint="eastAsia" w:ascii="宋体" w:hAnsi="宋体" w:cs="宋体"/>
                <w:color w:val="auto"/>
                <w:highlight w:val="none"/>
              </w:rPr>
              <w:tab/>
            </w:r>
          </w:p>
        </w:tc>
        <w:tc>
          <w:tcPr>
            <w:tcW w:w="4812" w:type="dxa"/>
            <w:vAlign w:val="center"/>
          </w:tcPr>
          <w:p w14:paraId="7D8D4575">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纳税登记号：  </w:t>
            </w:r>
            <w:r>
              <w:rPr>
                <w:rFonts w:hint="eastAsia" w:ascii="宋体" w:hAnsi="宋体" w:cs="宋体"/>
                <w:color w:val="auto"/>
                <w:highlight w:val="none"/>
              </w:rPr>
              <w:tab/>
            </w:r>
          </w:p>
        </w:tc>
      </w:tr>
      <w:tr w14:paraId="052F34B2">
        <w:tblPrEx>
          <w:tblCellMar>
            <w:top w:w="0" w:type="dxa"/>
            <w:left w:w="108" w:type="dxa"/>
            <w:bottom w:w="0" w:type="dxa"/>
            <w:right w:w="108" w:type="dxa"/>
          </w:tblCellMar>
        </w:tblPrEx>
        <w:tc>
          <w:tcPr>
            <w:tcW w:w="5024" w:type="dxa"/>
            <w:vAlign w:val="center"/>
          </w:tcPr>
          <w:p w14:paraId="59009E6D">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开户银行：       </w:t>
            </w:r>
          </w:p>
        </w:tc>
        <w:tc>
          <w:tcPr>
            <w:tcW w:w="4812" w:type="dxa"/>
            <w:vAlign w:val="center"/>
          </w:tcPr>
          <w:p w14:paraId="07CAABD8">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开户银行：       </w:t>
            </w:r>
          </w:p>
        </w:tc>
      </w:tr>
      <w:tr w14:paraId="22B3EA8B">
        <w:tblPrEx>
          <w:tblCellMar>
            <w:top w:w="0" w:type="dxa"/>
            <w:left w:w="108" w:type="dxa"/>
            <w:bottom w:w="0" w:type="dxa"/>
            <w:right w:w="108" w:type="dxa"/>
          </w:tblCellMar>
        </w:tblPrEx>
        <w:tc>
          <w:tcPr>
            <w:tcW w:w="5024" w:type="dxa"/>
            <w:vAlign w:val="center"/>
          </w:tcPr>
          <w:p w14:paraId="7F053F1E">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帐    号：       </w:t>
            </w:r>
          </w:p>
        </w:tc>
        <w:tc>
          <w:tcPr>
            <w:tcW w:w="4812" w:type="dxa"/>
            <w:vAlign w:val="center"/>
          </w:tcPr>
          <w:p w14:paraId="0753536B">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 xml:space="preserve">帐    号：       </w:t>
            </w:r>
          </w:p>
        </w:tc>
      </w:tr>
      <w:tr w14:paraId="584747E1">
        <w:tblPrEx>
          <w:tblCellMar>
            <w:top w:w="0" w:type="dxa"/>
            <w:left w:w="108" w:type="dxa"/>
            <w:bottom w:w="0" w:type="dxa"/>
            <w:right w:w="108" w:type="dxa"/>
          </w:tblCellMar>
        </w:tblPrEx>
        <w:tc>
          <w:tcPr>
            <w:tcW w:w="5024" w:type="dxa"/>
            <w:vAlign w:val="center"/>
          </w:tcPr>
          <w:p w14:paraId="6B399296">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邮政编码：</w:t>
            </w:r>
          </w:p>
        </w:tc>
        <w:tc>
          <w:tcPr>
            <w:tcW w:w="4812" w:type="dxa"/>
            <w:vAlign w:val="center"/>
          </w:tcPr>
          <w:p w14:paraId="1AB97842">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邮政编码：</w:t>
            </w:r>
          </w:p>
        </w:tc>
      </w:tr>
      <w:tr w14:paraId="6C6DEAF7">
        <w:tblPrEx>
          <w:tblCellMar>
            <w:top w:w="0" w:type="dxa"/>
            <w:left w:w="108" w:type="dxa"/>
            <w:bottom w:w="0" w:type="dxa"/>
            <w:right w:w="108" w:type="dxa"/>
          </w:tblCellMar>
        </w:tblPrEx>
        <w:tc>
          <w:tcPr>
            <w:tcW w:w="5024" w:type="dxa"/>
            <w:vAlign w:val="center"/>
          </w:tcPr>
          <w:p w14:paraId="419D5CA7">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联系电话：</w:t>
            </w:r>
          </w:p>
        </w:tc>
        <w:tc>
          <w:tcPr>
            <w:tcW w:w="4812" w:type="dxa"/>
            <w:vAlign w:val="center"/>
          </w:tcPr>
          <w:p w14:paraId="4CF84B4F">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联系电话：</w:t>
            </w:r>
          </w:p>
        </w:tc>
      </w:tr>
      <w:tr w14:paraId="75087CCB">
        <w:tblPrEx>
          <w:tblCellMar>
            <w:top w:w="0" w:type="dxa"/>
            <w:left w:w="108" w:type="dxa"/>
            <w:bottom w:w="0" w:type="dxa"/>
            <w:right w:w="108" w:type="dxa"/>
          </w:tblCellMar>
        </w:tblPrEx>
        <w:tc>
          <w:tcPr>
            <w:tcW w:w="5024" w:type="dxa"/>
            <w:vAlign w:val="center"/>
          </w:tcPr>
          <w:p w14:paraId="4FDBFAB1">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传    真：</w:t>
            </w:r>
          </w:p>
        </w:tc>
        <w:tc>
          <w:tcPr>
            <w:tcW w:w="4812" w:type="dxa"/>
            <w:vAlign w:val="center"/>
          </w:tcPr>
          <w:p w14:paraId="452D46F8">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传    真：</w:t>
            </w:r>
          </w:p>
        </w:tc>
      </w:tr>
      <w:tr w14:paraId="32937A8B">
        <w:tblPrEx>
          <w:tblCellMar>
            <w:top w:w="0" w:type="dxa"/>
            <w:left w:w="108" w:type="dxa"/>
            <w:bottom w:w="0" w:type="dxa"/>
            <w:right w:w="108" w:type="dxa"/>
          </w:tblCellMar>
        </w:tblPrEx>
        <w:tc>
          <w:tcPr>
            <w:tcW w:w="5024" w:type="dxa"/>
            <w:vAlign w:val="center"/>
          </w:tcPr>
          <w:p w14:paraId="61A87CBE">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电子信箱：</w:t>
            </w:r>
          </w:p>
        </w:tc>
        <w:tc>
          <w:tcPr>
            <w:tcW w:w="4812" w:type="dxa"/>
            <w:vAlign w:val="center"/>
          </w:tcPr>
          <w:p w14:paraId="17C66EC0">
            <w:pPr>
              <w:widowControl/>
              <w:autoSpaceDE/>
              <w:autoSpaceDN/>
              <w:snapToGrid w:val="0"/>
              <w:rPr>
                <w:rFonts w:hint="eastAsia" w:ascii="宋体" w:hAnsi="宋体" w:cs="宋体"/>
                <w:color w:val="auto"/>
                <w:szCs w:val="28"/>
                <w:highlight w:val="none"/>
              </w:rPr>
            </w:pPr>
            <w:r>
              <w:rPr>
                <w:rFonts w:hint="eastAsia" w:ascii="宋体" w:hAnsi="宋体" w:cs="宋体"/>
                <w:color w:val="auto"/>
                <w:highlight w:val="none"/>
              </w:rPr>
              <w:t>电子信箱：</w:t>
            </w:r>
          </w:p>
        </w:tc>
      </w:tr>
    </w:tbl>
    <w:p w14:paraId="5ED0E236">
      <w:pPr>
        <w:jc w:val="center"/>
        <w:rPr>
          <w:rFonts w:hint="eastAsia" w:ascii="宋体" w:hAnsi="宋体" w:cs="宋体"/>
          <w:color w:val="auto"/>
          <w:sz w:val="32"/>
          <w:highlight w:val="none"/>
        </w:rPr>
      </w:pPr>
    </w:p>
    <w:p w14:paraId="0E8328E8">
      <w:pPr>
        <w:pStyle w:val="2"/>
        <w:spacing w:before="120" w:after="120"/>
        <w:rPr>
          <w:bCs w:val="0"/>
          <w:color w:val="auto"/>
          <w:highlight w:val="none"/>
        </w:rPr>
      </w:pPr>
    </w:p>
    <w:p w14:paraId="58C50659">
      <w:pPr>
        <w:pStyle w:val="2"/>
        <w:spacing w:before="120" w:after="120"/>
        <w:rPr>
          <w:bCs w:val="0"/>
          <w:color w:val="auto"/>
          <w:highlight w:val="none"/>
        </w:rPr>
      </w:pPr>
    </w:p>
    <w:p w14:paraId="19917BC5">
      <w:pPr>
        <w:pStyle w:val="2"/>
        <w:spacing w:before="120" w:after="120"/>
        <w:rPr>
          <w:bCs w:val="0"/>
          <w:color w:val="auto"/>
          <w:highlight w:val="none"/>
        </w:rPr>
      </w:pPr>
    </w:p>
    <w:p w14:paraId="7D45FC92">
      <w:pPr>
        <w:pStyle w:val="2"/>
        <w:spacing w:before="120" w:after="120"/>
        <w:rPr>
          <w:bCs w:val="0"/>
          <w:color w:val="auto"/>
          <w:highlight w:val="none"/>
        </w:rPr>
      </w:pPr>
    </w:p>
    <w:p w14:paraId="00F75C3D">
      <w:pPr>
        <w:pStyle w:val="2"/>
        <w:spacing w:before="120" w:after="120"/>
        <w:rPr>
          <w:bCs w:val="0"/>
          <w:color w:val="auto"/>
          <w:highlight w:val="none"/>
        </w:rPr>
      </w:pPr>
    </w:p>
    <w:p w14:paraId="2C9A328E">
      <w:pPr>
        <w:pStyle w:val="2"/>
        <w:spacing w:before="120" w:after="120"/>
        <w:rPr>
          <w:bCs w:val="0"/>
          <w:color w:val="auto"/>
          <w:highlight w:val="none"/>
        </w:rPr>
      </w:pPr>
    </w:p>
    <w:p w14:paraId="32923360">
      <w:pPr>
        <w:pStyle w:val="2"/>
        <w:spacing w:before="120" w:after="120"/>
        <w:rPr>
          <w:bCs w:val="0"/>
          <w:color w:val="auto"/>
          <w:highlight w:val="none"/>
        </w:rPr>
      </w:pPr>
    </w:p>
    <w:p w14:paraId="2DC9BB49">
      <w:pPr>
        <w:pStyle w:val="2"/>
        <w:spacing w:before="120" w:after="120"/>
        <w:rPr>
          <w:bCs w:val="0"/>
          <w:color w:val="auto"/>
          <w:highlight w:val="none"/>
        </w:rPr>
      </w:pPr>
    </w:p>
    <w:p w14:paraId="2F22B3B4">
      <w:pPr>
        <w:pStyle w:val="2"/>
        <w:spacing w:before="120" w:after="120"/>
        <w:rPr>
          <w:bCs w:val="0"/>
          <w:color w:val="auto"/>
          <w:highlight w:val="none"/>
        </w:rPr>
      </w:pPr>
    </w:p>
    <w:p w14:paraId="6154C9DB">
      <w:pPr>
        <w:pStyle w:val="2"/>
        <w:spacing w:before="120" w:after="120"/>
        <w:rPr>
          <w:bCs w:val="0"/>
          <w:color w:val="auto"/>
          <w:highlight w:val="none"/>
        </w:rPr>
      </w:pPr>
    </w:p>
    <w:p w14:paraId="0CD0C75E">
      <w:pPr>
        <w:pStyle w:val="2"/>
        <w:spacing w:before="120" w:after="120"/>
        <w:rPr>
          <w:bCs w:val="0"/>
          <w:color w:val="auto"/>
          <w:highlight w:val="none"/>
        </w:rPr>
      </w:pPr>
    </w:p>
    <w:p w14:paraId="407D130D">
      <w:pPr>
        <w:pStyle w:val="2"/>
        <w:spacing w:before="120" w:after="120"/>
        <w:rPr>
          <w:bCs w:val="0"/>
          <w:color w:val="auto"/>
          <w:highlight w:val="none"/>
        </w:rPr>
      </w:pPr>
      <w:r>
        <w:rPr>
          <w:rFonts w:hint="eastAsia"/>
          <w:bCs w:val="0"/>
          <w:color w:val="auto"/>
          <w:highlight w:val="none"/>
        </w:rPr>
        <w:t>第二部分 通用合同条件</w:t>
      </w:r>
    </w:p>
    <w:p w14:paraId="1950B284">
      <w:pPr>
        <w:rPr>
          <w:color w:val="auto"/>
          <w:highlight w:val="none"/>
        </w:rPr>
      </w:pPr>
    </w:p>
    <w:p w14:paraId="47DD2ECB">
      <w:pPr>
        <w:rPr>
          <w:rFonts w:hint="eastAsia" w:ascii="宋体" w:hAnsi="宋体" w:cs="宋体"/>
          <w:color w:val="auto"/>
          <w:highlight w:val="none"/>
        </w:rPr>
      </w:pPr>
      <w:r>
        <w:rPr>
          <w:rFonts w:hint="eastAsia" w:ascii="宋体" w:hAnsi="宋体" w:cs="宋体"/>
          <w:color w:val="auto"/>
          <w:highlight w:val="none"/>
        </w:rPr>
        <w:t>本合同采用《建设项目工程总承包合同（示范文本）》（GF-2020-0216）合同条款及格式。</w:t>
      </w:r>
    </w:p>
    <w:p w14:paraId="0B590E78">
      <w:pPr>
        <w:jc w:val="center"/>
        <w:rPr>
          <w:rFonts w:hint="eastAsia" w:ascii="宋体" w:hAnsi="宋体" w:cs="宋体"/>
          <w:color w:val="auto"/>
          <w:sz w:val="32"/>
          <w:highlight w:val="none"/>
        </w:rPr>
      </w:pPr>
    </w:p>
    <w:p w14:paraId="728CDA92">
      <w:pPr>
        <w:jc w:val="center"/>
        <w:rPr>
          <w:rFonts w:hint="eastAsia" w:ascii="宋体" w:hAnsi="宋体" w:cs="宋体"/>
          <w:color w:val="auto"/>
          <w:sz w:val="32"/>
          <w:highlight w:val="none"/>
        </w:rPr>
      </w:pPr>
    </w:p>
    <w:p w14:paraId="20AA1019">
      <w:pPr>
        <w:jc w:val="center"/>
        <w:rPr>
          <w:rFonts w:hint="eastAsia" w:ascii="宋体" w:hAnsi="宋体" w:cs="宋体"/>
          <w:color w:val="auto"/>
          <w:sz w:val="32"/>
          <w:highlight w:val="none"/>
        </w:rPr>
      </w:pPr>
    </w:p>
    <w:p w14:paraId="373848B4">
      <w:pPr>
        <w:pStyle w:val="6"/>
        <w:ind w:firstLine="640"/>
        <w:rPr>
          <w:rFonts w:hint="eastAsia" w:ascii="宋体" w:hAnsi="宋体" w:cs="宋体"/>
          <w:color w:val="auto"/>
          <w:sz w:val="32"/>
          <w:highlight w:val="none"/>
        </w:rPr>
      </w:pPr>
    </w:p>
    <w:p w14:paraId="0549EF05">
      <w:pPr>
        <w:pStyle w:val="6"/>
        <w:ind w:firstLine="640"/>
        <w:rPr>
          <w:rFonts w:hint="eastAsia" w:ascii="宋体" w:hAnsi="宋体" w:cs="宋体"/>
          <w:color w:val="auto"/>
          <w:sz w:val="32"/>
          <w:highlight w:val="none"/>
        </w:rPr>
      </w:pPr>
    </w:p>
    <w:p w14:paraId="00634D31">
      <w:pPr>
        <w:pStyle w:val="6"/>
        <w:ind w:firstLine="640"/>
        <w:rPr>
          <w:rFonts w:hint="eastAsia" w:ascii="宋体" w:hAnsi="宋体" w:cs="宋体"/>
          <w:color w:val="auto"/>
          <w:sz w:val="32"/>
          <w:highlight w:val="none"/>
        </w:rPr>
      </w:pPr>
    </w:p>
    <w:p w14:paraId="7C94F104">
      <w:pPr>
        <w:pStyle w:val="6"/>
        <w:ind w:firstLine="640"/>
        <w:rPr>
          <w:rFonts w:hint="eastAsia" w:ascii="宋体" w:hAnsi="宋体" w:cs="宋体"/>
          <w:color w:val="auto"/>
          <w:sz w:val="32"/>
          <w:highlight w:val="none"/>
        </w:rPr>
      </w:pPr>
    </w:p>
    <w:p w14:paraId="78EF2AB3">
      <w:pPr>
        <w:pStyle w:val="6"/>
        <w:ind w:firstLine="640"/>
        <w:rPr>
          <w:rFonts w:hint="eastAsia" w:ascii="宋体" w:hAnsi="宋体" w:cs="宋体"/>
          <w:color w:val="auto"/>
          <w:sz w:val="32"/>
          <w:highlight w:val="none"/>
        </w:rPr>
      </w:pPr>
    </w:p>
    <w:p w14:paraId="0A46142F">
      <w:pPr>
        <w:pStyle w:val="6"/>
        <w:ind w:firstLine="640"/>
        <w:rPr>
          <w:rFonts w:hint="eastAsia" w:ascii="宋体" w:hAnsi="宋体" w:cs="宋体"/>
          <w:color w:val="auto"/>
          <w:sz w:val="32"/>
          <w:highlight w:val="none"/>
        </w:rPr>
      </w:pPr>
    </w:p>
    <w:p w14:paraId="3D810BFE">
      <w:pPr>
        <w:pStyle w:val="6"/>
        <w:ind w:firstLine="640"/>
        <w:rPr>
          <w:rFonts w:hint="eastAsia" w:ascii="宋体" w:hAnsi="宋体" w:cs="宋体"/>
          <w:color w:val="auto"/>
          <w:sz w:val="32"/>
          <w:highlight w:val="none"/>
        </w:rPr>
      </w:pPr>
    </w:p>
    <w:p w14:paraId="1AB5DC9A">
      <w:pPr>
        <w:pStyle w:val="6"/>
        <w:ind w:firstLine="640"/>
        <w:rPr>
          <w:rFonts w:hint="eastAsia" w:ascii="宋体" w:hAnsi="宋体" w:cs="宋体"/>
          <w:color w:val="auto"/>
          <w:sz w:val="32"/>
          <w:highlight w:val="none"/>
        </w:rPr>
      </w:pPr>
    </w:p>
    <w:p w14:paraId="4DDCC4CE">
      <w:pPr>
        <w:pStyle w:val="6"/>
        <w:ind w:firstLine="640"/>
        <w:rPr>
          <w:rFonts w:hint="eastAsia" w:ascii="宋体" w:hAnsi="宋体" w:cs="宋体"/>
          <w:color w:val="auto"/>
          <w:sz w:val="32"/>
          <w:highlight w:val="none"/>
        </w:rPr>
      </w:pPr>
    </w:p>
    <w:p w14:paraId="2976E9E8">
      <w:pPr>
        <w:pStyle w:val="6"/>
        <w:ind w:firstLine="640"/>
        <w:rPr>
          <w:rFonts w:hint="eastAsia" w:ascii="宋体" w:hAnsi="宋体" w:cs="宋体"/>
          <w:color w:val="auto"/>
          <w:sz w:val="32"/>
          <w:highlight w:val="none"/>
        </w:rPr>
      </w:pPr>
    </w:p>
    <w:p w14:paraId="51F81F4E">
      <w:pPr>
        <w:jc w:val="center"/>
        <w:rPr>
          <w:rFonts w:hint="eastAsia" w:ascii="宋体" w:hAnsi="宋体" w:cs="宋体"/>
          <w:color w:val="auto"/>
          <w:sz w:val="32"/>
          <w:highlight w:val="none"/>
        </w:rPr>
      </w:pPr>
    </w:p>
    <w:p w14:paraId="36D5CBC1">
      <w:pPr>
        <w:jc w:val="center"/>
        <w:rPr>
          <w:rFonts w:hint="eastAsia" w:ascii="宋体" w:hAnsi="宋体" w:cs="宋体"/>
          <w:color w:val="auto"/>
          <w:sz w:val="32"/>
          <w:highlight w:val="none"/>
        </w:rPr>
      </w:pPr>
    </w:p>
    <w:p w14:paraId="42F66B7A">
      <w:pPr>
        <w:jc w:val="center"/>
        <w:rPr>
          <w:rFonts w:hint="eastAsia" w:ascii="宋体" w:hAnsi="宋体" w:cs="宋体"/>
          <w:color w:val="auto"/>
          <w:sz w:val="32"/>
          <w:highlight w:val="none"/>
        </w:rPr>
      </w:pPr>
    </w:p>
    <w:p w14:paraId="0286024A">
      <w:pPr>
        <w:jc w:val="center"/>
        <w:rPr>
          <w:rFonts w:hint="eastAsia" w:ascii="宋体" w:hAnsi="宋体" w:cs="宋体"/>
          <w:color w:val="auto"/>
          <w:sz w:val="32"/>
          <w:highlight w:val="none"/>
        </w:rPr>
      </w:pPr>
    </w:p>
    <w:p w14:paraId="6A1271A0">
      <w:pPr>
        <w:jc w:val="center"/>
        <w:rPr>
          <w:rFonts w:hint="eastAsia" w:ascii="宋体" w:hAnsi="宋体" w:cs="宋体"/>
          <w:color w:val="auto"/>
          <w:sz w:val="32"/>
          <w:highlight w:val="none"/>
        </w:rPr>
      </w:pPr>
    </w:p>
    <w:p w14:paraId="609DEF6D">
      <w:pPr>
        <w:pStyle w:val="6"/>
        <w:ind w:firstLine="640"/>
        <w:rPr>
          <w:rFonts w:hint="eastAsia" w:ascii="宋体" w:hAnsi="宋体" w:cs="宋体"/>
          <w:color w:val="auto"/>
          <w:sz w:val="32"/>
          <w:highlight w:val="none"/>
        </w:rPr>
      </w:pPr>
    </w:p>
    <w:p w14:paraId="25F71373">
      <w:pPr>
        <w:pStyle w:val="6"/>
        <w:ind w:firstLine="640"/>
        <w:rPr>
          <w:rFonts w:hint="eastAsia" w:ascii="宋体" w:hAnsi="宋体" w:cs="宋体"/>
          <w:color w:val="auto"/>
          <w:sz w:val="32"/>
          <w:highlight w:val="none"/>
        </w:rPr>
      </w:pPr>
    </w:p>
    <w:p w14:paraId="12B1D701">
      <w:pPr>
        <w:pStyle w:val="6"/>
        <w:ind w:firstLine="640"/>
        <w:rPr>
          <w:rFonts w:hint="eastAsia" w:ascii="宋体" w:hAnsi="宋体" w:cs="宋体"/>
          <w:color w:val="auto"/>
          <w:sz w:val="32"/>
          <w:highlight w:val="none"/>
        </w:rPr>
      </w:pPr>
    </w:p>
    <w:p w14:paraId="4B920BFE">
      <w:pPr>
        <w:pStyle w:val="6"/>
        <w:ind w:firstLine="640"/>
        <w:rPr>
          <w:rFonts w:hint="eastAsia" w:ascii="宋体" w:hAnsi="宋体" w:cs="宋体"/>
          <w:color w:val="auto"/>
          <w:sz w:val="32"/>
          <w:highlight w:val="none"/>
        </w:rPr>
      </w:pPr>
    </w:p>
    <w:p w14:paraId="3CE2E5D1">
      <w:pPr>
        <w:pStyle w:val="6"/>
        <w:ind w:firstLine="640"/>
        <w:rPr>
          <w:rFonts w:hint="eastAsia" w:ascii="宋体" w:hAnsi="宋体" w:cs="宋体"/>
          <w:color w:val="auto"/>
          <w:sz w:val="32"/>
          <w:highlight w:val="none"/>
        </w:rPr>
      </w:pPr>
    </w:p>
    <w:p w14:paraId="679754E5">
      <w:pPr>
        <w:jc w:val="center"/>
        <w:rPr>
          <w:rFonts w:hint="eastAsia" w:ascii="宋体" w:hAnsi="宋体" w:cs="宋体"/>
          <w:color w:val="auto"/>
          <w:sz w:val="32"/>
          <w:highlight w:val="none"/>
        </w:rPr>
      </w:pPr>
    </w:p>
    <w:p w14:paraId="33A0CA75">
      <w:pPr>
        <w:pStyle w:val="2"/>
        <w:spacing w:before="120" w:after="120"/>
        <w:rPr>
          <w:color w:val="auto"/>
          <w:highlight w:val="none"/>
        </w:rPr>
      </w:pPr>
      <w:bookmarkStart w:id="132" w:name="_Toc54862331"/>
    </w:p>
    <w:p w14:paraId="3A83A83F">
      <w:pPr>
        <w:pStyle w:val="2"/>
        <w:spacing w:before="120" w:after="120"/>
        <w:rPr>
          <w:color w:val="auto"/>
          <w:highlight w:val="none"/>
        </w:rPr>
      </w:pPr>
    </w:p>
    <w:p w14:paraId="67DA4623">
      <w:pPr>
        <w:pStyle w:val="2"/>
        <w:spacing w:before="120" w:after="120"/>
        <w:rPr>
          <w:color w:val="auto"/>
          <w:highlight w:val="none"/>
        </w:rPr>
      </w:pPr>
    </w:p>
    <w:p w14:paraId="3BC190F8">
      <w:pPr>
        <w:pStyle w:val="2"/>
        <w:spacing w:before="120" w:after="120"/>
        <w:rPr>
          <w:color w:val="auto"/>
          <w:highlight w:val="none"/>
        </w:rPr>
      </w:pPr>
    </w:p>
    <w:p w14:paraId="0BE35549">
      <w:pPr>
        <w:pStyle w:val="2"/>
        <w:spacing w:before="120" w:after="120"/>
        <w:rPr>
          <w:rFonts w:hint="eastAsia" w:ascii="华文中宋" w:hAnsi="华文中宋" w:eastAsia="华文中宋"/>
          <w:color w:val="auto"/>
          <w:szCs w:val="52"/>
          <w:highlight w:val="none"/>
        </w:rPr>
      </w:pPr>
      <w:r>
        <w:rPr>
          <w:rFonts w:hint="eastAsia"/>
          <w:color w:val="auto"/>
          <w:highlight w:val="none"/>
        </w:rPr>
        <w:t>第三部分</w:t>
      </w:r>
      <w:r>
        <w:rPr>
          <w:color w:val="auto"/>
          <w:highlight w:val="none"/>
        </w:rPr>
        <w:t xml:space="preserve"> </w:t>
      </w:r>
      <w:r>
        <w:rPr>
          <w:rFonts w:hint="eastAsia"/>
          <w:color w:val="auto"/>
          <w:highlight w:val="none"/>
        </w:rPr>
        <w:t>专用合同条件</w:t>
      </w:r>
      <w:bookmarkEnd w:id="132"/>
    </w:p>
    <w:p w14:paraId="2B4B872B">
      <w:pPr>
        <w:pStyle w:val="3"/>
        <w:jc w:val="both"/>
        <w:rPr>
          <w:rFonts w:hint="eastAsia" w:ascii="宋体" w:hAnsi="宋体" w:cs="宋体"/>
          <w:color w:val="auto"/>
          <w:highlight w:val="none"/>
        </w:rPr>
      </w:pPr>
      <w:bookmarkStart w:id="133" w:name="_Toc54862332"/>
      <w:r>
        <w:rPr>
          <w:rFonts w:hint="eastAsia" w:ascii="宋体" w:hAnsi="宋体" w:cs="宋体"/>
          <w:color w:val="auto"/>
          <w:highlight w:val="none"/>
        </w:rPr>
        <w:t>第1条 一般约定</w:t>
      </w:r>
      <w:bookmarkEnd w:id="133"/>
    </w:p>
    <w:p w14:paraId="0B8D5890">
      <w:pPr>
        <w:pStyle w:val="4"/>
        <w:jc w:val="both"/>
        <w:rPr>
          <w:rFonts w:hint="eastAsia" w:ascii="宋体" w:hAnsi="宋体" w:cs="宋体"/>
          <w:color w:val="auto"/>
          <w:szCs w:val="28"/>
          <w:highlight w:val="none"/>
        </w:rPr>
      </w:pPr>
      <w:r>
        <w:rPr>
          <w:rFonts w:hint="eastAsia" w:ascii="宋体" w:hAnsi="宋体" w:cs="宋体"/>
          <w:color w:val="auto"/>
          <w:szCs w:val="28"/>
          <w:highlight w:val="none"/>
        </w:rPr>
        <w:t>1.1 词语定义和解释</w:t>
      </w:r>
    </w:p>
    <w:p w14:paraId="488B3AEB">
      <w:pPr>
        <w:spacing w:line="440" w:lineRule="exact"/>
        <w:ind w:firstLine="480" w:firstLineChars="200"/>
        <w:jc w:val="both"/>
        <w:rPr>
          <w:color w:val="auto"/>
          <w:highlight w:val="none"/>
        </w:rPr>
      </w:pPr>
      <w:r>
        <w:rPr>
          <w:color w:val="auto"/>
          <w:highlight w:val="none"/>
        </w:rPr>
        <w:t xml:space="preserve">1.1.1 </w:t>
      </w:r>
      <w:r>
        <w:rPr>
          <w:rFonts w:hint="eastAsia"/>
          <w:color w:val="auto"/>
          <w:highlight w:val="none"/>
        </w:rPr>
        <w:t>合同</w:t>
      </w:r>
    </w:p>
    <w:p w14:paraId="20602277">
      <w:pPr>
        <w:spacing w:line="440" w:lineRule="exact"/>
        <w:ind w:firstLine="480" w:firstLineChars="200"/>
        <w:jc w:val="both"/>
        <w:rPr>
          <w:color w:val="auto"/>
          <w:highlight w:val="none"/>
          <w:u w:val="single"/>
        </w:rPr>
      </w:pPr>
      <w:r>
        <w:rPr>
          <w:color w:val="auto"/>
          <w:highlight w:val="none"/>
        </w:rPr>
        <w:t xml:space="preserve">1.1.1.10 </w:t>
      </w:r>
      <w:r>
        <w:rPr>
          <w:rFonts w:hint="eastAsia"/>
          <w:color w:val="auto"/>
          <w:highlight w:val="none"/>
        </w:rPr>
        <w:t>其他合同文件：</w:t>
      </w:r>
      <w:r>
        <w:rPr>
          <w:rFonts w:hint="eastAsia"/>
          <w:color w:val="auto"/>
          <w:highlight w:val="none"/>
          <w:u w:val="single"/>
        </w:rPr>
        <w:t>⑴含合同谈判中澄清文件；⑵承包人在评标定标期间递交和确认并经发包人同意的对有关问题的补充资料和澄清、承诺文件等；(3)询标纪要、招标补充文件（答疑纪要）、招标文件；（4）发包人与承包人有关工程的洽商、工程变更等书面协议或文件等；（5）合同附件一～六。</w:t>
      </w:r>
    </w:p>
    <w:p w14:paraId="2316E196">
      <w:pPr>
        <w:spacing w:line="440" w:lineRule="exact"/>
        <w:ind w:firstLine="480" w:firstLineChars="200"/>
        <w:jc w:val="both"/>
        <w:rPr>
          <w:color w:val="auto"/>
          <w:highlight w:val="none"/>
        </w:rPr>
      </w:pPr>
      <w:r>
        <w:rPr>
          <w:color w:val="auto"/>
          <w:highlight w:val="none"/>
        </w:rPr>
        <w:t xml:space="preserve">1.1.3 </w:t>
      </w:r>
      <w:r>
        <w:rPr>
          <w:rFonts w:hint="eastAsia"/>
          <w:color w:val="auto"/>
          <w:highlight w:val="none"/>
        </w:rPr>
        <w:t>工程和设备</w:t>
      </w:r>
    </w:p>
    <w:p w14:paraId="3FD8ED5E">
      <w:pPr>
        <w:spacing w:line="440" w:lineRule="exact"/>
        <w:ind w:firstLine="480" w:firstLineChars="200"/>
        <w:jc w:val="both"/>
        <w:rPr>
          <w:color w:val="auto"/>
          <w:highlight w:val="none"/>
        </w:rPr>
      </w:pPr>
      <w:r>
        <w:rPr>
          <w:color w:val="auto"/>
          <w:highlight w:val="none"/>
        </w:rPr>
        <w:t xml:space="preserve">1.1.3.5 </w:t>
      </w:r>
      <w:r>
        <w:rPr>
          <w:rFonts w:hint="eastAsia"/>
          <w:color w:val="auto"/>
          <w:highlight w:val="none"/>
        </w:rPr>
        <w:t>单位/区段工程的范围：</w:t>
      </w:r>
      <w:r>
        <w:rPr>
          <w:color w:val="auto"/>
          <w:highlight w:val="none"/>
          <w:u w:val="single"/>
        </w:rPr>
        <w:t xml:space="preserve">                    </w:t>
      </w:r>
      <w:r>
        <w:rPr>
          <w:color w:val="auto"/>
          <w:highlight w:val="none"/>
        </w:rPr>
        <w:t xml:space="preserve"> </w:t>
      </w:r>
      <w:r>
        <w:rPr>
          <w:rFonts w:hint="eastAsia"/>
          <w:color w:val="auto"/>
          <w:highlight w:val="none"/>
        </w:rPr>
        <w:t>。</w:t>
      </w:r>
    </w:p>
    <w:p w14:paraId="0016F9A2">
      <w:pPr>
        <w:spacing w:line="440" w:lineRule="exact"/>
        <w:ind w:firstLine="480" w:firstLineChars="200"/>
        <w:jc w:val="both"/>
        <w:rPr>
          <w:color w:val="auto"/>
          <w:highlight w:val="none"/>
        </w:rPr>
      </w:pPr>
      <w:r>
        <w:rPr>
          <w:color w:val="auto"/>
          <w:highlight w:val="none"/>
        </w:rPr>
        <w:t xml:space="preserve">1.1.3.9 </w:t>
      </w:r>
      <w:r>
        <w:rPr>
          <w:rFonts w:hint="eastAsia"/>
          <w:color w:val="auto"/>
          <w:highlight w:val="none"/>
        </w:rPr>
        <w:t>作为施工场所组成部分的其他场所包括：</w:t>
      </w:r>
      <w:r>
        <w:rPr>
          <w:color w:val="auto"/>
          <w:highlight w:val="none"/>
          <w:u w:val="single"/>
        </w:rPr>
        <w:t xml:space="preserve">      </w:t>
      </w:r>
      <w:r>
        <w:rPr>
          <w:color w:val="auto"/>
          <w:highlight w:val="none"/>
        </w:rPr>
        <w:t xml:space="preserve"> </w:t>
      </w:r>
      <w:r>
        <w:rPr>
          <w:rFonts w:hint="eastAsia"/>
          <w:color w:val="auto"/>
          <w:highlight w:val="none"/>
        </w:rPr>
        <w:t>。</w:t>
      </w:r>
    </w:p>
    <w:p w14:paraId="0C735E19">
      <w:pPr>
        <w:spacing w:line="440" w:lineRule="exact"/>
        <w:ind w:firstLine="480" w:firstLineChars="200"/>
        <w:jc w:val="both"/>
        <w:rPr>
          <w:color w:val="auto"/>
          <w:highlight w:val="none"/>
        </w:rPr>
      </w:pPr>
      <w:r>
        <w:rPr>
          <w:color w:val="auto"/>
          <w:highlight w:val="none"/>
        </w:rPr>
        <w:t xml:space="preserve">1.1.3.10 </w:t>
      </w:r>
      <w:r>
        <w:rPr>
          <w:rFonts w:hint="eastAsia"/>
          <w:color w:val="auto"/>
          <w:highlight w:val="none"/>
        </w:rPr>
        <w:t>永久占地包括：</w:t>
      </w:r>
      <w:r>
        <w:rPr>
          <w:rFonts w:hint="eastAsia"/>
          <w:color w:val="auto"/>
          <w:highlight w:val="none"/>
          <w:u w:val="single"/>
        </w:rPr>
        <w:t>建设永久工程的用地及其附属设施用地</w:t>
      </w:r>
      <w:r>
        <w:rPr>
          <w:rFonts w:hint="eastAsia"/>
          <w:color w:val="auto"/>
          <w:highlight w:val="none"/>
        </w:rPr>
        <w:t>。</w:t>
      </w:r>
      <w:r>
        <w:rPr>
          <w:color w:val="auto"/>
          <w:highlight w:val="none"/>
        </w:rPr>
        <w:t xml:space="preserve"> </w:t>
      </w:r>
    </w:p>
    <w:p w14:paraId="40ED98EF">
      <w:pPr>
        <w:spacing w:line="440" w:lineRule="exact"/>
        <w:ind w:firstLine="480" w:firstLineChars="200"/>
        <w:jc w:val="both"/>
        <w:rPr>
          <w:color w:val="auto"/>
          <w:highlight w:val="none"/>
        </w:rPr>
      </w:pPr>
      <w:r>
        <w:rPr>
          <w:color w:val="auto"/>
          <w:highlight w:val="none"/>
        </w:rPr>
        <w:t xml:space="preserve">1.1.3.11 </w:t>
      </w:r>
      <w:r>
        <w:rPr>
          <w:rFonts w:hint="eastAsia"/>
          <w:color w:val="auto"/>
          <w:highlight w:val="none"/>
        </w:rPr>
        <w:t>临时占地包括：</w:t>
      </w:r>
      <w:r>
        <w:rPr>
          <w:rFonts w:hint="eastAsia"/>
          <w:color w:val="auto"/>
          <w:highlight w:val="none"/>
          <w:u w:val="single"/>
        </w:rPr>
        <w:t>建设临时工程的用地或用于施工所需的临时场地，用地红线外的临时占地由承包人自行解决</w:t>
      </w:r>
      <w:r>
        <w:rPr>
          <w:rFonts w:hint="eastAsia"/>
          <w:color w:val="auto"/>
          <w:highlight w:val="none"/>
        </w:rPr>
        <w:t>。</w:t>
      </w:r>
    </w:p>
    <w:p w14:paraId="7610E4A1">
      <w:pPr>
        <w:pStyle w:val="4"/>
        <w:jc w:val="both"/>
        <w:rPr>
          <w:rFonts w:hint="eastAsia" w:ascii="宋体" w:hAnsi="宋体" w:cs="宋体"/>
          <w:color w:val="auto"/>
          <w:szCs w:val="28"/>
          <w:highlight w:val="none"/>
        </w:rPr>
      </w:pPr>
      <w:r>
        <w:rPr>
          <w:rFonts w:hint="eastAsia" w:ascii="宋体" w:hAnsi="宋体" w:cs="宋体"/>
          <w:color w:val="auto"/>
          <w:szCs w:val="28"/>
          <w:highlight w:val="none"/>
        </w:rPr>
        <w:t>1.2 语言文字</w:t>
      </w:r>
    </w:p>
    <w:p w14:paraId="011FDA05">
      <w:pPr>
        <w:spacing w:line="440" w:lineRule="exact"/>
        <w:ind w:firstLine="480" w:firstLineChars="200"/>
        <w:jc w:val="both"/>
        <w:rPr>
          <w:color w:val="auto"/>
          <w:highlight w:val="none"/>
        </w:rPr>
      </w:pPr>
      <w:r>
        <w:rPr>
          <w:rFonts w:hint="eastAsia"/>
          <w:color w:val="auto"/>
          <w:highlight w:val="none"/>
        </w:rPr>
        <w:t>本合同除使用汉语外，还使用</w:t>
      </w:r>
      <w:r>
        <w:rPr>
          <w:color w:val="auto"/>
          <w:highlight w:val="none"/>
          <w:u w:val="single"/>
        </w:rPr>
        <w:t xml:space="preserve">       </w:t>
      </w:r>
      <w:r>
        <w:rPr>
          <w:color w:val="auto"/>
          <w:highlight w:val="none"/>
        </w:rPr>
        <w:t xml:space="preserve"> </w:t>
      </w:r>
      <w:r>
        <w:rPr>
          <w:rFonts w:hint="eastAsia"/>
          <w:color w:val="auto"/>
          <w:highlight w:val="none"/>
        </w:rPr>
        <w:t>语言。</w:t>
      </w:r>
    </w:p>
    <w:p w14:paraId="3DFBAA17">
      <w:pPr>
        <w:pStyle w:val="4"/>
        <w:jc w:val="both"/>
        <w:rPr>
          <w:rFonts w:hint="eastAsia" w:ascii="宋体" w:hAnsi="宋体" w:cs="宋体"/>
          <w:color w:val="auto"/>
          <w:szCs w:val="28"/>
          <w:highlight w:val="none"/>
        </w:rPr>
      </w:pPr>
      <w:r>
        <w:rPr>
          <w:rFonts w:hint="eastAsia" w:ascii="宋体" w:hAnsi="宋体" w:cs="宋体"/>
          <w:color w:val="auto"/>
          <w:szCs w:val="28"/>
          <w:highlight w:val="none"/>
        </w:rPr>
        <w:t>1.3 法律</w:t>
      </w:r>
    </w:p>
    <w:p w14:paraId="7AB8F7A4">
      <w:pPr>
        <w:spacing w:line="440" w:lineRule="exact"/>
        <w:ind w:firstLine="480" w:firstLineChars="200"/>
        <w:jc w:val="both"/>
        <w:rPr>
          <w:color w:val="auto"/>
          <w:highlight w:val="none"/>
        </w:rPr>
      </w:pPr>
      <w:r>
        <w:rPr>
          <w:rFonts w:hint="eastAsia"/>
          <w:color w:val="auto"/>
          <w:highlight w:val="none"/>
        </w:rPr>
        <w:t>适用于合同的其他规范性文件：</w:t>
      </w:r>
      <w:r>
        <w:rPr>
          <w:rFonts w:hint="eastAsia"/>
          <w:color w:val="auto"/>
          <w:highlight w:val="none"/>
          <w:u w:val="single"/>
        </w:rPr>
        <w:t>（1）国家、浙江省、绍兴市颁布的规章制度。包括但不限于以下法律、条例：《中华人民共和国民法典》、《中华人民共和国建筑法》、《建筑工程质量管理条例》、《建设工程安全生产管理条例》；（2）经上级有关部门及建设行政主管部门批准的初步设计文件及批复、概预算书、建设计划、设计施工图和地质勘察报告等有关技术经济文件。（3）国家和地方现行的工程承包、施工验收规范、工程质量验收标准。上述文件规定若有不一致的，应以最新规定为准</w:t>
      </w:r>
      <w:r>
        <w:rPr>
          <w:color w:val="auto"/>
          <w:highlight w:val="none"/>
          <w:u w:val="single"/>
        </w:rPr>
        <w:t xml:space="preserve"> </w:t>
      </w:r>
      <w:r>
        <w:rPr>
          <w:rFonts w:hint="eastAsia"/>
          <w:color w:val="auto"/>
          <w:highlight w:val="none"/>
        </w:rPr>
        <w:t>。</w:t>
      </w:r>
    </w:p>
    <w:p w14:paraId="2501383B">
      <w:pPr>
        <w:pStyle w:val="4"/>
        <w:jc w:val="both"/>
        <w:rPr>
          <w:rFonts w:hint="eastAsia" w:ascii="宋体" w:hAnsi="宋体" w:cs="宋体"/>
          <w:color w:val="auto"/>
          <w:szCs w:val="28"/>
          <w:highlight w:val="none"/>
        </w:rPr>
      </w:pPr>
      <w:r>
        <w:rPr>
          <w:rFonts w:hint="eastAsia" w:ascii="宋体" w:hAnsi="宋体" w:cs="宋体"/>
          <w:color w:val="auto"/>
          <w:szCs w:val="28"/>
          <w:highlight w:val="none"/>
        </w:rPr>
        <w:t>1.4 标准和规范</w:t>
      </w:r>
    </w:p>
    <w:p w14:paraId="3AD6E768">
      <w:pPr>
        <w:widowControl/>
        <w:autoSpaceDE/>
        <w:autoSpaceDN/>
        <w:snapToGrid w:val="0"/>
        <w:spacing w:line="440" w:lineRule="exact"/>
        <w:ind w:firstLine="480" w:firstLineChars="200"/>
        <w:jc w:val="both"/>
        <w:rPr>
          <w:color w:val="auto"/>
          <w:highlight w:val="none"/>
        </w:rPr>
      </w:pPr>
      <w:r>
        <w:rPr>
          <w:color w:val="auto"/>
          <w:highlight w:val="none"/>
        </w:rPr>
        <w:t xml:space="preserve">1.4.1 </w:t>
      </w:r>
      <w:r>
        <w:rPr>
          <w:rFonts w:hint="eastAsia"/>
          <w:color w:val="auto"/>
          <w:highlight w:val="none"/>
        </w:rPr>
        <w:t>适用于本合同的标准、规范（名称）包括：</w:t>
      </w:r>
      <w:r>
        <w:rPr>
          <w:color w:val="auto"/>
          <w:highlight w:val="none"/>
          <w:u w:val="single"/>
        </w:rPr>
        <w:t xml:space="preserve">         </w:t>
      </w:r>
      <w:r>
        <w:rPr>
          <w:color w:val="auto"/>
          <w:highlight w:val="none"/>
        </w:rPr>
        <w:t xml:space="preserve"> </w:t>
      </w:r>
      <w:r>
        <w:rPr>
          <w:rFonts w:hint="eastAsia"/>
          <w:color w:val="auto"/>
          <w:highlight w:val="none"/>
        </w:rPr>
        <w:t>。</w:t>
      </w:r>
    </w:p>
    <w:p w14:paraId="61784E8E">
      <w:pPr>
        <w:widowControl/>
        <w:autoSpaceDE/>
        <w:autoSpaceDN/>
        <w:snapToGrid w:val="0"/>
        <w:spacing w:line="440" w:lineRule="exact"/>
        <w:ind w:firstLine="480" w:firstLineChars="200"/>
        <w:jc w:val="both"/>
        <w:rPr>
          <w:color w:val="auto"/>
          <w:highlight w:val="none"/>
        </w:rPr>
      </w:pPr>
      <w:r>
        <w:rPr>
          <w:color w:val="auto"/>
          <w:highlight w:val="none"/>
        </w:rPr>
        <w:t xml:space="preserve">1.4.2 </w:t>
      </w:r>
      <w:r>
        <w:rPr>
          <w:rFonts w:hint="eastAsia"/>
          <w:color w:val="auto"/>
          <w:highlight w:val="none"/>
        </w:rPr>
        <w:t>发包人提供的国外标准、规范的名称：</w:t>
      </w:r>
      <w:r>
        <w:rPr>
          <w:color w:val="auto"/>
          <w:highlight w:val="none"/>
          <w:u w:val="single"/>
        </w:rPr>
        <w:t xml:space="preserve">          </w:t>
      </w:r>
      <w:r>
        <w:rPr>
          <w:rFonts w:hint="eastAsia"/>
          <w:color w:val="auto"/>
          <w:highlight w:val="none"/>
        </w:rPr>
        <w:t>；发包人提供的国外标准、规范的份数：</w:t>
      </w:r>
      <w:r>
        <w:rPr>
          <w:color w:val="auto"/>
          <w:highlight w:val="none"/>
          <w:u w:val="single"/>
        </w:rPr>
        <w:t xml:space="preserve">           </w:t>
      </w:r>
      <w:r>
        <w:rPr>
          <w:rFonts w:hint="eastAsia"/>
          <w:color w:val="auto"/>
          <w:highlight w:val="none"/>
        </w:rPr>
        <w:t>；发包人提供的国外标准、规范的时间：</w:t>
      </w:r>
      <w:r>
        <w:rPr>
          <w:color w:val="auto"/>
          <w:highlight w:val="none"/>
          <w:u w:val="single"/>
        </w:rPr>
        <w:t xml:space="preserve">            </w:t>
      </w:r>
      <w:r>
        <w:rPr>
          <w:color w:val="auto"/>
          <w:highlight w:val="none"/>
        </w:rPr>
        <w:t xml:space="preserve"> </w:t>
      </w:r>
      <w:r>
        <w:rPr>
          <w:rFonts w:hint="eastAsia"/>
          <w:color w:val="auto"/>
          <w:highlight w:val="none"/>
        </w:rPr>
        <w:t>。</w:t>
      </w:r>
    </w:p>
    <w:p w14:paraId="5F6A8C41">
      <w:pPr>
        <w:spacing w:line="440" w:lineRule="exact"/>
        <w:ind w:firstLine="480" w:firstLineChars="200"/>
        <w:jc w:val="both"/>
        <w:rPr>
          <w:color w:val="auto"/>
          <w:highlight w:val="none"/>
        </w:rPr>
      </w:pPr>
      <w:r>
        <w:rPr>
          <w:color w:val="auto"/>
          <w:highlight w:val="none"/>
        </w:rPr>
        <w:t xml:space="preserve">1.4.3 </w:t>
      </w:r>
      <w:r>
        <w:rPr>
          <w:rFonts w:hint="eastAsia"/>
          <w:color w:val="auto"/>
          <w:highlight w:val="none"/>
        </w:rPr>
        <w:t>没有成文规范、标准规定的约定：</w:t>
      </w:r>
      <w:r>
        <w:rPr>
          <w:color w:val="auto"/>
          <w:highlight w:val="none"/>
          <w:u w:val="single"/>
        </w:rPr>
        <w:t xml:space="preserve">             </w:t>
      </w:r>
      <w:r>
        <w:rPr>
          <w:color w:val="auto"/>
          <w:highlight w:val="none"/>
        </w:rPr>
        <w:t xml:space="preserve"> </w:t>
      </w:r>
      <w:r>
        <w:rPr>
          <w:rFonts w:hint="eastAsia"/>
          <w:color w:val="auto"/>
          <w:highlight w:val="none"/>
        </w:rPr>
        <w:t>。</w:t>
      </w:r>
    </w:p>
    <w:p w14:paraId="15937E52">
      <w:pPr>
        <w:spacing w:line="440" w:lineRule="exact"/>
        <w:ind w:firstLine="480" w:firstLineChars="200"/>
        <w:jc w:val="both"/>
        <w:rPr>
          <w:color w:val="auto"/>
          <w:highlight w:val="none"/>
        </w:rPr>
      </w:pPr>
      <w:r>
        <w:rPr>
          <w:color w:val="auto"/>
          <w:highlight w:val="none"/>
        </w:rPr>
        <w:t xml:space="preserve">1.4.4 </w:t>
      </w:r>
      <w:r>
        <w:rPr>
          <w:rFonts w:hint="eastAsia"/>
          <w:color w:val="auto"/>
          <w:highlight w:val="none"/>
        </w:rPr>
        <w:t>发包人对于工程的技术标准、功能要求：</w:t>
      </w:r>
      <w:r>
        <w:rPr>
          <w:color w:val="auto"/>
          <w:highlight w:val="none"/>
          <w:u w:val="single"/>
        </w:rPr>
        <w:t xml:space="preserve">       </w:t>
      </w:r>
      <w:r>
        <w:rPr>
          <w:color w:val="auto"/>
          <w:highlight w:val="none"/>
        </w:rPr>
        <w:t xml:space="preserve"> </w:t>
      </w:r>
      <w:r>
        <w:rPr>
          <w:rFonts w:hint="eastAsia"/>
          <w:color w:val="auto"/>
          <w:highlight w:val="none"/>
        </w:rPr>
        <w:t>。</w:t>
      </w:r>
    </w:p>
    <w:p w14:paraId="5661C80F">
      <w:pPr>
        <w:pStyle w:val="4"/>
        <w:jc w:val="both"/>
        <w:rPr>
          <w:rFonts w:hint="eastAsia" w:ascii="宋体" w:hAnsi="宋体" w:cs="宋体"/>
          <w:color w:val="auto"/>
          <w:szCs w:val="28"/>
          <w:highlight w:val="none"/>
        </w:rPr>
      </w:pPr>
      <w:r>
        <w:rPr>
          <w:rFonts w:hint="eastAsia" w:ascii="宋体" w:hAnsi="宋体" w:cs="宋体"/>
          <w:color w:val="auto"/>
          <w:szCs w:val="28"/>
          <w:highlight w:val="none"/>
        </w:rPr>
        <w:t>1.5 合同文件的优先顺序</w:t>
      </w:r>
    </w:p>
    <w:p w14:paraId="0044D11A">
      <w:pPr>
        <w:spacing w:line="440" w:lineRule="exact"/>
        <w:ind w:firstLine="480" w:firstLineChars="200"/>
        <w:jc w:val="both"/>
        <w:rPr>
          <w:color w:val="auto"/>
          <w:highlight w:val="none"/>
        </w:rPr>
      </w:pPr>
      <w:r>
        <w:rPr>
          <w:rFonts w:hint="eastAsia"/>
          <w:color w:val="auto"/>
          <w:highlight w:val="none"/>
        </w:rPr>
        <w:t>合同文件组成及优先顺序为</w:t>
      </w:r>
      <w:r>
        <w:rPr>
          <w:rFonts w:hint="eastAsia"/>
          <w:color w:val="auto"/>
          <w:highlight w:val="none"/>
          <w:u w:val="single"/>
        </w:rPr>
        <w:t>：（1）合同协议书；（2）中标通知书；（3）专用合同条款及《发包人要求》等附件；（4）通用合同条款；（6）投标函及投标函附录；（7）价格清单；（8）承包人建议；（9）其他合同文件</w:t>
      </w:r>
      <w:r>
        <w:rPr>
          <w:rFonts w:hint="eastAsia"/>
          <w:color w:val="auto"/>
          <w:highlight w:val="none"/>
        </w:rPr>
        <w:t>。</w:t>
      </w:r>
    </w:p>
    <w:p w14:paraId="6B168A44">
      <w:pPr>
        <w:pStyle w:val="4"/>
        <w:jc w:val="both"/>
        <w:rPr>
          <w:rFonts w:hint="eastAsia" w:ascii="宋体" w:hAnsi="宋体" w:cs="宋体"/>
          <w:color w:val="auto"/>
          <w:szCs w:val="28"/>
          <w:highlight w:val="none"/>
        </w:rPr>
      </w:pPr>
      <w:r>
        <w:rPr>
          <w:rFonts w:hint="eastAsia" w:ascii="宋体" w:hAnsi="宋体" w:cs="宋体"/>
          <w:color w:val="auto"/>
          <w:szCs w:val="28"/>
          <w:highlight w:val="none"/>
        </w:rPr>
        <w:t>1.6 文件的提供和照管</w:t>
      </w:r>
    </w:p>
    <w:p w14:paraId="5AC338E8">
      <w:pPr>
        <w:spacing w:line="440" w:lineRule="exact"/>
        <w:ind w:firstLine="480" w:firstLineChars="200"/>
        <w:jc w:val="both"/>
        <w:rPr>
          <w:color w:val="auto"/>
          <w:highlight w:val="none"/>
        </w:rPr>
      </w:pPr>
      <w:r>
        <w:rPr>
          <w:color w:val="auto"/>
          <w:highlight w:val="none"/>
        </w:rPr>
        <w:t xml:space="preserve">1.6.1 </w:t>
      </w:r>
      <w:r>
        <w:rPr>
          <w:rFonts w:hint="eastAsia"/>
          <w:color w:val="auto"/>
          <w:highlight w:val="none"/>
        </w:rPr>
        <w:t>发包人文件的提供</w:t>
      </w:r>
    </w:p>
    <w:p w14:paraId="0E6AFB38">
      <w:pPr>
        <w:spacing w:line="440" w:lineRule="exact"/>
        <w:ind w:firstLine="480" w:firstLineChars="200"/>
        <w:jc w:val="both"/>
        <w:rPr>
          <w:color w:val="auto"/>
          <w:highlight w:val="none"/>
        </w:rPr>
      </w:pPr>
      <w:r>
        <w:rPr>
          <w:rFonts w:hint="eastAsia"/>
          <w:color w:val="auto"/>
          <w:highlight w:val="none"/>
        </w:rPr>
        <w:t>发包人文件的提供期限、名称、数量和形式：</w:t>
      </w:r>
      <w:r>
        <w:rPr>
          <w:rFonts w:hint="eastAsia"/>
          <w:color w:val="auto"/>
          <w:highlight w:val="none"/>
          <w:u w:val="single"/>
        </w:rPr>
        <w:t>合同签订后7天内，发包人提供一式 2 份前期工作相关文件</w:t>
      </w:r>
      <w:r>
        <w:rPr>
          <w:color w:val="auto"/>
          <w:highlight w:val="none"/>
          <w:u w:val="single"/>
        </w:rPr>
        <w:t xml:space="preserve"> </w:t>
      </w:r>
      <w:r>
        <w:rPr>
          <w:color w:val="auto"/>
          <w:highlight w:val="none"/>
        </w:rPr>
        <w:t xml:space="preserve"> </w:t>
      </w:r>
      <w:r>
        <w:rPr>
          <w:rFonts w:hint="eastAsia"/>
          <w:color w:val="auto"/>
          <w:highlight w:val="none"/>
        </w:rPr>
        <w:t>。</w:t>
      </w:r>
    </w:p>
    <w:p w14:paraId="39344C24">
      <w:pPr>
        <w:spacing w:line="440" w:lineRule="exact"/>
        <w:ind w:firstLine="480" w:firstLineChars="200"/>
        <w:jc w:val="both"/>
        <w:rPr>
          <w:color w:val="auto"/>
          <w:highlight w:val="none"/>
        </w:rPr>
      </w:pPr>
      <w:r>
        <w:rPr>
          <w:color w:val="auto"/>
          <w:highlight w:val="none"/>
        </w:rPr>
        <w:t xml:space="preserve">1.6.2 </w:t>
      </w:r>
      <w:r>
        <w:rPr>
          <w:rFonts w:hint="eastAsia"/>
          <w:color w:val="auto"/>
          <w:highlight w:val="none"/>
        </w:rPr>
        <w:t>承包人文件的提供</w:t>
      </w:r>
    </w:p>
    <w:p w14:paraId="2659CEC8">
      <w:pPr>
        <w:spacing w:line="440" w:lineRule="exact"/>
        <w:ind w:firstLine="480" w:firstLineChars="200"/>
        <w:jc w:val="both"/>
        <w:rPr>
          <w:color w:val="auto"/>
          <w:highlight w:val="none"/>
          <w:u w:val="single"/>
        </w:rPr>
      </w:pPr>
      <w:r>
        <w:rPr>
          <w:rFonts w:hint="eastAsia"/>
          <w:color w:val="auto"/>
          <w:highlight w:val="none"/>
        </w:rPr>
        <w:t>承包人文件的内容、提供期限、名称、数量和形式：</w:t>
      </w:r>
      <w:r>
        <w:rPr>
          <w:rFonts w:hint="eastAsia"/>
          <w:color w:val="auto"/>
          <w:highlight w:val="none"/>
          <w:u w:val="single"/>
        </w:rPr>
        <w:t>（1）承包人应在开工前7天编制项目总体进度计划和总体施工组织设计，一式4份，提交给发包人。</w:t>
      </w:r>
    </w:p>
    <w:p w14:paraId="5E5E8FFE">
      <w:pPr>
        <w:spacing w:line="440" w:lineRule="exact"/>
        <w:ind w:firstLine="480" w:firstLineChars="200"/>
        <w:jc w:val="both"/>
        <w:rPr>
          <w:color w:val="auto"/>
          <w:highlight w:val="none"/>
          <w:u w:val="single"/>
        </w:rPr>
      </w:pPr>
      <w:r>
        <w:rPr>
          <w:rFonts w:hint="eastAsia"/>
          <w:color w:val="auto"/>
          <w:highlight w:val="none"/>
          <w:u w:val="single"/>
        </w:rPr>
        <w:t>（2）每月应提交月工程进度报告，报告应包括：</w:t>
      </w:r>
    </w:p>
    <w:p w14:paraId="6CC6EC19">
      <w:pPr>
        <w:spacing w:line="440" w:lineRule="exact"/>
        <w:ind w:firstLine="480" w:firstLineChars="200"/>
        <w:jc w:val="both"/>
        <w:rPr>
          <w:color w:val="auto"/>
          <w:highlight w:val="none"/>
          <w:u w:val="single"/>
        </w:rPr>
      </w:pPr>
      <w:r>
        <w:rPr>
          <w:rFonts w:hint="eastAsia"/>
          <w:color w:val="auto"/>
          <w:highlight w:val="none"/>
          <w:u w:val="single"/>
        </w:rPr>
        <w:t>(a)设计、采购、货物运达现场、施工、安装、调试和试运行等每一阶段进展情况的图表和详细说明；</w:t>
      </w:r>
    </w:p>
    <w:p w14:paraId="265C5958">
      <w:pPr>
        <w:spacing w:line="440" w:lineRule="exact"/>
        <w:ind w:firstLine="480" w:firstLineChars="200"/>
        <w:jc w:val="both"/>
        <w:rPr>
          <w:color w:val="auto"/>
          <w:highlight w:val="none"/>
          <w:u w:val="single"/>
        </w:rPr>
      </w:pPr>
      <w:r>
        <w:rPr>
          <w:rFonts w:hint="eastAsia"/>
          <w:color w:val="auto"/>
          <w:highlight w:val="none"/>
          <w:u w:val="single"/>
        </w:rPr>
        <w:t>(b)材料的质量保证文件、试验结果及合格证的副本；</w:t>
      </w:r>
    </w:p>
    <w:p w14:paraId="3FDC4BED">
      <w:pPr>
        <w:spacing w:line="440" w:lineRule="exact"/>
        <w:ind w:firstLine="480" w:firstLineChars="200"/>
        <w:jc w:val="both"/>
        <w:rPr>
          <w:color w:val="auto"/>
          <w:highlight w:val="none"/>
          <w:u w:val="single"/>
        </w:rPr>
      </w:pPr>
      <w:r>
        <w:rPr>
          <w:rFonts w:hint="eastAsia"/>
          <w:color w:val="auto"/>
          <w:highlight w:val="none"/>
          <w:u w:val="single"/>
        </w:rPr>
        <w:t>(c)安全统计，包括对环境和公共关系有危害的任何事件和活动的详细情况；</w:t>
      </w:r>
    </w:p>
    <w:p w14:paraId="01599D77">
      <w:pPr>
        <w:spacing w:line="440" w:lineRule="exact"/>
        <w:ind w:firstLine="480" w:firstLineChars="200"/>
        <w:jc w:val="both"/>
        <w:rPr>
          <w:color w:val="auto"/>
          <w:highlight w:val="none"/>
          <w:u w:val="single"/>
        </w:rPr>
      </w:pPr>
      <w:r>
        <w:rPr>
          <w:rFonts w:hint="eastAsia"/>
          <w:color w:val="auto"/>
          <w:highlight w:val="none"/>
          <w:u w:val="single"/>
        </w:rPr>
        <w:t>(d)实际进度与计划进度的对比，包括可能影响按合同竣工的任何事件或情况的详细，以及为消除延误正在（或准备）采取的措施。</w:t>
      </w:r>
    </w:p>
    <w:p w14:paraId="65FA93F4">
      <w:pPr>
        <w:spacing w:line="440" w:lineRule="exact"/>
        <w:ind w:firstLine="480" w:firstLineChars="200"/>
        <w:jc w:val="both"/>
        <w:rPr>
          <w:color w:val="auto"/>
          <w:highlight w:val="none"/>
          <w:u w:val="single"/>
        </w:rPr>
      </w:pPr>
      <w:r>
        <w:rPr>
          <w:rFonts w:hint="eastAsia"/>
          <w:color w:val="auto"/>
          <w:highlight w:val="none"/>
          <w:u w:val="single"/>
        </w:rPr>
        <w:t>（3）每月应提交月工程进度款支付申请报告。</w:t>
      </w:r>
    </w:p>
    <w:p w14:paraId="590ADA8C">
      <w:pPr>
        <w:spacing w:line="440" w:lineRule="exact"/>
        <w:ind w:firstLine="480" w:firstLineChars="200"/>
        <w:jc w:val="both"/>
        <w:rPr>
          <w:color w:val="auto"/>
          <w:highlight w:val="none"/>
        </w:rPr>
      </w:pPr>
      <w:r>
        <w:rPr>
          <w:color w:val="auto"/>
          <w:highlight w:val="none"/>
        </w:rPr>
        <w:t xml:space="preserve">1.6.4 </w:t>
      </w:r>
      <w:r>
        <w:rPr>
          <w:rFonts w:hint="eastAsia"/>
          <w:color w:val="auto"/>
          <w:highlight w:val="none"/>
        </w:rPr>
        <w:t>文件的照管</w:t>
      </w:r>
    </w:p>
    <w:p w14:paraId="106F092D">
      <w:pPr>
        <w:spacing w:line="440" w:lineRule="exact"/>
        <w:ind w:firstLine="480" w:firstLineChars="200"/>
        <w:jc w:val="both"/>
        <w:rPr>
          <w:color w:val="auto"/>
          <w:highlight w:val="none"/>
        </w:rPr>
      </w:pPr>
      <w:r>
        <w:rPr>
          <w:rFonts w:hint="eastAsia"/>
          <w:color w:val="auto"/>
          <w:highlight w:val="none"/>
        </w:rPr>
        <w:t>关于现场文件准备的约定：</w:t>
      </w:r>
      <w:r>
        <w:rPr>
          <w:color w:val="auto"/>
          <w:highlight w:val="none"/>
          <w:u w:val="single"/>
        </w:rPr>
        <w:t xml:space="preserve">                          </w:t>
      </w:r>
      <w:r>
        <w:rPr>
          <w:rFonts w:hint="eastAsia"/>
          <w:color w:val="auto"/>
          <w:highlight w:val="none"/>
        </w:rPr>
        <w:t>。</w:t>
      </w:r>
    </w:p>
    <w:p w14:paraId="0EBFAE6F">
      <w:pPr>
        <w:pStyle w:val="4"/>
        <w:jc w:val="both"/>
        <w:rPr>
          <w:rFonts w:hint="eastAsia" w:ascii="宋体" w:hAnsi="宋体" w:cs="宋体"/>
          <w:color w:val="auto"/>
          <w:szCs w:val="28"/>
          <w:highlight w:val="none"/>
        </w:rPr>
      </w:pPr>
      <w:r>
        <w:rPr>
          <w:rFonts w:hint="eastAsia" w:ascii="宋体" w:hAnsi="宋体" w:cs="宋体"/>
          <w:color w:val="auto"/>
          <w:szCs w:val="28"/>
          <w:highlight w:val="none"/>
        </w:rPr>
        <w:t>1.7 联络</w:t>
      </w:r>
    </w:p>
    <w:p w14:paraId="6A939CCE">
      <w:pPr>
        <w:spacing w:line="440" w:lineRule="exact"/>
        <w:ind w:firstLine="480" w:firstLineChars="200"/>
        <w:jc w:val="both"/>
        <w:rPr>
          <w:color w:val="auto"/>
          <w:highlight w:val="none"/>
        </w:rPr>
      </w:pPr>
      <w:r>
        <w:rPr>
          <w:color w:val="auto"/>
          <w:highlight w:val="none"/>
        </w:rPr>
        <w:t xml:space="preserve">1.7.2 </w:t>
      </w:r>
      <w:r>
        <w:rPr>
          <w:rFonts w:hint="eastAsia"/>
          <w:color w:val="auto"/>
          <w:highlight w:val="none"/>
        </w:rPr>
        <w:t>发包人指定的送达方式（包括电子传输方式）：</w:t>
      </w:r>
      <w:r>
        <w:rPr>
          <w:color w:val="auto"/>
          <w:highlight w:val="none"/>
          <w:u w:val="single"/>
        </w:rPr>
        <w:t xml:space="preserve">             </w:t>
      </w:r>
      <w:r>
        <w:rPr>
          <w:rFonts w:hint="eastAsia"/>
          <w:color w:val="auto"/>
          <w:highlight w:val="none"/>
        </w:rPr>
        <w:t>。</w:t>
      </w:r>
    </w:p>
    <w:p w14:paraId="3BF38BCA">
      <w:pPr>
        <w:spacing w:line="440" w:lineRule="exact"/>
        <w:ind w:firstLine="480" w:firstLineChars="200"/>
        <w:jc w:val="both"/>
        <w:rPr>
          <w:color w:val="auto"/>
          <w:highlight w:val="none"/>
        </w:rPr>
      </w:pPr>
      <w:r>
        <w:rPr>
          <w:rFonts w:hint="eastAsia"/>
          <w:color w:val="auto"/>
          <w:highlight w:val="none"/>
        </w:rPr>
        <w:t>发包人的送达地址：</w:t>
      </w:r>
      <w:r>
        <w:rPr>
          <w:color w:val="auto"/>
          <w:highlight w:val="none"/>
          <w:u w:val="single"/>
        </w:rPr>
        <w:t xml:space="preserve">                                </w:t>
      </w:r>
      <w:r>
        <w:rPr>
          <w:rFonts w:hint="eastAsia"/>
          <w:color w:val="auto"/>
          <w:highlight w:val="none"/>
        </w:rPr>
        <w:t>。</w:t>
      </w:r>
    </w:p>
    <w:p w14:paraId="09468F04">
      <w:pPr>
        <w:spacing w:line="440" w:lineRule="exact"/>
        <w:ind w:firstLine="480" w:firstLineChars="200"/>
        <w:jc w:val="both"/>
        <w:rPr>
          <w:color w:val="auto"/>
          <w:highlight w:val="none"/>
        </w:rPr>
      </w:pPr>
      <w:r>
        <w:rPr>
          <w:rFonts w:hint="eastAsia"/>
          <w:color w:val="auto"/>
          <w:highlight w:val="none"/>
        </w:rPr>
        <w:t>承包人指定的送达方式（包括电子传输方式）：</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p>
    <w:p w14:paraId="72E93CA1">
      <w:pPr>
        <w:spacing w:line="440" w:lineRule="exact"/>
        <w:ind w:firstLine="480" w:firstLineChars="200"/>
        <w:jc w:val="both"/>
        <w:rPr>
          <w:color w:val="auto"/>
          <w:highlight w:val="none"/>
        </w:rPr>
      </w:pPr>
      <w:r>
        <w:rPr>
          <w:rFonts w:hint="eastAsia"/>
          <w:color w:val="auto"/>
          <w:highlight w:val="none"/>
        </w:rPr>
        <w:t>承包人的送达地址：</w:t>
      </w:r>
      <w:r>
        <w:rPr>
          <w:color w:val="auto"/>
          <w:highlight w:val="none"/>
          <w:u w:val="single"/>
        </w:rPr>
        <w:t xml:space="preserve">                               </w:t>
      </w:r>
      <w:r>
        <w:rPr>
          <w:color w:val="auto"/>
          <w:highlight w:val="none"/>
        </w:rPr>
        <w:t xml:space="preserve"> </w:t>
      </w:r>
      <w:r>
        <w:rPr>
          <w:rFonts w:hint="eastAsia"/>
          <w:color w:val="auto"/>
          <w:highlight w:val="none"/>
        </w:rPr>
        <w:t>。</w:t>
      </w:r>
    </w:p>
    <w:p w14:paraId="78C7E4D2">
      <w:pPr>
        <w:pStyle w:val="4"/>
        <w:jc w:val="both"/>
        <w:rPr>
          <w:rFonts w:hint="eastAsia" w:ascii="宋体" w:hAnsi="宋体" w:cs="宋体"/>
          <w:color w:val="auto"/>
          <w:szCs w:val="28"/>
          <w:highlight w:val="none"/>
        </w:rPr>
      </w:pPr>
      <w:r>
        <w:rPr>
          <w:rFonts w:hint="eastAsia" w:ascii="宋体" w:hAnsi="宋体" w:cs="宋体"/>
          <w:color w:val="auto"/>
          <w:szCs w:val="28"/>
          <w:highlight w:val="none"/>
        </w:rPr>
        <w:t>1.10 知识产权</w:t>
      </w:r>
    </w:p>
    <w:p w14:paraId="27A241B4">
      <w:pPr>
        <w:spacing w:line="440" w:lineRule="exact"/>
        <w:ind w:firstLine="480" w:firstLineChars="200"/>
        <w:jc w:val="both"/>
        <w:rPr>
          <w:color w:val="auto"/>
          <w:highlight w:val="none"/>
        </w:rPr>
      </w:pPr>
      <w:r>
        <w:rPr>
          <w:color w:val="auto"/>
          <w:highlight w:val="none"/>
        </w:rPr>
        <w:t xml:space="preserve">1.10.1 </w:t>
      </w:r>
      <w:r>
        <w:rPr>
          <w:rFonts w:hint="eastAsia"/>
          <w:color w:val="auto"/>
          <w:highlight w:val="none"/>
        </w:rPr>
        <w:t>由发包人（或以发包人名义）编制的《发包人要求》和其他文件的著作权归属：</w:t>
      </w:r>
      <w:r>
        <w:rPr>
          <w:color w:val="auto"/>
          <w:highlight w:val="none"/>
          <w:u w:val="single"/>
        </w:rPr>
        <w:t xml:space="preserve">  </w:t>
      </w:r>
      <w:r>
        <w:rPr>
          <w:rFonts w:hint="eastAsia"/>
          <w:color w:val="auto"/>
          <w:highlight w:val="none"/>
          <w:u w:val="single"/>
        </w:rPr>
        <w:t>凡涉及到本次招标项目中标后的设计成果的任何知识产权均属于发包人所有，任何单位及个人不得抄袭和引用有关内容，一经查实，须负法律责任。因承包人设计过程中的侵权而导致任何第三方提出侵权指控，由承包人负责与第三方交涉并承担可能发生的一切费用和相关法律责任，发包人不承担由此引起的一切经济和法律责任</w:t>
      </w:r>
      <w:r>
        <w:rPr>
          <w:rFonts w:hint="eastAsia"/>
          <w:color w:val="auto"/>
          <w:highlight w:val="none"/>
        </w:rPr>
        <w:t>。</w:t>
      </w:r>
    </w:p>
    <w:p w14:paraId="16BF6225">
      <w:pPr>
        <w:spacing w:line="440" w:lineRule="exact"/>
        <w:ind w:firstLine="480" w:firstLineChars="200"/>
        <w:jc w:val="both"/>
        <w:rPr>
          <w:color w:val="auto"/>
          <w:highlight w:val="none"/>
        </w:rPr>
      </w:pPr>
      <w:r>
        <w:rPr>
          <w:color w:val="auto"/>
          <w:highlight w:val="none"/>
        </w:rPr>
        <w:t xml:space="preserve">1.10.2 </w:t>
      </w:r>
      <w:r>
        <w:rPr>
          <w:rFonts w:hint="eastAsia"/>
          <w:color w:val="auto"/>
          <w:highlight w:val="none"/>
        </w:rPr>
        <w:t>由承包人（或以承包人名义）为实施工程所编制的文件、承包人完成的设计工作成果和建造完成的建筑物的知识产权归属：</w:t>
      </w:r>
      <w:r>
        <w:rPr>
          <w:color w:val="auto"/>
          <w:highlight w:val="none"/>
          <w:u w:val="single"/>
        </w:rPr>
        <w:t xml:space="preserve"> </w:t>
      </w:r>
      <w:r>
        <w:rPr>
          <w:rFonts w:hint="eastAsia"/>
          <w:color w:val="auto"/>
          <w:highlight w:val="none"/>
          <w:u w:val="single"/>
        </w:rPr>
        <w:t>同1.10.1</w:t>
      </w:r>
      <w:r>
        <w:rPr>
          <w:color w:val="auto"/>
          <w:highlight w:val="none"/>
          <w:u w:val="single"/>
        </w:rPr>
        <w:t xml:space="preserve">  </w:t>
      </w:r>
      <w:r>
        <w:rPr>
          <w:color w:val="auto"/>
          <w:highlight w:val="none"/>
        </w:rPr>
        <w:t xml:space="preserve"> </w:t>
      </w:r>
      <w:r>
        <w:rPr>
          <w:rFonts w:hint="eastAsia"/>
          <w:color w:val="auto"/>
          <w:highlight w:val="none"/>
        </w:rPr>
        <w:t>。</w:t>
      </w:r>
    </w:p>
    <w:p w14:paraId="4724F16B">
      <w:pPr>
        <w:spacing w:line="440" w:lineRule="exact"/>
        <w:ind w:firstLine="480" w:firstLineChars="200"/>
        <w:jc w:val="both"/>
        <w:rPr>
          <w:color w:val="auto"/>
          <w:highlight w:val="none"/>
        </w:rPr>
      </w:pPr>
      <w:r>
        <w:rPr>
          <w:color w:val="auto"/>
          <w:highlight w:val="none"/>
        </w:rPr>
        <w:t xml:space="preserve">1.10.4 </w:t>
      </w:r>
      <w:r>
        <w:rPr>
          <w:rFonts w:hint="eastAsia"/>
          <w:color w:val="auto"/>
          <w:highlight w:val="none"/>
        </w:rPr>
        <w:t>承包人在投标文件中采用的专利、专有技术、技术秘密的使用费的承担方式</w:t>
      </w:r>
      <w:r>
        <w:rPr>
          <w:color w:val="auto"/>
          <w:highlight w:val="none"/>
        </w:rPr>
        <w:t xml:space="preserve"> </w:t>
      </w:r>
      <w:r>
        <w:rPr>
          <w:color w:val="auto"/>
          <w:highlight w:val="none"/>
          <w:u w:val="single"/>
        </w:rPr>
        <w:t xml:space="preserve">                              </w:t>
      </w:r>
      <w:r>
        <w:rPr>
          <w:color w:val="auto"/>
          <w:highlight w:val="none"/>
        </w:rPr>
        <w:t xml:space="preserve"> </w:t>
      </w:r>
      <w:r>
        <w:rPr>
          <w:rFonts w:hint="eastAsia"/>
          <w:color w:val="auto"/>
          <w:highlight w:val="none"/>
        </w:rPr>
        <w:t>。</w:t>
      </w:r>
    </w:p>
    <w:p w14:paraId="6F4E76C0">
      <w:pPr>
        <w:pStyle w:val="4"/>
        <w:jc w:val="both"/>
        <w:rPr>
          <w:rFonts w:hint="eastAsia" w:ascii="宋体" w:hAnsi="宋体" w:cs="宋体"/>
          <w:color w:val="auto"/>
          <w:szCs w:val="28"/>
          <w:highlight w:val="none"/>
        </w:rPr>
      </w:pPr>
      <w:r>
        <w:rPr>
          <w:rFonts w:hint="eastAsia" w:ascii="宋体" w:hAnsi="宋体" w:cs="宋体"/>
          <w:color w:val="auto"/>
          <w:szCs w:val="28"/>
          <w:highlight w:val="none"/>
        </w:rPr>
        <w:t>1.11 保密</w:t>
      </w:r>
    </w:p>
    <w:p w14:paraId="302E9EA2">
      <w:pPr>
        <w:spacing w:line="440" w:lineRule="exact"/>
        <w:ind w:firstLine="480" w:firstLineChars="200"/>
        <w:jc w:val="both"/>
        <w:rPr>
          <w:color w:val="auto"/>
          <w:highlight w:val="none"/>
        </w:rPr>
      </w:pPr>
      <w:r>
        <w:rPr>
          <w:rFonts w:hint="eastAsia"/>
          <w:color w:val="auto"/>
          <w:highlight w:val="none"/>
        </w:rPr>
        <w:t>双方订立的商业保密协议（名称）：</w:t>
      </w:r>
      <w:r>
        <w:rPr>
          <w:color w:val="auto"/>
          <w:highlight w:val="none"/>
          <w:u w:val="single"/>
        </w:rPr>
        <w:t xml:space="preserve">             </w:t>
      </w:r>
      <w:r>
        <w:rPr>
          <w:color w:val="auto"/>
          <w:highlight w:val="none"/>
        </w:rPr>
        <w:t xml:space="preserve"> </w:t>
      </w:r>
      <w:r>
        <w:rPr>
          <w:rFonts w:hint="eastAsia"/>
          <w:color w:val="auto"/>
          <w:highlight w:val="none"/>
        </w:rPr>
        <w:t>，作为本合同附件。</w:t>
      </w:r>
    </w:p>
    <w:p w14:paraId="07888280">
      <w:pPr>
        <w:spacing w:line="440" w:lineRule="exact"/>
        <w:ind w:firstLine="480" w:firstLineChars="200"/>
        <w:jc w:val="both"/>
        <w:rPr>
          <w:color w:val="auto"/>
          <w:highlight w:val="none"/>
        </w:rPr>
      </w:pPr>
      <w:r>
        <w:rPr>
          <w:rFonts w:hint="eastAsia"/>
          <w:color w:val="auto"/>
          <w:highlight w:val="none"/>
        </w:rPr>
        <w:t>双方订立的技术保密协议（名称）：</w:t>
      </w:r>
      <w:r>
        <w:rPr>
          <w:color w:val="auto"/>
          <w:highlight w:val="none"/>
          <w:u w:val="single"/>
        </w:rPr>
        <w:t xml:space="preserve">             </w:t>
      </w:r>
      <w:r>
        <w:rPr>
          <w:rFonts w:hint="eastAsia"/>
          <w:color w:val="auto"/>
          <w:highlight w:val="none"/>
        </w:rPr>
        <w:t>，作为本合同附件。</w:t>
      </w:r>
    </w:p>
    <w:p w14:paraId="1B030D38">
      <w:pPr>
        <w:spacing w:line="440" w:lineRule="exact"/>
        <w:ind w:firstLine="480" w:firstLineChars="200"/>
        <w:jc w:val="both"/>
        <w:rPr>
          <w:color w:val="auto"/>
          <w:highlight w:val="none"/>
        </w:rPr>
      </w:pPr>
      <w:r>
        <w:rPr>
          <w:color w:val="auto"/>
          <w:highlight w:val="none"/>
        </w:rPr>
        <w:t xml:space="preserve">1.13 </w:t>
      </w:r>
      <w:r>
        <w:rPr>
          <w:rFonts w:hint="eastAsia"/>
          <w:color w:val="auto"/>
          <w:highlight w:val="none"/>
        </w:rPr>
        <w:t>责任限制</w:t>
      </w:r>
    </w:p>
    <w:p w14:paraId="5F1ED0F8">
      <w:pPr>
        <w:spacing w:line="440" w:lineRule="exact"/>
        <w:ind w:firstLine="480" w:firstLineChars="200"/>
        <w:jc w:val="both"/>
        <w:rPr>
          <w:color w:val="auto"/>
          <w:highlight w:val="none"/>
        </w:rPr>
      </w:pPr>
      <w:r>
        <w:rPr>
          <w:rFonts w:hint="eastAsia"/>
          <w:color w:val="auto"/>
          <w:highlight w:val="none"/>
        </w:rPr>
        <w:t>承包人对发包人赔偿责任的最高限额为</w:t>
      </w:r>
      <w:r>
        <w:rPr>
          <w:color w:val="auto"/>
          <w:highlight w:val="none"/>
          <w:u w:val="single"/>
        </w:rPr>
        <w:t xml:space="preserve">                </w:t>
      </w:r>
      <w:r>
        <w:rPr>
          <w:rFonts w:hint="eastAsia"/>
          <w:color w:val="auto"/>
          <w:highlight w:val="none"/>
        </w:rPr>
        <w:t>。</w:t>
      </w:r>
    </w:p>
    <w:p w14:paraId="3C4399B4">
      <w:pPr>
        <w:spacing w:line="440" w:lineRule="exact"/>
        <w:ind w:firstLine="480" w:firstLineChars="200"/>
        <w:jc w:val="both"/>
        <w:rPr>
          <w:color w:val="auto"/>
          <w:highlight w:val="none"/>
        </w:rPr>
      </w:pPr>
      <w:r>
        <w:rPr>
          <w:color w:val="auto"/>
          <w:highlight w:val="none"/>
        </w:rPr>
        <w:t xml:space="preserve">1.14 </w:t>
      </w:r>
      <w:r>
        <w:rPr>
          <w:rFonts w:hint="eastAsia"/>
          <w:color w:val="auto"/>
          <w:highlight w:val="none"/>
        </w:rPr>
        <w:t>建筑信息模型技术的应用</w:t>
      </w:r>
    </w:p>
    <w:p w14:paraId="086C5F8B">
      <w:pPr>
        <w:spacing w:line="440" w:lineRule="exact"/>
        <w:ind w:firstLine="480" w:firstLineChars="200"/>
        <w:jc w:val="both"/>
        <w:rPr>
          <w:color w:val="auto"/>
          <w:highlight w:val="none"/>
        </w:rPr>
      </w:pPr>
      <w:r>
        <w:rPr>
          <w:rFonts w:hint="eastAsia"/>
          <w:color w:val="auto"/>
          <w:highlight w:val="none"/>
        </w:rPr>
        <w:t>关于建筑信息模型技术的开发、使用、存储、传输、交付及费用约定如下：</w:t>
      </w:r>
      <w:r>
        <w:rPr>
          <w:color w:val="auto"/>
          <w:highlight w:val="none"/>
        </w:rPr>
        <w:t xml:space="preserve"> </w:t>
      </w:r>
      <w:r>
        <w:rPr>
          <w:color w:val="auto"/>
          <w:highlight w:val="none"/>
          <w:u w:val="single"/>
        </w:rPr>
        <w:t xml:space="preserve">                                       </w:t>
      </w:r>
      <w:r>
        <w:rPr>
          <w:rFonts w:hint="eastAsia"/>
          <w:color w:val="auto"/>
          <w:highlight w:val="none"/>
        </w:rPr>
        <w:t>。</w:t>
      </w:r>
    </w:p>
    <w:p w14:paraId="409A001C">
      <w:pPr>
        <w:pStyle w:val="3"/>
        <w:jc w:val="both"/>
        <w:rPr>
          <w:rFonts w:hint="eastAsia" w:ascii="宋体" w:hAnsi="宋体" w:cs="宋体"/>
          <w:color w:val="auto"/>
          <w:highlight w:val="none"/>
        </w:rPr>
      </w:pPr>
      <w:bookmarkStart w:id="134" w:name="_Toc54862333"/>
      <w:r>
        <w:rPr>
          <w:rFonts w:hint="eastAsia" w:ascii="宋体" w:hAnsi="宋体" w:cs="宋体"/>
          <w:color w:val="auto"/>
          <w:highlight w:val="none"/>
        </w:rPr>
        <w:t>第2条 发包人</w:t>
      </w:r>
      <w:bookmarkEnd w:id="134"/>
    </w:p>
    <w:p w14:paraId="6F02F6E1">
      <w:pPr>
        <w:pStyle w:val="4"/>
        <w:jc w:val="both"/>
        <w:rPr>
          <w:rFonts w:hint="eastAsia" w:ascii="宋体" w:hAnsi="宋体" w:cs="宋体"/>
          <w:color w:val="auto"/>
          <w:szCs w:val="28"/>
          <w:highlight w:val="none"/>
        </w:rPr>
      </w:pPr>
      <w:r>
        <w:rPr>
          <w:rFonts w:hint="eastAsia" w:ascii="宋体" w:hAnsi="宋体" w:cs="宋体"/>
          <w:color w:val="auto"/>
          <w:szCs w:val="28"/>
          <w:highlight w:val="none"/>
        </w:rPr>
        <w:t>2.2 提供施工现场和工作条件</w:t>
      </w:r>
    </w:p>
    <w:p w14:paraId="5FC6053B">
      <w:pPr>
        <w:spacing w:line="440" w:lineRule="exact"/>
        <w:ind w:firstLine="480" w:firstLineChars="200"/>
        <w:jc w:val="both"/>
        <w:rPr>
          <w:color w:val="auto"/>
          <w:highlight w:val="none"/>
        </w:rPr>
      </w:pPr>
      <w:r>
        <w:rPr>
          <w:color w:val="auto"/>
          <w:highlight w:val="none"/>
        </w:rPr>
        <w:t xml:space="preserve">2.2.1 </w:t>
      </w:r>
      <w:r>
        <w:rPr>
          <w:rFonts w:hint="eastAsia"/>
          <w:color w:val="auto"/>
          <w:highlight w:val="none"/>
        </w:rPr>
        <w:t>提供施工现场</w:t>
      </w:r>
    </w:p>
    <w:p w14:paraId="4AC38D10">
      <w:pPr>
        <w:spacing w:line="440" w:lineRule="exact"/>
        <w:ind w:firstLine="480" w:firstLineChars="200"/>
        <w:jc w:val="both"/>
        <w:rPr>
          <w:color w:val="auto"/>
          <w:highlight w:val="none"/>
        </w:rPr>
      </w:pPr>
      <w:r>
        <w:rPr>
          <w:rFonts w:hint="eastAsia"/>
          <w:color w:val="auto"/>
          <w:highlight w:val="none"/>
        </w:rPr>
        <w:t>关于发包人提供施工现场的范围和期限：</w:t>
      </w:r>
      <w:r>
        <w:rPr>
          <w:rFonts w:hint="eastAsia"/>
          <w:color w:val="auto"/>
          <w:highlight w:val="none"/>
          <w:u w:val="single"/>
        </w:rPr>
        <w:t>在开工前，发包人将通过其工程师提供施工场地，双方代表应做好现场的交验工作并签字确认。发包人提供施工用电接头、施工用水接口。施工期间因电力紧张或其他原因造成短期供电不足的，应由承包人自行配备足够容量的发电设备，确保施工正常进行，该费用由承包人自行承担，发包人不再计取措施费。电讯线路的接入由承包人自行解决</w:t>
      </w:r>
      <w:r>
        <w:rPr>
          <w:color w:val="auto"/>
          <w:highlight w:val="none"/>
        </w:rPr>
        <w:t xml:space="preserve"> </w:t>
      </w:r>
      <w:r>
        <w:rPr>
          <w:rFonts w:hint="eastAsia"/>
          <w:color w:val="auto"/>
          <w:highlight w:val="none"/>
        </w:rPr>
        <w:t>。</w:t>
      </w:r>
    </w:p>
    <w:p w14:paraId="4B07767A">
      <w:pPr>
        <w:spacing w:line="440" w:lineRule="exact"/>
        <w:ind w:firstLine="480" w:firstLineChars="200"/>
        <w:jc w:val="both"/>
        <w:rPr>
          <w:color w:val="auto"/>
          <w:highlight w:val="none"/>
        </w:rPr>
      </w:pPr>
      <w:r>
        <w:rPr>
          <w:color w:val="auto"/>
          <w:highlight w:val="none"/>
        </w:rPr>
        <w:t xml:space="preserve">2.2.2 </w:t>
      </w:r>
      <w:r>
        <w:rPr>
          <w:rFonts w:hint="eastAsia"/>
          <w:color w:val="auto"/>
          <w:highlight w:val="none"/>
        </w:rPr>
        <w:t>提供工作条件</w:t>
      </w:r>
    </w:p>
    <w:p w14:paraId="78591416">
      <w:pPr>
        <w:spacing w:line="440" w:lineRule="exact"/>
        <w:ind w:firstLine="480" w:firstLineChars="200"/>
        <w:jc w:val="both"/>
        <w:rPr>
          <w:color w:val="auto"/>
          <w:highlight w:val="none"/>
          <w:u w:val="single"/>
        </w:rPr>
      </w:pPr>
      <w:r>
        <w:rPr>
          <w:rFonts w:hint="eastAsia"/>
          <w:color w:val="auto"/>
          <w:highlight w:val="none"/>
        </w:rPr>
        <w:t>关于发包人应负责提供的工作条件包括：</w:t>
      </w:r>
      <w:r>
        <w:rPr>
          <w:rFonts w:hint="eastAsia"/>
          <w:color w:val="auto"/>
          <w:highlight w:val="none"/>
          <w:u w:val="single"/>
        </w:rPr>
        <w:t>办理证件和批件</w:t>
      </w:r>
      <w:r>
        <w:rPr>
          <w:rFonts w:hint="eastAsia"/>
          <w:color w:val="auto"/>
          <w:highlight w:val="none"/>
        </w:rPr>
        <w:t>，</w:t>
      </w:r>
      <w:r>
        <w:rPr>
          <w:rFonts w:hint="eastAsia"/>
          <w:color w:val="auto"/>
          <w:highlight w:val="none"/>
          <w:u w:val="single"/>
        </w:rPr>
        <w:t>法律规定和合同约定由发包人负责办理的工程建设项目必须履行的各类审批、核准、施工许可或备案手续，包括但不限于建设工程施工许可证、工程质量监督手续等许可和批准。发包人应按时办理，承包人应给予必要的协助。</w:t>
      </w:r>
    </w:p>
    <w:p w14:paraId="0C64942B">
      <w:pPr>
        <w:spacing w:line="440" w:lineRule="exact"/>
        <w:ind w:firstLine="480" w:firstLineChars="200"/>
        <w:jc w:val="both"/>
        <w:rPr>
          <w:color w:val="auto"/>
          <w:highlight w:val="none"/>
          <w:u w:val="single"/>
        </w:rPr>
      </w:pPr>
      <w:r>
        <w:rPr>
          <w:rFonts w:hint="eastAsia"/>
          <w:color w:val="auto"/>
          <w:highlight w:val="none"/>
          <w:u w:val="single"/>
        </w:rPr>
        <w:t>法律规定由承包人负责的有关设计、施工证件和批件，发包人应给予必要的协助。</w:t>
      </w:r>
    </w:p>
    <w:p w14:paraId="0994F8FC">
      <w:pPr>
        <w:pStyle w:val="4"/>
        <w:jc w:val="both"/>
        <w:rPr>
          <w:rFonts w:hint="eastAsia" w:ascii="宋体" w:hAnsi="宋体" w:cs="宋体"/>
          <w:color w:val="auto"/>
          <w:szCs w:val="28"/>
          <w:highlight w:val="none"/>
        </w:rPr>
      </w:pPr>
      <w:r>
        <w:rPr>
          <w:rFonts w:hint="eastAsia" w:ascii="宋体" w:hAnsi="宋体" w:cs="宋体"/>
          <w:color w:val="auto"/>
          <w:szCs w:val="28"/>
          <w:highlight w:val="none"/>
        </w:rPr>
        <w:t>2.3 提供基础资料</w:t>
      </w:r>
    </w:p>
    <w:p w14:paraId="33209A57">
      <w:pPr>
        <w:spacing w:line="440" w:lineRule="exact"/>
        <w:ind w:firstLine="480" w:firstLineChars="200"/>
        <w:jc w:val="both"/>
        <w:rPr>
          <w:color w:val="auto"/>
          <w:highlight w:val="none"/>
        </w:rPr>
      </w:pPr>
      <w:r>
        <w:rPr>
          <w:rFonts w:hint="eastAsia"/>
          <w:color w:val="auto"/>
          <w:highlight w:val="none"/>
        </w:rPr>
        <w:t>关于发包人应提供的基础资料的范围和期限</w:t>
      </w:r>
      <w:r>
        <w:rPr>
          <w:rFonts w:hint="eastAsia"/>
          <w:color w:val="auto"/>
          <w:highlight w:val="none"/>
          <w:u w:val="single"/>
        </w:rPr>
        <w:t>：按需要提供</w:t>
      </w:r>
      <w:r>
        <w:rPr>
          <w:rFonts w:hint="eastAsia"/>
          <w:color w:val="auto"/>
          <w:highlight w:val="none"/>
        </w:rPr>
        <w:t>。</w:t>
      </w:r>
    </w:p>
    <w:p w14:paraId="04CDB754">
      <w:pPr>
        <w:pStyle w:val="4"/>
        <w:jc w:val="both"/>
        <w:rPr>
          <w:rFonts w:hint="eastAsia" w:ascii="宋体" w:hAnsi="宋体" w:cs="宋体"/>
          <w:color w:val="auto"/>
          <w:szCs w:val="28"/>
          <w:highlight w:val="none"/>
        </w:rPr>
      </w:pPr>
      <w:r>
        <w:rPr>
          <w:rFonts w:hint="eastAsia" w:ascii="宋体" w:hAnsi="宋体" w:cs="宋体"/>
          <w:color w:val="auto"/>
          <w:szCs w:val="28"/>
          <w:highlight w:val="none"/>
        </w:rPr>
        <w:t>2.5 支付合同价款</w:t>
      </w:r>
    </w:p>
    <w:p w14:paraId="62FEBC13">
      <w:pPr>
        <w:spacing w:line="440" w:lineRule="exact"/>
        <w:ind w:firstLine="480" w:firstLineChars="200"/>
        <w:jc w:val="both"/>
        <w:rPr>
          <w:color w:val="auto"/>
          <w:highlight w:val="none"/>
        </w:rPr>
      </w:pPr>
      <w:r>
        <w:rPr>
          <w:color w:val="auto"/>
          <w:highlight w:val="none"/>
        </w:rPr>
        <w:t xml:space="preserve">2.5.2 </w:t>
      </w:r>
      <w:r>
        <w:rPr>
          <w:rFonts w:hint="eastAsia"/>
          <w:color w:val="auto"/>
          <w:highlight w:val="none"/>
        </w:rPr>
        <w:t>发包人提供资金来源证明及资金安排的期限要求：</w:t>
      </w:r>
      <w:r>
        <w:rPr>
          <w:color w:val="auto"/>
          <w:highlight w:val="none"/>
          <w:u w:val="single"/>
        </w:rPr>
        <w:t xml:space="preserve">            </w:t>
      </w:r>
      <w:r>
        <w:rPr>
          <w:color w:val="auto"/>
          <w:highlight w:val="none"/>
        </w:rPr>
        <w:t xml:space="preserve"> </w:t>
      </w:r>
      <w:r>
        <w:rPr>
          <w:rFonts w:hint="eastAsia"/>
          <w:color w:val="auto"/>
          <w:highlight w:val="none"/>
        </w:rPr>
        <w:t>。</w:t>
      </w:r>
    </w:p>
    <w:p w14:paraId="61820555">
      <w:pPr>
        <w:spacing w:line="440" w:lineRule="exact"/>
        <w:ind w:firstLine="480" w:firstLineChars="200"/>
        <w:jc w:val="both"/>
        <w:rPr>
          <w:color w:val="auto"/>
          <w:highlight w:val="none"/>
        </w:rPr>
      </w:pPr>
      <w:r>
        <w:rPr>
          <w:color w:val="auto"/>
          <w:highlight w:val="none"/>
        </w:rPr>
        <w:t xml:space="preserve">2.5.3 </w:t>
      </w:r>
      <w:r>
        <w:rPr>
          <w:rFonts w:hint="eastAsia"/>
          <w:color w:val="auto"/>
          <w:highlight w:val="none"/>
        </w:rPr>
        <w:t>发包人提供支付担保的形式、期限、金额（或比例）：</w:t>
      </w:r>
      <w:r>
        <w:rPr>
          <w:color w:val="auto"/>
          <w:highlight w:val="none"/>
          <w:u w:val="single"/>
        </w:rPr>
        <w:t xml:space="preserve">     </w:t>
      </w:r>
      <w:r>
        <w:rPr>
          <w:color w:val="auto"/>
          <w:highlight w:val="none"/>
        </w:rPr>
        <w:t xml:space="preserve"> </w:t>
      </w:r>
      <w:r>
        <w:rPr>
          <w:rFonts w:hint="eastAsia"/>
          <w:color w:val="auto"/>
          <w:highlight w:val="none"/>
        </w:rPr>
        <w:t>。</w:t>
      </w:r>
    </w:p>
    <w:p w14:paraId="54138550">
      <w:pPr>
        <w:pStyle w:val="4"/>
        <w:jc w:val="both"/>
        <w:rPr>
          <w:rFonts w:hint="eastAsia" w:ascii="宋体" w:hAnsi="宋体" w:cs="宋体"/>
          <w:color w:val="auto"/>
          <w:szCs w:val="28"/>
          <w:highlight w:val="none"/>
        </w:rPr>
      </w:pPr>
      <w:r>
        <w:rPr>
          <w:rFonts w:hint="eastAsia" w:ascii="宋体" w:hAnsi="宋体" w:cs="宋体"/>
          <w:color w:val="auto"/>
          <w:szCs w:val="28"/>
          <w:highlight w:val="none"/>
        </w:rPr>
        <w:t>2.7 其他义务</w:t>
      </w:r>
    </w:p>
    <w:p w14:paraId="0BEE3C6F">
      <w:pPr>
        <w:spacing w:line="440" w:lineRule="exact"/>
        <w:ind w:firstLine="480" w:firstLineChars="200"/>
        <w:jc w:val="both"/>
        <w:rPr>
          <w:color w:val="auto"/>
          <w:highlight w:val="none"/>
        </w:rPr>
      </w:pPr>
      <w:r>
        <w:rPr>
          <w:rFonts w:hint="eastAsia"/>
          <w:color w:val="auto"/>
          <w:highlight w:val="none"/>
        </w:rPr>
        <w:t xml:space="preserve">发包人应履行的其他义务：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p>
    <w:p w14:paraId="4D913727">
      <w:pPr>
        <w:pStyle w:val="3"/>
        <w:jc w:val="both"/>
        <w:rPr>
          <w:rFonts w:hint="eastAsia" w:ascii="宋体" w:hAnsi="宋体" w:cs="宋体"/>
          <w:color w:val="auto"/>
          <w:highlight w:val="none"/>
        </w:rPr>
      </w:pPr>
      <w:bookmarkStart w:id="135" w:name="_Toc54862334"/>
      <w:r>
        <w:rPr>
          <w:rFonts w:hint="eastAsia" w:ascii="宋体" w:hAnsi="宋体" w:cs="宋体"/>
          <w:color w:val="auto"/>
          <w:highlight w:val="none"/>
        </w:rPr>
        <w:t>第3条 发包人的管理</w:t>
      </w:r>
      <w:bookmarkEnd w:id="135"/>
    </w:p>
    <w:p w14:paraId="56FDC249">
      <w:pPr>
        <w:pStyle w:val="4"/>
        <w:jc w:val="both"/>
        <w:rPr>
          <w:rFonts w:hint="eastAsia" w:ascii="宋体" w:hAnsi="宋体" w:cs="宋体"/>
          <w:color w:val="auto"/>
          <w:szCs w:val="28"/>
          <w:highlight w:val="none"/>
        </w:rPr>
      </w:pPr>
      <w:r>
        <w:rPr>
          <w:rFonts w:hint="eastAsia" w:ascii="宋体" w:hAnsi="宋体" w:cs="宋体"/>
          <w:color w:val="auto"/>
          <w:szCs w:val="28"/>
          <w:highlight w:val="none"/>
        </w:rPr>
        <w:t>3.1 发包人代表</w:t>
      </w:r>
    </w:p>
    <w:p w14:paraId="601352AB">
      <w:pPr>
        <w:spacing w:line="440" w:lineRule="exact"/>
        <w:ind w:firstLine="480" w:firstLineChars="200"/>
        <w:jc w:val="both"/>
        <w:rPr>
          <w:color w:val="auto"/>
          <w:highlight w:val="none"/>
        </w:rPr>
      </w:pPr>
      <w:r>
        <w:rPr>
          <w:rFonts w:hint="eastAsia"/>
          <w:color w:val="auto"/>
          <w:highlight w:val="none"/>
        </w:rPr>
        <w:t>发包人代表的姓名：</w:t>
      </w:r>
      <w:r>
        <w:rPr>
          <w:color w:val="auto"/>
          <w:highlight w:val="none"/>
          <w:u w:val="single"/>
        </w:rPr>
        <w:t xml:space="preserve">                                </w:t>
      </w:r>
      <w:r>
        <w:rPr>
          <w:color w:val="auto"/>
          <w:highlight w:val="none"/>
        </w:rPr>
        <w:t xml:space="preserve"> </w:t>
      </w:r>
      <w:r>
        <w:rPr>
          <w:rFonts w:hint="eastAsia"/>
          <w:color w:val="auto"/>
          <w:highlight w:val="none"/>
        </w:rPr>
        <w:t>；</w:t>
      </w:r>
    </w:p>
    <w:p w14:paraId="60575664">
      <w:pPr>
        <w:spacing w:line="440" w:lineRule="exact"/>
        <w:ind w:firstLine="480" w:firstLineChars="200"/>
        <w:jc w:val="both"/>
        <w:rPr>
          <w:color w:val="auto"/>
          <w:highlight w:val="none"/>
        </w:rPr>
      </w:pPr>
      <w:r>
        <w:rPr>
          <w:rFonts w:hint="eastAsia"/>
          <w:color w:val="auto"/>
          <w:highlight w:val="none"/>
        </w:rPr>
        <w:t>发包人代表的身份证号：</w:t>
      </w:r>
      <w:r>
        <w:rPr>
          <w:color w:val="auto"/>
          <w:highlight w:val="none"/>
          <w:u w:val="single"/>
        </w:rPr>
        <w:t xml:space="preserve">                             </w:t>
      </w:r>
      <w:r>
        <w:rPr>
          <w:rFonts w:hint="eastAsia"/>
          <w:color w:val="auto"/>
          <w:highlight w:val="none"/>
        </w:rPr>
        <w:t>；</w:t>
      </w:r>
    </w:p>
    <w:p w14:paraId="119A263A">
      <w:pPr>
        <w:spacing w:line="440" w:lineRule="exact"/>
        <w:ind w:firstLine="480" w:firstLineChars="200"/>
        <w:jc w:val="both"/>
        <w:rPr>
          <w:color w:val="auto"/>
          <w:highlight w:val="none"/>
        </w:rPr>
      </w:pPr>
      <w:r>
        <w:rPr>
          <w:rFonts w:hint="eastAsia"/>
          <w:color w:val="auto"/>
          <w:highlight w:val="none"/>
        </w:rPr>
        <w:t>发包人代表的职务：</w:t>
      </w:r>
      <w:r>
        <w:rPr>
          <w:color w:val="auto"/>
          <w:highlight w:val="none"/>
          <w:u w:val="single"/>
        </w:rPr>
        <w:t xml:space="preserve">                                 </w:t>
      </w:r>
      <w:r>
        <w:rPr>
          <w:rFonts w:hint="eastAsia"/>
          <w:color w:val="auto"/>
          <w:highlight w:val="none"/>
        </w:rPr>
        <w:t>；</w:t>
      </w:r>
    </w:p>
    <w:p w14:paraId="61B94820">
      <w:pPr>
        <w:spacing w:line="440" w:lineRule="exact"/>
        <w:ind w:firstLine="480" w:firstLineChars="200"/>
        <w:jc w:val="both"/>
        <w:rPr>
          <w:color w:val="auto"/>
          <w:highlight w:val="none"/>
        </w:rPr>
      </w:pPr>
      <w:r>
        <w:rPr>
          <w:rFonts w:hint="eastAsia"/>
          <w:color w:val="auto"/>
          <w:highlight w:val="none"/>
        </w:rPr>
        <w:t>发包人代表的联系电话：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p>
    <w:p w14:paraId="1C10D14A">
      <w:pPr>
        <w:spacing w:line="440" w:lineRule="exact"/>
        <w:ind w:firstLine="480" w:firstLineChars="200"/>
        <w:jc w:val="both"/>
        <w:rPr>
          <w:color w:val="auto"/>
          <w:highlight w:val="none"/>
        </w:rPr>
      </w:pPr>
      <w:r>
        <w:rPr>
          <w:rFonts w:hint="eastAsia"/>
          <w:color w:val="auto"/>
          <w:highlight w:val="none"/>
        </w:rPr>
        <w:t>发包人代表的电子邮箱：</w:t>
      </w:r>
      <w:r>
        <w:rPr>
          <w:color w:val="auto"/>
          <w:highlight w:val="none"/>
          <w:u w:val="single"/>
        </w:rPr>
        <w:t xml:space="preserve">                             </w:t>
      </w:r>
      <w:r>
        <w:rPr>
          <w:rFonts w:hint="eastAsia"/>
          <w:color w:val="auto"/>
          <w:highlight w:val="none"/>
        </w:rPr>
        <w:t>；</w:t>
      </w:r>
    </w:p>
    <w:p w14:paraId="4C39B94E">
      <w:pPr>
        <w:spacing w:line="440" w:lineRule="exact"/>
        <w:ind w:firstLine="480" w:firstLineChars="200"/>
        <w:jc w:val="both"/>
        <w:rPr>
          <w:color w:val="auto"/>
          <w:highlight w:val="none"/>
        </w:rPr>
      </w:pPr>
      <w:r>
        <w:rPr>
          <w:rFonts w:hint="eastAsia"/>
          <w:color w:val="auto"/>
          <w:highlight w:val="none"/>
        </w:rPr>
        <w:t>发包人代表的通信地址：</w:t>
      </w:r>
      <w:r>
        <w:rPr>
          <w:color w:val="auto"/>
          <w:highlight w:val="none"/>
          <w:u w:val="single"/>
        </w:rPr>
        <w:t xml:space="preserve">                            </w:t>
      </w:r>
      <w:r>
        <w:rPr>
          <w:color w:val="auto"/>
          <w:highlight w:val="none"/>
        </w:rPr>
        <w:t xml:space="preserve"> </w:t>
      </w:r>
      <w:r>
        <w:rPr>
          <w:rFonts w:hint="eastAsia"/>
          <w:color w:val="auto"/>
          <w:highlight w:val="none"/>
        </w:rPr>
        <w:t>；</w:t>
      </w:r>
    </w:p>
    <w:p w14:paraId="5D86D2BB">
      <w:pPr>
        <w:spacing w:line="440" w:lineRule="exact"/>
        <w:ind w:firstLine="480" w:firstLineChars="200"/>
        <w:jc w:val="both"/>
        <w:rPr>
          <w:color w:val="auto"/>
          <w:highlight w:val="none"/>
        </w:rPr>
      </w:pPr>
      <w:r>
        <w:rPr>
          <w:rFonts w:hint="eastAsia"/>
          <w:color w:val="auto"/>
          <w:highlight w:val="none"/>
        </w:rPr>
        <w:t>发包人对发包人代表的授权范围如下：</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p>
    <w:p w14:paraId="184F3145">
      <w:pPr>
        <w:spacing w:line="440" w:lineRule="exact"/>
        <w:ind w:firstLine="480" w:firstLineChars="200"/>
        <w:jc w:val="both"/>
        <w:rPr>
          <w:color w:val="auto"/>
          <w:highlight w:val="none"/>
        </w:rPr>
      </w:pPr>
      <w:r>
        <w:rPr>
          <w:rFonts w:hint="eastAsia"/>
          <w:color w:val="auto"/>
          <w:highlight w:val="none"/>
        </w:rPr>
        <w:t>发包人代表的职责：</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p>
    <w:p w14:paraId="3121D5AC">
      <w:pPr>
        <w:pStyle w:val="4"/>
        <w:jc w:val="both"/>
        <w:rPr>
          <w:rFonts w:hint="eastAsia" w:ascii="宋体" w:hAnsi="宋体" w:cs="宋体"/>
          <w:color w:val="auto"/>
          <w:szCs w:val="28"/>
          <w:highlight w:val="none"/>
        </w:rPr>
      </w:pPr>
      <w:r>
        <w:rPr>
          <w:rFonts w:hint="eastAsia" w:ascii="宋体" w:hAnsi="宋体" w:cs="宋体"/>
          <w:color w:val="auto"/>
          <w:szCs w:val="28"/>
          <w:highlight w:val="none"/>
        </w:rPr>
        <w:t>3.2 发包人人员</w:t>
      </w:r>
    </w:p>
    <w:p w14:paraId="7A0EE466">
      <w:pPr>
        <w:spacing w:line="440" w:lineRule="exact"/>
        <w:ind w:firstLine="480" w:firstLineChars="200"/>
        <w:jc w:val="both"/>
        <w:rPr>
          <w:color w:val="auto"/>
          <w:highlight w:val="none"/>
        </w:rPr>
      </w:pPr>
      <w:r>
        <w:rPr>
          <w:color w:val="auto"/>
          <w:highlight w:val="none"/>
        </w:rPr>
        <w:t>发包人人员姓名：</w:t>
      </w:r>
      <w:r>
        <w:rPr>
          <w:color w:val="auto"/>
          <w:highlight w:val="none"/>
          <w:u w:val="single"/>
        </w:rPr>
        <w:t xml:space="preserve">                                  </w:t>
      </w:r>
      <w:r>
        <w:rPr>
          <w:color w:val="auto"/>
          <w:highlight w:val="none"/>
        </w:rPr>
        <w:t xml:space="preserve"> ；</w:t>
      </w:r>
    </w:p>
    <w:p w14:paraId="285D10BF">
      <w:pPr>
        <w:spacing w:line="440" w:lineRule="exact"/>
        <w:ind w:firstLine="480" w:firstLineChars="200"/>
        <w:jc w:val="both"/>
        <w:rPr>
          <w:color w:val="auto"/>
          <w:highlight w:val="none"/>
        </w:rPr>
      </w:pPr>
      <w:r>
        <w:rPr>
          <w:color w:val="auto"/>
          <w:highlight w:val="none"/>
        </w:rPr>
        <w:t>发包人人员职务：</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p>
    <w:p w14:paraId="15583440">
      <w:pPr>
        <w:spacing w:line="440" w:lineRule="exact"/>
        <w:ind w:firstLine="480" w:firstLineChars="200"/>
        <w:jc w:val="both"/>
        <w:rPr>
          <w:color w:val="auto"/>
          <w:highlight w:val="none"/>
        </w:rPr>
      </w:pPr>
      <w:r>
        <w:rPr>
          <w:color w:val="auto"/>
          <w:highlight w:val="none"/>
        </w:rPr>
        <w:t>发包人人员职责：</w:t>
      </w:r>
      <w:r>
        <w:rPr>
          <w:color w:val="auto"/>
          <w:highlight w:val="none"/>
          <w:u w:val="single"/>
        </w:rPr>
        <w:t xml:space="preserve">                                 </w:t>
      </w:r>
      <w:r>
        <w:rPr>
          <w:color w:val="auto"/>
          <w:highlight w:val="none"/>
        </w:rPr>
        <w:t xml:space="preserve"> </w:t>
      </w:r>
      <w:r>
        <w:rPr>
          <w:rFonts w:hint="eastAsia"/>
          <w:color w:val="auto"/>
          <w:highlight w:val="none"/>
        </w:rPr>
        <w:t>。</w:t>
      </w:r>
    </w:p>
    <w:p w14:paraId="73D92BF3">
      <w:pPr>
        <w:pStyle w:val="4"/>
        <w:jc w:val="both"/>
        <w:rPr>
          <w:rFonts w:hint="eastAsia" w:ascii="宋体" w:hAnsi="宋体" w:cs="宋体"/>
          <w:color w:val="auto"/>
          <w:szCs w:val="28"/>
          <w:highlight w:val="none"/>
        </w:rPr>
      </w:pPr>
      <w:r>
        <w:rPr>
          <w:rFonts w:hint="eastAsia" w:ascii="宋体" w:hAnsi="宋体" w:cs="宋体"/>
          <w:color w:val="auto"/>
          <w:szCs w:val="28"/>
          <w:highlight w:val="none"/>
        </w:rPr>
        <w:t>3.3 工程师</w:t>
      </w:r>
    </w:p>
    <w:p w14:paraId="6D780C06">
      <w:pPr>
        <w:spacing w:line="440" w:lineRule="exact"/>
        <w:ind w:firstLine="480" w:firstLineChars="200"/>
        <w:jc w:val="both"/>
        <w:rPr>
          <w:color w:val="auto"/>
          <w:highlight w:val="none"/>
        </w:rPr>
      </w:pPr>
      <w:r>
        <w:rPr>
          <w:rFonts w:hint="eastAsia"/>
          <w:color w:val="auto"/>
          <w:highlight w:val="none"/>
        </w:rPr>
        <w:t>3</w:t>
      </w:r>
      <w:r>
        <w:rPr>
          <w:color w:val="auto"/>
          <w:highlight w:val="none"/>
        </w:rPr>
        <w:t xml:space="preserve">.3.1 </w:t>
      </w:r>
      <w:r>
        <w:rPr>
          <w:rFonts w:hint="eastAsia"/>
          <w:color w:val="auto"/>
          <w:highlight w:val="none"/>
        </w:rPr>
        <w:t>工程师名称</w:t>
      </w:r>
      <w:r>
        <w:rPr>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工程师监督管理</w:t>
      </w:r>
      <w:r>
        <w:rPr>
          <w:color w:val="auto"/>
          <w:highlight w:val="none"/>
        </w:rPr>
        <w:t>范围</w:t>
      </w:r>
      <w:r>
        <w:rPr>
          <w:rFonts w:hint="eastAsia"/>
          <w:color w:val="auto"/>
          <w:highlight w:val="none"/>
        </w:rPr>
        <w:t>、内容</w:t>
      </w:r>
      <w:r>
        <w:rPr>
          <w:color w:val="auto"/>
          <w:highlight w:val="none"/>
        </w:rPr>
        <w:t>：</w:t>
      </w:r>
      <w:r>
        <w:rPr>
          <w:color w:val="auto"/>
          <w:highlight w:val="none"/>
          <w:u w:val="single"/>
        </w:rPr>
        <w:t xml:space="preserve">                          </w:t>
      </w:r>
      <w:r>
        <w:rPr>
          <w:rFonts w:hint="eastAsia"/>
          <w:color w:val="auto"/>
          <w:highlight w:val="none"/>
        </w:rPr>
        <w:t>；工程师</w:t>
      </w:r>
      <w:r>
        <w:rPr>
          <w:color w:val="auto"/>
          <w:highlight w:val="none"/>
        </w:rPr>
        <w:t>权限：</w:t>
      </w:r>
      <w:r>
        <w:rPr>
          <w:color w:val="auto"/>
          <w:highlight w:val="none"/>
          <w:u w:val="single"/>
        </w:rPr>
        <w:t xml:space="preserve">               </w:t>
      </w:r>
      <w:r>
        <w:rPr>
          <w:color w:val="auto"/>
          <w:highlight w:val="none"/>
        </w:rPr>
        <w:t xml:space="preserve"> </w:t>
      </w:r>
      <w:r>
        <w:rPr>
          <w:rFonts w:hint="eastAsia"/>
          <w:color w:val="auto"/>
          <w:highlight w:val="none"/>
        </w:rPr>
        <w:t>。</w:t>
      </w:r>
    </w:p>
    <w:p w14:paraId="31724109">
      <w:pPr>
        <w:pStyle w:val="4"/>
        <w:jc w:val="both"/>
        <w:rPr>
          <w:rFonts w:hint="eastAsia" w:ascii="宋体" w:hAnsi="宋体" w:cs="宋体"/>
          <w:color w:val="auto"/>
          <w:szCs w:val="28"/>
          <w:highlight w:val="none"/>
        </w:rPr>
      </w:pPr>
      <w:r>
        <w:rPr>
          <w:rFonts w:hint="eastAsia" w:ascii="宋体" w:hAnsi="宋体" w:cs="宋体"/>
          <w:color w:val="auto"/>
          <w:szCs w:val="28"/>
          <w:highlight w:val="none"/>
        </w:rPr>
        <w:t>3.6 商定或确定</w:t>
      </w:r>
    </w:p>
    <w:p w14:paraId="0735BDAE">
      <w:pPr>
        <w:spacing w:line="440" w:lineRule="exact"/>
        <w:ind w:firstLine="480" w:firstLineChars="200"/>
        <w:jc w:val="both"/>
        <w:rPr>
          <w:color w:val="auto"/>
          <w:highlight w:val="none"/>
        </w:rPr>
      </w:pPr>
      <w:r>
        <w:rPr>
          <w:rFonts w:hint="eastAsia"/>
          <w:color w:val="auto"/>
          <w:highlight w:val="none"/>
        </w:rPr>
        <w:t>3</w:t>
      </w:r>
      <w:r>
        <w:rPr>
          <w:color w:val="auto"/>
          <w:highlight w:val="none"/>
        </w:rPr>
        <w:t>.6.2 关于</w:t>
      </w:r>
      <w:r>
        <w:rPr>
          <w:rFonts w:hint="eastAsia"/>
          <w:color w:val="auto"/>
          <w:highlight w:val="none"/>
        </w:rPr>
        <w:t>商定</w:t>
      </w:r>
      <w:r>
        <w:rPr>
          <w:color w:val="auto"/>
          <w:highlight w:val="none"/>
        </w:rPr>
        <w:t xml:space="preserve">时间限制的具体约定： </w:t>
      </w:r>
      <w:r>
        <w:rPr>
          <w:color w:val="auto"/>
          <w:highlight w:val="none"/>
          <w:u w:val="single"/>
        </w:rPr>
        <w:t xml:space="preserve">                </w:t>
      </w:r>
      <w:r>
        <w:rPr>
          <w:rFonts w:hint="eastAsia"/>
          <w:color w:val="auto"/>
          <w:highlight w:val="none"/>
        </w:rPr>
        <w:t>。</w:t>
      </w:r>
    </w:p>
    <w:p w14:paraId="33BA73A9">
      <w:pPr>
        <w:spacing w:line="440" w:lineRule="exact"/>
        <w:ind w:firstLine="480" w:firstLineChars="200"/>
        <w:jc w:val="both"/>
        <w:rPr>
          <w:color w:val="auto"/>
          <w:highlight w:val="none"/>
        </w:rPr>
      </w:pPr>
      <w:r>
        <w:rPr>
          <w:color w:val="auto"/>
          <w:highlight w:val="none"/>
        </w:rPr>
        <w:t>3.6.3 关于</w:t>
      </w:r>
      <w:r>
        <w:rPr>
          <w:rFonts w:hint="eastAsia"/>
          <w:color w:val="auto"/>
          <w:highlight w:val="none"/>
        </w:rPr>
        <w:t>商定或确定</w:t>
      </w:r>
      <w:r>
        <w:rPr>
          <w:color w:val="auto"/>
          <w:highlight w:val="none"/>
        </w:rPr>
        <w:t>效力的具体约定：</w:t>
      </w:r>
      <w:r>
        <w:rPr>
          <w:color w:val="auto"/>
          <w:highlight w:val="none"/>
          <w:u w:val="single"/>
        </w:rPr>
        <w:t xml:space="preserve">               </w:t>
      </w:r>
      <w:r>
        <w:rPr>
          <w:rFonts w:hint="eastAsia"/>
          <w:color w:val="auto"/>
          <w:highlight w:val="none"/>
        </w:rPr>
        <w:t>；</w:t>
      </w:r>
      <w:r>
        <w:rPr>
          <w:color w:val="auto"/>
          <w:highlight w:val="none"/>
        </w:rPr>
        <w:t>关于对</w:t>
      </w:r>
      <w:r>
        <w:rPr>
          <w:rFonts w:hint="eastAsia"/>
          <w:color w:val="auto"/>
          <w:highlight w:val="none"/>
        </w:rPr>
        <w:t>工程师的确定提出异议</w:t>
      </w:r>
      <w:r>
        <w:rPr>
          <w:color w:val="auto"/>
          <w:highlight w:val="none"/>
        </w:rPr>
        <w:t>的具体约定：</w:t>
      </w:r>
      <w:r>
        <w:rPr>
          <w:color w:val="auto"/>
          <w:highlight w:val="none"/>
          <w:u w:val="single"/>
        </w:rPr>
        <w:t xml:space="preserve">                 </w:t>
      </w:r>
      <w:r>
        <w:rPr>
          <w:rFonts w:hint="eastAsia"/>
          <w:color w:val="auto"/>
          <w:highlight w:val="none"/>
        </w:rPr>
        <w:t>。</w:t>
      </w:r>
    </w:p>
    <w:p w14:paraId="12F3DDC2">
      <w:pPr>
        <w:pStyle w:val="4"/>
        <w:jc w:val="both"/>
        <w:rPr>
          <w:rFonts w:hint="eastAsia" w:ascii="宋体" w:hAnsi="宋体" w:cs="宋体"/>
          <w:color w:val="auto"/>
          <w:szCs w:val="28"/>
          <w:highlight w:val="none"/>
        </w:rPr>
      </w:pPr>
      <w:r>
        <w:rPr>
          <w:rFonts w:hint="eastAsia" w:ascii="宋体" w:hAnsi="宋体" w:cs="宋体"/>
          <w:color w:val="auto"/>
          <w:szCs w:val="28"/>
          <w:highlight w:val="none"/>
        </w:rPr>
        <w:t>3.7 会议</w:t>
      </w:r>
    </w:p>
    <w:p w14:paraId="308F1A45">
      <w:pPr>
        <w:spacing w:line="440" w:lineRule="exact"/>
        <w:ind w:firstLine="480" w:firstLineChars="200"/>
        <w:jc w:val="both"/>
        <w:rPr>
          <w:color w:val="auto"/>
          <w:highlight w:val="none"/>
        </w:rPr>
      </w:pPr>
      <w:r>
        <w:rPr>
          <w:rFonts w:hint="eastAsia"/>
          <w:color w:val="auto"/>
          <w:highlight w:val="none"/>
        </w:rPr>
        <w:t>3</w:t>
      </w:r>
      <w:r>
        <w:rPr>
          <w:color w:val="auto"/>
          <w:highlight w:val="none"/>
        </w:rPr>
        <w:t>.7.1 关于召开会议</w:t>
      </w:r>
      <w:r>
        <w:rPr>
          <w:rFonts w:hint="eastAsia"/>
          <w:color w:val="auto"/>
          <w:highlight w:val="none"/>
        </w:rPr>
        <w:t>的具体约定：</w:t>
      </w:r>
      <w:r>
        <w:rPr>
          <w:color w:val="auto"/>
          <w:highlight w:val="none"/>
          <w:u w:val="single"/>
        </w:rPr>
        <w:t xml:space="preserve">                     </w:t>
      </w:r>
      <w:r>
        <w:rPr>
          <w:rFonts w:hint="eastAsia"/>
          <w:color w:val="auto"/>
          <w:highlight w:val="none"/>
        </w:rPr>
        <w:t>。</w:t>
      </w:r>
    </w:p>
    <w:p w14:paraId="7CEF84C8">
      <w:pPr>
        <w:spacing w:line="440" w:lineRule="exact"/>
        <w:ind w:firstLine="480" w:firstLineChars="200"/>
        <w:jc w:val="both"/>
        <w:rPr>
          <w:color w:val="auto"/>
          <w:highlight w:val="none"/>
        </w:rPr>
      </w:pPr>
      <w:r>
        <w:rPr>
          <w:rFonts w:hint="eastAsia"/>
          <w:color w:val="auto"/>
          <w:highlight w:val="none"/>
        </w:rPr>
        <w:t>3</w:t>
      </w:r>
      <w:r>
        <w:rPr>
          <w:color w:val="auto"/>
          <w:highlight w:val="none"/>
        </w:rPr>
        <w:t xml:space="preserve">.7.2 </w:t>
      </w:r>
      <w:r>
        <w:rPr>
          <w:rFonts w:hint="eastAsia"/>
          <w:color w:val="auto"/>
          <w:highlight w:val="none"/>
        </w:rPr>
        <w:t>关于保存和提供会议纪要</w:t>
      </w:r>
      <w:r>
        <w:rPr>
          <w:color w:val="auto"/>
          <w:highlight w:val="none"/>
        </w:rPr>
        <w:t>的具体约定：</w:t>
      </w:r>
      <w:r>
        <w:rPr>
          <w:color w:val="auto"/>
          <w:highlight w:val="none"/>
          <w:u w:val="single"/>
        </w:rPr>
        <w:t xml:space="preserve">         </w:t>
      </w:r>
      <w:r>
        <w:rPr>
          <w:color w:val="auto"/>
          <w:highlight w:val="none"/>
        </w:rPr>
        <w:t xml:space="preserve"> </w:t>
      </w:r>
      <w:r>
        <w:rPr>
          <w:rFonts w:hint="eastAsia"/>
          <w:color w:val="auto"/>
          <w:highlight w:val="none"/>
        </w:rPr>
        <w:t>。</w:t>
      </w:r>
    </w:p>
    <w:p w14:paraId="0BC5E3F2">
      <w:pPr>
        <w:pStyle w:val="3"/>
        <w:jc w:val="both"/>
        <w:rPr>
          <w:rFonts w:hint="eastAsia" w:ascii="宋体" w:hAnsi="宋体" w:cs="宋体"/>
          <w:color w:val="auto"/>
          <w:highlight w:val="none"/>
        </w:rPr>
      </w:pPr>
      <w:bookmarkStart w:id="136" w:name="_Toc54862335"/>
      <w:r>
        <w:rPr>
          <w:rFonts w:hint="eastAsia" w:ascii="宋体" w:hAnsi="宋体" w:cs="宋体"/>
          <w:color w:val="auto"/>
          <w:highlight w:val="none"/>
        </w:rPr>
        <w:t>第4条 承包人</w:t>
      </w:r>
      <w:bookmarkEnd w:id="136"/>
    </w:p>
    <w:p w14:paraId="41C674FC">
      <w:pPr>
        <w:pStyle w:val="4"/>
        <w:jc w:val="both"/>
        <w:rPr>
          <w:rFonts w:hint="eastAsia" w:ascii="宋体" w:hAnsi="宋体" w:cs="宋体"/>
          <w:color w:val="auto"/>
          <w:szCs w:val="28"/>
          <w:highlight w:val="none"/>
        </w:rPr>
      </w:pPr>
      <w:r>
        <w:rPr>
          <w:rFonts w:hint="eastAsia" w:ascii="宋体" w:hAnsi="宋体" w:cs="宋体"/>
          <w:color w:val="auto"/>
          <w:szCs w:val="28"/>
          <w:highlight w:val="none"/>
        </w:rPr>
        <w:t>4.1 承包人的一般义务</w:t>
      </w:r>
    </w:p>
    <w:p w14:paraId="7582B89E">
      <w:pPr>
        <w:spacing w:line="440" w:lineRule="exact"/>
        <w:ind w:firstLine="480" w:firstLineChars="200"/>
        <w:jc w:val="both"/>
        <w:rPr>
          <w:rFonts w:eastAsia="仿宋"/>
          <w:color w:val="auto"/>
          <w:highlight w:val="none"/>
        </w:rPr>
      </w:pPr>
      <w:r>
        <w:rPr>
          <w:rFonts w:hint="eastAsia"/>
          <w:color w:val="auto"/>
          <w:highlight w:val="none"/>
        </w:rPr>
        <w:t>4.1.1提交工程总体施工组织设计的份数和时间：施工前须提供详尽的施工方案及进度计划三份。</w:t>
      </w:r>
    </w:p>
    <w:p w14:paraId="32F173C5">
      <w:pPr>
        <w:spacing w:line="440" w:lineRule="exact"/>
        <w:ind w:firstLine="480" w:firstLineChars="200"/>
        <w:jc w:val="both"/>
        <w:rPr>
          <w:color w:val="auto"/>
          <w:highlight w:val="none"/>
        </w:rPr>
      </w:pPr>
      <w:r>
        <w:rPr>
          <w:rFonts w:hint="eastAsia"/>
          <w:color w:val="auto"/>
          <w:highlight w:val="none"/>
        </w:rPr>
        <w:t>4.1.2承包人应履行的其他义务：</w:t>
      </w:r>
    </w:p>
    <w:p w14:paraId="73F31578">
      <w:pPr>
        <w:spacing w:line="440" w:lineRule="exact"/>
        <w:ind w:firstLine="480" w:firstLineChars="200"/>
        <w:jc w:val="both"/>
        <w:rPr>
          <w:color w:val="auto"/>
          <w:highlight w:val="none"/>
          <w:u w:val="single"/>
        </w:rPr>
      </w:pPr>
      <w:r>
        <w:rPr>
          <w:rFonts w:hint="eastAsia"/>
          <w:color w:val="auto"/>
          <w:highlight w:val="none"/>
          <w:u w:val="single"/>
        </w:rPr>
        <w:t>4.1.2.1如联合体中标的，本合同承包人均指联合体，条款内的责任和义务均由牵头人先行承担，牵头人再根据联合体各方约定向相关责任方实行追偿。</w:t>
      </w:r>
    </w:p>
    <w:p w14:paraId="4F8B92AE">
      <w:pPr>
        <w:spacing w:line="440" w:lineRule="exact"/>
        <w:ind w:firstLine="480" w:firstLineChars="200"/>
        <w:jc w:val="both"/>
        <w:rPr>
          <w:color w:val="auto"/>
          <w:highlight w:val="none"/>
          <w:u w:val="single"/>
        </w:rPr>
      </w:pPr>
      <w:r>
        <w:rPr>
          <w:rFonts w:hint="eastAsia"/>
          <w:color w:val="auto"/>
          <w:highlight w:val="none"/>
          <w:u w:val="single"/>
        </w:rPr>
        <w:t>4.1.2.2承包人在设计阶段及施工阶段均应充分满足发包人的限额设计、限额施工要求，主动采取各种优化设计、优化施工措施，确保不超限额，超出部分由承包人自行承担。 发包人有权增加与工程相关的工作，承包人不得拒绝。发包人可以取消部分工程内容，承包人必须接受，发包人对此不进行任何补偿。</w:t>
      </w:r>
    </w:p>
    <w:p w14:paraId="3887013E">
      <w:pPr>
        <w:spacing w:line="440" w:lineRule="exact"/>
        <w:ind w:firstLine="480" w:firstLineChars="200"/>
        <w:jc w:val="both"/>
        <w:rPr>
          <w:color w:val="auto"/>
          <w:highlight w:val="none"/>
          <w:u w:val="single"/>
        </w:rPr>
      </w:pPr>
      <w:r>
        <w:rPr>
          <w:rFonts w:hint="eastAsia"/>
          <w:color w:val="auto"/>
          <w:highlight w:val="none"/>
          <w:u w:val="single"/>
        </w:rPr>
        <w:t>4.1.2.3承包人对自己施工范围内的工程要做好成品保护；由于承包人原因造成损坏的，由承包人自行妥善处理。</w:t>
      </w:r>
    </w:p>
    <w:p w14:paraId="2E476DCF">
      <w:pPr>
        <w:spacing w:line="440" w:lineRule="exact"/>
        <w:ind w:firstLine="480" w:firstLineChars="200"/>
        <w:jc w:val="both"/>
        <w:rPr>
          <w:color w:val="auto"/>
          <w:highlight w:val="none"/>
          <w:u w:val="single"/>
        </w:rPr>
      </w:pPr>
      <w:r>
        <w:rPr>
          <w:rFonts w:hint="eastAsia"/>
          <w:color w:val="auto"/>
          <w:highlight w:val="none"/>
          <w:u w:val="single"/>
        </w:rPr>
        <w:t>4.1.2.4承包人应为发包人、监理人提供办公设施并协助发包人办理相应的手续。</w:t>
      </w:r>
    </w:p>
    <w:p w14:paraId="054C6037">
      <w:pPr>
        <w:spacing w:line="440" w:lineRule="exact"/>
        <w:ind w:firstLine="480" w:firstLineChars="200"/>
        <w:jc w:val="both"/>
        <w:rPr>
          <w:color w:val="auto"/>
          <w:highlight w:val="none"/>
          <w:u w:val="single"/>
        </w:rPr>
      </w:pPr>
      <w:r>
        <w:rPr>
          <w:rFonts w:hint="eastAsia"/>
          <w:color w:val="auto"/>
          <w:highlight w:val="none"/>
          <w:u w:val="single"/>
        </w:rPr>
        <w:t>4.1.2.5承包人为本合同雇佣的特殊工种的工人和操作人员应经过专门的培训并已取得有关管理机构规定的上岗证书。这些特殊工种包括：电工、焊工、施工机械操作人员等。</w:t>
      </w:r>
    </w:p>
    <w:p w14:paraId="5E13D26E">
      <w:pPr>
        <w:spacing w:line="440" w:lineRule="exact"/>
        <w:ind w:firstLine="480" w:firstLineChars="200"/>
        <w:jc w:val="both"/>
        <w:rPr>
          <w:color w:val="auto"/>
          <w:highlight w:val="none"/>
          <w:u w:val="single"/>
        </w:rPr>
      </w:pPr>
      <w:r>
        <w:rPr>
          <w:rFonts w:hint="eastAsia"/>
          <w:color w:val="auto"/>
          <w:highlight w:val="none"/>
          <w:u w:val="single"/>
        </w:rPr>
        <w:t>4.1.2.6做好施工过程中有关书面、影像等资料的要求：对于工程结算中施工图纸、各类联系单中描述不清的事项，承包人应提供有关原始书面、影像等资料，否则，不计入结算内容。承包人发现施工技术资料任何错误或异常，应及时通知监理人和发包人。发现错误和异常隐瞒不报仍继续施工给发包人造成损失的，发包人有权追究承包人责任。</w:t>
      </w:r>
    </w:p>
    <w:p w14:paraId="397CA57F">
      <w:pPr>
        <w:spacing w:line="440" w:lineRule="exact"/>
        <w:ind w:firstLine="480" w:firstLineChars="200"/>
        <w:jc w:val="both"/>
        <w:rPr>
          <w:color w:val="auto"/>
          <w:highlight w:val="none"/>
          <w:u w:val="single"/>
        </w:rPr>
      </w:pPr>
      <w:r>
        <w:rPr>
          <w:rFonts w:hint="eastAsia"/>
          <w:color w:val="auto"/>
          <w:highlight w:val="none"/>
          <w:u w:val="single"/>
        </w:rPr>
        <w:t>4.1.2.7承包人须遵守发包人制订的各项制度文件。</w:t>
      </w:r>
    </w:p>
    <w:p w14:paraId="7DE5C350">
      <w:pPr>
        <w:spacing w:line="440" w:lineRule="exact"/>
        <w:ind w:firstLine="480" w:firstLineChars="200"/>
        <w:jc w:val="both"/>
        <w:rPr>
          <w:color w:val="auto"/>
          <w:highlight w:val="none"/>
          <w:u w:val="single"/>
        </w:rPr>
      </w:pPr>
      <w:r>
        <w:rPr>
          <w:rFonts w:hint="eastAsia"/>
          <w:color w:val="auto"/>
          <w:highlight w:val="none"/>
          <w:u w:val="single"/>
        </w:rPr>
        <w:t>4.1.2.8承包人除完成本合同规定的任务和履行合同约定的义务外，还应完成的工作和履行的义务：</w:t>
      </w:r>
    </w:p>
    <w:p w14:paraId="7282CD85">
      <w:pPr>
        <w:spacing w:line="440" w:lineRule="exact"/>
        <w:ind w:firstLine="480" w:firstLineChars="200"/>
        <w:jc w:val="both"/>
        <w:rPr>
          <w:color w:val="auto"/>
          <w:highlight w:val="none"/>
          <w:u w:val="single"/>
        </w:rPr>
      </w:pPr>
      <w:r>
        <w:rPr>
          <w:rFonts w:hint="eastAsia"/>
          <w:color w:val="auto"/>
          <w:highlight w:val="none"/>
          <w:u w:val="single"/>
        </w:rPr>
        <w:t>（1）开工前应按规定向监理人提供有关人员上岗证、有关设备合格证、年审证等证件。</w:t>
      </w:r>
    </w:p>
    <w:p w14:paraId="1F135217">
      <w:pPr>
        <w:spacing w:line="440" w:lineRule="exact"/>
        <w:ind w:firstLine="480" w:firstLineChars="200"/>
        <w:jc w:val="both"/>
        <w:rPr>
          <w:color w:val="auto"/>
          <w:highlight w:val="none"/>
          <w:u w:val="single"/>
        </w:rPr>
      </w:pPr>
      <w:r>
        <w:rPr>
          <w:rFonts w:hint="eastAsia"/>
          <w:color w:val="auto"/>
          <w:highlight w:val="none"/>
          <w:u w:val="single"/>
        </w:rPr>
        <w:t>（2）遵守政府有关部门对施工交通、环卫排污及施工噪音等管理规定，办理有关手续并承担费用。并以书面形式知会发包人、监理人。</w:t>
      </w:r>
    </w:p>
    <w:p w14:paraId="4341100D">
      <w:pPr>
        <w:spacing w:line="440" w:lineRule="exact"/>
        <w:ind w:firstLine="480" w:firstLineChars="200"/>
        <w:jc w:val="both"/>
        <w:rPr>
          <w:color w:val="auto"/>
          <w:highlight w:val="none"/>
          <w:u w:val="single"/>
        </w:rPr>
      </w:pPr>
      <w:r>
        <w:rPr>
          <w:rFonts w:hint="eastAsia"/>
          <w:color w:val="auto"/>
          <w:highlight w:val="none"/>
          <w:u w:val="single"/>
        </w:rPr>
        <w:t>（3）保证施工场地清洁卫生符合绍兴市有关规定。负责做好门前三清工作，包括由于工程施工而使用的市政道路整修、清理。负责将工程施工所留下的各类临时便道、路基、场地材料等全部清理干净，本工程竣工验收合格交付发包人使用前，负责所有建筑垃圾的清理和外运。本工程竣工验收前7天内，承包人应对建（构）筑物室内、外进行清洁并对施工场地进行清理。建（构）筑物的清洁应达到以下要求：满足竣工验收要求，否则应重新组织清理，其费用包含在承包人合同总价中，不另作调整。且修复因承包人施工造成的道路、围墙等被损坏的设施，并达到竣工验收要求。</w:t>
      </w:r>
    </w:p>
    <w:p w14:paraId="32119871">
      <w:pPr>
        <w:spacing w:line="440" w:lineRule="exact"/>
        <w:ind w:firstLine="480" w:firstLineChars="200"/>
        <w:jc w:val="both"/>
        <w:rPr>
          <w:color w:val="auto"/>
          <w:highlight w:val="none"/>
          <w:u w:val="single"/>
        </w:rPr>
      </w:pPr>
      <w:r>
        <w:rPr>
          <w:rFonts w:hint="eastAsia"/>
          <w:color w:val="auto"/>
          <w:highlight w:val="none"/>
          <w:u w:val="single"/>
        </w:rPr>
        <w:t>（4）按本合同规定应由承包人完成的工作（包括合同、会议纪要约定内容以及设计变更等），如承包人拒绝完成或不能按合同要求完成，发包人有权安排第三方完成，并按实际发生费用从承包人当期应付工程款中代扣代付，影响工期的责任由承包人负责。</w:t>
      </w:r>
    </w:p>
    <w:p w14:paraId="6811F918">
      <w:pPr>
        <w:spacing w:line="440" w:lineRule="exact"/>
        <w:ind w:firstLine="480" w:firstLineChars="200"/>
        <w:jc w:val="both"/>
        <w:rPr>
          <w:color w:val="auto"/>
          <w:highlight w:val="none"/>
          <w:u w:val="single"/>
        </w:rPr>
      </w:pPr>
      <w:r>
        <w:rPr>
          <w:rFonts w:hint="eastAsia"/>
          <w:color w:val="auto"/>
          <w:highlight w:val="none"/>
          <w:u w:val="single"/>
        </w:rPr>
        <w:t>（5）开工前，承包人应按照施工图编写实施性施工组织设计和施工进度计划，并按规定程序报监理人审批。承包人应严格按照经发包人审查批准的施工组织设计精心组织施工，未经发包人批准同意不得更改施工组织设计和自行组织施工，并承担因此发生的所有责任和费用。</w:t>
      </w:r>
    </w:p>
    <w:p w14:paraId="148E09F4">
      <w:pPr>
        <w:spacing w:line="440" w:lineRule="exact"/>
        <w:ind w:firstLine="480" w:firstLineChars="200"/>
        <w:jc w:val="both"/>
        <w:rPr>
          <w:color w:val="auto"/>
          <w:highlight w:val="none"/>
          <w:u w:val="single"/>
        </w:rPr>
      </w:pPr>
      <w:r>
        <w:rPr>
          <w:rFonts w:hint="eastAsia"/>
          <w:color w:val="auto"/>
          <w:highlight w:val="none"/>
          <w:u w:val="single"/>
        </w:rPr>
        <w:t>（6）对达到一定规模的危险性较大的分部分项工程，应编写专项方案，进行审查和论证并承担费用。</w:t>
      </w:r>
    </w:p>
    <w:p w14:paraId="28208F43">
      <w:pPr>
        <w:spacing w:line="440" w:lineRule="exact"/>
        <w:ind w:firstLine="480" w:firstLineChars="200"/>
        <w:jc w:val="both"/>
        <w:rPr>
          <w:color w:val="auto"/>
          <w:highlight w:val="none"/>
          <w:u w:val="single"/>
        </w:rPr>
      </w:pPr>
      <w:r>
        <w:rPr>
          <w:rFonts w:hint="eastAsia"/>
          <w:color w:val="auto"/>
          <w:highlight w:val="none"/>
          <w:u w:val="single"/>
        </w:rPr>
        <w:t>（7）在施工过程中，因客观原因引起工程变更时，承包人应在24小时内向发包人提出书面报告，并明确告知变更引起工期及费用变化情况，严禁未批先建行为。如因承包人报告不及时或未告知，发包人有权不予办理工期和费用签证。</w:t>
      </w:r>
    </w:p>
    <w:p w14:paraId="0424CAF8">
      <w:pPr>
        <w:spacing w:line="440" w:lineRule="exact"/>
        <w:ind w:firstLine="480" w:firstLineChars="200"/>
        <w:jc w:val="both"/>
        <w:rPr>
          <w:color w:val="auto"/>
          <w:highlight w:val="none"/>
          <w:u w:val="single"/>
        </w:rPr>
      </w:pPr>
      <w:r>
        <w:rPr>
          <w:rFonts w:hint="eastAsia"/>
          <w:color w:val="auto"/>
          <w:highlight w:val="none"/>
          <w:u w:val="single"/>
        </w:rPr>
        <w:t>（8）承包人各阶段的设计文件，对新工艺、新技术、新材料、新设备的运用，应报发包人确认，必要时组织有关专家论证，费用已含在本工程合同费用中，由承包人承担，发包人不再另行结算支付。</w:t>
      </w:r>
    </w:p>
    <w:p w14:paraId="128B4677">
      <w:pPr>
        <w:spacing w:line="440" w:lineRule="exact"/>
        <w:ind w:firstLine="480" w:firstLineChars="200"/>
        <w:jc w:val="both"/>
        <w:rPr>
          <w:color w:val="auto"/>
          <w:highlight w:val="none"/>
          <w:u w:val="single"/>
        </w:rPr>
      </w:pPr>
      <w:r>
        <w:rPr>
          <w:rFonts w:hint="eastAsia"/>
          <w:color w:val="auto"/>
          <w:highlight w:val="none"/>
          <w:u w:val="single"/>
        </w:rPr>
        <w:t>（9）承包人应在合同签订同时，应与发包人签订《廉政合同》、《安全生产责任书》等。</w:t>
      </w:r>
    </w:p>
    <w:p w14:paraId="041B09D1">
      <w:pPr>
        <w:spacing w:line="440" w:lineRule="exact"/>
        <w:ind w:firstLine="480" w:firstLineChars="200"/>
        <w:jc w:val="both"/>
        <w:rPr>
          <w:color w:val="auto"/>
          <w:highlight w:val="none"/>
          <w:u w:val="single"/>
        </w:rPr>
      </w:pPr>
      <w:r>
        <w:rPr>
          <w:rFonts w:hint="eastAsia"/>
          <w:color w:val="auto"/>
          <w:highlight w:val="none"/>
          <w:u w:val="single"/>
        </w:rPr>
        <w:t>（10）保证民工工资的支付</w:t>
      </w:r>
    </w:p>
    <w:p w14:paraId="1C544E73">
      <w:pPr>
        <w:spacing w:line="440" w:lineRule="exact"/>
        <w:ind w:firstLine="480" w:firstLineChars="200"/>
        <w:jc w:val="both"/>
        <w:rPr>
          <w:color w:val="auto"/>
          <w:highlight w:val="none"/>
          <w:u w:val="single"/>
        </w:rPr>
      </w:pPr>
      <w:r>
        <w:rPr>
          <w:rFonts w:hint="eastAsia"/>
          <w:color w:val="auto"/>
          <w:highlight w:val="none"/>
          <w:u w:val="single"/>
        </w:rPr>
        <w:t>1）本项目工程款支付实行工程款和工资款两条线拨付机制，承包人需在绍兴市区范围内的任一家银行建立项目农民工工资专用账户，发包人在向承包人支付工程款时将工程款的20%打入项目农民工工资专用账户用于支付农民工工资，此账户的款项只能用于支付农民工工资，不得挪作他用。本项目实行农民工用工实名制管理和农民工工资专用账户管理制度，承包人在农民工进入施工现场3天内应当依法与农民工签订劳动合同，并给其在开设农民工工资专用账户的银行办理实名制银行卡，委托银行将农民工工资直接划入农民工的实名制卡中。若发生拖欠民工工资等情况，则履约保证金不予退还。</w:t>
      </w:r>
    </w:p>
    <w:p w14:paraId="69525C1B">
      <w:pPr>
        <w:spacing w:line="440" w:lineRule="exact"/>
        <w:ind w:firstLine="480" w:firstLineChars="200"/>
        <w:jc w:val="both"/>
        <w:rPr>
          <w:color w:val="auto"/>
          <w:highlight w:val="none"/>
          <w:u w:val="single"/>
        </w:rPr>
      </w:pPr>
      <w:r>
        <w:rPr>
          <w:rFonts w:hint="eastAsia"/>
          <w:color w:val="auto"/>
          <w:highlight w:val="none"/>
          <w:u w:val="single"/>
        </w:rPr>
        <w:t>2）承包人须根据劳动合同约定的民工工资标准等内容，按照依法签订的集体合同或劳动合同约定的日期按月支付工资，并不得低于当地最低工资标准。承包人按规定缴纳农民工工资保证金，并开设农民工工资专用账户，专项用于支付该工程建设项目农民工工资。本项目的所有民工工资均由该项目农民工工资专用账户拨付，委托专户开设银行将农民工工资直接划入农民工办理的实名制工资卡中。</w:t>
      </w:r>
    </w:p>
    <w:p w14:paraId="17A458D8">
      <w:pPr>
        <w:spacing w:line="440" w:lineRule="exact"/>
        <w:ind w:firstLine="480" w:firstLineChars="200"/>
        <w:jc w:val="both"/>
        <w:rPr>
          <w:color w:val="auto"/>
          <w:highlight w:val="none"/>
          <w:u w:val="single"/>
        </w:rPr>
      </w:pPr>
      <w:r>
        <w:rPr>
          <w:rFonts w:hint="eastAsia"/>
          <w:color w:val="auto"/>
          <w:highlight w:val="none"/>
          <w:u w:val="single"/>
        </w:rPr>
        <w:t>3）承包人支付民工工资应编制工资支付表，如实记录工资支付表，支付时间、支付对象、支付数额等工资支付情况，并保存备查，发包人保留随时对承包人的民工工资支付情况进行审查的权利。</w:t>
      </w:r>
    </w:p>
    <w:p w14:paraId="16F11290">
      <w:pPr>
        <w:spacing w:line="440" w:lineRule="exact"/>
        <w:ind w:firstLine="480" w:firstLineChars="200"/>
        <w:jc w:val="both"/>
        <w:rPr>
          <w:color w:val="auto"/>
          <w:highlight w:val="none"/>
          <w:u w:val="single"/>
        </w:rPr>
      </w:pPr>
      <w:r>
        <w:rPr>
          <w:rFonts w:hint="eastAsia"/>
          <w:color w:val="auto"/>
          <w:highlight w:val="none"/>
          <w:u w:val="single"/>
        </w:rPr>
        <w:t>4）承包人应对其专业分包或劳务分包单位工资支付情况进行监督，督促其依法支付民工工资。</w:t>
      </w:r>
    </w:p>
    <w:p w14:paraId="3961EBB7">
      <w:pPr>
        <w:spacing w:line="440" w:lineRule="exact"/>
        <w:ind w:firstLine="480" w:firstLineChars="200"/>
        <w:jc w:val="both"/>
        <w:rPr>
          <w:color w:val="auto"/>
          <w:highlight w:val="none"/>
          <w:u w:val="single"/>
        </w:rPr>
      </w:pPr>
      <w:r>
        <w:rPr>
          <w:rFonts w:hint="eastAsia"/>
          <w:color w:val="auto"/>
          <w:highlight w:val="none"/>
          <w:u w:val="single"/>
        </w:rPr>
        <w:t>5）承包人应按上述要求及国家、地方有关规定按时支付民工工资.如果承包人或其分包人拖欠、克扣本工程劳动者工资，造成发包人承担连带责任垫付工人工资，则发包人有权在工程款中扣除并保留进一步向承包人索偿的权利。</w:t>
      </w:r>
    </w:p>
    <w:p w14:paraId="7C9C974E">
      <w:pPr>
        <w:spacing w:line="440" w:lineRule="exact"/>
        <w:ind w:firstLine="480" w:firstLineChars="200"/>
        <w:jc w:val="both"/>
        <w:rPr>
          <w:color w:val="auto"/>
          <w:highlight w:val="none"/>
          <w:u w:val="single"/>
        </w:rPr>
      </w:pPr>
      <w:r>
        <w:rPr>
          <w:rFonts w:hint="eastAsia"/>
          <w:color w:val="auto"/>
          <w:highlight w:val="none"/>
          <w:u w:val="single"/>
        </w:rPr>
        <w:t>6) 承包人直接招用农民工作为劳务时，应遵循以下规定：应当依法按规定到当地劳动保障行政部门办理用工登记、就业登记和劳动合同签证。劳动合同必须由承包人或其合法分包单位授权的代表与农民工本人或劳务分包人直接签订，不得由他人代签。承包人的工程项目部、项目负责人、施工作业班组等不具备用工主体资格，不能直接与农民工或劳务分包人签订劳动合同。劳动合同要报发包人备查。</w:t>
      </w:r>
    </w:p>
    <w:p w14:paraId="1E6584A6">
      <w:pPr>
        <w:spacing w:line="440" w:lineRule="exact"/>
        <w:ind w:firstLine="480" w:firstLineChars="200"/>
        <w:jc w:val="both"/>
        <w:rPr>
          <w:color w:val="auto"/>
          <w:highlight w:val="none"/>
          <w:u w:val="single"/>
        </w:rPr>
      </w:pPr>
      <w:r>
        <w:rPr>
          <w:rFonts w:hint="eastAsia"/>
          <w:color w:val="auto"/>
          <w:highlight w:val="none"/>
          <w:u w:val="single"/>
        </w:rPr>
        <w:t>7)承包人雇用农民工仅限于劳务作业，并应对劳务人员进行安全培训和管理，并加入到承包人的施工班组统一管理。有关施工质量、施工安全、施工进度、环境保护、技术方案、试验检测、材料保管与供应、机械设备等都必须由承包人与其合法分包单位共同管理与调配。</w:t>
      </w:r>
    </w:p>
    <w:p w14:paraId="379E8AC7">
      <w:pPr>
        <w:spacing w:line="440" w:lineRule="exact"/>
        <w:ind w:firstLine="480" w:firstLineChars="200"/>
        <w:jc w:val="both"/>
        <w:rPr>
          <w:color w:val="auto"/>
          <w:highlight w:val="none"/>
          <w:u w:val="single"/>
        </w:rPr>
      </w:pPr>
      <w:r>
        <w:rPr>
          <w:rFonts w:hint="eastAsia"/>
          <w:color w:val="auto"/>
          <w:highlight w:val="none"/>
          <w:u w:val="single"/>
        </w:rPr>
        <w:t>（11）与银行签订《资金监管协议》，乙方每次使用账户内的资金，需向发包人书面申请并经发包人同意。</w:t>
      </w:r>
    </w:p>
    <w:p w14:paraId="583ED027">
      <w:pPr>
        <w:spacing w:line="440" w:lineRule="exact"/>
        <w:ind w:firstLine="480" w:firstLineChars="200"/>
        <w:jc w:val="both"/>
        <w:rPr>
          <w:color w:val="auto"/>
          <w:highlight w:val="none"/>
          <w:u w:val="single"/>
        </w:rPr>
      </w:pPr>
      <w:r>
        <w:rPr>
          <w:rFonts w:hint="eastAsia"/>
          <w:color w:val="auto"/>
          <w:highlight w:val="none"/>
          <w:u w:val="single"/>
        </w:rPr>
        <w:t>（12）承包人负责组织工人进行上岗培训和安全教育，并负责办理工人相关上岗证件，保证工人持证上岗并执行当地建设主管部门其他管理规定，费用已包含在合同价内，发包人不另行或单列结算支付。</w:t>
      </w:r>
    </w:p>
    <w:p w14:paraId="7CC45C87">
      <w:pPr>
        <w:spacing w:line="440" w:lineRule="exact"/>
        <w:ind w:firstLine="480" w:firstLineChars="200"/>
        <w:jc w:val="both"/>
        <w:rPr>
          <w:color w:val="auto"/>
          <w:highlight w:val="none"/>
        </w:rPr>
      </w:pPr>
      <w:r>
        <w:rPr>
          <w:rFonts w:hint="eastAsia"/>
          <w:color w:val="auto"/>
          <w:highlight w:val="none"/>
          <w:u w:val="single"/>
        </w:rPr>
        <w:t>（13）承包人必须按照城市建设档案及建设行政主管部门管理的有关规定，在工程施工过程中及时做好自己和分包单位负责的工程档案的收集、整理、汇总工作，同时要满足当地有关部门的备案要求。合同价中已经包含了竣工资料（含竣工图）编制费用</w:t>
      </w:r>
      <w:r>
        <w:rPr>
          <w:rFonts w:hint="eastAsia"/>
          <w:color w:val="auto"/>
          <w:highlight w:val="none"/>
        </w:rPr>
        <w:t>。</w:t>
      </w:r>
    </w:p>
    <w:p w14:paraId="141EAA9F">
      <w:pPr>
        <w:spacing w:line="440" w:lineRule="exact"/>
        <w:ind w:firstLine="480" w:firstLineChars="200"/>
        <w:jc w:val="both"/>
        <w:rPr>
          <w:color w:val="auto"/>
          <w:highlight w:val="none"/>
          <w:u w:val="single"/>
        </w:rPr>
      </w:pPr>
      <w:r>
        <w:rPr>
          <w:rFonts w:hint="eastAsia"/>
          <w:color w:val="auto"/>
          <w:highlight w:val="none"/>
          <w:u w:val="single"/>
        </w:rPr>
        <w:t>（14）</w:t>
      </w:r>
      <w:r>
        <w:rPr>
          <w:color w:val="auto"/>
          <w:highlight w:val="none"/>
          <w:u w:val="single"/>
        </w:rPr>
        <w:t>承包人应遵守政府有关主管部门的管理规定，按规定办理有关手续并承担相关费用。由于承包人原因违反有关规定或承包人责任造成了损失及罚款等，承包人承担违约责任。</w:t>
      </w:r>
    </w:p>
    <w:p w14:paraId="778447BC">
      <w:pPr>
        <w:spacing w:line="440" w:lineRule="exact"/>
        <w:ind w:firstLine="480" w:firstLineChars="200"/>
        <w:jc w:val="both"/>
        <w:rPr>
          <w:color w:val="auto"/>
          <w:highlight w:val="none"/>
          <w:u w:val="single"/>
        </w:rPr>
      </w:pPr>
      <w:r>
        <w:rPr>
          <w:rFonts w:hint="eastAsia"/>
          <w:color w:val="auto"/>
          <w:highlight w:val="none"/>
          <w:u w:val="single"/>
        </w:rPr>
        <w:t>（15）</w:t>
      </w:r>
      <w:r>
        <w:rPr>
          <w:color w:val="auto"/>
          <w:highlight w:val="none"/>
          <w:u w:val="single"/>
        </w:rPr>
        <w:t>由于承包人原因，引起第三方与发包人或承包人的纠纷或第三方向发包人或承包人提出的索赔等，由承包人全权负责解决并承担全部责任，由此引起的一切后果与发包人无关，造成发包人损失的，承包人应承担赔偿责任（包括但不限于律师费、诉讼费等的支出）。</w:t>
      </w:r>
    </w:p>
    <w:p w14:paraId="28C0FD6C">
      <w:pPr>
        <w:spacing w:line="440" w:lineRule="exact"/>
        <w:ind w:firstLine="480" w:firstLineChars="200"/>
        <w:jc w:val="both"/>
        <w:rPr>
          <w:color w:val="auto"/>
          <w:highlight w:val="none"/>
          <w:u w:val="single"/>
        </w:rPr>
      </w:pPr>
      <w:r>
        <w:rPr>
          <w:rFonts w:hint="eastAsia"/>
          <w:color w:val="auto"/>
          <w:highlight w:val="none"/>
          <w:u w:val="single"/>
        </w:rPr>
        <w:t>（16）</w:t>
      </w:r>
      <w:r>
        <w:rPr>
          <w:color w:val="auto"/>
          <w:highlight w:val="none"/>
          <w:u w:val="single"/>
        </w:rPr>
        <w:t>、如遇政府重大活动或重要会议，承包人应按照绍兴市及发包人的有关要求做好维稳相关工作。</w:t>
      </w:r>
    </w:p>
    <w:p w14:paraId="0EC6D11C">
      <w:pPr>
        <w:pStyle w:val="4"/>
        <w:jc w:val="both"/>
        <w:rPr>
          <w:rFonts w:hint="eastAsia" w:ascii="宋体" w:hAnsi="宋体" w:cs="宋体"/>
          <w:color w:val="auto"/>
          <w:szCs w:val="28"/>
          <w:highlight w:val="none"/>
        </w:rPr>
      </w:pPr>
      <w:r>
        <w:rPr>
          <w:rFonts w:hint="eastAsia" w:ascii="宋体" w:hAnsi="宋体" w:cs="宋体"/>
          <w:color w:val="auto"/>
          <w:szCs w:val="28"/>
          <w:highlight w:val="none"/>
        </w:rPr>
        <w:t>4.2 履约担保</w:t>
      </w:r>
    </w:p>
    <w:p w14:paraId="7C50CD79">
      <w:pPr>
        <w:spacing w:line="440" w:lineRule="exact"/>
        <w:ind w:firstLine="480" w:firstLineChars="200"/>
        <w:jc w:val="both"/>
        <w:rPr>
          <w:color w:val="auto"/>
          <w:highlight w:val="none"/>
        </w:rPr>
      </w:pPr>
      <w:r>
        <w:rPr>
          <w:rFonts w:hint="eastAsia"/>
          <w:color w:val="auto"/>
          <w:highlight w:val="none"/>
        </w:rPr>
        <w:t>承包人是否提供履约担保：</w:t>
      </w:r>
      <w:r>
        <w:rPr>
          <w:color w:val="auto"/>
          <w:highlight w:val="none"/>
          <w:u w:val="single"/>
        </w:rPr>
        <w:t xml:space="preserve"> </w:t>
      </w:r>
      <w:r>
        <w:rPr>
          <w:rFonts w:hint="eastAsia"/>
          <w:color w:val="auto"/>
          <w:highlight w:val="none"/>
          <w:u w:val="single"/>
        </w:rPr>
        <w:t>是，担保形式可采用银行保函、保险公司保函</w:t>
      </w:r>
      <w:r>
        <w:rPr>
          <w:color w:val="auto"/>
          <w:highlight w:val="none"/>
          <w:u w:val="single"/>
        </w:rPr>
        <w:t xml:space="preserve">  </w:t>
      </w:r>
      <w:r>
        <w:rPr>
          <w:rFonts w:hint="eastAsia"/>
          <w:color w:val="auto"/>
          <w:highlight w:val="none"/>
        </w:rPr>
        <w:t>。</w:t>
      </w:r>
    </w:p>
    <w:p w14:paraId="42E7A4E6">
      <w:pPr>
        <w:spacing w:line="440" w:lineRule="exact"/>
        <w:ind w:firstLine="480" w:firstLineChars="200"/>
        <w:jc w:val="both"/>
        <w:rPr>
          <w:rFonts w:eastAsia="仿宋"/>
          <w:color w:val="auto"/>
          <w:highlight w:val="none"/>
          <w:u w:val="single"/>
        </w:rPr>
      </w:pPr>
      <w:r>
        <w:rPr>
          <w:rFonts w:hint="eastAsia"/>
          <w:color w:val="auto"/>
          <w:highlight w:val="none"/>
        </w:rPr>
        <w:t>履约担保的方式、金额及期限:</w:t>
      </w:r>
      <w:r>
        <w:rPr>
          <w:color w:val="auto"/>
          <w:highlight w:val="none"/>
          <w:u w:val="single"/>
        </w:rPr>
        <w:t xml:space="preserve"> </w:t>
      </w:r>
      <w:r>
        <w:rPr>
          <w:rFonts w:hint="eastAsia"/>
          <w:color w:val="auto"/>
          <w:highlight w:val="none"/>
          <w:u w:val="single"/>
        </w:rPr>
        <w:t>合同价款的2%（其中0.5％为工期保证金，1.5％为质量保证金）；</w:t>
      </w:r>
      <w:r>
        <w:rPr>
          <w:color w:val="auto"/>
          <w:highlight w:val="none"/>
          <w:u w:val="single"/>
        </w:rPr>
        <w:t xml:space="preserve"> </w:t>
      </w:r>
      <w:r>
        <w:rPr>
          <w:rFonts w:hint="eastAsia"/>
          <w:b/>
          <w:bCs/>
          <w:color w:val="auto"/>
          <w:highlight w:val="none"/>
          <w:u w:val="single"/>
        </w:rPr>
        <w:t>承包人应在本合同签订后15天内向发包人提交履约担保，如未在15天内提交履约担保，每逾期一天按中标金额的万分之0.5缴纳滞纳金。</w:t>
      </w:r>
    </w:p>
    <w:p w14:paraId="4BADF4D4">
      <w:pPr>
        <w:spacing w:line="440" w:lineRule="exact"/>
        <w:ind w:firstLine="482" w:firstLineChars="200"/>
        <w:jc w:val="both"/>
        <w:rPr>
          <w:color w:val="auto"/>
          <w:highlight w:val="none"/>
          <w:u w:val="single"/>
        </w:rPr>
      </w:pPr>
      <w:r>
        <w:rPr>
          <w:rFonts w:hint="eastAsia"/>
          <w:b/>
          <w:bCs/>
          <w:color w:val="auto"/>
          <w:highlight w:val="none"/>
          <w:u w:val="single"/>
        </w:rPr>
        <w:t>履约担保有效期</w:t>
      </w:r>
      <w:r>
        <w:rPr>
          <w:rFonts w:hint="eastAsia"/>
          <w:color w:val="auto"/>
          <w:highlight w:val="none"/>
          <w:u w:val="single"/>
        </w:rPr>
        <w:t>根据市人民政府第87号令规定执行，为至工程竣工验收合格之日后六个月。变更工程竣工日期的，保证期间按照变更后的竣工日期做相应调整。履约担保有效期在工程竣工验收合格之日后六个月前到期的，承包人应提供新的履约担保（银行保函或保险公司保函）直至工程竣工验收合格之日后六个月，否则发包人不予支付工程进度款（农民工工资部分除外）。</w:t>
      </w:r>
    </w:p>
    <w:p w14:paraId="6B964AB8">
      <w:pPr>
        <w:spacing w:line="440" w:lineRule="exact"/>
        <w:ind w:firstLine="482" w:firstLineChars="200"/>
        <w:jc w:val="both"/>
        <w:rPr>
          <w:color w:val="auto"/>
          <w:highlight w:val="none"/>
        </w:rPr>
      </w:pPr>
      <w:r>
        <w:rPr>
          <w:rFonts w:hint="eastAsia"/>
          <w:b/>
          <w:bCs/>
          <w:color w:val="auto"/>
          <w:highlight w:val="none"/>
          <w:u w:val="single"/>
        </w:rPr>
        <w:t>履约担保的退还：</w:t>
      </w:r>
      <w:r>
        <w:rPr>
          <w:rFonts w:hint="eastAsia"/>
          <w:color w:val="auto"/>
          <w:highlight w:val="none"/>
          <w:u w:val="single"/>
        </w:rPr>
        <w:t>至工程竣工验收合格之日后10日内承包人无合同违约情况时退还</w:t>
      </w:r>
      <w:r>
        <w:rPr>
          <w:color w:val="auto"/>
          <w:highlight w:val="none"/>
        </w:rPr>
        <w:t xml:space="preserve"> </w:t>
      </w:r>
      <w:r>
        <w:rPr>
          <w:rFonts w:hint="eastAsia"/>
          <w:color w:val="auto"/>
          <w:highlight w:val="none"/>
        </w:rPr>
        <w:t>。</w:t>
      </w:r>
    </w:p>
    <w:p w14:paraId="7FBD6FA6">
      <w:pPr>
        <w:pStyle w:val="4"/>
        <w:jc w:val="both"/>
        <w:rPr>
          <w:rFonts w:hint="eastAsia" w:ascii="宋体" w:hAnsi="宋体" w:cs="宋体"/>
          <w:color w:val="auto"/>
          <w:szCs w:val="28"/>
          <w:highlight w:val="none"/>
        </w:rPr>
      </w:pPr>
      <w:r>
        <w:rPr>
          <w:rFonts w:hint="eastAsia" w:ascii="宋体" w:hAnsi="宋体" w:cs="宋体"/>
          <w:color w:val="auto"/>
          <w:szCs w:val="28"/>
          <w:highlight w:val="none"/>
        </w:rPr>
        <w:t>4.3 工程总承包项目经理</w:t>
      </w:r>
    </w:p>
    <w:p w14:paraId="2171286B">
      <w:pPr>
        <w:spacing w:line="440" w:lineRule="exact"/>
        <w:ind w:firstLine="480" w:firstLineChars="200"/>
        <w:jc w:val="both"/>
        <w:rPr>
          <w:color w:val="auto"/>
          <w:highlight w:val="none"/>
        </w:rPr>
      </w:pPr>
      <w:r>
        <w:rPr>
          <w:rFonts w:hint="eastAsia"/>
          <w:color w:val="auto"/>
          <w:highlight w:val="none"/>
        </w:rPr>
        <w:t xml:space="preserve">4.3.1  </w:t>
      </w:r>
      <w:r>
        <w:rPr>
          <w:rFonts w:hint="eastAsia"/>
          <w:b/>
          <w:bCs/>
          <w:color w:val="auto"/>
          <w:highlight w:val="none"/>
        </w:rPr>
        <w:t>总承包项目负责人</w:t>
      </w:r>
      <w:r>
        <w:rPr>
          <w:rFonts w:hint="eastAsia"/>
          <w:color w:val="auto"/>
          <w:highlight w:val="none"/>
        </w:rPr>
        <w:t>：</w:t>
      </w:r>
    </w:p>
    <w:p w14:paraId="0D28671E">
      <w:pPr>
        <w:spacing w:line="440" w:lineRule="exact"/>
        <w:ind w:firstLine="480" w:firstLineChars="200"/>
        <w:jc w:val="both"/>
        <w:rPr>
          <w:color w:val="auto"/>
          <w:highlight w:val="none"/>
        </w:rPr>
      </w:pPr>
      <w:r>
        <w:rPr>
          <w:rFonts w:hint="eastAsia"/>
          <w:color w:val="auto"/>
          <w:highlight w:val="none"/>
        </w:rPr>
        <w:t>姓    名：</w:t>
      </w:r>
      <w:r>
        <w:rPr>
          <w:rFonts w:hint="eastAsia"/>
          <w:color w:val="auto"/>
          <w:highlight w:val="none"/>
          <w:u w:val="single"/>
        </w:rPr>
        <w:t xml:space="preserve">        （合同签订时明确）          </w:t>
      </w:r>
      <w:r>
        <w:rPr>
          <w:rFonts w:hint="eastAsia"/>
          <w:color w:val="auto"/>
          <w:highlight w:val="none"/>
        </w:rPr>
        <w:t>；</w:t>
      </w:r>
    </w:p>
    <w:p w14:paraId="62089FFF">
      <w:pPr>
        <w:spacing w:line="440" w:lineRule="exact"/>
        <w:ind w:firstLine="480" w:firstLineChars="200"/>
        <w:jc w:val="both"/>
        <w:rPr>
          <w:color w:val="auto"/>
          <w:highlight w:val="none"/>
        </w:rPr>
      </w:pPr>
      <w:r>
        <w:rPr>
          <w:rFonts w:hint="eastAsia"/>
          <w:color w:val="auto"/>
          <w:highlight w:val="none"/>
        </w:rPr>
        <w:t>身份证号：</w:t>
      </w:r>
      <w:r>
        <w:rPr>
          <w:rFonts w:hint="eastAsia"/>
          <w:color w:val="auto"/>
          <w:highlight w:val="none"/>
          <w:u w:val="single"/>
        </w:rPr>
        <w:t xml:space="preserve">         （合同签订时明确）         </w:t>
      </w:r>
      <w:r>
        <w:rPr>
          <w:rFonts w:hint="eastAsia"/>
          <w:color w:val="auto"/>
          <w:highlight w:val="none"/>
        </w:rPr>
        <w:t>；</w:t>
      </w:r>
    </w:p>
    <w:p w14:paraId="7FEED904">
      <w:pPr>
        <w:spacing w:line="440" w:lineRule="exact"/>
        <w:ind w:firstLine="480" w:firstLineChars="200"/>
        <w:jc w:val="both"/>
        <w:rPr>
          <w:color w:val="auto"/>
          <w:highlight w:val="none"/>
        </w:rPr>
      </w:pPr>
      <w:r>
        <w:rPr>
          <w:rFonts w:hint="eastAsia"/>
          <w:color w:val="auto"/>
          <w:highlight w:val="none"/>
        </w:rPr>
        <w:t>建筑师注册证书号：</w:t>
      </w:r>
      <w:r>
        <w:rPr>
          <w:rFonts w:hint="eastAsia"/>
          <w:color w:val="auto"/>
          <w:highlight w:val="none"/>
          <w:u w:val="single"/>
        </w:rPr>
        <w:t xml:space="preserve">    （合同签订时明确）      </w:t>
      </w:r>
      <w:r>
        <w:rPr>
          <w:rFonts w:hint="eastAsia"/>
          <w:color w:val="auto"/>
          <w:highlight w:val="none"/>
        </w:rPr>
        <w:t>；</w:t>
      </w:r>
    </w:p>
    <w:p w14:paraId="0908776D">
      <w:pPr>
        <w:spacing w:line="440" w:lineRule="exact"/>
        <w:ind w:firstLine="480" w:firstLineChars="200"/>
        <w:jc w:val="both"/>
        <w:rPr>
          <w:color w:val="auto"/>
          <w:highlight w:val="none"/>
        </w:rPr>
      </w:pPr>
      <w:r>
        <w:rPr>
          <w:rFonts w:hint="eastAsia"/>
          <w:color w:val="auto"/>
          <w:highlight w:val="none"/>
        </w:rPr>
        <w:t>联系电话：</w:t>
      </w:r>
      <w:r>
        <w:rPr>
          <w:rFonts w:hint="eastAsia"/>
          <w:color w:val="auto"/>
          <w:highlight w:val="none"/>
          <w:u w:val="single"/>
        </w:rPr>
        <w:t xml:space="preserve">       （合同签订时明确）           </w:t>
      </w:r>
      <w:r>
        <w:rPr>
          <w:rFonts w:hint="eastAsia"/>
          <w:color w:val="auto"/>
          <w:highlight w:val="none"/>
        </w:rPr>
        <w:t>；</w:t>
      </w:r>
    </w:p>
    <w:p w14:paraId="24DA4593">
      <w:pPr>
        <w:spacing w:line="440" w:lineRule="exact"/>
        <w:ind w:firstLine="480" w:firstLineChars="200"/>
        <w:jc w:val="both"/>
        <w:rPr>
          <w:color w:val="auto"/>
          <w:highlight w:val="none"/>
        </w:rPr>
      </w:pPr>
      <w:r>
        <w:rPr>
          <w:rFonts w:hint="eastAsia"/>
          <w:color w:val="auto"/>
          <w:highlight w:val="none"/>
        </w:rPr>
        <w:t>电子信箱：</w:t>
      </w:r>
      <w:r>
        <w:rPr>
          <w:rFonts w:hint="eastAsia"/>
          <w:color w:val="auto"/>
          <w:highlight w:val="none"/>
          <w:u w:val="single"/>
        </w:rPr>
        <w:t xml:space="preserve">              /                     </w:t>
      </w:r>
      <w:r>
        <w:rPr>
          <w:rFonts w:hint="eastAsia"/>
          <w:color w:val="auto"/>
          <w:highlight w:val="none"/>
        </w:rPr>
        <w:t>；</w:t>
      </w:r>
    </w:p>
    <w:p w14:paraId="64ABDBFC">
      <w:pPr>
        <w:spacing w:line="440" w:lineRule="exact"/>
        <w:ind w:firstLine="480" w:firstLineChars="200"/>
        <w:jc w:val="both"/>
        <w:rPr>
          <w:color w:val="auto"/>
          <w:highlight w:val="none"/>
        </w:rPr>
      </w:pPr>
      <w:r>
        <w:rPr>
          <w:rFonts w:hint="eastAsia"/>
          <w:color w:val="auto"/>
          <w:highlight w:val="none"/>
        </w:rPr>
        <w:t>通信地址：</w:t>
      </w:r>
      <w:r>
        <w:rPr>
          <w:rFonts w:hint="eastAsia"/>
          <w:color w:val="auto"/>
          <w:highlight w:val="none"/>
          <w:u w:val="single"/>
        </w:rPr>
        <w:t xml:space="preserve">               /                    </w:t>
      </w:r>
      <w:r>
        <w:rPr>
          <w:rFonts w:hint="eastAsia"/>
          <w:color w:val="auto"/>
          <w:highlight w:val="none"/>
        </w:rPr>
        <w:t>；</w:t>
      </w:r>
    </w:p>
    <w:p w14:paraId="30234C9B">
      <w:pPr>
        <w:spacing w:line="440" w:lineRule="exact"/>
        <w:ind w:firstLine="480" w:firstLineChars="200"/>
        <w:jc w:val="both"/>
        <w:rPr>
          <w:color w:val="auto"/>
          <w:highlight w:val="none"/>
        </w:rPr>
      </w:pPr>
      <w:r>
        <w:rPr>
          <w:rFonts w:hint="eastAsia"/>
          <w:color w:val="auto"/>
          <w:highlight w:val="none"/>
        </w:rPr>
        <w:t>承包人对总承包项目负责人的授权范围如下：</w:t>
      </w:r>
      <w:r>
        <w:rPr>
          <w:rFonts w:hint="eastAsia"/>
          <w:color w:val="auto"/>
          <w:highlight w:val="none"/>
          <w:u w:val="single"/>
        </w:rPr>
        <w:t xml:space="preserve">     /</w:t>
      </w:r>
      <w:r>
        <w:rPr>
          <w:rFonts w:hint="eastAsia"/>
          <w:color w:val="auto"/>
          <w:highlight w:val="none"/>
        </w:rPr>
        <w:t>；</w:t>
      </w:r>
    </w:p>
    <w:p w14:paraId="553EAC07">
      <w:pPr>
        <w:spacing w:line="440" w:lineRule="exact"/>
        <w:ind w:firstLine="482" w:firstLineChars="200"/>
        <w:jc w:val="both"/>
        <w:rPr>
          <w:b/>
          <w:bCs/>
          <w:color w:val="auto"/>
          <w:highlight w:val="none"/>
        </w:rPr>
      </w:pPr>
      <w:r>
        <w:rPr>
          <w:rFonts w:hint="eastAsia"/>
          <w:b/>
          <w:bCs/>
          <w:color w:val="auto"/>
          <w:highlight w:val="none"/>
        </w:rPr>
        <w:t>项目设计负责人：</w:t>
      </w:r>
    </w:p>
    <w:p w14:paraId="605A5A96">
      <w:pPr>
        <w:spacing w:line="440" w:lineRule="exact"/>
        <w:ind w:firstLine="480" w:firstLineChars="200"/>
        <w:jc w:val="both"/>
        <w:rPr>
          <w:color w:val="auto"/>
          <w:highlight w:val="none"/>
        </w:rPr>
      </w:pPr>
      <w:r>
        <w:rPr>
          <w:rFonts w:hint="eastAsia"/>
          <w:color w:val="auto"/>
          <w:highlight w:val="none"/>
        </w:rPr>
        <w:t>姓    名：</w:t>
      </w:r>
      <w:r>
        <w:rPr>
          <w:rFonts w:hint="eastAsia"/>
          <w:color w:val="auto"/>
          <w:highlight w:val="none"/>
          <w:u w:val="single"/>
        </w:rPr>
        <w:t xml:space="preserve">         （合同签订时明确）         </w:t>
      </w:r>
      <w:r>
        <w:rPr>
          <w:rFonts w:hint="eastAsia"/>
          <w:color w:val="auto"/>
          <w:highlight w:val="none"/>
        </w:rPr>
        <w:t>；</w:t>
      </w:r>
    </w:p>
    <w:p w14:paraId="055228BA">
      <w:pPr>
        <w:spacing w:line="440" w:lineRule="exact"/>
        <w:ind w:firstLine="480" w:firstLineChars="200"/>
        <w:jc w:val="both"/>
        <w:rPr>
          <w:color w:val="auto"/>
          <w:highlight w:val="none"/>
        </w:rPr>
      </w:pPr>
      <w:r>
        <w:rPr>
          <w:rFonts w:hint="eastAsia"/>
          <w:color w:val="auto"/>
          <w:highlight w:val="none"/>
        </w:rPr>
        <w:t>身份证号：</w:t>
      </w:r>
      <w:r>
        <w:rPr>
          <w:rFonts w:hint="eastAsia"/>
          <w:color w:val="auto"/>
          <w:highlight w:val="none"/>
          <w:u w:val="single"/>
        </w:rPr>
        <w:t xml:space="preserve">          （合同签订时明确）        </w:t>
      </w:r>
      <w:r>
        <w:rPr>
          <w:rFonts w:hint="eastAsia"/>
          <w:color w:val="auto"/>
          <w:highlight w:val="none"/>
        </w:rPr>
        <w:t>；</w:t>
      </w:r>
    </w:p>
    <w:p w14:paraId="3BF12131">
      <w:pPr>
        <w:spacing w:line="440" w:lineRule="exact"/>
        <w:ind w:firstLine="480" w:firstLineChars="200"/>
        <w:jc w:val="both"/>
        <w:rPr>
          <w:color w:val="auto"/>
          <w:highlight w:val="none"/>
        </w:rPr>
      </w:pPr>
      <w:r>
        <w:rPr>
          <w:rFonts w:hint="eastAsia"/>
          <w:color w:val="auto"/>
          <w:highlight w:val="none"/>
        </w:rPr>
        <w:t>执业资格或职称类型：</w:t>
      </w:r>
      <w:r>
        <w:rPr>
          <w:rFonts w:hint="eastAsia"/>
          <w:color w:val="auto"/>
          <w:highlight w:val="none"/>
          <w:u w:val="single"/>
        </w:rPr>
        <w:t xml:space="preserve"> （合同签订时明确）       </w:t>
      </w:r>
      <w:r>
        <w:rPr>
          <w:rFonts w:hint="eastAsia"/>
          <w:color w:val="auto"/>
          <w:highlight w:val="none"/>
        </w:rPr>
        <w:t>；</w:t>
      </w:r>
    </w:p>
    <w:p w14:paraId="2C93226E">
      <w:pPr>
        <w:spacing w:line="440" w:lineRule="exact"/>
        <w:ind w:firstLine="480" w:firstLineChars="200"/>
        <w:jc w:val="both"/>
        <w:rPr>
          <w:color w:val="auto"/>
          <w:highlight w:val="none"/>
        </w:rPr>
      </w:pPr>
      <w:r>
        <w:rPr>
          <w:rFonts w:hint="eastAsia"/>
          <w:color w:val="auto"/>
          <w:highlight w:val="none"/>
        </w:rPr>
        <w:t>执业资格证或职称证号码：</w:t>
      </w:r>
      <w:r>
        <w:rPr>
          <w:rFonts w:hint="eastAsia"/>
          <w:color w:val="auto"/>
          <w:highlight w:val="none"/>
          <w:u w:val="single"/>
        </w:rPr>
        <w:t xml:space="preserve"> （合同签订时明确）   </w:t>
      </w:r>
      <w:r>
        <w:rPr>
          <w:rFonts w:hint="eastAsia"/>
          <w:color w:val="auto"/>
          <w:highlight w:val="none"/>
        </w:rPr>
        <w:t>；</w:t>
      </w:r>
    </w:p>
    <w:p w14:paraId="239C9055">
      <w:pPr>
        <w:spacing w:line="440" w:lineRule="exact"/>
        <w:ind w:firstLine="480" w:firstLineChars="200"/>
        <w:jc w:val="both"/>
        <w:rPr>
          <w:color w:val="auto"/>
          <w:highlight w:val="none"/>
        </w:rPr>
      </w:pPr>
      <w:r>
        <w:rPr>
          <w:rFonts w:hint="eastAsia"/>
          <w:color w:val="auto"/>
          <w:highlight w:val="none"/>
        </w:rPr>
        <w:t>联系电话：</w:t>
      </w:r>
      <w:r>
        <w:rPr>
          <w:rFonts w:hint="eastAsia"/>
          <w:color w:val="auto"/>
          <w:highlight w:val="none"/>
          <w:u w:val="single"/>
        </w:rPr>
        <w:t xml:space="preserve">      （合同签订时明确）            </w:t>
      </w:r>
      <w:r>
        <w:rPr>
          <w:rFonts w:hint="eastAsia"/>
          <w:color w:val="auto"/>
          <w:highlight w:val="none"/>
        </w:rPr>
        <w:t>；</w:t>
      </w:r>
    </w:p>
    <w:p w14:paraId="4859D376">
      <w:pPr>
        <w:spacing w:line="440" w:lineRule="exact"/>
        <w:ind w:firstLine="480" w:firstLineChars="200"/>
        <w:jc w:val="both"/>
        <w:rPr>
          <w:color w:val="auto"/>
          <w:highlight w:val="none"/>
        </w:rPr>
      </w:pPr>
      <w:r>
        <w:rPr>
          <w:rFonts w:hint="eastAsia"/>
          <w:color w:val="auto"/>
          <w:highlight w:val="none"/>
        </w:rPr>
        <w:t>电子信箱：</w:t>
      </w:r>
      <w:r>
        <w:rPr>
          <w:rFonts w:hint="eastAsia"/>
          <w:color w:val="auto"/>
          <w:highlight w:val="none"/>
          <w:u w:val="single"/>
        </w:rPr>
        <w:t xml:space="preserve">              /                     </w:t>
      </w:r>
      <w:r>
        <w:rPr>
          <w:rFonts w:hint="eastAsia"/>
          <w:color w:val="auto"/>
          <w:highlight w:val="none"/>
        </w:rPr>
        <w:t>；</w:t>
      </w:r>
    </w:p>
    <w:p w14:paraId="391233C1">
      <w:pPr>
        <w:spacing w:line="440" w:lineRule="exact"/>
        <w:ind w:firstLine="480" w:firstLineChars="200"/>
        <w:jc w:val="both"/>
        <w:rPr>
          <w:color w:val="auto"/>
          <w:highlight w:val="none"/>
        </w:rPr>
      </w:pPr>
      <w:r>
        <w:rPr>
          <w:rFonts w:hint="eastAsia"/>
          <w:color w:val="auto"/>
          <w:highlight w:val="none"/>
        </w:rPr>
        <w:t>通信地址：</w:t>
      </w:r>
      <w:r>
        <w:rPr>
          <w:rFonts w:hint="eastAsia"/>
          <w:color w:val="auto"/>
          <w:highlight w:val="none"/>
          <w:u w:val="single"/>
        </w:rPr>
        <w:t xml:space="preserve">             /                      </w:t>
      </w:r>
      <w:r>
        <w:rPr>
          <w:rFonts w:hint="eastAsia"/>
          <w:color w:val="auto"/>
          <w:highlight w:val="none"/>
        </w:rPr>
        <w:t>；</w:t>
      </w:r>
    </w:p>
    <w:p w14:paraId="0A583D72">
      <w:pPr>
        <w:spacing w:line="440" w:lineRule="exact"/>
        <w:ind w:firstLine="480" w:firstLineChars="200"/>
        <w:jc w:val="both"/>
        <w:rPr>
          <w:color w:val="auto"/>
          <w:highlight w:val="none"/>
        </w:rPr>
      </w:pPr>
      <w:r>
        <w:rPr>
          <w:rFonts w:hint="eastAsia"/>
          <w:color w:val="auto"/>
          <w:highlight w:val="none"/>
        </w:rPr>
        <w:t>承包人对总承包项目负责人的授权范围如下：</w:t>
      </w:r>
      <w:r>
        <w:rPr>
          <w:rFonts w:hint="eastAsia"/>
          <w:color w:val="auto"/>
          <w:highlight w:val="none"/>
          <w:u w:val="single"/>
        </w:rPr>
        <w:t xml:space="preserve">    / </w:t>
      </w:r>
      <w:r>
        <w:rPr>
          <w:rFonts w:hint="eastAsia"/>
          <w:color w:val="auto"/>
          <w:highlight w:val="none"/>
        </w:rPr>
        <w:t>；</w:t>
      </w:r>
    </w:p>
    <w:p w14:paraId="7639F914">
      <w:pPr>
        <w:spacing w:line="440" w:lineRule="exact"/>
        <w:ind w:firstLine="482" w:firstLineChars="200"/>
        <w:jc w:val="both"/>
        <w:rPr>
          <w:b/>
          <w:bCs/>
          <w:color w:val="auto"/>
          <w:highlight w:val="none"/>
        </w:rPr>
      </w:pPr>
      <w:r>
        <w:rPr>
          <w:rFonts w:hint="eastAsia"/>
          <w:b/>
          <w:bCs/>
          <w:color w:val="auto"/>
          <w:highlight w:val="none"/>
        </w:rPr>
        <w:t>项目施工负责人：</w:t>
      </w:r>
    </w:p>
    <w:p w14:paraId="29157D16">
      <w:pPr>
        <w:spacing w:line="440" w:lineRule="exact"/>
        <w:ind w:firstLine="480" w:firstLineChars="200"/>
        <w:jc w:val="both"/>
        <w:rPr>
          <w:color w:val="auto"/>
          <w:highlight w:val="none"/>
        </w:rPr>
      </w:pPr>
      <w:r>
        <w:rPr>
          <w:rFonts w:hint="eastAsia"/>
          <w:color w:val="auto"/>
          <w:highlight w:val="none"/>
        </w:rPr>
        <w:t>姓    名：</w:t>
      </w:r>
      <w:r>
        <w:rPr>
          <w:rFonts w:hint="eastAsia"/>
          <w:color w:val="auto"/>
          <w:highlight w:val="none"/>
          <w:u w:val="single"/>
        </w:rPr>
        <w:t xml:space="preserve">     （合同签订时明确）                  </w:t>
      </w:r>
      <w:r>
        <w:rPr>
          <w:rFonts w:hint="eastAsia"/>
          <w:color w:val="auto"/>
          <w:highlight w:val="none"/>
        </w:rPr>
        <w:t>；</w:t>
      </w:r>
    </w:p>
    <w:p w14:paraId="386C828B">
      <w:pPr>
        <w:spacing w:line="440" w:lineRule="exact"/>
        <w:ind w:firstLine="480" w:firstLineChars="200"/>
        <w:jc w:val="both"/>
        <w:rPr>
          <w:color w:val="auto"/>
          <w:highlight w:val="none"/>
        </w:rPr>
      </w:pPr>
      <w:r>
        <w:rPr>
          <w:rFonts w:hint="eastAsia"/>
          <w:color w:val="auto"/>
          <w:highlight w:val="none"/>
        </w:rPr>
        <w:t>身份证号：</w:t>
      </w:r>
      <w:r>
        <w:rPr>
          <w:rFonts w:hint="eastAsia"/>
          <w:color w:val="auto"/>
          <w:highlight w:val="none"/>
          <w:u w:val="single"/>
        </w:rPr>
        <w:t xml:space="preserve">           （合同签订时明确）            </w:t>
      </w:r>
      <w:r>
        <w:rPr>
          <w:rFonts w:hint="eastAsia"/>
          <w:color w:val="auto"/>
          <w:highlight w:val="none"/>
        </w:rPr>
        <w:t>；</w:t>
      </w:r>
    </w:p>
    <w:p w14:paraId="35D8E843">
      <w:pPr>
        <w:spacing w:line="440" w:lineRule="exact"/>
        <w:ind w:firstLine="480" w:firstLineChars="200"/>
        <w:jc w:val="both"/>
        <w:rPr>
          <w:color w:val="auto"/>
          <w:highlight w:val="none"/>
        </w:rPr>
      </w:pPr>
      <w:r>
        <w:rPr>
          <w:rFonts w:hint="eastAsia"/>
          <w:color w:val="auto"/>
          <w:highlight w:val="none"/>
        </w:rPr>
        <w:t>建造师注册证书号：</w:t>
      </w:r>
      <w:r>
        <w:rPr>
          <w:rFonts w:hint="eastAsia"/>
          <w:color w:val="auto"/>
          <w:highlight w:val="none"/>
          <w:u w:val="single"/>
        </w:rPr>
        <w:t xml:space="preserve">      （合同签订时明确）         </w:t>
      </w:r>
      <w:r>
        <w:rPr>
          <w:rFonts w:hint="eastAsia"/>
          <w:color w:val="auto"/>
          <w:highlight w:val="none"/>
        </w:rPr>
        <w:t>；</w:t>
      </w:r>
    </w:p>
    <w:p w14:paraId="5D531D0B">
      <w:pPr>
        <w:spacing w:line="440" w:lineRule="exact"/>
        <w:ind w:firstLine="480" w:firstLineChars="200"/>
        <w:jc w:val="both"/>
        <w:rPr>
          <w:color w:val="auto"/>
          <w:highlight w:val="none"/>
        </w:rPr>
      </w:pPr>
      <w:r>
        <w:rPr>
          <w:rFonts w:hint="eastAsia"/>
          <w:color w:val="auto"/>
          <w:highlight w:val="none"/>
        </w:rPr>
        <w:t>建造师执业资格等级：</w:t>
      </w:r>
      <w:r>
        <w:rPr>
          <w:rFonts w:hint="eastAsia"/>
          <w:color w:val="auto"/>
          <w:highlight w:val="none"/>
          <w:u w:val="single"/>
        </w:rPr>
        <w:t xml:space="preserve">      （合同签订时明确）       </w:t>
      </w:r>
      <w:r>
        <w:rPr>
          <w:rFonts w:hint="eastAsia"/>
          <w:color w:val="auto"/>
          <w:highlight w:val="none"/>
        </w:rPr>
        <w:t>；</w:t>
      </w:r>
    </w:p>
    <w:p w14:paraId="588E0C81">
      <w:pPr>
        <w:spacing w:line="440" w:lineRule="exact"/>
        <w:ind w:firstLine="480" w:firstLineChars="200"/>
        <w:jc w:val="both"/>
        <w:rPr>
          <w:color w:val="auto"/>
          <w:highlight w:val="none"/>
        </w:rPr>
      </w:pPr>
      <w:r>
        <w:rPr>
          <w:rFonts w:hint="eastAsia"/>
          <w:color w:val="auto"/>
          <w:highlight w:val="none"/>
        </w:rPr>
        <w:t>联系电话：</w:t>
      </w:r>
      <w:r>
        <w:rPr>
          <w:rFonts w:hint="eastAsia"/>
          <w:color w:val="auto"/>
          <w:highlight w:val="none"/>
          <w:u w:val="single"/>
        </w:rPr>
        <w:t xml:space="preserve">       （合同签订时明确）                </w:t>
      </w:r>
      <w:r>
        <w:rPr>
          <w:rFonts w:hint="eastAsia"/>
          <w:color w:val="auto"/>
          <w:highlight w:val="none"/>
        </w:rPr>
        <w:t>；</w:t>
      </w:r>
    </w:p>
    <w:p w14:paraId="5C82A513">
      <w:pPr>
        <w:spacing w:line="440" w:lineRule="exact"/>
        <w:ind w:firstLine="480" w:firstLineChars="200"/>
        <w:jc w:val="both"/>
        <w:rPr>
          <w:color w:val="auto"/>
          <w:highlight w:val="none"/>
        </w:rPr>
      </w:pPr>
      <w:r>
        <w:rPr>
          <w:rFonts w:hint="eastAsia"/>
          <w:color w:val="auto"/>
          <w:highlight w:val="none"/>
        </w:rPr>
        <w:t>电子信箱：</w:t>
      </w:r>
      <w:r>
        <w:rPr>
          <w:rFonts w:hint="eastAsia"/>
          <w:color w:val="auto"/>
          <w:highlight w:val="none"/>
          <w:u w:val="single"/>
        </w:rPr>
        <w:t xml:space="preserve">            /                            </w:t>
      </w:r>
      <w:r>
        <w:rPr>
          <w:rFonts w:hint="eastAsia"/>
          <w:color w:val="auto"/>
          <w:highlight w:val="none"/>
        </w:rPr>
        <w:t>；</w:t>
      </w:r>
    </w:p>
    <w:p w14:paraId="1B03BF8B">
      <w:pPr>
        <w:spacing w:line="440" w:lineRule="exact"/>
        <w:ind w:firstLine="480" w:firstLineChars="200"/>
        <w:jc w:val="both"/>
        <w:rPr>
          <w:color w:val="auto"/>
          <w:highlight w:val="none"/>
        </w:rPr>
      </w:pPr>
      <w:r>
        <w:rPr>
          <w:rFonts w:hint="eastAsia"/>
          <w:color w:val="auto"/>
          <w:highlight w:val="none"/>
        </w:rPr>
        <w:t>通信地址：</w:t>
      </w:r>
      <w:r>
        <w:rPr>
          <w:rFonts w:hint="eastAsia"/>
          <w:color w:val="auto"/>
          <w:highlight w:val="none"/>
          <w:u w:val="single"/>
        </w:rPr>
        <w:t xml:space="preserve">            /                            </w:t>
      </w:r>
      <w:r>
        <w:rPr>
          <w:rFonts w:hint="eastAsia"/>
          <w:color w:val="auto"/>
          <w:highlight w:val="none"/>
        </w:rPr>
        <w:t>；</w:t>
      </w:r>
    </w:p>
    <w:p w14:paraId="79D7F1B6">
      <w:pPr>
        <w:spacing w:line="440" w:lineRule="exact"/>
        <w:ind w:firstLine="480" w:firstLineChars="200"/>
        <w:jc w:val="both"/>
        <w:rPr>
          <w:color w:val="auto"/>
          <w:highlight w:val="none"/>
        </w:rPr>
      </w:pPr>
      <w:r>
        <w:rPr>
          <w:rFonts w:hint="eastAsia"/>
          <w:color w:val="auto"/>
          <w:highlight w:val="none"/>
        </w:rPr>
        <w:t>承包人对项目施工负责人的授权范围如下：</w:t>
      </w:r>
      <w:r>
        <w:rPr>
          <w:rFonts w:hint="eastAsia"/>
          <w:color w:val="auto"/>
          <w:highlight w:val="none"/>
          <w:u w:val="single"/>
        </w:rPr>
        <w:t xml:space="preserve">（合同签订时明确） </w:t>
      </w:r>
      <w:r>
        <w:rPr>
          <w:rFonts w:hint="eastAsia"/>
          <w:color w:val="auto"/>
          <w:highlight w:val="none"/>
        </w:rPr>
        <w:t>；</w:t>
      </w:r>
    </w:p>
    <w:p w14:paraId="6C60D87D">
      <w:pPr>
        <w:spacing w:line="440" w:lineRule="exact"/>
        <w:ind w:firstLine="480" w:firstLineChars="200"/>
        <w:jc w:val="both"/>
        <w:rPr>
          <w:color w:val="auto"/>
          <w:highlight w:val="none"/>
        </w:rPr>
      </w:pPr>
      <w:r>
        <w:rPr>
          <w:color w:val="auto"/>
          <w:highlight w:val="none"/>
        </w:rPr>
        <w:t xml:space="preserve">4.3.2 </w:t>
      </w:r>
      <w:r>
        <w:rPr>
          <w:rFonts w:hint="eastAsia"/>
          <w:color w:val="auto"/>
          <w:highlight w:val="none"/>
        </w:rPr>
        <w:t>工程总承包项目经理每月在现场的时间要求：</w:t>
      </w:r>
      <w:r>
        <w:rPr>
          <w:rFonts w:hint="eastAsia"/>
          <w:color w:val="auto"/>
          <w:highlight w:val="none"/>
          <w:u w:val="single"/>
        </w:rPr>
        <w:t>到位率不得低于80 %，月现场出勤率不得低于90%。项目经理离开工地必须向监理工程师书面请假，并经业主同意后才能离开</w:t>
      </w:r>
      <w:r>
        <w:rPr>
          <w:rFonts w:hint="eastAsia"/>
          <w:color w:val="auto"/>
          <w:highlight w:val="none"/>
        </w:rPr>
        <w:t>；工程总承包公司需于开工前向发包人提供每月工作计划甘特图，发包人根据每月计划追踪进度，发现滞后或可能影响进度及质量问题，正式通知至工程总承包公司，如要求其总经理到场，其总经理需于接收到通知24小时内到达现场，直至问题解决并经发包人同意方能离开。</w:t>
      </w:r>
    </w:p>
    <w:p w14:paraId="5A5E1989">
      <w:pPr>
        <w:spacing w:line="440" w:lineRule="exact"/>
        <w:ind w:firstLine="480" w:firstLineChars="200"/>
        <w:jc w:val="both"/>
        <w:rPr>
          <w:color w:val="auto"/>
          <w:highlight w:val="none"/>
        </w:rPr>
      </w:pPr>
      <w:r>
        <w:rPr>
          <w:rFonts w:hint="eastAsia"/>
          <w:color w:val="auto"/>
          <w:highlight w:val="none"/>
        </w:rPr>
        <w:t>工程总承包项目经理未经批准擅自离开施工现场的违约责任：</w:t>
      </w:r>
      <w:r>
        <w:rPr>
          <w:color w:val="auto"/>
          <w:highlight w:val="none"/>
          <w:u w:val="single"/>
        </w:rPr>
        <w:t xml:space="preserve"> </w:t>
      </w:r>
      <w:r>
        <w:rPr>
          <w:rFonts w:hint="eastAsia"/>
          <w:color w:val="auto"/>
          <w:highlight w:val="none"/>
          <w:u w:val="single"/>
        </w:rPr>
        <w:t>若月现场出勤率低于90 %或未履行请假手续离开工地，发包人可按照脱岗天数以每天10000元标准，向承包人收取脱岗违约金，并上报建设行政主管部门列入不良行为记录</w:t>
      </w:r>
      <w:r>
        <w:rPr>
          <w:color w:val="auto"/>
          <w:highlight w:val="none"/>
          <w:u w:val="single"/>
        </w:rPr>
        <w:t xml:space="preserve"> </w:t>
      </w:r>
      <w:r>
        <w:rPr>
          <w:rFonts w:hint="eastAsia"/>
          <w:color w:val="auto"/>
          <w:highlight w:val="none"/>
        </w:rPr>
        <w:t>。工程总承包公司总经理未按发包人要求亲赴现场解决问题或未得到发包人同意擅自离开以每次20000元进行处罚。</w:t>
      </w:r>
    </w:p>
    <w:p w14:paraId="67068CC9">
      <w:pPr>
        <w:spacing w:line="440" w:lineRule="exact"/>
        <w:ind w:firstLine="480" w:firstLineChars="200"/>
        <w:jc w:val="both"/>
        <w:rPr>
          <w:color w:val="auto"/>
          <w:highlight w:val="none"/>
        </w:rPr>
      </w:pPr>
      <w:r>
        <w:rPr>
          <w:color w:val="auto"/>
          <w:highlight w:val="none"/>
        </w:rPr>
        <w:t xml:space="preserve">4.3.3 </w:t>
      </w:r>
      <w:r>
        <w:rPr>
          <w:rFonts w:hint="eastAsia"/>
          <w:color w:val="auto"/>
          <w:highlight w:val="none"/>
        </w:rPr>
        <w:t>承包人对工程总承包项目经理的授权范围:</w:t>
      </w:r>
    </w:p>
    <w:p w14:paraId="0153EA11">
      <w:pPr>
        <w:spacing w:line="440" w:lineRule="exact"/>
        <w:ind w:firstLine="482" w:firstLineChars="200"/>
        <w:jc w:val="both"/>
        <w:rPr>
          <w:color w:val="auto"/>
          <w:highlight w:val="none"/>
          <w:u w:val="single"/>
        </w:rPr>
      </w:pPr>
      <w:r>
        <w:rPr>
          <w:rFonts w:hint="eastAsia"/>
          <w:b/>
          <w:bCs/>
          <w:color w:val="auto"/>
          <w:highlight w:val="none"/>
          <w:u w:val="single"/>
        </w:rPr>
        <w:t>a、项目经理（项目负责人）职责：</w:t>
      </w:r>
      <w:r>
        <w:rPr>
          <w:rFonts w:hint="eastAsia"/>
          <w:color w:val="auto"/>
          <w:highlight w:val="none"/>
          <w:u w:val="single"/>
        </w:rPr>
        <w:t>（1）按合同约定以及监理人作出的指示，负责组织合同工程的实施。在情况紧急且无法与监理人取得联系时，可采取保证工程和人员生命财产安全的紧急措施，并在采取措施后24小时内向监理人提交书面报告。（2）承包人为履行合同发出的一切函件均应盖有承包人授权的施工场地管理机构章，并由承包人项目负责人或其授权代表签字。（3）承包人项目负责人可以授权其下属人员履行其某项职责，但事先应将这些人员的姓名和授权范围通知监理人。</w:t>
      </w:r>
    </w:p>
    <w:p w14:paraId="0B4748FF">
      <w:pPr>
        <w:spacing w:line="440" w:lineRule="exact"/>
        <w:ind w:firstLine="482" w:firstLineChars="200"/>
        <w:jc w:val="both"/>
        <w:rPr>
          <w:color w:val="auto"/>
          <w:highlight w:val="none"/>
          <w:u w:val="single"/>
        </w:rPr>
      </w:pPr>
      <w:r>
        <w:rPr>
          <w:rFonts w:hint="eastAsia"/>
          <w:b/>
          <w:bCs/>
          <w:color w:val="auto"/>
          <w:highlight w:val="none"/>
          <w:u w:val="single"/>
        </w:rPr>
        <w:t>b、项目经理（项目负责人）权限</w:t>
      </w:r>
      <w:r>
        <w:rPr>
          <w:rFonts w:hint="eastAsia"/>
          <w:color w:val="auto"/>
          <w:highlight w:val="none"/>
          <w:u w:val="single"/>
        </w:rPr>
        <w:t>：（1）负责主持项目部工作。（2）决定授权范围内的项目资金的投入和使用。（3）制定内部计酬办法。（4）参与选择物资供应单位。（5）在授权范围内协调与项目有关的内、外部关系。（6）法定代表人授予的其它权力。</w:t>
      </w:r>
    </w:p>
    <w:p w14:paraId="48C828AB">
      <w:pPr>
        <w:spacing w:line="440" w:lineRule="exact"/>
        <w:ind w:firstLine="480" w:firstLineChars="200"/>
        <w:jc w:val="both"/>
        <w:rPr>
          <w:color w:val="auto"/>
          <w:highlight w:val="none"/>
        </w:rPr>
      </w:pPr>
      <w:r>
        <w:rPr>
          <w:color w:val="auto"/>
          <w:highlight w:val="none"/>
        </w:rPr>
        <w:t xml:space="preserve">4.3.4 </w:t>
      </w:r>
      <w:r>
        <w:rPr>
          <w:rFonts w:hint="eastAsia"/>
          <w:color w:val="auto"/>
          <w:highlight w:val="none"/>
        </w:rPr>
        <w:t>承包人</w:t>
      </w:r>
      <w:r>
        <w:rPr>
          <w:color w:val="auto"/>
          <w:highlight w:val="none"/>
        </w:rPr>
        <w:t>擅自更换工程总承包项目经理的违约</w:t>
      </w:r>
      <w:r>
        <w:rPr>
          <w:rFonts w:hint="eastAsia"/>
          <w:color w:val="auto"/>
          <w:highlight w:val="none"/>
        </w:rPr>
        <w:t>责任：</w:t>
      </w:r>
      <w:r>
        <w:rPr>
          <w:rFonts w:hint="eastAsia"/>
          <w:color w:val="auto"/>
          <w:highlight w:val="none"/>
          <w:u w:val="single"/>
        </w:rPr>
        <w:t>项目负责人在工程实施期间不得擅自更换或兼任其他工程总承包项目负责人，否则，发包人有权中止合同。若确须更换项目负责人应事先征得发包人同意，并应在更换14天前通知发包人和监理人。经建设管理部门审查批准，更换应满足同资历相应人员，同时收取违约费2万元</w:t>
      </w:r>
      <w:r>
        <w:rPr>
          <w:color w:val="auto"/>
          <w:highlight w:val="none"/>
        </w:rPr>
        <w:t xml:space="preserve"> </w:t>
      </w:r>
      <w:r>
        <w:rPr>
          <w:rFonts w:hint="eastAsia"/>
          <w:color w:val="auto"/>
          <w:highlight w:val="none"/>
        </w:rPr>
        <w:t>。</w:t>
      </w:r>
    </w:p>
    <w:p w14:paraId="41CCF8C8">
      <w:pPr>
        <w:spacing w:line="440" w:lineRule="exact"/>
        <w:ind w:firstLine="480" w:firstLineChars="200"/>
        <w:jc w:val="both"/>
        <w:rPr>
          <w:rFonts w:hint="eastAsia" w:ascii="宋体" w:hAnsi="宋体" w:cs="宋体"/>
          <w:color w:val="auto"/>
          <w:highlight w:val="none"/>
        </w:rPr>
      </w:pPr>
      <w:r>
        <w:rPr>
          <w:color w:val="auto"/>
          <w:highlight w:val="none"/>
        </w:rPr>
        <w:t>4.3.5 承包人无正当理由拒绝更换工程总承包项目经理的违约责任</w:t>
      </w:r>
      <w:r>
        <w:rPr>
          <w:rFonts w:hint="eastAsia"/>
          <w:color w:val="auto"/>
          <w:highlight w:val="none"/>
        </w:rPr>
        <w:t>:</w:t>
      </w:r>
      <w:r>
        <w:rPr>
          <w:color w:val="auto"/>
          <w:highlight w:val="none"/>
        </w:rPr>
        <w:t xml:space="preserve"> </w:t>
      </w:r>
      <w:r>
        <w:rPr>
          <w:color w:val="auto"/>
          <w:highlight w:val="none"/>
          <w:u w:val="single"/>
        </w:rPr>
        <w:t xml:space="preserve"> </w:t>
      </w:r>
      <w:r>
        <w:rPr>
          <w:rFonts w:hint="eastAsia" w:ascii="宋体" w:hAnsi="宋体" w:cs="宋体"/>
          <w:color w:val="auto"/>
          <w:highlight w:val="none"/>
          <w:u w:val="single"/>
        </w:rPr>
        <w:t xml:space="preserve"> 发包人要求承包人更换工程总承包项目经理，承包人无正当理由拒绝更换的，处以10万元/次的违约金 ，并由承包人承担由此原因造成的损失</w:t>
      </w:r>
      <w:r>
        <w:rPr>
          <w:rFonts w:hint="eastAsia" w:ascii="宋体" w:hAnsi="宋体" w:cs="宋体"/>
          <w:color w:val="auto"/>
          <w:highlight w:val="none"/>
        </w:rPr>
        <w:t xml:space="preserve"> 。</w:t>
      </w:r>
    </w:p>
    <w:p w14:paraId="6F70EBEB">
      <w:pPr>
        <w:pStyle w:val="4"/>
        <w:rPr>
          <w:color w:val="auto"/>
          <w:highlight w:val="none"/>
        </w:rPr>
      </w:pPr>
      <w:r>
        <w:rPr>
          <w:color w:val="auto"/>
          <w:highlight w:val="none"/>
        </w:rPr>
        <w:t xml:space="preserve">4.4 </w:t>
      </w:r>
      <w:r>
        <w:rPr>
          <w:rFonts w:hint="eastAsia"/>
          <w:color w:val="auto"/>
          <w:highlight w:val="none"/>
        </w:rPr>
        <w:t>承包人人员</w:t>
      </w:r>
    </w:p>
    <w:p w14:paraId="5A17795A">
      <w:pPr>
        <w:spacing w:line="440" w:lineRule="exact"/>
        <w:ind w:firstLine="480" w:firstLineChars="200"/>
        <w:jc w:val="both"/>
        <w:rPr>
          <w:color w:val="auto"/>
          <w:highlight w:val="none"/>
        </w:rPr>
      </w:pPr>
      <w:r>
        <w:rPr>
          <w:color w:val="auto"/>
          <w:highlight w:val="none"/>
        </w:rPr>
        <w:t xml:space="preserve">4.4.1 </w:t>
      </w:r>
      <w:r>
        <w:rPr>
          <w:rFonts w:hint="eastAsia"/>
          <w:color w:val="auto"/>
          <w:highlight w:val="none"/>
        </w:rPr>
        <w:t>人员安排</w:t>
      </w:r>
    </w:p>
    <w:p w14:paraId="51974996">
      <w:pPr>
        <w:spacing w:line="440" w:lineRule="exact"/>
        <w:ind w:firstLine="480" w:firstLineChars="200"/>
        <w:jc w:val="both"/>
        <w:rPr>
          <w:color w:val="auto"/>
          <w:highlight w:val="none"/>
        </w:rPr>
      </w:pPr>
      <w:r>
        <w:rPr>
          <w:color w:val="auto"/>
          <w:highlight w:val="none"/>
        </w:rPr>
        <w:t>承包人</w:t>
      </w:r>
      <w:r>
        <w:rPr>
          <w:rFonts w:hint="eastAsia"/>
          <w:color w:val="auto"/>
          <w:highlight w:val="none"/>
        </w:rPr>
        <w:t>提交</w:t>
      </w:r>
      <w:r>
        <w:rPr>
          <w:color w:val="auto"/>
          <w:highlight w:val="none"/>
        </w:rPr>
        <w:t>项目管理机构及施工现场人员安排的报告</w:t>
      </w:r>
      <w:r>
        <w:rPr>
          <w:rFonts w:hint="eastAsia"/>
          <w:color w:val="auto"/>
          <w:highlight w:val="none"/>
        </w:rPr>
        <w:t>的期限：</w:t>
      </w:r>
      <w:r>
        <w:rPr>
          <w:color w:val="auto"/>
          <w:highlight w:val="none"/>
          <w:u w:val="single"/>
        </w:rPr>
        <w:t xml:space="preserve"> </w:t>
      </w:r>
      <w:r>
        <w:rPr>
          <w:rFonts w:hint="eastAsia"/>
          <w:color w:val="auto"/>
          <w:highlight w:val="none"/>
          <w:u w:val="single"/>
        </w:rPr>
        <w:t>开工前提交三份，格式、内容自定。（以上提供的各类表格需征得监理人及发包人的认可后方生效）</w:t>
      </w:r>
      <w:r>
        <w:rPr>
          <w:color w:val="auto"/>
          <w:highlight w:val="none"/>
        </w:rPr>
        <w:t xml:space="preserve"> </w:t>
      </w:r>
      <w:r>
        <w:rPr>
          <w:rFonts w:hint="eastAsia"/>
          <w:color w:val="auto"/>
          <w:highlight w:val="none"/>
        </w:rPr>
        <w:t>。</w:t>
      </w:r>
    </w:p>
    <w:p w14:paraId="33EEDBCE">
      <w:pPr>
        <w:spacing w:line="440" w:lineRule="exact"/>
        <w:ind w:firstLine="480" w:firstLineChars="200"/>
        <w:jc w:val="both"/>
        <w:rPr>
          <w:color w:val="auto"/>
          <w:highlight w:val="none"/>
          <w:u w:val="single"/>
        </w:rPr>
      </w:pPr>
      <w:r>
        <w:rPr>
          <w:rFonts w:hint="eastAsia"/>
          <w:color w:val="auto"/>
          <w:highlight w:val="none"/>
        </w:rPr>
        <w:t>承包人提交关键人员信息及注册执业资格等证明其具备担任关键人员能力的相关文件的期限：</w:t>
      </w:r>
      <w:r>
        <w:rPr>
          <w:color w:val="auto"/>
          <w:highlight w:val="none"/>
          <w:u w:val="single"/>
        </w:rPr>
        <w:t xml:space="preserve"> </w:t>
      </w:r>
      <w:r>
        <w:rPr>
          <w:rFonts w:hint="eastAsia"/>
          <w:color w:val="auto"/>
          <w:highlight w:val="none"/>
          <w:u w:val="single"/>
        </w:rPr>
        <w:t>项目管理机构一览表的格式、内容、份数和提交时间为开工前提交三份，格式、内容自定。</w:t>
      </w:r>
    </w:p>
    <w:p w14:paraId="6D733F48">
      <w:pPr>
        <w:spacing w:line="440" w:lineRule="exact"/>
        <w:ind w:firstLine="480" w:firstLineChars="200"/>
        <w:jc w:val="both"/>
        <w:rPr>
          <w:color w:val="auto"/>
          <w:highlight w:val="none"/>
        </w:rPr>
      </w:pPr>
      <w:r>
        <w:rPr>
          <w:color w:val="auto"/>
          <w:highlight w:val="none"/>
        </w:rPr>
        <w:t xml:space="preserve">4.4.2 </w:t>
      </w:r>
      <w:r>
        <w:rPr>
          <w:rFonts w:hint="eastAsia"/>
          <w:color w:val="auto"/>
          <w:highlight w:val="none"/>
        </w:rPr>
        <w:t>关键人员更换</w:t>
      </w:r>
    </w:p>
    <w:p w14:paraId="794F9800">
      <w:pPr>
        <w:spacing w:line="440" w:lineRule="exact"/>
        <w:ind w:firstLine="480" w:firstLineChars="200"/>
        <w:jc w:val="both"/>
        <w:rPr>
          <w:color w:val="auto"/>
          <w:highlight w:val="none"/>
          <w:u w:val="single"/>
        </w:rPr>
      </w:pPr>
      <w:r>
        <w:rPr>
          <w:color w:val="auto"/>
          <w:highlight w:val="none"/>
        </w:rPr>
        <w:t>承包人擅自更换</w:t>
      </w:r>
      <w:r>
        <w:rPr>
          <w:rFonts w:hint="eastAsia"/>
          <w:color w:val="auto"/>
          <w:highlight w:val="none"/>
        </w:rPr>
        <w:t>关键人员</w:t>
      </w:r>
      <w:r>
        <w:rPr>
          <w:color w:val="auto"/>
          <w:highlight w:val="none"/>
        </w:rPr>
        <w:t>的违约责任：</w:t>
      </w:r>
      <w:r>
        <w:rPr>
          <w:rFonts w:hint="eastAsia"/>
          <w:color w:val="auto"/>
          <w:highlight w:val="none"/>
          <w:u w:val="single"/>
        </w:rPr>
        <w:t>未经发包人同意，承包人擅自更换人员时，将被视为承包人违约，发包人将按上述审查费的2倍额度收取违约金，情节严重的，由发包人决定将同时没收部分或全部履约担保，直至单方面解除本合同。如现场人员不服从发包人、监理人员的管理，发包人和监理人有权要求更换该人员。</w:t>
      </w:r>
    </w:p>
    <w:p w14:paraId="7D873919">
      <w:pPr>
        <w:spacing w:line="440" w:lineRule="exact"/>
        <w:ind w:firstLine="480" w:firstLineChars="200"/>
        <w:jc w:val="both"/>
        <w:rPr>
          <w:color w:val="auto"/>
          <w:highlight w:val="none"/>
        </w:rPr>
      </w:pPr>
      <w:r>
        <w:rPr>
          <w:color w:val="auto"/>
          <w:highlight w:val="none"/>
        </w:rPr>
        <w:t>承包人无正当理由拒绝撤换</w:t>
      </w:r>
      <w:r>
        <w:rPr>
          <w:rFonts w:hint="eastAsia"/>
          <w:color w:val="auto"/>
          <w:highlight w:val="none"/>
        </w:rPr>
        <w:t>关键人员</w:t>
      </w:r>
      <w:r>
        <w:rPr>
          <w:color w:val="auto"/>
          <w:highlight w:val="none"/>
        </w:rPr>
        <w:t>的违约责任：</w:t>
      </w:r>
    </w:p>
    <w:p w14:paraId="47A67316">
      <w:pPr>
        <w:spacing w:line="440" w:lineRule="exact"/>
        <w:ind w:firstLine="480" w:firstLineChars="200"/>
        <w:jc w:val="both"/>
        <w:rPr>
          <w:color w:val="auto"/>
          <w:highlight w:val="none"/>
          <w:u w:val="single"/>
        </w:rPr>
      </w:pPr>
      <w:r>
        <w:rPr>
          <w:rFonts w:hint="eastAsia"/>
          <w:color w:val="auto"/>
          <w:highlight w:val="none"/>
          <w:u w:val="single"/>
        </w:rPr>
        <w:t>（1）无正当理由拒绝撤换设计负责人的，须承担10万元/人•次的违约金；</w:t>
      </w:r>
    </w:p>
    <w:p w14:paraId="5799E856">
      <w:pPr>
        <w:spacing w:line="440" w:lineRule="exact"/>
        <w:ind w:firstLine="480" w:firstLineChars="200"/>
        <w:jc w:val="both"/>
        <w:rPr>
          <w:color w:val="auto"/>
          <w:highlight w:val="none"/>
          <w:u w:val="single"/>
        </w:rPr>
      </w:pPr>
      <w:r>
        <w:rPr>
          <w:rFonts w:hint="eastAsia"/>
          <w:color w:val="auto"/>
          <w:highlight w:val="none"/>
          <w:u w:val="single"/>
        </w:rPr>
        <w:t>（2）无正当理由拒绝撤换技术负责人、安全负责人、质量负责人的，须承担5万元/人•次的违约金。</w:t>
      </w:r>
    </w:p>
    <w:p w14:paraId="467300CF">
      <w:pPr>
        <w:spacing w:line="440" w:lineRule="exact"/>
        <w:ind w:firstLine="480" w:firstLineChars="200"/>
        <w:jc w:val="both"/>
        <w:rPr>
          <w:color w:val="auto"/>
          <w:highlight w:val="none"/>
          <w:u w:val="single"/>
        </w:rPr>
      </w:pPr>
      <w:r>
        <w:rPr>
          <w:rFonts w:hint="eastAsia"/>
          <w:color w:val="auto"/>
          <w:highlight w:val="none"/>
          <w:u w:val="single"/>
        </w:rPr>
        <w:t>（3）其他关键人员按2万元/人/次收取违约金。</w:t>
      </w:r>
    </w:p>
    <w:p w14:paraId="44F2EFAC">
      <w:pPr>
        <w:spacing w:line="440" w:lineRule="exact"/>
        <w:ind w:firstLine="480" w:firstLineChars="200"/>
        <w:jc w:val="both"/>
        <w:rPr>
          <w:color w:val="auto"/>
          <w:highlight w:val="none"/>
          <w:u w:val="single"/>
        </w:rPr>
      </w:pPr>
      <w:r>
        <w:rPr>
          <w:rFonts w:hint="eastAsia"/>
          <w:color w:val="auto"/>
          <w:highlight w:val="none"/>
          <w:u w:val="single"/>
        </w:rPr>
        <w:t>（4）发包人有权中止合同，由此引起的费用增加和工期延误责任由承包人承担。</w:t>
      </w:r>
    </w:p>
    <w:p w14:paraId="36E17798">
      <w:pPr>
        <w:spacing w:line="440" w:lineRule="exact"/>
        <w:ind w:firstLine="480" w:firstLineChars="200"/>
        <w:jc w:val="both"/>
        <w:rPr>
          <w:color w:val="auto"/>
          <w:highlight w:val="none"/>
        </w:rPr>
      </w:pPr>
      <w:r>
        <w:rPr>
          <w:color w:val="auto"/>
          <w:highlight w:val="none"/>
        </w:rPr>
        <w:t xml:space="preserve">4.4.3 </w:t>
      </w:r>
      <w:r>
        <w:rPr>
          <w:rFonts w:hint="eastAsia"/>
          <w:color w:val="auto"/>
          <w:highlight w:val="none"/>
        </w:rPr>
        <w:t>现场管理关键人员在岗要求</w:t>
      </w:r>
    </w:p>
    <w:p w14:paraId="02B5E175">
      <w:pPr>
        <w:spacing w:line="440" w:lineRule="exact"/>
        <w:ind w:firstLine="480" w:firstLineChars="200"/>
        <w:jc w:val="both"/>
        <w:rPr>
          <w:color w:val="auto"/>
          <w:highlight w:val="none"/>
        </w:rPr>
      </w:pPr>
      <w:r>
        <w:rPr>
          <w:color w:val="auto"/>
          <w:highlight w:val="none"/>
        </w:rPr>
        <w:t>承包人</w:t>
      </w:r>
      <w:r>
        <w:rPr>
          <w:rFonts w:hint="eastAsia"/>
          <w:color w:val="auto"/>
          <w:highlight w:val="none"/>
        </w:rPr>
        <w:t>现场管理关键</w:t>
      </w:r>
      <w:r>
        <w:rPr>
          <w:color w:val="auto"/>
          <w:highlight w:val="none"/>
        </w:rPr>
        <w:t>人员离开施工现场的批准要求</w:t>
      </w:r>
      <w:r>
        <w:rPr>
          <w:rFonts w:hint="eastAsia"/>
          <w:color w:val="auto"/>
          <w:highlight w:val="none"/>
        </w:rPr>
        <w:t>：</w:t>
      </w:r>
      <w:r>
        <w:rPr>
          <w:rFonts w:hint="eastAsia"/>
          <w:color w:val="auto"/>
          <w:highlight w:val="none"/>
          <w:u w:val="single"/>
        </w:rPr>
        <w:t>承包人应遵守各级建设行政主管部门、发包人上级主管部门和发包人有关工程管理、施工管理人员到岗履职管理的各项规定。</w:t>
      </w:r>
      <w:r>
        <w:rPr>
          <w:rFonts w:hint="eastAsia"/>
          <w:color w:val="auto"/>
          <w:highlight w:val="none"/>
        </w:rPr>
        <w:t>。</w:t>
      </w:r>
    </w:p>
    <w:p w14:paraId="1696F3D0">
      <w:pPr>
        <w:spacing w:line="440" w:lineRule="exact"/>
        <w:ind w:firstLine="480" w:firstLineChars="200"/>
        <w:jc w:val="both"/>
        <w:rPr>
          <w:color w:val="auto"/>
          <w:highlight w:val="none"/>
        </w:rPr>
      </w:pPr>
      <w:r>
        <w:rPr>
          <w:rFonts w:hint="eastAsia"/>
          <w:color w:val="auto"/>
          <w:highlight w:val="none"/>
        </w:rPr>
        <w:t>承包人现场管理关键人员擅自离开施工现场的违约责任：</w:t>
      </w:r>
      <w:r>
        <w:rPr>
          <w:rFonts w:hint="eastAsia"/>
          <w:color w:val="auto"/>
          <w:highlight w:val="none"/>
          <w:u w:val="single"/>
        </w:rPr>
        <w:t>工程施工负责人月到位率低于80％，发包人可按照脱岗天数以每天10000元标准，向承包人收取脱岗违约金；其它施工现场管理人员（包括安全员）月到位率不到85％，发包人可按照脱岗天数以每人每天2000元标准，向承包人收取施工现场管理人员（包括安全员）脱岗违约金；施工现场管理人员（包括安全员）必须挂牌上岗，如发现施工现场管理人员（包括安全员）未挂牌上岗，发包人可按每人每次100元标准扣取违约金</w:t>
      </w:r>
      <w:r>
        <w:rPr>
          <w:rFonts w:hint="eastAsia"/>
          <w:color w:val="auto"/>
          <w:highlight w:val="none"/>
        </w:rPr>
        <w:t>。</w:t>
      </w:r>
    </w:p>
    <w:p w14:paraId="38142FC8">
      <w:pPr>
        <w:pStyle w:val="4"/>
        <w:rPr>
          <w:color w:val="auto"/>
          <w:highlight w:val="none"/>
        </w:rPr>
      </w:pPr>
      <w:r>
        <w:rPr>
          <w:color w:val="auto"/>
          <w:highlight w:val="none"/>
        </w:rPr>
        <w:t xml:space="preserve">4.5 </w:t>
      </w:r>
      <w:r>
        <w:rPr>
          <w:rFonts w:hint="eastAsia"/>
          <w:color w:val="auto"/>
          <w:highlight w:val="none"/>
        </w:rPr>
        <w:t>分包</w:t>
      </w:r>
    </w:p>
    <w:p w14:paraId="7979E57E">
      <w:pPr>
        <w:spacing w:line="440" w:lineRule="exact"/>
        <w:ind w:firstLine="480" w:firstLineChars="200"/>
        <w:jc w:val="both"/>
        <w:rPr>
          <w:color w:val="auto"/>
          <w:highlight w:val="none"/>
        </w:rPr>
      </w:pPr>
      <w:r>
        <w:rPr>
          <w:color w:val="auto"/>
          <w:highlight w:val="none"/>
        </w:rPr>
        <w:t xml:space="preserve">4.5.1 </w:t>
      </w:r>
      <w:r>
        <w:rPr>
          <w:rFonts w:hint="eastAsia"/>
          <w:color w:val="auto"/>
          <w:highlight w:val="none"/>
        </w:rPr>
        <w:t>一般约定</w:t>
      </w:r>
    </w:p>
    <w:p w14:paraId="54660ACF">
      <w:pPr>
        <w:spacing w:line="440" w:lineRule="exact"/>
        <w:ind w:firstLine="480" w:firstLineChars="200"/>
        <w:jc w:val="both"/>
        <w:rPr>
          <w:color w:val="auto"/>
          <w:highlight w:val="none"/>
        </w:rPr>
      </w:pPr>
      <w:r>
        <w:rPr>
          <w:color w:val="auto"/>
          <w:highlight w:val="none"/>
        </w:rPr>
        <w:t>禁止分包的工程包括：</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p>
    <w:p w14:paraId="69B980BC">
      <w:pPr>
        <w:spacing w:line="440" w:lineRule="exact"/>
        <w:ind w:firstLine="480" w:firstLineChars="200"/>
        <w:jc w:val="both"/>
        <w:rPr>
          <w:color w:val="auto"/>
          <w:highlight w:val="none"/>
        </w:rPr>
      </w:pPr>
      <w:r>
        <w:rPr>
          <w:color w:val="auto"/>
          <w:highlight w:val="none"/>
        </w:rPr>
        <w:t xml:space="preserve">4.5.2 </w:t>
      </w:r>
      <w:r>
        <w:rPr>
          <w:rFonts w:hint="eastAsia"/>
          <w:color w:val="auto"/>
          <w:highlight w:val="none"/>
        </w:rPr>
        <w:t>分包的确定</w:t>
      </w:r>
    </w:p>
    <w:p w14:paraId="0C8CAED3">
      <w:pPr>
        <w:spacing w:line="440" w:lineRule="exact"/>
        <w:ind w:firstLine="480" w:firstLineChars="200"/>
        <w:jc w:val="both"/>
        <w:rPr>
          <w:color w:val="auto"/>
          <w:highlight w:val="none"/>
          <w:u w:val="single"/>
        </w:rPr>
      </w:pPr>
      <w:r>
        <w:rPr>
          <w:color w:val="auto"/>
          <w:highlight w:val="none"/>
        </w:rPr>
        <w:t>允许分包的工程包括：</w:t>
      </w:r>
      <w:r>
        <w:rPr>
          <w:rFonts w:hint="eastAsia"/>
          <w:color w:val="auto"/>
          <w:highlight w:val="none"/>
          <w:u w:val="single"/>
        </w:rPr>
        <w:t>承包人可以将自身不具备资质的施工工作分包给具备相应资质的施工企业，但分包的工程内容、分包商必须符合国家及发包人相关分包规定，根据各分包商资质、业绩等方面择优选择，且须在分包前经发包人同意。承包人为联合体的，联合体各方应当共同与分包单位签订分包合同，就分包工程承担连带责任。</w:t>
      </w:r>
    </w:p>
    <w:p w14:paraId="0C1B982B">
      <w:pPr>
        <w:spacing w:line="440" w:lineRule="exact"/>
        <w:ind w:firstLine="480" w:firstLineChars="200"/>
        <w:jc w:val="both"/>
        <w:rPr>
          <w:color w:val="auto"/>
          <w:highlight w:val="none"/>
        </w:rPr>
      </w:pPr>
      <w:r>
        <w:rPr>
          <w:color w:val="auto"/>
          <w:highlight w:val="none"/>
        </w:rPr>
        <w:t>其他关于分包的约定：</w:t>
      </w:r>
      <w:r>
        <w:rPr>
          <w:rFonts w:hint="eastAsia"/>
          <w:color w:val="auto"/>
          <w:highlight w:val="none"/>
          <w:u w:val="single"/>
        </w:rPr>
        <w:t>约定的分包事项和分包人名单：在分包人确定后提供</w:t>
      </w:r>
      <w:r>
        <w:rPr>
          <w:color w:val="auto"/>
          <w:highlight w:val="none"/>
          <w:u w:val="single"/>
        </w:rPr>
        <w:t xml:space="preserve"> </w:t>
      </w:r>
      <w:r>
        <w:rPr>
          <w:color w:val="auto"/>
          <w:highlight w:val="none"/>
        </w:rPr>
        <w:t>。</w:t>
      </w:r>
    </w:p>
    <w:p w14:paraId="19A94FFD">
      <w:pPr>
        <w:spacing w:line="440" w:lineRule="exact"/>
        <w:ind w:firstLine="480" w:firstLineChars="200"/>
        <w:jc w:val="both"/>
        <w:rPr>
          <w:color w:val="auto"/>
          <w:highlight w:val="none"/>
        </w:rPr>
      </w:pPr>
      <w:r>
        <w:rPr>
          <w:color w:val="auto"/>
          <w:highlight w:val="none"/>
        </w:rPr>
        <w:t xml:space="preserve">4.5.5 </w:t>
      </w:r>
      <w:r>
        <w:rPr>
          <w:rFonts w:hint="eastAsia"/>
          <w:color w:val="auto"/>
          <w:highlight w:val="none"/>
        </w:rPr>
        <w:t>分包合同价款支付</w:t>
      </w:r>
    </w:p>
    <w:p w14:paraId="0F6E5064">
      <w:pPr>
        <w:spacing w:line="440" w:lineRule="exact"/>
        <w:ind w:firstLine="480" w:firstLineChars="200"/>
        <w:jc w:val="both"/>
        <w:rPr>
          <w:color w:val="auto"/>
          <w:highlight w:val="none"/>
        </w:rPr>
      </w:pPr>
      <w:r>
        <w:rPr>
          <w:rFonts w:hint="eastAsia"/>
          <w:color w:val="auto"/>
          <w:highlight w:val="none"/>
        </w:rPr>
        <w:t>关于分包合同价款支付的约定：</w:t>
      </w:r>
      <w:r>
        <w:rPr>
          <w:color w:val="auto"/>
          <w:highlight w:val="none"/>
          <w:u w:val="single"/>
        </w:rPr>
        <w:t xml:space="preserve">             </w:t>
      </w:r>
      <w:bookmarkStart w:id="137" w:name="OLE_LINK1"/>
      <w:r>
        <w:rPr>
          <w:color w:val="auto"/>
          <w:highlight w:val="none"/>
          <w:u w:val="single"/>
        </w:rPr>
        <w:t xml:space="preserve">    </w:t>
      </w:r>
      <w:bookmarkEnd w:id="137"/>
      <w:r>
        <w:rPr>
          <w:color w:val="auto"/>
          <w:highlight w:val="none"/>
          <w:u w:val="single"/>
        </w:rPr>
        <w:t xml:space="preserve">    </w:t>
      </w:r>
      <w:r>
        <w:rPr>
          <w:color w:val="auto"/>
          <w:highlight w:val="none"/>
        </w:rPr>
        <w:t xml:space="preserve"> 。</w:t>
      </w:r>
    </w:p>
    <w:p w14:paraId="160EB7A4">
      <w:pPr>
        <w:pStyle w:val="4"/>
        <w:rPr>
          <w:color w:val="auto"/>
          <w:highlight w:val="none"/>
        </w:rPr>
      </w:pPr>
      <w:r>
        <w:rPr>
          <w:color w:val="auto"/>
          <w:highlight w:val="none"/>
        </w:rPr>
        <w:t xml:space="preserve">4.6 </w:t>
      </w:r>
      <w:r>
        <w:rPr>
          <w:rFonts w:hint="eastAsia"/>
          <w:color w:val="auto"/>
          <w:highlight w:val="none"/>
        </w:rPr>
        <w:t>联合体</w:t>
      </w:r>
    </w:p>
    <w:p w14:paraId="4DA7C19B">
      <w:pPr>
        <w:spacing w:line="440" w:lineRule="exact"/>
        <w:ind w:firstLine="480" w:firstLineChars="200"/>
        <w:jc w:val="both"/>
        <w:rPr>
          <w:color w:val="auto"/>
          <w:highlight w:val="none"/>
        </w:rPr>
      </w:pPr>
      <w:r>
        <w:rPr>
          <w:rFonts w:hint="eastAsia"/>
          <w:color w:val="auto"/>
          <w:highlight w:val="none"/>
        </w:rPr>
        <w:t>4</w:t>
      </w:r>
      <w:r>
        <w:rPr>
          <w:color w:val="auto"/>
          <w:highlight w:val="none"/>
        </w:rPr>
        <w:t xml:space="preserve">.6.2 </w:t>
      </w:r>
      <w:r>
        <w:rPr>
          <w:rFonts w:hint="eastAsia"/>
          <w:color w:val="auto"/>
          <w:highlight w:val="none"/>
        </w:rPr>
        <w:t>联合体各成员的分工、费用收取、发票开具等事项：</w:t>
      </w:r>
      <w:r>
        <w:rPr>
          <w:color w:val="auto"/>
          <w:highlight w:val="none"/>
          <w:u w:val="single"/>
        </w:rPr>
        <w:t xml:space="preserve">    </w:t>
      </w:r>
      <w:r>
        <w:rPr>
          <w:rFonts w:hint="eastAsia"/>
          <w:color w:val="auto"/>
          <w:highlight w:val="none"/>
        </w:rPr>
        <w:t>。</w:t>
      </w:r>
    </w:p>
    <w:p w14:paraId="37BB2589">
      <w:pPr>
        <w:pStyle w:val="4"/>
        <w:rPr>
          <w:color w:val="auto"/>
          <w:highlight w:val="none"/>
        </w:rPr>
      </w:pPr>
      <w:r>
        <w:rPr>
          <w:color w:val="auto"/>
          <w:highlight w:val="none"/>
        </w:rPr>
        <w:t xml:space="preserve">4.7 </w:t>
      </w:r>
      <w:r>
        <w:rPr>
          <w:rFonts w:hint="eastAsia"/>
          <w:color w:val="auto"/>
          <w:highlight w:val="none"/>
        </w:rPr>
        <w:t>承包人现场查勘</w:t>
      </w:r>
    </w:p>
    <w:p w14:paraId="219BC486">
      <w:pPr>
        <w:spacing w:line="440" w:lineRule="exact"/>
        <w:ind w:firstLine="480" w:firstLineChars="200"/>
        <w:jc w:val="both"/>
        <w:rPr>
          <w:color w:val="auto"/>
          <w:highlight w:val="none"/>
        </w:rPr>
      </w:pPr>
      <w:r>
        <w:rPr>
          <w:rFonts w:hint="eastAsia"/>
          <w:color w:val="auto"/>
          <w:highlight w:val="none"/>
        </w:rPr>
        <w:t>4</w:t>
      </w:r>
      <w:r>
        <w:rPr>
          <w:color w:val="auto"/>
          <w:highlight w:val="none"/>
        </w:rPr>
        <w:t xml:space="preserve">.7.1 </w:t>
      </w:r>
      <w:r>
        <w:rPr>
          <w:rFonts w:hint="eastAsia"/>
          <w:color w:val="auto"/>
          <w:highlight w:val="none"/>
        </w:rPr>
        <w:t>双方当事人对现场查勘的责任承担的约定：</w:t>
      </w:r>
      <w:r>
        <w:rPr>
          <w:color w:val="auto"/>
          <w:highlight w:val="none"/>
          <w:u w:val="single"/>
        </w:rPr>
        <w:t xml:space="preserve">             </w:t>
      </w:r>
      <w:r>
        <w:rPr>
          <w:rFonts w:hint="eastAsia"/>
          <w:color w:val="auto"/>
          <w:highlight w:val="none"/>
        </w:rPr>
        <w:t>。</w:t>
      </w:r>
    </w:p>
    <w:p w14:paraId="6FCF14A8">
      <w:pPr>
        <w:pStyle w:val="4"/>
        <w:rPr>
          <w:color w:val="auto"/>
          <w:highlight w:val="none"/>
        </w:rPr>
      </w:pPr>
      <w:r>
        <w:rPr>
          <w:color w:val="auto"/>
          <w:highlight w:val="none"/>
        </w:rPr>
        <w:t xml:space="preserve">4.8 </w:t>
      </w:r>
      <w:r>
        <w:rPr>
          <w:rFonts w:hint="eastAsia"/>
          <w:color w:val="auto"/>
          <w:highlight w:val="none"/>
        </w:rPr>
        <w:t>不可预见的困难</w:t>
      </w:r>
    </w:p>
    <w:p w14:paraId="765851E9">
      <w:pPr>
        <w:spacing w:line="440" w:lineRule="exact"/>
        <w:ind w:firstLine="480" w:firstLineChars="200"/>
        <w:jc w:val="both"/>
        <w:rPr>
          <w:color w:val="auto"/>
          <w:highlight w:val="none"/>
        </w:rPr>
      </w:pPr>
      <w:r>
        <w:rPr>
          <w:rFonts w:hint="eastAsia"/>
          <w:color w:val="auto"/>
          <w:highlight w:val="none"/>
        </w:rPr>
        <w:t>不可预见的困难包括：</w:t>
      </w:r>
      <w:r>
        <w:rPr>
          <w:color w:val="auto"/>
          <w:highlight w:val="none"/>
          <w:u w:val="single"/>
        </w:rPr>
        <w:t xml:space="preserve">              </w:t>
      </w:r>
      <w:r>
        <w:rPr>
          <w:color w:val="auto"/>
          <w:highlight w:val="none"/>
        </w:rPr>
        <w:t>。</w:t>
      </w:r>
    </w:p>
    <w:p w14:paraId="354B529A">
      <w:pPr>
        <w:pStyle w:val="3"/>
        <w:jc w:val="both"/>
        <w:rPr>
          <w:rFonts w:hint="eastAsia" w:ascii="宋体" w:hAnsi="宋体" w:cs="宋体"/>
          <w:color w:val="auto"/>
          <w:highlight w:val="none"/>
        </w:rPr>
      </w:pPr>
      <w:bookmarkStart w:id="138" w:name="_Toc54862336"/>
      <w:r>
        <w:rPr>
          <w:rFonts w:hint="eastAsia" w:ascii="宋体" w:hAnsi="宋体" w:cs="宋体"/>
          <w:color w:val="auto"/>
          <w:highlight w:val="none"/>
        </w:rPr>
        <w:t>第5条 设计</w:t>
      </w:r>
      <w:bookmarkEnd w:id="138"/>
    </w:p>
    <w:p w14:paraId="25ACBAA2">
      <w:pPr>
        <w:spacing w:line="440" w:lineRule="exact"/>
        <w:ind w:firstLine="480" w:firstLineChars="200"/>
        <w:jc w:val="both"/>
        <w:rPr>
          <w:color w:val="auto"/>
          <w:highlight w:val="none"/>
        </w:rPr>
      </w:pPr>
      <w:r>
        <w:rPr>
          <w:rFonts w:hint="eastAsia"/>
          <w:color w:val="auto"/>
          <w:highlight w:val="none"/>
        </w:rPr>
        <w:t>5.1.1 承包人的设计义务</w:t>
      </w:r>
    </w:p>
    <w:p w14:paraId="6E80A6C6">
      <w:pPr>
        <w:spacing w:line="440" w:lineRule="exact"/>
        <w:ind w:firstLine="480" w:firstLineChars="200"/>
        <w:jc w:val="both"/>
        <w:rPr>
          <w:color w:val="auto"/>
          <w:highlight w:val="none"/>
        </w:rPr>
      </w:pPr>
      <w:r>
        <w:rPr>
          <w:rFonts w:hint="eastAsia"/>
          <w:color w:val="auto"/>
          <w:highlight w:val="none"/>
        </w:rPr>
        <w:t>完成本项目施工图设计等所有项目设计内容。</w:t>
      </w:r>
    </w:p>
    <w:p w14:paraId="588AF689">
      <w:pPr>
        <w:spacing w:line="440" w:lineRule="exact"/>
        <w:ind w:firstLine="480" w:firstLineChars="200"/>
        <w:jc w:val="both"/>
        <w:rPr>
          <w:color w:val="auto"/>
          <w:highlight w:val="none"/>
        </w:rPr>
      </w:pPr>
      <w:r>
        <w:rPr>
          <w:rFonts w:hint="eastAsia"/>
          <w:color w:val="auto"/>
          <w:highlight w:val="none"/>
        </w:rPr>
        <w:t>5.1.1.1关于限额设计：所谓限额设计，就是按照投标报价时的建安总价控制施工图设计。各专业在保证使用功能的前提下，根据限定的额度进行方案筛选和设计，并且严格控制技术设计和施工图设计的不合理变更，以保证投标报价中的建安费用不被突破。设计人员在整个设计过程中，充分考虑施工因素，将设计优化最大程度的体现到各个设计阶段。</w:t>
      </w:r>
    </w:p>
    <w:p w14:paraId="6620C24E">
      <w:pPr>
        <w:spacing w:line="440" w:lineRule="exact"/>
        <w:ind w:firstLine="480" w:firstLineChars="200"/>
        <w:jc w:val="both"/>
        <w:rPr>
          <w:color w:val="auto"/>
          <w:highlight w:val="none"/>
        </w:rPr>
      </w:pPr>
      <w:r>
        <w:rPr>
          <w:rFonts w:hint="eastAsia"/>
          <w:color w:val="auto"/>
          <w:highlight w:val="none"/>
        </w:rPr>
        <w:t>5.1.1.2承包人应遵守各级建设行政主管部门、发包人上级主管部门和发包人有关工程管理、施工管理人员到岗履职管理的各项规定。设计负责人在中标后，未经发包人同意不得调换。承包人确需变更设计负责人的，应履行必要的变更审批手续。</w:t>
      </w:r>
    </w:p>
    <w:p w14:paraId="11CB10B1">
      <w:pPr>
        <w:spacing w:line="440" w:lineRule="exact"/>
        <w:ind w:firstLine="480" w:firstLineChars="200"/>
        <w:jc w:val="both"/>
        <w:rPr>
          <w:color w:val="auto"/>
          <w:highlight w:val="none"/>
        </w:rPr>
      </w:pPr>
      <w:r>
        <w:rPr>
          <w:rFonts w:hint="eastAsia"/>
          <w:color w:val="auto"/>
          <w:highlight w:val="none"/>
        </w:rPr>
        <w:t>5.1.1.3项目若涉及特殊专业性子项的，可由中标方委托专业资质设计单位协作完成，设计费用不再增加，若项目实施过程中有新增加的相关设计内容，设计单位须无条件配合，设计费用也不再增加。所有图纸要深化到可以施工为止。承包人若无相关专业资质的，经发包人同意后，可由承包人委托具有相应资质的单位完成，费用不再增加，并由承包人承担相关法律连带责任。</w:t>
      </w:r>
    </w:p>
    <w:p w14:paraId="364C0E6C">
      <w:pPr>
        <w:spacing w:line="440" w:lineRule="exact"/>
        <w:ind w:firstLine="480" w:firstLineChars="200"/>
        <w:jc w:val="both"/>
        <w:rPr>
          <w:color w:val="auto"/>
          <w:highlight w:val="none"/>
        </w:rPr>
      </w:pPr>
      <w:r>
        <w:rPr>
          <w:rFonts w:hint="eastAsia"/>
          <w:color w:val="auto"/>
          <w:highlight w:val="none"/>
        </w:rPr>
        <w:t>5.1.1.4在设计及施工过程中，设计人应充分尊重和理解发包人、代表发包人的设计咨询及监理公司对设计提出的书面意见与要求，如无充分的否定理由应尽快予以处理和实施。对合同没有的部分和没有描述的部分，双方应另行协商；承包人须将设计文件修改至满足发包人要求后，方可进行施工图设计。未经发包人书面同意，设计人不得对已批准的设计作重大修改、增减或删除；承包人应根据发包人需要在技术允许范围内随时对设计进行改正。</w:t>
      </w:r>
    </w:p>
    <w:p w14:paraId="1ED220F3">
      <w:pPr>
        <w:spacing w:line="440" w:lineRule="exact"/>
        <w:ind w:firstLine="480" w:firstLineChars="200"/>
        <w:jc w:val="both"/>
        <w:rPr>
          <w:color w:val="auto"/>
          <w:highlight w:val="none"/>
        </w:rPr>
      </w:pPr>
      <w:r>
        <w:rPr>
          <w:rFonts w:hint="eastAsia"/>
          <w:color w:val="auto"/>
          <w:highlight w:val="none"/>
        </w:rPr>
        <w:t>5.1.1.5在设计各阶段，设计人应根据发包人或政府主管部门的意见，及时修改、完善设计，负责完成由于设计失误而出现的反复修改的工作；发包人有权指导和审查由承包人根据发包人要求完成的施工图设计，并给出审核意见，在不违反国家法律法规的条件下，承包人需及时进行修改和优化，但发包人的审查并不免除承包人所应承担的任何责任。</w:t>
      </w:r>
    </w:p>
    <w:p w14:paraId="7E46CA56">
      <w:pPr>
        <w:spacing w:line="440" w:lineRule="exact"/>
        <w:ind w:firstLine="480" w:firstLineChars="200"/>
        <w:jc w:val="both"/>
        <w:rPr>
          <w:color w:val="auto"/>
          <w:highlight w:val="none"/>
        </w:rPr>
      </w:pPr>
      <w:r>
        <w:rPr>
          <w:rFonts w:hint="eastAsia"/>
          <w:color w:val="auto"/>
          <w:highlight w:val="none"/>
        </w:rPr>
        <w:t>5.1.1.6设计人承诺及时提供工程的各主要建筑材料和设备的生产厂商及价格等资料；本工程设计资料及文件中，建筑材料、建筑构配件和设备，应当注明其规格、型号、性能等技术指标，由设计单位根据要求书面明确各无价材料和设备的档次分类。承包人提供设计施工图的同时（未图审前）需提供主要的材料清单，材料清单中注明建筑材料、建筑构配件和设备的规格、型号、性能等技术指标以及对应品牌库的档次分类。施工图提交图审前需经发包人组织施工图初审，待初审意见完善后方可提交图审。</w:t>
      </w:r>
    </w:p>
    <w:p w14:paraId="7CCD510E">
      <w:pPr>
        <w:spacing w:line="440" w:lineRule="exact"/>
        <w:ind w:firstLine="480" w:firstLineChars="200"/>
        <w:jc w:val="both"/>
        <w:rPr>
          <w:color w:val="auto"/>
          <w:highlight w:val="none"/>
        </w:rPr>
      </w:pPr>
      <w:r>
        <w:rPr>
          <w:rFonts w:hint="eastAsia"/>
          <w:color w:val="auto"/>
          <w:highlight w:val="none"/>
        </w:rPr>
        <w:t>5.1.1.7设计人承诺负责编写工程施工、材料设备等招标文件的技术和质量标准；</w:t>
      </w:r>
    </w:p>
    <w:p w14:paraId="6BAB8430">
      <w:pPr>
        <w:spacing w:line="440" w:lineRule="exact"/>
        <w:ind w:firstLine="480" w:firstLineChars="200"/>
        <w:jc w:val="both"/>
        <w:rPr>
          <w:color w:val="auto"/>
          <w:highlight w:val="none"/>
        </w:rPr>
      </w:pPr>
      <w:r>
        <w:rPr>
          <w:rFonts w:hint="eastAsia"/>
          <w:color w:val="auto"/>
          <w:highlight w:val="none"/>
        </w:rPr>
        <w:t>5.1.3承包人应保持设计负责人、专业负责人的稳定，做好施工现场服务，并负责解决施工过程中出现的设计问题，设计服务承包人的设计主要工作如下：</w:t>
      </w:r>
    </w:p>
    <w:p w14:paraId="2DFB1A41">
      <w:pPr>
        <w:spacing w:line="440" w:lineRule="exact"/>
        <w:ind w:firstLine="480" w:firstLineChars="200"/>
        <w:jc w:val="both"/>
        <w:rPr>
          <w:color w:val="auto"/>
          <w:highlight w:val="none"/>
        </w:rPr>
      </w:pPr>
      <w:r>
        <w:rPr>
          <w:rFonts w:hint="eastAsia"/>
          <w:color w:val="auto"/>
          <w:highlight w:val="none"/>
        </w:rPr>
        <w:t>5.1.3.1 参与设计的技术协调会，开工前在发包人指定的时间内做好设计技术交底工作。</w:t>
      </w:r>
    </w:p>
    <w:p w14:paraId="152AE9FC">
      <w:pPr>
        <w:spacing w:line="440" w:lineRule="exact"/>
        <w:ind w:firstLine="480" w:firstLineChars="200"/>
        <w:jc w:val="both"/>
        <w:rPr>
          <w:rFonts w:eastAsia="仿宋"/>
          <w:color w:val="auto"/>
          <w:highlight w:val="none"/>
        </w:rPr>
      </w:pPr>
      <w:r>
        <w:rPr>
          <w:rFonts w:hint="eastAsia"/>
          <w:color w:val="auto"/>
          <w:highlight w:val="none"/>
        </w:rPr>
        <w:t>5.1.3.2 施工阶段开始前，按设计人的设计分工，参与图纸会审，解答有关设计问题，在发包人规定的时间内积极配合发包人对施工及设计方案进行优化设计，本合同项目开工后，承包人应按发包人要求做好施工现场设计服务，及时处理相关设计问题。</w:t>
      </w:r>
    </w:p>
    <w:p w14:paraId="2A5F2F22">
      <w:pPr>
        <w:spacing w:line="440" w:lineRule="exact"/>
        <w:ind w:firstLine="480" w:firstLineChars="200"/>
        <w:jc w:val="both"/>
        <w:rPr>
          <w:color w:val="auto"/>
          <w:highlight w:val="none"/>
        </w:rPr>
      </w:pPr>
      <w:r>
        <w:rPr>
          <w:rFonts w:hint="eastAsia"/>
          <w:color w:val="auto"/>
          <w:highlight w:val="none"/>
        </w:rPr>
        <w:t>5.1.3.3 现场服务：指派2名设计人员（具有有效的执业证书并参加该工程设计）常驻工地，按设计人分工责任分别组织进行，配合发包人进行现场巡查，解决设计有关问题，直到工程竣工验收合格止。当施工过程中对设计文件有疑问，设计人在接到通知后，应及时派出专业工程师解决。属于一般设计问题，若无特殊情况，应在1天内解决。属于重大设计问题，可以5天内书面提出解决意见，对设计图纸与现场不符之处，应及时提出解决办法，否则发包人有权视情节轻重扣除设计单位10万元-20万元的设计费。</w:t>
      </w:r>
    </w:p>
    <w:p w14:paraId="209FE2E0">
      <w:pPr>
        <w:spacing w:line="440" w:lineRule="exact"/>
        <w:ind w:firstLine="480" w:firstLineChars="200"/>
        <w:jc w:val="both"/>
        <w:rPr>
          <w:color w:val="auto"/>
          <w:highlight w:val="none"/>
        </w:rPr>
      </w:pPr>
      <w:r>
        <w:rPr>
          <w:rFonts w:hint="eastAsia"/>
          <w:color w:val="auto"/>
          <w:highlight w:val="none"/>
        </w:rPr>
        <w:t>5.1.1.8其他依据合同和法律规定应由设计人履行的义务。</w:t>
      </w:r>
    </w:p>
    <w:p w14:paraId="30CF75B5">
      <w:pPr>
        <w:spacing w:line="440" w:lineRule="exact"/>
        <w:ind w:firstLine="480" w:firstLineChars="200"/>
        <w:jc w:val="both"/>
        <w:rPr>
          <w:color w:val="auto"/>
          <w:highlight w:val="none"/>
        </w:rPr>
      </w:pPr>
      <w:r>
        <w:rPr>
          <w:rFonts w:hint="eastAsia"/>
          <w:color w:val="auto"/>
          <w:highlight w:val="none"/>
        </w:rPr>
        <w:t>5.1.3.4 提供设备、材料订货清单。</w:t>
      </w:r>
    </w:p>
    <w:p w14:paraId="21E35B6D">
      <w:pPr>
        <w:spacing w:line="440" w:lineRule="exact"/>
        <w:ind w:firstLine="480" w:firstLineChars="200"/>
        <w:jc w:val="both"/>
        <w:rPr>
          <w:color w:val="auto"/>
          <w:highlight w:val="none"/>
        </w:rPr>
      </w:pPr>
      <w:r>
        <w:rPr>
          <w:rFonts w:hint="eastAsia"/>
          <w:color w:val="auto"/>
          <w:highlight w:val="none"/>
        </w:rPr>
        <w:t>5.1.3.5 对设备、材料订货有关性能、参数、规格的技术确认，以及协助参与对已订设备、材料的验货工作。</w:t>
      </w:r>
    </w:p>
    <w:p w14:paraId="2A3720B1">
      <w:pPr>
        <w:spacing w:line="440" w:lineRule="exact"/>
        <w:ind w:firstLine="480" w:firstLineChars="200"/>
        <w:jc w:val="both"/>
        <w:rPr>
          <w:color w:val="auto"/>
          <w:highlight w:val="none"/>
        </w:rPr>
      </w:pPr>
      <w:r>
        <w:rPr>
          <w:rFonts w:hint="eastAsia"/>
          <w:color w:val="auto"/>
          <w:highlight w:val="none"/>
        </w:rPr>
        <w:t>5.1.3.6 协助制订设备系统的调试计划和参与设备试运行调试。</w:t>
      </w:r>
    </w:p>
    <w:p w14:paraId="1FEDF3B4">
      <w:pPr>
        <w:spacing w:line="440" w:lineRule="exact"/>
        <w:ind w:firstLine="480" w:firstLineChars="200"/>
        <w:jc w:val="both"/>
        <w:rPr>
          <w:color w:val="auto"/>
          <w:highlight w:val="none"/>
        </w:rPr>
      </w:pPr>
      <w:r>
        <w:rPr>
          <w:rFonts w:hint="eastAsia"/>
          <w:color w:val="auto"/>
          <w:highlight w:val="none"/>
        </w:rPr>
        <w:t>5.1.3.7 参与工程竣工验收，参与编写工程总结。参加本工程的中间结构和竣工验收，提交设计工作报告，并配合质量监督部门校核工程是否按施工图设计施工。若发包人在工作中发现设计负责人或专业负责人不称职或有违法行为时，有权提出更换，承包人应在发包人提出更换通知的7天内完成更换工作并使发包人满意。</w:t>
      </w:r>
    </w:p>
    <w:p w14:paraId="06AB0C39">
      <w:pPr>
        <w:spacing w:line="440" w:lineRule="exact"/>
        <w:ind w:firstLine="480" w:firstLineChars="200"/>
        <w:jc w:val="both"/>
        <w:rPr>
          <w:color w:val="auto"/>
          <w:highlight w:val="none"/>
        </w:rPr>
      </w:pPr>
      <w:r>
        <w:rPr>
          <w:rFonts w:hint="eastAsia"/>
          <w:color w:val="auto"/>
          <w:highlight w:val="none"/>
        </w:rPr>
        <w:t>5.1.3.8 项目负责人或项目设计负责人、项目施工负责人应参加发包人召开的与工程建设相关的会议。</w:t>
      </w:r>
    </w:p>
    <w:p w14:paraId="6B009349">
      <w:pPr>
        <w:spacing w:line="440" w:lineRule="exact"/>
        <w:ind w:firstLine="480" w:firstLineChars="200"/>
        <w:jc w:val="both"/>
        <w:rPr>
          <w:color w:val="auto"/>
          <w:highlight w:val="none"/>
        </w:rPr>
      </w:pPr>
      <w:r>
        <w:rPr>
          <w:rFonts w:hint="eastAsia"/>
          <w:color w:val="auto"/>
          <w:highlight w:val="none"/>
        </w:rPr>
        <w:t>参与工程质量事故分析，并对因设计造成的质量事故提出相应的技术处理方案；</w:t>
      </w:r>
    </w:p>
    <w:p w14:paraId="101F5AA6">
      <w:pPr>
        <w:spacing w:line="440" w:lineRule="exact"/>
        <w:ind w:firstLine="480" w:firstLineChars="200"/>
        <w:jc w:val="both"/>
        <w:rPr>
          <w:color w:val="auto"/>
          <w:highlight w:val="none"/>
        </w:rPr>
      </w:pPr>
      <w:r>
        <w:rPr>
          <w:rFonts w:hint="eastAsia"/>
          <w:color w:val="auto"/>
          <w:highlight w:val="none"/>
        </w:rPr>
        <w:t>由承包人提供建设内容的所涉施工图设计等相关内容。涉及本项目所有的专项设计、深化设计，承包人应对所提供设计文件负责。发包人有权指导、审查由承包人所进行的设计工作，并对设计文件进行审核确认后方可用于施工，但不承担因承包人原因造成的各种失误。</w:t>
      </w:r>
    </w:p>
    <w:p w14:paraId="1DE540FD">
      <w:pPr>
        <w:spacing w:line="440" w:lineRule="exact"/>
        <w:ind w:firstLine="480" w:firstLineChars="200"/>
        <w:jc w:val="both"/>
        <w:rPr>
          <w:color w:val="auto"/>
          <w:highlight w:val="none"/>
        </w:rPr>
      </w:pPr>
      <w:r>
        <w:rPr>
          <w:rFonts w:hint="eastAsia"/>
          <w:color w:val="auto"/>
          <w:highlight w:val="none"/>
        </w:rPr>
        <w:t>承包人的各阶段设计进度必须满足工程总体进度要求，满足发包人指示的关键日期要求，提供相应的后续服务工作，提交相应的设计文件及有关技术资料。</w:t>
      </w:r>
    </w:p>
    <w:p w14:paraId="7EFAE39A">
      <w:pPr>
        <w:spacing w:line="440" w:lineRule="exact"/>
        <w:ind w:firstLine="480" w:firstLineChars="200"/>
        <w:jc w:val="both"/>
        <w:rPr>
          <w:color w:val="auto"/>
          <w:highlight w:val="none"/>
        </w:rPr>
      </w:pPr>
      <w:r>
        <w:rPr>
          <w:rFonts w:hint="eastAsia"/>
          <w:color w:val="auto"/>
          <w:highlight w:val="none"/>
        </w:rPr>
        <w:t>发包人有权增加与本工程相关的设计工作，设计单位不得拒绝。</w:t>
      </w:r>
    </w:p>
    <w:p w14:paraId="79FA85E6">
      <w:pPr>
        <w:spacing w:line="440" w:lineRule="exact"/>
        <w:ind w:firstLine="480" w:firstLineChars="200"/>
        <w:jc w:val="both"/>
        <w:rPr>
          <w:color w:val="auto"/>
          <w:highlight w:val="none"/>
        </w:rPr>
      </w:pPr>
      <w:r>
        <w:rPr>
          <w:rFonts w:hint="eastAsia"/>
          <w:color w:val="auto"/>
          <w:highlight w:val="none"/>
        </w:rPr>
        <w:t>设计选用主要材料、设备时，优先考虑《绍兴建设工程造价管理信息》正刊信息价中的材料、设备，《绍兴建设工程造价管理信息》中没有的材料、设备在《浙江造价信息》正刊信息价中考虑。若设计选用的主要材料、设备不在集团品牌目录(2020年版)（如有最新的按最新版）里的，须在设计文件中注明其必要性。若市政府或相关行业主管部门有新规定出台时，按新规定执行。</w:t>
      </w:r>
    </w:p>
    <w:p w14:paraId="1AEFCB9B">
      <w:pPr>
        <w:spacing w:line="440" w:lineRule="exact"/>
        <w:ind w:firstLine="480" w:firstLineChars="200"/>
        <w:jc w:val="both"/>
        <w:rPr>
          <w:color w:val="auto"/>
          <w:highlight w:val="none"/>
        </w:rPr>
      </w:pPr>
      <w:r>
        <w:rPr>
          <w:rFonts w:hint="eastAsia"/>
          <w:color w:val="auto"/>
          <w:highlight w:val="none"/>
        </w:rPr>
        <w:t>5.1.3.9 配合发包人做好与设计内容相关的协助工作。</w:t>
      </w:r>
    </w:p>
    <w:p w14:paraId="7C62C74E">
      <w:pPr>
        <w:spacing w:line="440" w:lineRule="exact"/>
        <w:ind w:firstLine="480" w:firstLineChars="200"/>
        <w:jc w:val="both"/>
        <w:rPr>
          <w:color w:val="auto"/>
          <w:highlight w:val="none"/>
        </w:rPr>
      </w:pPr>
      <w:r>
        <w:rPr>
          <w:rFonts w:hint="eastAsia"/>
          <w:color w:val="auto"/>
          <w:highlight w:val="none"/>
        </w:rPr>
        <w:t>5.1.4发包人向承包人提交的有关资料：</w:t>
      </w:r>
    </w:p>
    <w:p w14:paraId="7484FEE8">
      <w:pPr>
        <w:spacing w:line="440" w:lineRule="exact"/>
        <w:ind w:firstLine="480" w:firstLineChars="200"/>
        <w:jc w:val="both"/>
        <w:rPr>
          <w:color w:val="auto"/>
          <w:highlight w:val="none"/>
        </w:rPr>
      </w:pPr>
      <w:r>
        <w:rPr>
          <w:rFonts w:hint="eastAsia"/>
          <w:color w:val="auto"/>
          <w:highlight w:val="none"/>
        </w:rPr>
        <w:t>5.1.4.1设计方案、设计说明书。</w:t>
      </w:r>
    </w:p>
    <w:p w14:paraId="2D3408FD">
      <w:pPr>
        <w:spacing w:line="440" w:lineRule="exact"/>
        <w:ind w:firstLine="480" w:firstLineChars="200"/>
        <w:jc w:val="both"/>
        <w:rPr>
          <w:color w:val="auto"/>
          <w:highlight w:val="none"/>
        </w:rPr>
      </w:pPr>
      <w:r>
        <w:rPr>
          <w:rFonts w:hint="eastAsia"/>
          <w:color w:val="auto"/>
          <w:highlight w:val="none"/>
        </w:rPr>
        <w:t>5.1.4.2初步设计及相应概算。</w:t>
      </w:r>
    </w:p>
    <w:p w14:paraId="40498B61">
      <w:pPr>
        <w:spacing w:line="440" w:lineRule="exact"/>
        <w:ind w:firstLine="480" w:firstLineChars="200"/>
        <w:jc w:val="both"/>
        <w:rPr>
          <w:color w:val="auto"/>
          <w:highlight w:val="none"/>
        </w:rPr>
      </w:pPr>
      <w:r>
        <w:rPr>
          <w:rFonts w:hint="eastAsia"/>
          <w:color w:val="auto"/>
          <w:highlight w:val="none"/>
        </w:rPr>
        <w:t>5.1.4.3其他相关资料。</w:t>
      </w:r>
    </w:p>
    <w:p w14:paraId="6074EE4A">
      <w:pPr>
        <w:spacing w:line="440" w:lineRule="exact"/>
        <w:ind w:firstLine="480" w:firstLineChars="200"/>
        <w:jc w:val="both"/>
        <w:rPr>
          <w:color w:val="auto"/>
          <w:highlight w:val="none"/>
        </w:rPr>
      </w:pPr>
      <w:r>
        <w:rPr>
          <w:rFonts w:hint="eastAsia"/>
          <w:color w:val="auto"/>
          <w:highlight w:val="none"/>
        </w:rPr>
        <w:t>5.1.5发包人有权指导和审查由承包人根据发包人要求完成施工图设计，并给出审核意见，在不违反国家法律法规的条件下，承包人需及时进行修改和优化，但发包人的审查并不免除承包人所应承担的任何责任。</w:t>
      </w:r>
    </w:p>
    <w:p w14:paraId="00E675DD">
      <w:pPr>
        <w:spacing w:line="440" w:lineRule="exact"/>
        <w:ind w:firstLine="480" w:firstLineChars="200"/>
        <w:jc w:val="both"/>
        <w:rPr>
          <w:color w:val="auto"/>
          <w:highlight w:val="none"/>
        </w:rPr>
      </w:pPr>
      <w:r>
        <w:rPr>
          <w:rFonts w:hint="eastAsia"/>
          <w:color w:val="auto"/>
          <w:highlight w:val="none"/>
        </w:rPr>
        <w:t>5.1.6设计文件的审查：设计文件需有关部门审查或者批准的，发包人应在审查同意承包人的设计文件后7天内，向有关部门报送设计文件，承包人应予以协助。</w:t>
      </w:r>
    </w:p>
    <w:p w14:paraId="24443EC2">
      <w:pPr>
        <w:pStyle w:val="4"/>
        <w:rPr>
          <w:color w:val="auto"/>
          <w:highlight w:val="none"/>
        </w:rPr>
      </w:pPr>
      <w:r>
        <w:rPr>
          <w:color w:val="auto"/>
          <w:highlight w:val="none"/>
        </w:rPr>
        <w:t xml:space="preserve">5.2 </w:t>
      </w:r>
      <w:r>
        <w:rPr>
          <w:rFonts w:hint="eastAsia"/>
          <w:color w:val="auto"/>
          <w:highlight w:val="none"/>
        </w:rPr>
        <w:t>承包人文件审查</w:t>
      </w:r>
    </w:p>
    <w:p w14:paraId="6928570A">
      <w:pPr>
        <w:spacing w:line="440" w:lineRule="exact"/>
        <w:ind w:firstLine="480" w:firstLineChars="200"/>
        <w:jc w:val="both"/>
        <w:rPr>
          <w:color w:val="auto"/>
          <w:highlight w:val="none"/>
          <w:u w:val="single"/>
        </w:rPr>
      </w:pPr>
      <w:r>
        <w:rPr>
          <w:rFonts w:hint="eastAsia"/>
          <w:color w:val="auto"/>
          <w:highlight w:val="none"/>
        </w:rPr>
        <w:t>5</w:t>
      </w:r>
      <w:r>
        <w:rPr>
          <w:color w:val="auto"/>
          <w:highlight w:val="none"/>
        </w:rPr>
        <w:t xml:space="preserve">.2.1 </w:t>
      </w:r>
      <w:r>
        <w:rPr>
          <w:rFonts w:hint="eastAsia"/>
          <w:color w:val="auto"/>
          <w:highlight w:val="none"/>
        </w:rPr>
        <w:t>承包人文件审查的期限：</w:t>
      </w:r>
      <w:r>
        <w:rPr>
          <w:rFonts w:hint="eastAsia"/>
          <w:color w:val="auto"/>
          <w:highlight w:val="none"/>
          <w:u w:val="single"/>
        </w:rPr>
        <w:t>设计文件需有关部门审查或者批准的，发包人应在审查同意承包人的设计文件后7天内，向有关部门报送设计文件，承包人应予以协助。</w:t>
      </w:r>
      <w:r>
        <w:rPr>
          <w:rFonts w:hint="eastAsia"/>
          <w:color w:val="auto"/>
          <w:highlight w:val="none"/>
        </w:rPr>
        <w:t>对于有关部门的审查意见，不需要修改发包人要求的，承包人需按该审查意见修改承包人的设计文件；需要修改发包人要求的，发包人应重新提出发包人要求，承包人应根据新提出的发包人要求修改承包人文件，相关费用包括在设计费用总价中，不再另行支付。</w:t>
      </w:r>
    </w:p>
    <w:p w14:paraId="4BA019AC">
      <w:pPr>
        <w:spacing w:line="440" w:lineRule="exact"/>
        <w:ind w:firstLine="480" w:firstLineChars="200"/>
        <w:jc w:val="both"/>
        <w:rPr>
          <w:color w:val="auto"/>
          <w:highlight w:val="none"/>
        </w:rPr>
      </w:pPr>
      <w:r>
        <w:rPr>
          <w:color w:val="auto"/>
          <w:highlight w:val="none"/>
        </w:rPr>
        <w:t xml:space="preserve">5.2.2 </w:t>
      </w:r>
      <w:r>
        <w:rPr>
          <w:rFonts w:hint="eastAsia"/>
          <w:color w:val="auto"/>
          <w:highlight w:val="none"/>
        </w:rPr>
        <w:t>审查会议的审查形式和时间安排为：</w:t>
      </w:r>
      <w:r>
        <w:rPr>
          <w:color w:val="auto"/>
          <w:highlight w:val="none"/>
          <w:u w:val="single"/>
        </w:rPr>
        <w:t xml:space="preserve">            </w:t>
      </w:r>
      <w:r>
        <w:rPr>
          <w:rFonts w:hint="eastAsia"/>
          <w:color w:val="auto"/>
          <w:highlight w:val="none"/>
        </w:rPr>
        <w:t>，审查会议的相关费用由</w:t>
      </w:r>
      <w:r>
        <w:rPr>
          <w:rFonts w:hint="eastAsia"/>
          <w:color w:val="auto"/>
          <w:highlight w:val="none"/>
          <w:u w:val="single"/>
        </w:rPr>
        <w:t>承包人</w:t>
      </w:r>
      <w:r>
        <w:rPr>
          <w:rFonts w:hint="eastAsia"/>
          <w:color w:val="auto"/>
          <w:highlight w:val="none"/>
        </w:rPr>
        <w:t>承担。</w:t>
      </w:r>
    </w:p>
    <w:p w14:paraId="5805C761">
      <w:pPr>
        <w:spacing w:line="440" w:lineRule="exact"/>
        <w:ind w:firstLine="480" w:firstLineChars="200"/>
        <w:jc w:val="both"/>
        <w:rPr>
          <w:color w:val="auto"/>
          <w:highlight w:val="none"/>
        </w:rPr>
      </w:pPr>
      <w:r>
        <w:rPr>
          <w:rFonts w:hint="eastAsia"/>
          <w:color w:val="auto"/>
          <w:highlight w:val="none"/>
        </w:rPr>
        <w:t>5</w:t>
      </w:r>
      <w:r>
        <w:rPr>
          <w:color w:val="auto"/>
          <w:highlight w:val="none"/>
        </w:rPr>
        <w:t xml:space="preserve">.2.3 </w:t>
      </w:r>
      <w:r>
        <w:rPr>
          <w:rFonts w:hint="eastAsia"/>
          <w:color w:val="auto"/>
          <w:highlight w:val="none"/>
        </w:rPr>
        <w:t>关于第三方审查单位的约定：</w:t>
      </w:r>
      <w:r>
        <w:rPr>
          <w:color w:val="auto"/>
          <w:highlight w:val="none"/>
          <w:u w:val="single"/>
        </w:rPr>
        <w:t xml:space="preserve">                  </w:t>
      </w:r>
      <w:r>
        <w:rPr>
          <w:rFonts w:hint="eastAsia"/>
          <w:color w:val="auto"/>
          <w:highlight w:val="none"/>
        </w:rPr>
        <w:t>。</w:t>
      </w:r>
    </w:p>
    <w:p w14:paraId="70BEC3A7">
      <w:pPr>
        <w:pStyle w:val="4"/>
        <w:rPr>
          <w:color w:val="auto"/>
          <w:highlight w:val="none"/>
        </w:rPr>
      </w:pPr>
      <w:r>
        <w:rPr>
          <w:color w:val="auto"/>
          <w:highlight w:val="none"/>
        </w:rPr>
        <w:t xml:space="preserve">5.3 </w:t>
      </w:r>
      <w:r>
        <w:rPr>
          <w:rFonts w:hint="eastAsia"/>
          <w:color w:val="auto"/>
          <w:highlight w:val="none"/>
        </w:rPr>
        <w:t>培训</w:t>
      </w:r>
    </w:p>
    <w:p w14:paraId="6164E1B1">
      <w:pPr>
        <w:spacing w:line="440" w:lineRule="exact"/>
        <w:ind w:firstLine="480" w:firstLineChars="200"/>
        <w:jc w:val="both"/>
        <w:rPr>
          <w:color w:val="auto"/>
          <w:highlight w:val="none"/>
        </w:rPr>
      </w:pPr>
      <w:r>
        <w:rPr>
          <w:rFonts w:hint="eastAsia"/>
          <w:color w:val="auto"/>
          <w:highlight w:val="none"/>
        </w:rPr>
        <w:t>培训的时长为</w:t>
      </w:r>
      <w:r>
        <w:rPr>
          <w:color w:val="auto"/>
          <w:highlight w:val="none"/>
          <w:u w:val="single"/>
        </w:rPr>
        <w:t xml:space="preserve">            </w:t>
      </w:r>
      <w:r>
        <w:rPr>
          <w:color w:val="auto"/>
          <w:highlight w:val="none"/>
        </w:rPr>
        <w:t xml:space="preserve"> </w:t>
      </w:r>
      <w:r>
        <w:rPr>
          <w:rFonts w:hint="eastAsia"/>
          <w:color w:val="auto"/>
          <w:highlight w:val="none"/>
        </w:rPr>
        <w:t>，承包人应为培训提供的人员、设施和其它必要条件为</w:t>
      </w:r>
      <w:r>
        <w:rPr>
          <w:color w:val="auto"/>
          <w:highlight w:val="none"/>
          <w:u w:val="single"/>
        </w:rPr>
        <w:t xml:space="preserve">                              </w:t>
      </w:r>
      <w:r>
        <w:rPr>
          <w:rFonts w:hint="eastAsia"/>
          <w:color w:val="auto"/>
          <w:highlight w:val="none"/>
        </w:rPr>
        <w:t>。</w:t>
      </w:r>
    </w:p>
    <w:p w14:paraId="76331F3C">
      <w:pPr>
        <w:pStyle w:val="4"/>
        <w:rPr>
          <w:color w:val="auto"/>
          <w:highlight w:val="none"/>
        </w:rPr>
      </w:pPr>
      <w:r>
        <w:rPr>
          <w:color w:val="auto"/>
          <w:highlight w:val="none"/>
        </w:rPr>
        <w:t xml:space="preserve">5.4 </w:t>
      </w:r>
      <w:r>
        <w:rPr>
          <w:rFonts w:hint="eastAsia"/>
          <w:color w:val="auto"/>
          <w:highlight w:val="none"/>
        </w:rPr>
        <w:t>竣工文件</w:t>
      </w:r>
    </w:p>
    <w:p w14:paraId="22423C22">
      <w:pPr>
        <w:spacing w:line="440" w:lineRule="exact"/>
        <w:ind w:firstLine="480" w:firstLineChars="200"/>
        <w:jc w:val="both"/>
        <w:rPr>
          <w:color w:val="auto"/>
          <w:highlight w:val="none"/>
          <w:u w:val="single"/>
        </w:rPr>
      </w:pPr>
      <w:r>
        <w:rPr>
          <w:color w:val="auto"/>
          <w:highlight w:val="none"/>
        </w:rPr>
        <w:t xml:space="preserve">5.4.1 </w:t>
      </w:r>
      <w:r>
        <w:rPr>
          <w:rFonts w:hint="eastAsia"/>
          <w:color w:val="auto"/>
          <w:highlight w:val="none"/>
        </w:rPr>
        <w:t>竣工文件的形式、提供的份数、技术标准以及其它相关要求：</w:t>
      </w:r>
      <w:r>
        <w:rPr>
          <w:color w:val="auto"/>
          <w:highlight w:val="none"/>
          <w:u w:val="single"/>
        </w:rPr>
        <w:t xml:space="preserve"> </w:t>
      </w:r>
      <w:r>
        <w:rPr>
          <w:rFonts w:hint="eastAsia"/>
          <w:b/>
          <w:bCs/>
          <w:color w:val="auto"/>
          <w:highlight w:val="none"/>
          <w:u w:val="single"/>
        </w:rPr>
        <w:t>承包人提交竣工记录份数：</w:t>
      </w:r>
      <w:r>
        <w:rPr>
          <w:rFonts w:hint="eastAsia"/>
          <w:color w:val="auto"/>
          <w:highlight w:val="none"/>
          <w:u w:val="single"/>
        </w:rPr>
        <w:t>在交工验收前十五天向发包人提供完整的竣工资料一式柒份，要求监理人敲章确认。竣工图光盘2张。提供工程施工全过程照片（重要工程节点施工过程、涉及工程变更取证、各级领导现场视察、相关部门各种类专项检查过程的记录等）、BIM应用成果（如有），做好影像资料台帐并保证其完备性。</w:t>
      </w:r>
    </w:p>
    <w:p w14:paraId="6209973A">
      <w:pPr>
        <w:spacing w:line="440" w:lineRule="exact"/>
        <w:ind w:firstLine="482" w:firstLineChars="200"/>
        <w:jc w:val="both"/>
        <w:rPr>
          <w:color w:val="auto"/>
          <w:highlight w:val="none"/>
          <w:u w:val="single"/>
        </w:rPr>
      </w:pPr>
      <w:r>
        <w:rPr>
          <w:rFonts w:hint="eastAsia"/>
          <w:b/>
          <w:bCs/>
          <w:color w:val="auto"/>
          <w:highlight w:val="none"/>
          <w:u w:val="single"/>
        </w:rPr>
        <w:t>承包人需要提交的竣工文件套数：</w:t>
      </w:r>
      <w:r>
        <w:rPr>
          <w:rFonts w:hint="eastAsia"/>
          <w:color w:val="auto"/>
          <w:highlight w:val="none"/>
          <w:u w:val="single"/>
        </w:rPr>
        <w:t>纸质文件不少于捌套（必须含叁套原件）、电子版文件不少于贰套，且满足发包人要求。</w:t>
      </w:r>
    </w:p>
    <w:p w14:paraId="24FB72B9">
      <w:pPr>
        <w:spacing w:line="440" w:lineRule="exact"/>
        <w:ind w:firstLine="482" w:firstLineChars="200"/>
        <w:jc w:val="both"/>
        <w:rPr>
          <w:color w:val="auto"/>
          <w:highlight w:val="none"/>
          <w:u w:val="single"/>
        </w:rPr>
      </w:pPr>
      <w:r>
        <w:rPr>
          <w:rFonts w:hint="eastAsia"/>
          <w:b/>
          <w:bCs/>
          <w:color w:val="auto"/>
          <w:highlight w:val="none"/>
          <w:u w:val="single"/>
        </w:rPr>
        <w:t>承包人提交的竣工文件的费用承担：</w:t>
      </w:r>
      <w:r>
        <w:rPr>
          <w:rFonts w:hint="eastAsia"/>
          <w:color w:val="auto"/>
          <w:highlight w:val="none"/>
          <w:u w:val="single"/>
        </w:rPr>
        <w:t>由承包人承担（不另外计取）。</w:t>
      </w:r>
    </w:p>
    <w:p w14:paraId="5D6CF733">
      <w:pPr>
        <w:spacing w:line="440" w:lineRule="exact"/>
        <w:ind w:firstLine="482" w:firstLineChars="200"/>
        <w:jc w:val="both"/>
        <w:rPr>
          <w:color w:val="auto"/>
          <w:highlight w:val="none"/>
          <w:u w:val="single"/>
        </w:rPr>
      </w:pPr>
      <w:r>
        <w:rPr>
          <w:rFonts w:hint="eastAsia"/>
          <w:b/>
          <w:bCs/>
          <w:color w:val="auto"/>
          <w:highlight w:val="none"/>
          <w:u w:val="single"/>
        </w:rPr>
        <w:t>承包人提交的竣工文件移交时间：</w:t>
      </w:r>
      <w:r>
        <w:rPr>
          <w:rFonts w:hint="eastAsia"/>
          <w:color w:val="auto"/>
          <w:highlight w:val="none"/>
          <w:u w:val="single"/>
        </w:rPr>
        <w:t>竣工验收合格后一个月内。</w:t>
      </w:r>
    </w:p>
    <w:p w14:paraId="3854511F">
      <w:pPr>
        <w:spacing w:line="440" w:lineRule="exact"/>
        <w:ind w:firstLine="482" w:firstLineChars="200"/>
        <w:jc w:val="both"/>
        <w:rPr>
          <w:color w:val="auto"/>
          <w:highlight w:val="none"/>
        </w:rPr>
      </w:pPr>
      <w:r>
        <w:rPr>
          <w:rFonts w:hint="eastAsia"/>
          <w:b/>
          <w:bCs/>
          <w:color w:val="auto"/>
          <w:highlight w:val="none"/>
          <w:u w:val="single"/>
        </w:rPr>
        <w:t>承包人提交的竣工文件形式要求：</w:t>
      </w:r>
      <w:r>
        <w:rPr>
          <w:rFonts w:hint="eastAsia"/>
          <w:color w:val="auto"/>
          <w:highlight w:val="none"/>
          <w:u w:val="single"/>
        </w:rPr>
        <w:t>书面文件原件及电子文件</w:t>
      </w:r>
      <w:r>
        <w:rPr>
          <w:rFonts w:hint="eastAsia"/>
          <w:color w:val="auto"/>
          <w:highlight w:val="none"/>
        </w:rPr>
        <w:t>。</w:t>
      </w:r>
    </w:p>
    <w:p w14:paraId="15B8D3D4">
      <w:pPr>
        <w:spacing w:line="440" w:lineRule="exact"/>
        <w:ind w:firstLine="480" w:firstLineChars="200"/>
        <w:jc w:val="both"/>
        <w:rPr>
          <w:rFonts w:eastAsia="仿宋"/>
          <w:color w:val="auto"/>
          <w:highlight w:val="none"/>
        </w:rPr>
      </w:pPr>
      <w:r>
        <w:rPr>
          <w:rFonts w:hint="eastAsia"/>
          <w:color w:val="auto"/>
          <w:highlight w:val="none"/>
        </w:rPr>
        <w:t>5</w:t>
      </w:r>
      <w:r>
        <w:rPr>
          <w:color w:val="auto"/>
          <w:highlight w:val="none"/>
        </w:rPr>
        <w:t xml:space="preserve">.4.3 </w:t>
      </w:r>
      <w:r>
        <w:rPr>
          <w:rFonts w:hint="eastAsia"/>
          <w:color w:val="auto"/>
          <w:highlight w:val="none"/>
        </w:rPr>
        <w:t>关于竣工文件的其他约定：</w:t>
      </w:r>
      <w:r>
        <w:rPr>
          <w:color w:val="auto"/>
          <w:highlight w:val="none"/>
          <w:u w:val="single"/>
        </w:rPr>
        <w:t xml:space="preserve"> </w:t>
      </w:r>
      <w:r>
        <w:rPr>
          <w:rFonts w:hint="eastAsia"/>
          <w:color w:val="auto"/>
          <w:highlight w:val="none"/>
          <w:u w:val="single"/>
        </w:rPr>
        <w:t>工程竣工验收以后，资料必须交付城建档案馆备案。工程竣工验收合格后，发包人应按国家和浙江省、绍兴市的有关规定及发包人的要求向政府相关部门和发包人提交竣工档案、物品、设备操作维修手册、质量保证书等有关竣工资料和项目档案，并协助发包人向城建档案馆报送有关项目档案。</w:t>
      </w:r>
    </w:p>
    <w:p w14:paraId="6EA31D04">
      <w:pPr>
        <w:pStyle w:val="4"/>
        <w:rPr>
          <w:color w:val="auto"/>
          <w:highlight w:val="none"/>
        </w:rPr>
      </w:pPr>
      <w:r>
        <w:rPr>
          <w:color w:val="auto"/>
          <w:highlight w:val="none"/>
        </w:rPr>
        <w:t xml:space="preserve">5.5 </w:t>
      </w:r>
      <w:r>
        <w:rPr>
          <w:rFonts w:hint="eastAsia"/>
          <w:color w:val="auto"/>
          <w:highlight w:val="none"/>
        </w:rPr>
        <w:t>操作和维修手册</w:t>
      </w:r>
    </w:p>
    <w:p w14:paraId="029D1AB8">
      <w:pPr>
        <w:spacing w:line="440" w:lineRule="exact"/>
        <w:ind w:firstLine="480" w:firstLineChars="200"/>
        <w:jc w:val="both"/>
        <w:rPr>
          <w:color w:val="auto"/>
          <w:highlight w:val="none"/>
        </w:rPr>
      </w:pPr>
      <w:r>
        <w:rPr>
          <w:color w:val="auto"/>
          <w:highlight w:val="none"/>
        </w:rPr>
        <w:t xml:space="preserve">5.5.3 </w:t>
      </w:r>
      <w:r>
        <w:rPr>
          <w:rFonts w:hint="eastAsia"/>
          <w:color w:val="auto"/>
          <w:highlight w:val="none"/>
        </w:rPr>
        <w:t>对最终操作和维修手册的约定：</w:t>
      </w:r>
      <w:r>
        <w:rPr>
          <w:color w:val="auto"/>
          <w:highlight w:val="none"/>
          <w:u w:val="single"/>
        </w:rPr>
        <w:t xml:space="preserve">                 </w:t>
      </w:r>
      <w:r>
        <w:rPr>
          <w:rFonts w:hint="eastAsia"/>
          <w:color w:val="auto"/>
          <w:highlight w:val="none"/>
        </w:rPr>
        <w:t>。</w:t>
      </w:r>
    </w:p>
    <w:p w14:paraId="6016A67C">
      <w:pPr>
        <w:pStyle w:val="3"/>
        <w:jc w:val="both"/>
        <w:rPr>
          <w:rFonts w:hint="eastAsia" w:ascii="宋体" w:hAnsi="宋体" w:cs="宋体"/>
          <w:color w:val="auto"/>
          <w:highlight w:val="none"/>
        </w:rPr>
      </w:pPr>
      <w:bookmarkStart w:id="139" w:name="_Toc54862337"/>
      <w:r>
        <w:rPr>
          <w:rFonts w:hint="eastAsia" w:ascii="宋体" w:hAnsi="宋体" w:cs="宋体"/>
          <w:color w:val="auto"/>
          <w:highlight w:val="none"/>
        </w:rPr>
        <w:t>第6条 材料、工程设备</w:t>
      </w:r>
      <w:bookmarkEnd w:id="139"/>
    </w:p>
    <w:p w14:paraId="5FFDD23E">
      <w:pPr>
        <w:pStyle w:val="4"/>
        <w:rPr>
          <w:color w:val="auto"/>
          <w:highlight w:val="none"/>
        </w:rPr>
      </w:pPr>
      <w:r>
        <w:rPr>
          <w:color w:val="auto"/>
          <w:highlight w:val="none"/>
        </w:rPr>
        <w:t xml:space="preserve">6.1 </w:t>
      </w:r>
      <w:r>
        <w:rPr>
          <w:rFonts w:hint="eastAsia"/>
          <w:color w:val="auto"/>
          <w:highlight w:val="none"/>
        </w:rPr>
        <w:t>实施方法</w:t>
      </w:r>
    </w:p>
    <w:p w14:paraId="27777449">
      <w:pPr>
        <w:spacing w:line="440" w:lineRule="exact"/>
        <w:ind w:firstLine="480" w:firstLineChars="200"/>
        <w:jc w:val="both"/>
        <w:rPr>
          <w:color w:val="auto"/>
          <w:highlight w:val="none"/>
          <w:u w:val="single"/>
        </w:rPr>
      </w:pPr>
      <w:r>
        <w:rPr>
          <w:rFonts w:hint="eastAsia"/>
          <w:color w:val="auto"/>
          <w:highlight w:val="none"/>
        </w:rPr>
        <w:t>双方当事人约定的实施方法、设备、设施和材料：</w:t>
      </w:r>
      <w:r>
        <w:rPr>
          <w:color w:val="auto"/>
          <w:highlight w:val="none"/>
          <w:u w:val="single"/>
        </w:rPr>
        <w:t xml:space="preserve"> </w:t>
      </w:r>
      <w:r>
        <w:rPr>
          <w:rFonts w:hint="eastAsia"/>
          <w:color w:val="auto"/>
          <w:highlight w:val="none"/>
          <w:u w:val="single"/>
        </w:rPr>
        <w:t>现场原材料进场前，须办理相关手续，经发包人方认可后方可组织材料进场；</w:t>
      </w:r>
      <w:r>
        <w:rPr>
          <w:color w:val="auto"/>
          <w:highlight w:val="none"/>
          <w:u w:val="single"/>
        </w:rPr>
        <w:t xml:space="preserve"> </w:t>
      </w:r>
      <w:r>
        <w:rPr>
          <w:rFonts w:hint="eastAsia"/>
          <w:color w:val="auto"/>
          <w:highlight w:val="none"/>
          <w:u w:val="single"/>
        </w:rPr>
        <w:t>在主要材料、设备选取时如在发包人公司品牌库内的，则按发包人公司品牌库管理办法实施。若不在发包人公司品牌库内的，则承包人应在订货前提供不少于同等级三家生产厂家的产品合格证书、检验试验报告及相关使用业绩（承包人不得指定或变相指定生产厂、供应商）。在发包人规定的时间内必须按要求提交所有样板，并经发包人、监理工程师及全过程工程咨询单位从中确认一家，并封存，进场后必须按规定抽样送检，符合工程使用要求后，方可使用，如未经发包人、监理工程师及全过程工程咨询单位同意，发生货不对板，发包人、监理工程师及全过程工程咨询单位有权拒用，并由承包人承担损失。</w:t>
      </w:r>
    </w:p>
    <w:p w14:paraId="2CB4CD3E">
      <w:pPr>
        <w:pStyle w:val="4"/>
        <w:rPr>
          <w:color w:val="auto"/>
          <w:highlight w:val="none"/>
        </w:rPr>
      </w:pPr>
      <w:r>
        <w:rPr>
          <w:color w:val="auto"/>
          <w:highlight w:val="none"/>
        </w:rPr>
        <w:t xml:space="preserve">6.2 </w:t>
      </w:r>
      <w:r>
        <w:rPr>
          <w:rFonts w:hint="eastAsia"/>
          <w:color w:val="auto"/>
          <w:highlight w:val="none"/>
        </w:rPr>
        <w:t>材料和工程设备</w:t>
      </w:r>
    </w:p>
    <w:p w14:paraId="2F328A42">
      <w:pPr>
        <w:spacing w:line="440" w:lineRule="exact"/>
        <w:ind w:firstLine="480" w:firstLineChars="200"/>
        <w:jc w:val="both"/>
        <w:rPr>
          <w:color w:val="auto"/>
          <w:highlight w:val="none"/>
        </w:rPr>
      </w:pPr>
      <w:r>
        <w:rPr>
          <w:color w:val="auto"/>
          <w:highlight w:val="none"/>
        </w:rPr>
        <w:t xml:space="preserve">6.2.1 </w:t>
      </w:r>
      <w:r>
        <w:rPr>
          <w:rFonts w:hint="eastAsia"/>
          <w:color w:val="auto"/>
          <w:highlight w:val="none"/>
        </w:rPr>
        <w:t>发包人提供的材料和工程设备</w:t>
      </w:r>
    </w:p>
    <w:p w14:paraId="40EECB6F">
      <w:pPr>
        <w:spacing w:line="440" w:lineRule="exact"/>
        <w:ind w:firstLine="480" w:firstLineChars="200"/>
        <w:jc w:val="both"/>
        <w:rPr>
          <w:color w:val="auto"/>
          <w:highlight w:val="none"/>
        </w:rPr>
      </w:pPr>
      <w:r>
        <w:rPr>
          <w:rFonts w:hint="eastAsia"/>
          <w:color w:val="auto"/>
          <w:highlight w:val="none"/>
        </w:rPr>
        <w:t>发包人提供的材料和工程设备验收后，由</w:t>
      </w:r>
      <w:r>
        <w:rPr>
          <w:color w:val="auto"/>
          <w:highlight w:val="none"/>
          <w:u w:val="single"/>
        </w:rPr>
        <w:t xml:space="preserve">  </w:t>
      </w:r>
      <w:r>
        <w:rPr>
          <w:rFonts w:hint="eastAsia"/>
          <w:color w:val="auto"/>
          <w:highlight w:val="none"/>
          <w:u w:val="single"/>
        </w:rPr>
        <w:t>承包人</w:t>
      </w:r>
      <w:r>
        <w:rPr>
          <w:color w:val="auto"/>
          <w:highlight w:val="none"/>
          <w:u w:val="single"/>
        </w:rPr>
        <w:t xml:space="preserve"> </w:t>
      </w:r>
      <w:r>
        <w:rPr>
          <w:rFonts w:hint="eastAsia"/>
          <w:color w:val="auto"/>
          <w:highlight w:val="none"/>
        </w:rPr>
        <w:t>负责接收、运输和保管。</w:t>
      </w:r>
    </w:p>
    <w:p w14:paraId="23FF49C7">
      <w:pPr>
        <w:spacing w:line="440" w:lineRule="exact"/>
        <w:ind w:firstLine="482" w:firstLineChars="200"/>
        <w:jc w:val="both"/>
        <w:rPr>
          <w:b/>
          <w:bCs/>
          <w:color w:val="auto"/>
          <w:highlight w:val="none"/>
        </w:rPr>
      </w:pPr>
      <w:r>
        <w:rPr>
          <w:b/>
          <w:bCs/>
          <w:color w:val="auto"/>
          <w:highlight w:val="none"/>
        </w:rPr>
        <w:t>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13BE12B7">
      <w:pPr>
        <w:spacing w:line="440" w:lineRule="exact"/>
        <w:ind w:firstLine="480" w:firstLineChars="200"/>
        <w:jc w:val="both"/>
        <w:rPr>
          <w:color w:val="auto"/>
          <w:highlight w:val="none"/>
        </w:rPr>
      </w:pPr>
      <w:r>
        <w:rPr>
          <w:color w:val="auto"/>
          <w:highlight w:val="none"/>
        </w:rPr>
        <w:t xml:space="preserve">6.2.2 </w:t>
      </w:r>
      <w:r>
        <w:rPr>
          <w:rFonts w:hint="eastAsia"/>
          <w:color w:val="auto"/>
          <w:highlight w:val="none"/>
        </w:rPr>
        <w:t>承包人提供的材料和工程设备</w:t>
      </w:r>
    </w:p>
    <w:p w14:paraId="7DE0AB87">
      <w:pPr>
        <w:widowControl/>
        <w:autoSpaceDE/>
        <w:autoSpaceDN/>
        <w:snapToGrid w:val="0"/>
        <w:spacing w:line="440" w:lineRule="exact"/>
        <w:ind w:firstLine="480" w:firstLineChars="200"/>
        <w:jc w:val="both"/>
        <w:rPr>
          <w:color w:val="auto"/>
          <w:highlight w:val="none"/>
        </w:rPr>
      </w:pPr>
      <w:r>
        <w:rPr>
          <w:rFonts w:hint="eastAsia"/>
          <w:color w:val="auto"/>
          <w:highlight w:val="none"/>
        </w:rPr>
        <w:t>材料和工程设备的类别、估算数量：</w:t>
      </w:r>
      <w:r>
        <w:rPr>
          <w:rFonts w:hint="eastAsia"/>
          <w:color w:val="auto"/>
          <w:highlight w:val="none"/>
          <w:u w:val="single"/>
        </w:rPr>
        <w:t>开工前提交三份，格式、内容自定。主要机具实际进场的报表格式、份数和报告期开工前提交三份，格式、内容自定</w:t>
      </w:r>
      <w:r>
        <w:rPr>
          <w:rFonts w:hint="eastAsia" w:ascii="宋体" w:hAnsi="宋体" w:cs="宋体"/>
          <w:color w:val="auto"/>
          <w:highlight w:val="none"/>
          <w:u w:val="single"/>
        </w:rPr>
        <w:t>（以上提供的各类表格需征得监理公司及发包人的认可后方生效）</w:t>
      </w:r>
      <w:r>
        <w:rPr>
          <w:rFonts w:hint="eastAsia"/>
          <w:color w:val="auto"/>
          <w:highlight w:val="none"/>
        </w:rPr>
        <w:t>。</w:t>
      </w:r>
    </w:p>
    <w:p w14:paraId="2F214AF6">
      <w:pPr>
        <w:widowControl/>
        <w:autoSpaceDE/>
        <w:autoSpaceDN/>
        <w:snapToGrid w:val="0"/>
        <w:spacing w:line="440" w:lineRule="exact"/>
        <w:ind w:firstLine="482" w:firstLineChars="200"/>
        <w:jc w:val="both"/>
        <w:rPr>
          <w:b/>
          <w:bCs/>
          <w:color w:val="auto"/>
          <w:highlight w:val="none"/>
          <w:u w:val="single"/>
        </w:rPr>
      </w:pPr>
      <w:r>
        <w:rPr>
          <w:rFonts w:hint="eastAsia"/>
          <w:b/>
          <w:bCs/>
          <w:color w:val="auto"/>
          <w:highlight w:val="none"/>
          <w:u w:val="single"/>
        </w:rPr>
        <w:t>本项目的建材选用还须符合《绍兴市财政局绍兴市住房和城乡建设局关于开展绍兴市政府采购支持绿色建材促进建筑品质提升试点工作的通知》、《绍兴市财政局关于确定电梯等五个品类绿色建材框架协议供应商的通知》、《绍兴市柴油动力移动源排气污染防治办法》等相关政府性文件的要求，如财政等相关部门要求部分材料进行定点集中采购的，由承包人向绿色建材数字管控平台等政府性采购平台入库单位实施协议采购。具体根据实际施工情况由发包人（业主）明确。</w:t>
      </w:r>
    </w:p>
    <w:p w14:paraId="2B458F04">
      <w:pPr>
        <w:widowControl/>
        <w:autoSpaceDE/>
        <w:autoSpaceDN/>
        <w:snapToGrid w:val="0"/>
        <w:spacing w:line="440" w:lineRule="exact"/>
        <w:ind w:firstLine="480" w:firstLineChars="200"/>
        <w:jc w:val="both"/>
        <w:rPr>
          <w:color w:val="auto"/>
          <w:highlight w:val="none"/>
        </w:rPr>
      </w:pPr>
      <w:r>
        <w:rPr>
          <w:rFonts w:hint="eastAsia"/>
          <w:color w:val="auto"/>
          <w:highlight w:val="none"/>
        </w:rPr>
        <w:t>竣工后试验的生产性材料的类别或（和）清单：</w:t>
      </w:r>
      <w:r>
        <w:rPr>
          <w:color w:val="auto"/>
          <w:highlight w:val="none"/>
          <w:u w:val="single"/>
        </w:rPr>
        <w:t xml:space="preserve">            </w:t>
      </w:r>
      <w:r>
        <w:rPr>
          <w:color w:val="auto"/>
          <w:highlight w:val="none"/>
        </w:rPr>
        <w:t xml:space="preserve"> </w:t>
      </w:r>
      <w:r>
        <w:rPr>
          <w:rFonts w:hint="eastAsia"/>
          <w:color w:val="auto"/>
          <w:highlight w:val="none"/>
        </w:rPr>
        <w:t>。</w:t>
      </w:r>
    </w:p>
    <w:p w14:paraId="268C6984">
      <w:pPr>
        <w:spacing w:line="440" w:lineRule="exact"/>
        <w:ind w:firstLine="480" w:firstLineChars="200"/>
        <w:jc w:val="both"/>
        <w:rPr>
          <w:color w:val="auto"/>
          <w:highlight w:val="none"/>
        </w:rPr>
      </w:pPr>
      <w:r>
        <w:rPr>
          <w:color w:val="auto"/>
          <w:highlight w:val="none"/>
        </w:rPr>
        <w:t xml:space="preserve">6.2.3 </w:t>
      </w:r>
      <w:r>
        <w:rPr>
          <w:rFonts w:hint="eastAsia"/>
          <w:color w:val="auto"/>
          <w:highlight w:val="none"/>
        </w:rPr>
        <w:t>材料和工程设备的保管</w:t>
      </w:r>
    </w:p>
    <w:p w14:paraId="73B8B75B">
      <w:pPr>
        <w:spacing w:line="440" w:lineRule="exact"/>
        <w:ind w:firstLine="480" w:firstLineChars="200"/>
        <w:jc w:val="both"/>
        <w:rPr>
          <w:color w:val="auto"/>
          <w:highlight w:val="none"/>
        </w:rPr>
      </w:pPr>
      <w:r>
        <w:rPr>
          <w:rFonts w:hint="eastAsia"/>
          <w:color w:val="auto"/>
          <w:highlight w:val="none"/>
        </w:rPr>
        <w:t>发包人供应的材料和工程设备的保管费用由</w:t>
      </w:r>
      <w:r>
        <w:rPr>
          <w:color w:val="auto"/>
          <w:highlight w:val="none"/>
          <w:u w:val="single"/>
        </w:rPr>
        <w:t xml:space="preserve"> </w:t>
      </w:r>
      <w:r>
        <w:rPr>
          <w:rFonts w:hint="eastAsia"/>
          <w:color w:val="auto"/>
          <w:highlight w:val="none"/>
          <w:u w:val="single"/>
        </w:rPr>
        <w:t>承包人</w:t>
      </w:r>
      <w:r>
        <w:rPr>
          <w:color w:val="auto"/>
          <w:highlight w:val="none"/>
          <w:u w:val="single"/>
        </w:rPr>
        <w:t xml:space="preserve"> </w:t>
      </w:r>
      <w:r>
        <w:rPr>
          <w:rFonts w:hint="eastAsia"/>
          <w:color w:val="auto"/>
          <w:highlight w:val="none"/>
        </w:rPr>
        <w:t>承担。</w:t>
      </w:r>
    </w:p>
    <w:p w14:paraId="105F0610">
      <w:pPr>
        <w:spacing w:line="440" w:lineRule="exact"/>
        <w:ind w:firstLine="480" w:firstLineChars="200"/>
        <w:jc w:val="both"/>
        <w:rPr>
          <w:color w:val="auto"/>
          <w:highlight w:val="none"/>
        </w:rPr>
      </w:pPr>
      <w:r>
        <w:rPr>
          <w:rFonts w:hint="eastAsia"/>
          <w:color w:val="auto"/>
          <w:highlight w:val="none"/>
        </w:rPr>
        <w:t>承包人提交保管、维护方案的时间：</w:t>
      </w:r>
      <w:r>
        <w:rPr>
          <w:color w:val="auto"/>
          <w:highlight w:val="none"/>
          <w:u w:val="single"/>
        </w:rPr>
        <w:t xml:space="preserve">                 </w:t>
      </w:r>
      <w:r>
        <w:rPr>
          <w:color w:val="auto"/>
          <w:highlight w:val="none"/>
        </w:rPr>
        <w:t xml:space="preserve"> </w:t>
      </w:r>
      <w:r>
        <w:rPr>
          <w:rFonts w:hint="eastAsia"/>
          <w:color w:val="auto"/>
          <w:highlight w:val="none"/>
        </w:rPr>
        <w:t>。</w:t>
      </w:r>
    </w:p>
    <w:p w14:paraId="28784BC9">
      <w:pPr>
        <w:spacing w:line="440" w:lineRule="exact"/>
        <w:ind w:firstLine="480" w:firstLineChars="200"/>
        <w:jc w:val="both"/>
        <w:rPr>
          <w:color w:val="auto"/>
          <w:highlight w:val="none"/>
        </w:rPr>
      </w:pPr>
      <w:r>
        <w:rPr>
          <w:rFonts w:hint="eastAsia"/>
          <w:color w:val="auto"/>
          <w:highlight w:val="none"/>
        </w:rPr>
        <w:t>发包人提供的库房、堆场、设施和设备：</w:t>
      </w:r>
      <w:r>
        <w:rPr>
          <w:color w:val="auto"/>
          <w:highlight w:val="none"/>
          <w:u w:val="single"/>
        </w:rPr>
        <w:t xml:space="preserve">             </w:t>
      </w:r>
      <w:r>
        <w:rPr>
          <w:color w:val="auto"/>
          <w:highlight w:val="none"/>
        </w:rPr>
        <w:t xml:space="preserve"> </w:t>
      </w:r>
      <w:r>
        <w:rPr>
          <w:rFonts w:hint="eastAsia"/>
          <w:color w:val="auto"/>
          <w:highlight w:val="none"/>
        </w:rPr>
        <w:t>。</w:t>
      </w:r>
    </w:p>
    <w:p w14:paraId="2A002BCC">
      <w:pPr>
        <w:pStyle w:val="4"/>
        <w:rPr>
          <w:color w:val="auto"/>
          <w:highlight w:val="none"/>
        </w:rPr>
      </w:pPr>
      <w:r>
        <w:rPr>
          <w:color w:val="auto"/>
          <w:highlight w:val="none"/>
        </w:rPr>
        <w:t xml:space="preserve">6.3 </w:t>
      </w:r>
      <w:r>
        <w:rPr>
          <w:rFonts w:hint="eastAsia"/>
          <w:color w:val="auto"/>
          <w:highlight w:val="none"/>
        </w:rPr>
        <w:t>样品</w:t>
      </w:r>
    </w:p>
    <w:p w14:paraId="639CF96A">
      <w:pPr>
        <w:spacing w:line="440" w:lineRule="exact"/>
        <w:ind w:firstLine="480" w:firstLineChars="200"/>
        <w:jc w:val="both"/>
        <w:rPr>
          <w:color w:val="auto"/>
          <w:highlight w:val="none"/>
        </w:rPr>
      </w:pPr>
      <w:r>
        <w:rPr>
          <w:rFonts w:hint="eastAsia"/>
          <w:color w:val="auto"/>
          <w:highlight w:val="none"/>
        </w:rPr>
        <w:t>6</w:t>
      </w:r>
      <w:r>
        <w:rPr>
          <w:color w:val="auto"/>
          <w:highlight w:val="none"/>
        </w:rPr>
        <w:t xml:space="preserve">.3.1 </w:t>
      </w:r>
      <w:r>
        <w:rPr>
          <w:rFonts w:hint="eastAsia"/>
          <w:color w:val="auto"/>
          <w:highlight w:val="none"/>
        </w:rPr>
        <w:t>样品的报送与封存</w:t>
      </w:r>
    </w:p>
    <w:p w14:paraId="18193C37">
      <w:pPr>
        <w:spacing w:line="440" w:lineRule="exact"/>
        <w:ind w:firstLine="480" w:firstLineChars="200"/>
        <w:jc w:val="both"/>
        <w:rPr>
          <w:color w:val="auto"/>
          <w:highlight w:val="none"/>
        </w:rPr>
      </w:pPr>
      <w:r>
        <w:rPr>
          <w:color w:val="auto"/>
          <w:highlight w:val="none"/>
        </w:rPr>
        <w:t>需要承包人报送样品的材料或工程设备</w:t>
      </w:r>
      <w:r>
        <w:rPr>
          <w:rFonts w:hint="eastAsia"/>
          <w:color w:val="auto"/>
          <w:highlight w:val="none"/>
        </w:rPr>
        <w:t>，样品种类、名称、规格、数量：</w:t>
      </w:r>
      <w:r>
        <w:rPr>
          <w:color w:val="auto"/>
          <w:highlight w:val="none"/>
          <w:u w:val="single"/>
        </w:rPr>
        <w:t xml:space="preserve">                                          </w:t>
      </w:r>
      <w:r>
        <w:rPr>
          <w:rFonts w:hint="eastAsia"/>
          <w:color w:val="auto"/>
          <w:highlight w:val="none"/>
        </w:rPr>
        <w:t>。</w:t>
      </w:r>
    </w:p>
    <w:p w14:paraId="1B27C241">
      <w:pPr>
        <w:pStyle w:val="4"/>
        <w:rPr>
          <w:color w:val="auto"/>
          <w:highlight w:val="none"/>
        </w:rPr>
      </w:pPr>
      <w:r>
        <w:rPr>
          <w:color w:val="auto"/>
          <w:highlight w:val="none"/>
        </w:rPr>
        <w:t xml:space="preserve">6.4 </w:t>
      </w:r>
      <w:r>
        <w:rPr>
          <w:rFonts w:hint="eastAsia"/>
          <w:color w:val="auto"/>
          <w:highlight w:val="none"/>
        </w:rPr>
        <w:t>质量检查</w:t>
      </w:r>
    </w:p>
    <w:p w14:paraId="5F53FAE6">
      <w:pPr>
        <w:spacing w:line="440" w:lineRule="exact"/>
        <w:ind w:firstLine="480" w:firstLineChars="200"/>
        <w:jc w:val="both"/>
        <w:rPr>
          <w:color w:val="auto"/>
          <w:highlight w:val="none"/>
        </w:rPr>
      </w:pPr>
      <w:r>
        <w:rPr>
          <w:color w:val="auto"/>
          <w:highlight w:val="none"/>
        </w:rPr>
        <w:t xml:space="preserve">6.4.1 </w:t>
      </w:r>
      <w:r>
        <w:rPr>
          <w:rFonts w:hint="eastAsia"/>
          <w:color w:val="auto"/>
          <w:highlight w:val="none"/>
        </w:rPr>
        <w:t>工程质量要求</w:t>
      </w:r>
    </w:p>
    <w:p w14:paraId="33CD27BE">
      <w:pPr>
        <w:spacing w:line="440" w:lineRule="exact"/>
        <w:ind w:firstLine="480" w:firstLineChars="200"/>
        <w:jc w:val="both"/>
        <w:rPr>
          <w:color w:val="auto"/>
          <w:highlight w:val="none"/>
        </w:rPr>
      </w:pPr>
      <w:r>
        <w:rPr>
          <w:rFonts w:hint="eastAsia"/>
          <w:color w:val="auto"/>
          <w:highlight w:val="none"/>
        </w:rPr>
        <w:t>工程质量的特殊标准或要求：</w:t>
      </w:r>
      <w:r>
        <w:rPr>
          <w:rFonts w:hint="eastAsia"/>
          <w:color w:val="auto"/>
          <w:highlight w:val="none"/>
          <w:u w:val="single"/>
        </w:rPr>
        <w:t>符合现行国家有关工程施工验收规范和标准的合格要求。按工程施工及验收规范执行；</w:t>
      </w:r>
    </w:p>
    <w:p w14:paraId="607A63DC">
      <w:pPr>
        <w:spacing w:line="440" w:lineRule="exact"/>
        <w:ind w:firstLine="480" w:firstLineChars="200"/>
        <w:jc w:val="both"/>
        <w:rPr>
          <w:color w:val="auto"/>
          <w:highlight w:val="none"/>
        </w:rPr>
      </w:pPr>
      <w:r>
        <w:rPr>
          <w:color w:val="auto"/>
          <w:highlight w:val="none"/>
        </w:rPr>
        <w:t xml:space="preserve">6.4.2 </w:t>
      </w:r>
      <w:r>
        <w:rPr>
          <w:rFonts w:hint="eastAsia"/>
          <w:color w:val="auto"/>
          <w:highlight w:val="none"/>
        </w:rPr>
        <w:t>质量检查</w:t>
      </w:r>
    </w:p>
    <w:p w14:paraId="5255E5D5">
      <w:pPr>
        <w:spacing w:line="440" w:lineRule="exact"/>
        <w:ind w:firstLine="480" w:firstLineChars="200"/>
        <w:jc w:val="both"/>
        <w:rPr>
          <w:color w:val="auto"/>
          <w:highlight w:val="none"/>
        </w:rPr>
      </w:pPr>
      <w:r>
        <w:rPr>
          <w:rFonts w:hint="eastAsia"/>
          <w:color w:val="auto"/>
          <w:highlight w:val="none"/>
        </w:rPr>
        <w:t>除通用合同条件已列明的质量检查的地点外，发包人有权进行质量检查的其他地点：</w:t>
      </w:r>
      <w:r>
        <w:rPr>
          <w:color w:val="auto"/>
          <w:highlight w:val="none"/>
          <w:u w:val="single"/>
        </w:rPr>
        <w:t xml:space="preserve">                                 </w:t>
      </w:r>
      <w:r>
        <w:rPr>
          <w:rFonts w:hint="eastAsia"/>
          <w:color w:val="auto"/>
          <w:highlight w:val="none"/>
        </w:rPr>
        <w:t>。</w:t>
      </w:r>
    </w:p>
    <w:p w14:paraId="445F0055">
      <w:pPr>
        <w:spacing w:line="440" w:lineRule="exact"/>
        <w:ind w:firstLine="480" w:firstLineChars="200"/>
        <w:jc w:val="both"/>
        <w:rPr>
          <w:color w:val="auto"/>
          <w:highlight w:val="none"/>
        </w:rPr>
      </w:pPr>
      <w:r>
        <w:rPr>
          <w:color w:val="auto"/>
          <w:highlight w:val="none"/>
        </w:rPr>
        <w:t xml:space="preserve">6.4.3 </w:t>
      </w:r>
      <w:r>
        <w:rPr>
          <w:rFonts w:hint="eastAsia"/>
          <w:color w:val="auto"/>
          <w:highlight w:val="none"/>
        </w:rPr>
        <w:t>隐蔽工程检查</w:t>
      </w:r>
    </w:p>
    <w:p w14:paraId="0B9CA28F">
      <w:pPr>
        <w:spacing w:line="440" w:lineRule="exact"/>
        <w:ind w:firstLine="480" w:firstLineChars="200"/>
        <w:jc w:val="both"/>
        <w:rPr>
          <w:color w:val="auto"/>
          <w:highlight w:val="none"/>
        </w:rPr>
      </w:pPr>
      <w:r>
        <w:rPr>
          <w:rFonts w:hint="eastAsia"/>
          <w:color w:val="auto"/>
          <w:highlight w:val="none"/>
        </w:rPr>
        <w:t>关于隐蔽工程和中间验收的特别约定：</w:t>
      </w:r>
      <w:r>
        <w:rPr>
          <w:rFonts w:hint="eastAsia"/>
          <w:color w:val="auto"/>
          <w:highlight w:val="none"/>
          <w:u w:val="single"/>
        </w:rPr>
        <w:t>需要质检的隐蔽工程和中间验收部位的分类、部位、质检内容、标准、表格和参检方的约定： 按工程施工及验收规范执行</w:t>
      </w:r>
      <w:r>
        <w:rPr>
          <w:color w:val="auto"/>
          <w:highlight w:val="none"/>
        </w:rPr>
        <w:t xml:space="preserve"> </w:t>
      </w:r>
      <w:r>
        <w:rPr>
          <w:rFonts w:hint="eastAsia"/>
          <w:color w:val="auto"/>
          <w:highlight w:val="none"/>
        </w:rPr>
        <w:t>。</w:t>
      </w:r>
    </w:p>
    <w:p w14:paraId="13150E16">
      <w:pPr>
        <w:pStyle w:val="4"/>
        <w:rPr>
          <w:color w:val="auto"/>
          <w:highlight w:val="none"/>
        </w:rPr>
      </w:pPr>
      <w:r>
        <w:rPr>
          <w:color w:val="auto"/>
          <w:highlight w:val="none"/>
        </w:rPr>
        <w:t xml:space="preserve">6.5 </w:t>
      </w:r>
      <w:r>
        <w:rPr>
          <w:rFonts w:hint="eastAsia"/>
          <w:color w:val="auto"/>
          <w:highlight w:val="none"/>
        </w:rPr>
        <w:t>由承包人试验和检验</w:t>
      </w:r>
    </w:p>
    <w:p w14:paraId="29CA1612">
      <w:pPr>
        <w:spacing w:line="440" w:lineRule="exact"/>
        <w:ind w:firstLine="480" w:firstLineChars="200"/>
        <w:jc w:val="both"/>
        <w:rPr>
          <w:color w:val="auto"/>
          <w:highlight w:val="none"/>
        </w:rPr>
      </w:pPr>
      <w:r>
        <w:rPr>
          <w:rFonts w:hint="eastAsia"/>
          <w:color w:val="auto"/>
          <w:highlight w:val="none"/>
        </w:rPr>
        <w:t>6</w:t>
      </w:r>
      <w:r>
        <w:rPr>
          <w:color w:val="auto"/>
          <w:highlight w:val="none"/>
        </w:rPr>
        <w:t xml:space="preserve">.5.1 </w:t>
      </w:r>
      <w:r>
        <w:rPr>
          <w:rFonts w:hint="eastAsia"/>
          <w:color w:val="auto"/>
          <w:highlight w:val="none"/>
        </w:rPr>
        <w:t>试验设备与试验人员</w:t>
      </w:r>
    </w:p>
    <w:p w14:paraId="48BD6D3B">
      <w:pPr>
        <w:spacing w:line="440" w:lineRule="exact"/>
        <w:ind w:firstLine="480" w:firstLineChars="200"/>
        <w:jc w:val="both"/>
        <w:rPr>
          <w:color w:val="auto"/>
          <w:highlight w:val="none"/>
        </w:rPr>
      </w:pPr>
      <w:r>
        <w:rPr>
          <w:rFonts w:hint="eastAsia"/>
          <w:color w:val="auto"/>
          <w:highlight w:val="none"/>
        </w:rPr>
        <w:t>试验的内容、时间和地点：</w:t>
      </w:r>
      <w:r>
        <w:rPr>
          <w:color w:val="auto"/>
          <w:highlight w:val="none"/>
          <w:u w:val="single"/>
        </w:rPr>
        <w:t xml:space="preserve">                            </w:t>
      </w:r>
      <w:r>
        <w:rPr>
          <w:rFonts w:hint="eastAsia"/>
          <w:color w:val="auto"/>
          <w:highlight w:val="none"/>
        </w:rPr>
        <w:t>。</w:t>
      </w:r>
    </w:p>
    <w:p w14:paraId="26144F38">
      <w:pPr>
        <w:spacing w:line="440" w:lineRule="exact"/>
        <w:ind w:firstLine="480" w:firstLineChars="200"/>
        <w:jc w:val="both"/>
        <w:rPr>
          <w:color w:val="auto"/>
          <w:highlight w:val="none"/>
          <w:u w:val="single"/>
        </w:rPr>
      </w:pPr>
      <w:r>
        <w:rPr>
          <w:rFonts w:hint="eastAsia"/>
          <w:color w:val="auto"/>
          <w:highlight w:val="none"/>
        </w:rPr>
        <w:t>试验所需要的试验设备、取样装置、试验场所和试验条件：</w:t>
      </w:r>
      <w:r>
        <w:rPr>
          <w:rFonts w:hint="eastAsia"/>
          <w:color w:val="auto"/>
          <w:highlight w:val="none"/>
          <w:u w:val="single"/>
        </w:rPr>
        <w:t>监理人对承包人的试验和检验结果有疑问的，或为查清承包人试验和检验成果的可靠性，可在征得发包人同意后委托给第三方独立的检验单位重新检验，该检验单位必须具有国家技术监督局和专业机构的认证资格。重新检验不合格的，由承包人承担重新检验的费用和整改费用；重新检验合格的，其检验费用由发包人承担。</w:t>
      </w:r>
    </w:p>
    <w:p w14:paraId="742FE890">
      <w:pPr>
        <w:spacing w:line="440" w:lineRule="exact"/>
        <w:ind w:firstLine="480" w:firstLineChars="200"/>
        <w:jc w:val="both"/>
        <w:rPr>
          <w:color w:val="auto"/>
          <w:highlight w:val="none"/>
        </w:rPr>
      </w:pPr>
      <w:r>
        <w:rPr>
          <w:rFonts w:hint="eastAsia"/>
          <w:color w:val="auto"/>
          <w:highlight w:val="none"/>
          <w:u w:val="single"/>
        </w:rPr>
        <w:t>承包人应根据国家有关规范、规程规定对施工过程中所使用的原材料、中间产品及成品进行检测，检测单位的确定须经发包人同意，检测费用由承包人承担。</w:t>
      </w:r>
    </w:p>
    <w:p w14:paraId="6CF9D89E">
      <w:pPr>
        <w:spacing w:line="440" w:lineRule="exact"/>
        <w:ind w:firstLine="480" w:firstLineChars="200"/>
        <w:jc w:val="both"/>
        <w:rPr>
          <w:color w:val="auto"/>
          <w:highlight w:val="none"/>
        </w:rPr>
      </w:pPr>
      <w:r>
        <w:rPr>
          <w:rFonts w:hint="eastAsia"/>
          <w:color w:val="auto"/>
          <w:highlight w:val="none"/>
        </w:rPr>
        <w:t>试验和检验费用的计价原则：</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p>
    <w:p w14:paraId="47F80C6D">
      <w:pPr>
        <w:pStyle w:val="3"/>
        <w:jc w:val="both"/>
        <w:rPr>
          <w:rFonts w:hint="eastAsia" w:ascii="宋体" w:hAnsi="宋体" w:cs="宋体"/>
          <w:color w:val="auto"/>
          <w:highlight w:val="none"/>
        </w:rPr>
      </w:pPr>
      <w:bookmarkStart w:id="140" w:name="_Toc54862338"/>
      <w:r>
        <w:rPr>
          <w:rFonts w:hint="eastAsia" w:ascii="宋体" w:hAnsi="宋体" w:cs="宋体"/>
          <w:color w:val="auto"/>
          <w:highlight w:val="none"/>
        </w:rPr>
        <w:t>第7条 施工</w:t>
      </w:r>
      <w:bookmarkEnd w:id="140"/>
    </w:p>
    <w:p w14:paraId="12018226">
      <w:pPr>
        <w:pStyle w:val="4"/>
        <w:rPr>
          <w:color w:val="auto"/>
          <w:highlight w:val="none"/>
        </w:rPr>
      </w:pPr>
      <w:r>
        <w:rPr>
          <w:color w:val="auto"/>
          <w:highlight w:val="none"/>
        </w:rPr>
        <w:t xml:space="preserve">7.1 </w:t>
      </w:r>
      <w:r>
        <w:rPr>
          <w:rFonts w:hint="eastAsia"/>
          <w:color w:val="auto"/>
          <w:highlight w:val="none"/>
        </w:rPr>
        <w:t>交通运输</w:t>
      </w:r>
    </w:p>
    <w:p w14:paraId="5EEAA965">
      <w:pPr>
        <w:spacing w:line="440" w:lineRule="exact"/>
        <w:ind w:firstLine="480" w:firstLineChars="200"/>
        <w:jc w:val="both"/>
        <w:rPr>
          <w:color w:val="auto"/>
          <w:highlight w:val="none"/>
        </w:rPr>
      </w:pPr>
      <w:r>
        <w:rPr>
          <w:color w:val="auto"/>
          <w:highlight w:val="none"/>
        </w:rPr>
        <w:t xml:space="preserve">7.1.1 </w:t>
      </w:r>
      <w:r>
        <w:rPr>
          <w:rFonts w:hint="eastAsia"/>
          <w:color w:val="auto"/>
          <w:highlight w:val="none"/>
        </w:rPr>
        <w:t>出入现场的权利</w:t>
      </w:r>
    </w:p>
    <w:p w14:paraId="6B716D5E">
      <w:pPr>
        <w:spacing w:line="440" w:lineRule="exact"/>
        <w:ind w:firstLine="480" w:firstLineChars="200"/>
        <w:jc w:val="both"/>
        <w:rPr>
          <w:color w:val="auto"/>
          <w:highlight w:val="none"/>
        </w:rPr>
      </w:pPr>
      <w:r>
        <w:rPr>
          <w:rFonts w:hint="eastAsia"/>
          <w:color w:val="auto"/>
          <w:highlight w:val="none"/>
        </w:rPr>
        <w:t>关于出入现场的权利的约定：</w:t>
      </w:r>
      <w:r>
        <w:rPr>
          <w:color w:val="auto"/>
          <w:highlight w:val="none"/>
          <w:u w:val="single"/>
        </w:rPr>
        <w:t xml:space="preserve">                         </w:t>
      </w:r>
      <w:r>
        <w:rPr>
          <w:color w:val="auto"/>
          <w:highlight w:val="none"/>
        </w:rPr>
        <w:t>。</w:t>
      </w:r>
    </w:p>
    <w:p w14:paraId="797D9BA4">
      <w:pPr>
        <w:spacing w:line="440" w:lineRule="exact"/>
        <w:ind w:firstLine="480" w:firstLineChars="200"/>
        <w:jc w:val="both"/>
        <w:rPr>
          <w:color w:val="auto"/>
          <w:highlight w:val="none"/>
        </w:rPr>
      </w:pPr>
      <w:r>
        <w:rPr>
          <w:color w:val="auto"/>
          <w:highlight w:val="none"/>
        </w:rPr>
        <w:t xml:space="preserve">7.1.2 </w:t>
      </w:r>
      <w:r>
        <w:rPr>
          <w:rFonts w:hint="eastAsia"/>
          <w:color w:val="auto"/>
          <w:highlight w:val="none"/>
        </w:rPr>
        <w:t>场外交通</w:t>
      </w:r>
    </w:p>
    <w:p w14:paraId="62C8E361">
      <w:pPr>
        <w:spacing w:line="440" w:lineRule="exact"/>
        <w:ind w:firstLine="480" w:firstLineChars="200"/>
        <w:jc w:val="both"/>
        <w:rPr>
          <w:color w:val="auto"/>
          <w:highlight w:val="none"/>
        </w:rPr>
      </w:pPr>
      <w:r>
        <w:rPr>
          <w:rFonts w:hint="eastAsia"/>
          <w:color w:val="auto"/>
          <w:highlight w:val="none"/>
        </w:rPr>
        <w:t>关于场外交通的特别约定</w:t>
      </w:r>
      <w:r>
        <w:rPr>
          <w:rFonts w:hint="eastAsia"/>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w:t>
      </w:r>
    </w:p>
    <w:p w14:paraId="4FC7E35E">
      <w:pPr>
        <w:spacing w:line="440" w:lineRule="exact"/>
        <w:ind w:firstLine="480" w:firstLineChars="200"/>
        <w:jc w:val="both"/>
        <w:rPr>
          <w:color w:val="auto"/>
          <w:highlight w:val="none"/>
        </w:rPr>
      </w:pPr>
      <w:r>
        <w:rPr>
          <w:color w:val="auto"/>
          <w:highlight w:val="none"/>
        </w:rPr>
        <w:t xml:space="preserve">7.1.3 </w:t>
      </w:r>
      <w:r>
        <w:rPr>
          <w:rFonts w:hint="eastAsia"/>
          <w:color w:val="auto"/>
          <w:highlight w:val="none"/>
        </w:rPr>
        <w:t>场内交通</w:t>
      </w:r>
    </w:p>
    <w:p w14:paraId="426A72E7">
      <w:pPr>
        <w:spacing w:line="440" w:lineRule="exact"/>
        <w:ind w:firstLine="480" w:firstLineChars="200"/>
        <w:jc w:val="both"/>
        <w:rPr>
          <w:color w:val="auto"/>
          <w:highlight w:val="none"/>
        </w:rPr>
      </w:pPr>
      <w:r>
        <w:rPr>
          <w:rFonts w:hint="eastAsia"/>
          <w:color w:val="auto"/>
          <w:highlight w:val="none"/>
        </w:rPr>
        <w:t>关于场内交通的特别约定：</w:t>
      </w:r>
      <w:r>
        <w:rPr>
          <w:color w:val="auto"/>
          <w:highlight w:val="none"/>
          <w:u w:val="single"/>
        </w:rPr>
        <w:t xml:space="preserve">                         </w:t>
      </w:r>
      <w:r>
        <w:rPr>
          <w:color w:val="auto"/>
          <w:highlight w:val="none"/>
        </w:rPr>
        <w:t xml:space="preserve"> </w:t>
      </w:r>
      <w:r>
        <w:rPr>
          <w:rFonts w:hint="eastAsia"/>
          <w:color w:val="auto"/>
          <w:highlight w:val="none"/>
        </w:rPr>
        <w:t>。</w:t>
      </w:r>
    </w:p>
    <w:p w14:paraId="08C6D506">
      <w:pPr>
        <w:spacing w:line="440" w:lineRule="exact"/>
        <w:ind w:firstLine="480" w:firstLineChars="200"/>
        <w:jc w:val="both"/>
        <w:rPr>
          <w:color w:val="auto"/>
          <w:highlight w:val="none"/>
        </w:rPr>
      </w:pPr>
      <w:r>
        <w:rPr>
          <w:rFonts w:hint="eastAsia"/>
          <w:color w:val="auto"/>
          <w:highlight w:val="none"/>
        </w:rPr>
        <w:t>关于场内交通与场外交通边界的约定：</w:t>
      </w:r>
      <w:r>
        <w:rPr>
          <w:color w:val="auto"/>
          <w:highlight w:val="none"/>
          <w:u w:val="single"/>
        </w:rPr>
        <w:t xml:space="preserve">                </w:t>
      </w:r>
      <w:r>
        <w:rPr>
          <w:color w:val="auto"/>
          <w:highlight w:val="none"/>
        </w:rPr>
        <w:t xml:space="preserve"> 。</w:t>
      </w:r>
    </w:p>
    <w:p w14:paraId="4EE6F722">
      <w:pPr>
        <w:spacing w:line="440" w:lineRule="exact"/>
        <w:ind w:firstLine="480" w:firstLineChars="200"/>
        <w:jc w:val="both"/>
        <w:rPr>
          <w:color w:val="auto"/>
          <w:highlight w:val="none"/>
        </w:rPr>
      </w:pPr>
      <w:r>
        <w:rPr>
          <w:color w:val="auto"/>
          <w:highlight w:val="none"/>
        </w:rPr>
        <w:t xml:space="preserve">7.1.4 </w:t>
      </w:r>
      <w:r>
        <w:rPr>
          <w:rFonts w:hint="eastAsia"/>
          <w:color w:val="auto"/>
          <w:highlight w:val="none"/>
        </w:rPr>
        <w:t>超大件和超重件的运输</w:t>
      </w:r>
    </w:p>
    <w:p w14:paraId="0DA3B6C9">
      <w:pPr>
        <w:spacing w:line="440" w:lineRule="exact"/>
        <w:ind w:firstLine="480" w:firstLineChars="200"/>
        <w:jc w:val="both"/>
        <w:rPr>
          <w:color w:val="auto"/>
          <w:highlight w:val="none"/>
        </w:rPr>
      </w:pPr>
      <w:r>
        <w:rPr>
          <w:rFonts w:hint="eastAsia"/>
          <w:color w:val="auto"/>
          <w:highlight w:val="none"/>
        </w:rPr>
        <w:t>运输超大件或超重件所需的道路和桥梁临时加固改造费用和其他有关费用由</w:t>
      </w:r>
      <w:r>
        <w:rPr>
          <w:color w:val="auto"/>
          <w:highlight w:val="none"/>
          <w:u w:val="single"/>
        </w:rPr>
        <w:t xml:space="preserve">            </w:t>
      </w:r>
      <w:r>
        <w:rPr>
          <w:color w:val="auto"/>
          <w:highlight w:val="none"/>
        </w:rPr>
        <w:t>承担。</w:t>
      </w:r>
    </w:p>
    <w:p w14:paraId="5CA7F1EB">
      <w:pPr>
        <w:pStyle w:val="4"/>
        <w:rPr>
          <w:color w:val="auto"/>
          <w:highlight w:val="none"/>
        </w:rPr>
      </w:pPr>
      <w:r>
        <w:rPr>
          <w:color w:val="auto"/>
          <w:highlight w:val="none"/>
        </w:rPr>
        <w:t xml:space="preserve">7.2 </w:t>
      </w:r>
      <w:r>
        <w:rPr>
          <w:rFonts w:hint="eastAsia"/>
          <w:color w:val="auto"/>
          <w:highlight w:val="none"/>
        </w:rPr>
        <w:t>施工设备和临时设施</w:t>
      </w:r>
    </w:p>
    <w:p w14:paraId="31F8A75A">
      <w:pPr>
        <w:spacing w:line="440" w:lineRule="exact"/>
        <w:ind w:firstLine="480" w:firstLineChars="200"/>
        <w:jc w:val="both"/>
        <w:rPr>
          <w:color w:val="auto"/>
          <w:highlight w:val="none"/>
        </w:rPr>
      </w:pPr>
      <w:r>
        <w:rPr>
          <w:color w:val="auto"/>
          <w:highlight w:val="none"/>
        </w:rPr>
        <w:t xml:space="preserve">7.2.1 </w:t>
      </w:r>
      <w:r>
        <w:rPr>
          <w:rFonts w:hint="eastAsia"/>
          <w:color w:val="auto"/>
          <w:highlight w:val="none"/>
        </w:rPr>
        <w:t>承包人提供的施工设备和临时设施</w:t>
      </w:r>
    </w:p>
    <w:p w14:paraId="2B38FF83">
      <w:pPr>
        <w:spacing w:line="440" w:lineRule="exact"/>
        <w:ind w:firstLine="480" w:firstLineChars="200"/>
        <w:jc w:val="both"/>
        <w:rPr>
          <w:color w:val="auto"/>
          <w:highlight w:val="none"/>
        </w:rPr>
      </w:pPr>
      <w:r>
        <w:rPr>
          <w:rFonts w:hint="eastAsia"/>
          <w:color w:val="auto"/>
          <w:highlight w:val="none"/>
        </w:rPr>
        <w:t>临时设施的费用和临时占地手续和费用承担的特别约定：</w:t>
      </w:r>
      <w:r>
        <w:rPr>
          <w:rFonts w:hint="eastAsia"/>
          <w:color w:val="auto"/>
          <w:highlight w:val="none"/>
          <w:u w:val="single"/>
        </w:rPr>
        <w:t>承包人自行承担修建临时设施的费用，需要临时占地的，由承包人办理申请手续并承担相应费用，发包人予以协助</w:t>
      </w:r>
      <w:r>
        <w:rPr>
          <w:rFonts w:hint="eastAsia"/>
          <w:color w:val="auto"/>
          <w:highlight w:val="none"/>
        </w:rPr>
        <w:t>。</w:t>
      </w:r>
    </w:p>
    <w:p w14:paraId="44AF19EF">
      <w:pPr>
        <w:spacing w:line="440" w:lineRule="exact"/>
        <w:ind w:firstLine="480" w:firstLineChars="200"/>
        <w:jc w:val="both"/>
        <w:rPr>
          <w:color w:val="auto"/>
          <w:highlight w:val="none"/>
        </w:rPr>
      </w:pPr>
      <w:r>
        <w:rPr>
          <w:color w:val="auto"/>
          <w:highlight w:val="none"/>
        </w:rPr>
        <w:t xml:space="preserve">7.2.2 </w:t>
      </w:r>
      <w:r>
        <w:rPr>
          <w:rFonts w:hint="eastAsia"/>
          <w:color w:val="auto"/>
          <w:highlight w:val="none"/>
        </w:rPr>
        <w:t>发包人提供的施工设备和临时设施</w:t>
      </w:r>
    </w:p>
    <w:p w14:paraId="0C82BB65">
      <w:pPr>
        <w:widowControl/>
        <w:autoSpaceDE/>
        <w:autoSpaceDN/>
        <w:snapToGrid w:val="0"/>
        <w:spacing w:line="440" w:lineRule="exact"/>
        <w:ind w:firstLine="480" w:firstLineChars="200"/>
        <w:jc w:val="both"/>
        <w:rPr>
          <w:rFonts w:ascii="宋体" w:eastAsia="仿宋" w:cs="宋体"/>
          <w:color w:val="auto"/>
          <w:highlight w:val="none"/>
          <w:u w:val="single"/>
        </w:rPr>
      </w:pPr>
      <w:r>
        <w:rPr>
          <w:rFonts w:hint="eastAsia"/>
          <w:color w:val="auto"/>
          <w:highlight w:val="none"/>
        </w:rPr>
        <w:t>发包人提供的施工设备或临时设施范围：</w:t>
      </w:r>
      <w:r>
        <w:rPr>
          <w:rFonts w:hint="eastAsia"/>
          <w:color w:val="auto"/>
          <w:highlight w:val="none"/>
          <w:u w:val="single"/>
        </w:rPr>
        <w:t xml:space="preserve">    。</w:t>
      </w:r>
    </w:p>
    <w:p w14:paraId="0E5BD5CE">
      <w:pPr>
        <w:pStyle w:val="4"/>
        <w:rPr>
          <w:color w:val="auto"/>
          <w:highlight w:val="none"/>
        </w:rPr>
      </w:pPr>
      <w:r>
        <w:rPr>
          <w:color w:val="auto"/>
          <w:highlight w:val="none"/>
        </w:rPr>
        <w:t xml:space="preserve">7.3 </w:t>
      </w:r>
      <w:r>
        <w:rPr>
          <w:rFonts w:hint="eastAsia"/>
          <w:color w:val="auto"/>
          <w:highlight w:val="none"/>
        </w:rPr>
        <w:t>现场合作</w:t>
      </w:r>
    </w:p>
    <w:p w14:paraId="7425F794">
      <w:pPr>
        <w:spacing w:line="440" w:lineRule="exact"/>
        <w:ind w:firstLine="480" w:firstLineChars="200"/>
        <w:jc w:val="both"/>
        <w:rPr>
          <w:color w:val="auto"/>
          <w:highlight w:val="none"/>
        </w:rPr>
      </w:pPr>
      <w:r>
        <w:rPr>
          <w:rFonts w:hint="eastAsia"/>
          <w:color w:val="auto"/>
          <w:highlight w:val="none"/>
        </w:rPr>
        <w:t>关于现场合作费用的特别约定：</w:t>
      </w:r>
      <w:r>
        <w:rPr>
          <w:color w:val="auto"/>
          <w:highlight w:val="none"/>
          <w:u w:val="single"/>
        </w:rPr>
        <w:t xml:space="preserve">                      </w:t>
      </w:r>
      <w:r>
        <w:rPr>
          <w:color w:val="auto"/>
          <w:highlight w:val="none"/>
        </w:rPr>
        <w:t xml:space="preserve"> </w:t>
      </w:r>
      <w:r>
        <w:rPr>
          <w:rFonts w:hint="eastAsia"/>
          <w:color w:val="auto"/>
          <w:highlight w:val="none"/>
        </w:rPr>
        <w:t>。</w:t>
      </w:r>
    </w:p>
    <w:p w14:paraId="6F97EE5C">
      <w:pPr>
        <w:pStyle w:val="4"/>
        <w:rPr>
          <w:color w:val="auto"/>
          <w:highlight w:val="none"/>
        </w:rPr>
      </w:pPr>
      <w:r>
        <w:rPr>
          <w:color w:val="auto"/>
          <w:highlight w:val="none"/>
        </w:rPr>
        <w:t xml:space="preserve">7.4 </w:t>
      </w:r>
      <w:r>
        <w:rPr>
          <w:rFonts w:hint="eastAsia"/>
          <w:color w:val="auto"/>
          <w:highlight w:val="none"/>
        </w:rPr>
        <w:t>测量放线</w:t>
      </w:r>
    </w:p>
    <w:p w14:paraId="32A03A88">
      <w:pPr>
        <w:spacing w:line="440" w:lineRule="exact"/>
        <w:ind w:firstLine="480" w:firstLineChars="200"/>
        <w:jc w:val="both"/>
        <w:rPr>
          <w:color w:val="auto"/>
          <w:highlight w:val="none"/>
        </w:rPr>
      </w:pPr>
      <w:r>
        <w:rPr>
          <w:rFonts w:hint="eastAsia"/>
          <w:color w:val="auto"/>
          <w:highlight w:val="none"/>
        </w:rPr>
        <w:t>7</w:t>
      </w:r>
      <w:r>
        <w:rPr>
          <w:color w:val="auto"/>
          <w:highlight w:val="none"/>
        </w:rPr>
        <w:t xml:space="preserve">.4.1 </w:t>
      </w:r>
      <w:r>
        <w:rPr>
          <w:rFonts w:hint="eastAsia"/>
          <w:color w:val="auto"/>
          <w:highlight w:val="none"/>
        </w:rPr>
        <w:t>关于测量放线的特别约定的技术规范：</w:t>
      </w:r>
      <w:r>
        <w:rPr>
          <w:rFonts w:hint="eastAsia"/>
          <w:color w:val="auto"/>
          <w:highlight w:val="none"/>
          <w:u w:val="single"/>
        </w:rPr>
        <w:t>施工控制网发包人提供用于本工程的水准点、坐标控制点，其余施工所需条件均由承包人负责，并承担相关费用。水准点与坐标点交验完毕即由承包人负责保护，此后由于破坏和失准带来的重新测量、放点费用及由此造成的其他损失均由承包人承担</w:t>
      </w:r>
      <w:r>
        <w:rPr>
          <w:rFonts w:hint="eastAsia"/>
          <w:color w:val="auto"/>
          <w:highlight w:val="none"/>
        </w:rPr>
        <w:t>。施工控制网资料的告知期限：</w:t>
      </w:r>
      <w:r>
        <w:rPr>
          <w:color w:val="auto"/>
          <w:highlight w:val="none"/>
          <w:u w:val="single"/>
        </w:rPr>
        <w:t xml:space="preserve">       </w:t>
      </w:r>
      <w:r>
        <w:rPr>
          <w:color w:val="auto"/>
          <w:highlight w:val="none"/>
        </w:rPr>
        <w:t xml:space="preserve"> </w:t>
      </w:r>
      <w:r>
        <w:rPr>
          <w:rFonts w:hint="eastAsia"/>
          <w:color w:val="auto"/>
          <w:highlight w:val="none"/>
        </w:rPr>
        <w:t>。</w:t>
      </w:r>
    </w:p>
    <w:p w14:paraId="47F237AA">
      <w:pPr>
        <w:pStyle w:val="4"/>
        <w:rPr>
          <w:color w:val="auto"/>
          <w:highlight w:val="none"/>
        </w:rPr>
      </w:pPr>
      <w:r>
        <w:rPr>
          <w:color w:val="auto"/>
          <w:highlight w:val="none"/>
        </w:rPr>
        <w:t xml:space="preserve">7.5 </w:t>
      </w:r>
      <w:r>
        <w:rPr>
          <w:rFonts w:hint="eastAsia"/>
          <w:color w:val="auto"/>
          <w:highlight w:val="none"/>
        </w:rPr>
        <w:t>现场劳动用工</w:t>
      </w:r>
    </w:p>
    <w:p w14:paraId="324E60CE">
      <w:pPr>
        <w:spacing w:line="440" w:lineRule="exact"/>
        <w:ind w:firstLine="480" w:firstLineChars="200"/>
        <w:jc w:val="both"/>
        <w:rPr>
          <w:color w:val="auto"/>
          <w:highlight w:val="none"/>
        </w:rPr>
      </w:pPr>
      <w:r>
        <w:rPr>
          <w:rFonts w:hint="eastAsia"/>
          <w:color w:val="auto"/>
          <w:highlight w:val="none"/>
        </w:rPr>
        <w:t>7</w:t>
      </w:r>
      <w:r>
        <w:rPr>
          <w:color w:val="auto"/>
          <w:highlight w:val="none"/>
        </w:rPr>
        <w:t xml:space="preserve">.5.2 </w:t>
      </w:r>
      <w:r>
        <w:rPr>
          <w:rFonts w:hint="eastAsia"/>
          <w:color w:val="auto"/>
          <w:highlight w:val="none"/>
        </w:rPr>
        <w:t>合同当事人对建筑工人工资清偿事宜和违约责任的约定：</w:t>
      </w:r>
      <w:r>
        <w:rPr>
          <w:color w:val="auto"/>
          <w:highlight w:val="none"/>
          <w:u w:val="single"/>
        </w:rPr>
        <w:t xml:space="preserve">                         </w:t>
      </w:r>
      <w:r>
        <w:rPr>
          <w:color w:val="auto"/>
          <w:highlight w:val="none"/>
        </w:rPr>
        <w:t xml:space="preserve"> </w:t>
      </w:r>
      <w:r>
        <w:rPr>
          <w:rFonts w:hint="eastAsia"/>
          <w:color w:val="auto"/>
          <w:highlight w:val="none"/>
        </w:rPr>
        <w:t>。</w:t>
      </w:r>
    </w:p>
    <w:p w14:paraId="03E495D5">
      <w:pPr>
        <w:pStyle w:val="4"/>
        <w:rPr>
          <w:color w:val="auto"/>
          <w:highlight w:val="none"/>
        </w:rPr>
      </w:pPr>
      <w:r>
        <w:rPr>
          <w:color w:val="auto"/>
          <w:highlight w:val="none"/>
        </w:rPr>
        <w:t xml:space="preserve">7.6 </w:t>
      </w:r>
      <w:r>
        <w:rPr>
          <w:rFonts w:hint="eastAsia"/>
          <w:color w:val="auto"/>
          <w:highlight w:val="none"/>
        </w:rPr>
        <w:t>安全文明施工</w:t>
      </w:r>
    </w:p>
    <w:p w14:paraId="7354BB6E">
      <w:pPr>
        <w:spacing w:line="440" w:lineRule="exact"/>
        <w:ind w:firstLine="480" w:firstLineChars="200"/>
        <w:jc w:val="both"/>
        <w:rPr>
          <w:color w:val="auto"/>
          <w:highlight w:val="none"/>
        </w:rPr>
      </w:pPr>
      <w:r>
        <w:rPr>
          <w:rFonts w:hint="eastAsia"/>
          <w:color w:val="auto"/>
          <w:highlight w:val="none"/>
        </w:rPr>
        <w:t>承包人必须按国家工程建设的有关规定，进行安全文明施工。承包人在施工过程中须做好周边建筑保护工作，特别是保证出入路口道路的交通安全及一切地下设施的安全。施工期间应放置明显的警示标志，夜间设置施工警告灯，以确保人员和车辆的安全通行，在施工过程中由此发生的一切安全事故均由承包人自行负责，由承包人对造成的损坏负责赔偿，与发包人无涉。承包人应在工程开工后一个月内安装完毕工地现场视频实时监控系统，监控摄像头的数量和位置设置应满足工地作业场所全景监控要求，在工程具备竣工验收条件后拆除，该系统的安装、运行维护费用由承包人自行承担。</w:t>
      </w:r>
    </w:p>
    <w:p w14:paraId="14A76DDD">
      <w:pPr>
        <w:spacing w:line="440" w:lineRule="exact"/>
        <w:ind w:firstLine="480" w:firstLineChars="200"/>
        <w:jc w:val="both"/>
        <w:rPr>
          <w:color w:val="auto"/>
          <w:highlight w:val="none"/>
        </w:rPr>
      </w:pPr>
      <w:r>
        <w:rPr>
          <w:rFonts w:hint="eastAsia"/>
          <w:color w:val="auto"/>
          <w:highlight w:val="none"/>
        </w:rPr>
        <w:t>承包人对建筑内原有设施设备进行拆除时应文明施工，确保设施设备的完整性，并堆放至指定地点专人看护，防止设施设备遗失。</w:t>
      </w:r>
    </w:p>
    <w:p w14:paraId="762E7759">
      <w:pPr>
        <w:spacing w:line="440" w:lineRule="exact"/>
        <w:ind w:firstLine="480" w:firstLineChars="200"/>
        <w:jc w:val="both"/>
        <w:rPr>
          <w:color w:val="auto"/>
          <w:highlight w:val="none"/>
        </w:rPr>
      </w:pPr>
      <w:r>
        <w:rPr>
          <w:rFonts w:hint="eastAsia"/>
          <w:color w:val="auto"/>
          <w:highlight w:val="none"/>
        </w:rPr>
        <w:t>安全文明施工费按市区工程一般计税费率中值计取，在支付工程预付款时另行支付暂定（按暂定合同价（扣除施工图设计费）的0.8%计费）安全文明施工费的50%。剩余50%安全文明施工费在每期工程进度款支付时经发包人认可后按比例支付，最终在结算时按实结算。在发包人或相关行业管理部门考核检查过程中如发现问题书面整改通知书下达后要求3天内整改完毕，同时按该项目的安全文明施工费用以每次2%进行罚款，在费用支付中直接扣除。若项目实施过程中有新增加的相关安全文明措施内容，承包人须无条件服从，安全文明施工费用不再增加。承包人在开工前按合同工期要求编排文明施工进度计划，进度计划的上报、考核按照发包人要求及上级主管部门的有关规定执行，由监理单位进行考核并作出处罚，承包人必须接受。在施工过程中若出现安全文明施工的工程质量、进度等问题，在发包人三次书面通知后仍未能采取有效措施的，发包人有权单方终止合同，承包人向发包人支付合同价20％的违约金，发包人保留进一步索赔的权利。</w:t>
      </w:r>
    </w:p>
    <w:p w14:paraId="6FA576C8">
      <w:pPr>
        <w:spacing w:line="440" w:lineRule="exact"/>
        <w:ind w:firstLine="480" w:firstLineChars="200"/>
        <w:jc w:val="both"/>
        <w:rPr>
          <w:color w:val="auto"/>
          <w:highlight w:val="none"/>
        </w:rPr>
      </w:pPr>
      <w:r>
        <w:rPr>
          <w:color w:val="auto"/>
          <w:highlight w:val="none"/>
        </w:rPr>
        <w:t xml:space="preserve">7.6.1 </w:t>
      </w:r>
      <w:r>
        <w:rPr>
          <w:rFonts w:hint="eastAsia"/>
          <w:color w:val="auto"/>
          <w:highlight w:val="none"/>
        </w:rPr>
        <w:t>安全生产要求</w:t>
      </w:r>
    </w:p>
    <w:p w14:paraId="39CAD4C3">
      <w:pPr>
        <w:spacing w:line="440" w:lineRule="exact"/>
        <w:ind w:firstLine="480" w:firstLineChars="200"/>
        <w:jc w:val="both"/>
        <w:rPr>
          <w:color w:val="auto"/>
          <w:highlight w:val="none"/>
        </w:rPr>
      </w:pPr>
      <w:r>
        <w:rPr>
          <w:rFonts w:hint="eastAsia"/>
          <w:color w:val="auto"/>
          <w:highlight w:val="none"/>
        </w:rPr>
        <w:t>合同当事人对安全施工的要求：</w:t>
      </w:r>
    </w:p>
    <w:p w14:paraId="35510B4A">
      <w:pPr>
        <w:widowControl/>
        <w:autoSpaceDE/>
        <w:autoSpaceDN/>
        <w:snapToGrid w:val="0"/>
        <w:spacing w:line="440" w:lineRule="exact"/>
        <w:ind w:firstLine="482" w:firstLineChars="200"/>
        <w:jc w:val="both"/>
        <w:rPr>
          <w:color w:val="auto"/>
          <w:highlight w:val="none"/>
          <w:u w:val="single"/>
        </w:rPr>
      </w:pPr>
      <w:r>
        <w:rPr>
          <w:rFonts w:hint="eastAsia"/>
          <w:b/>
          <w:bCs/>
          <w:color w:val="auto"/>
          <w:highlight w:val="none"/>
          <w:u w:val="single"/>
        </w:rPr>
        <w:t>承包人的安全责任：</w:t>
      </w:r>
      <w:r>
        <w:rPr>
          <w:rFonts w:hint="eastAsia"/>
          <w:color w:val="auto"/>
          <w:highlight w:val="none"/>
          <w:u w:val="single"/>
        </w:rPr>
        <w:t>（1）承包人编制安全措施计划报送监理人期限：合同签订后7天内。（2）承包人必须严格遵守和执行中华人民共和国以及相关安全生产和劳动保护的有关规定，保证采取一切必要的安全预防措施，以防止承包人的雇员、发包人和监理人的职员及其他人员因承包人的不当操作而受到伤害。在施工过程中由于承包人原因而发生的人身伤亡、财产损失及其它一切事故，其责任由承包人负责。（3）承包人全面负责其施工场地的安全管理，保障所有进入施工场地的人员的安全。因承包人原因引起所发生的一切安全事故均由承包人负责。涉及暂住管理的，承包人负责办理相关手续，费用自负。（4）承包人应负责对特种作业人员进行专门的安全作业培训，并保证特种作业人员持证上岗。（5）承包人应在施工组织设计中编制安全技术措施和施工现场临时用电方案。对按国家、地方及行业相关规定的超过一定规模的危险性较大的专项施工方案，还应由承包人组织专家进行论证、审查。（6） 消防安全：承包人应遵守《中华人民共和国消防法》，并负责其自己辖区内的消防工作。承包人应对其辖区内发生的火灾及其造成的人员伤亡和财产损失负责。承包人应按规定建立现场消防组织，配置必要的消防专职人员和消防设备器材。消防设备的型号和功率应满足消防任务的需要。在现场配备必要的灭火器材、设置防火警示标志，保持畅通的消防通道。承包人应对职工进行经常性的消防知识教育和消防安全训练，消防设备器材应经常检查和保养，使其处于良好的待命状态。承包人应制定经常性的消防检查制度，划分施工现场的防火责任区。承包人的消防专职人员应定期检查各施工现场，以及办公与生活区的消防安全，特别是用电安全。</w:t>
      </w:r>
      <w:bookmarkStart w:id="141" w:name="_Toc470468599"/>
      <w:bookmarkStart w:id="142" w:name="_Toc478328418"/>
    </w:p>
    <w:p w14:paraId="012AF68B">
      <w:pPr>
        <w:widowControl/>
        <w:autoSpaceDE/>
        <w:autoSpaceDN/>
        <w:snapToGrid w:val="0"/>
        <w:spacing w:line="440" w:lineRule="exact"/>
        <w:ind w:firstLine="562" w:firstLineChars="200"/>
        <w:jc w:val="both"/>
        <w:rPr>
          <w:rFonts w:ascii="宋体" w:cs="宋体"/>
          <w:bCs/>
          <w:color w:val="auto"/>
          <w:highlight w:val="none"/>
        </w:rPr>
      </w:pPr>
      <w:r>
        <w:rPr>
          <w:rFonts w:hint="eastAsia" w:ascii="仿宋_GB2312" w:hAnsi="仿宋_GB2312" w:eastAsia="仿宋"/>
          <w:b/>
          <w:bCs/>
          <w:color w:val="auto"/>
          <w:sz w:val="28"/>
          <w:szCs w:val="30"/>
          <w:highlight w:val="none"/>
        </w:rPr>
        <w:t>环境保护</w:t>
      </w:r>
      <w:bookmarkEnd w:id="141"/>
      <w:bookmarkEnd w:id="142"/>
      <w:r>
        <w:rPr>
          <w:rFonts w:hint="eastAsia"/>
          <w:b/>
          <w:bCs/>
          <w:color w:val="auto"/>
          <w:sz w:val="28"/>
          <w:szCs w:val="30"/>
          <w:highlight w:val="none"/>
        </w:rPr>
        <w:t>：</w:t>
      </w:r>
      <w:r>
        <w:rPr>
          <w:rFonts w:hint="eastAsia" w:ascii="宋体" w:hAnsi="宋体" w:cs="宋体"/>
          <w:bCs/>
          <w:color w:val="auto"/>
          <w:highlight w:val="none"/>
        </w:rPr>
        <w:t>提交健康、安全、环境管理计划的份数和时间：</w:t>
      </w:r>
      <w:r>
        <w:rPr>
          <w:rFonts w:hint="eastAsia" w:ascii="宋体" w:hAnsi="宋体" w:cs="宋体"/>
          <w:bCs/>
          <w:color w:val="auto"/>
          <w:highlight w:val="none"/>
          <w:u w:val="single"/>
        </w:rPr>
        <w:t>开工前提交三份。</w:t>
      </w:r>
    </w:p>
    <w:p w14:paraId="6840F21C">
      <w:pPr>
        <w:widowControl/>
        <w:autoSpaceDE/>
        <w:autoSpaceDN/>
        <w:snapToGrid w:val="0"/>
        <w:spacing w:line="440" w:lineRule="exact"/>
        <w:ind w:firstLine="562" w:firstLineChars="200"/>
        <w:jc w:val="both"/>
        <w:rPr>
          <w:rFonts w:hint="eastAsia" w:ascii="仿宋_GB2312" w:hAnsi="仿宋_GB2312" w:eastAsia="仿宋"/>
          <w:b/>
          <w:bCs/>
          <w:color w:val="auto"/>
          <w:sz w:val="28"/>
          <w:szCs w:val="30"/>
          <w:highlight w:val="none"/>
          <w:u w:val="single"/>
        </w:rPr>
      </w:pPr>
      <w:r>
        <w:rPr>
          <w:rFonts w:hint="eastAsia" w:ascii="仿宋_GB2312" w:hAnsi="仿宋_GB2312" w:eastAsia="仿宋"/>
          <w:b/>
          <w:bCs/>
          <w:color w:val="auto"/>
          <w:sz w:val="28"/>
          <w:szCs w:val="30"/>
          <w:highlight w:val="none"/>
          <w:u w:val="single"/>
        </w:rPr>
        <w:t>事故处理</w:t>
      </w:r>
    </w:p>
    <w:p w14:paraId="1E94FE2E">
      <w:pPr>
        <w:widowControl/>
        <w:autoSpaceDE/>
        <w:autoSpaceDN/>
        <w:snapToGrid w:val="0"/>
        <w:spacing w:line="440" w:lineRule="exact"/>
        <w:ind w:firstLine="480" w:firstLineChars="200"/>
        <w:jc w:val="both"/>
        <w:rPr>
          <w:rFonts w:ascii="宋体" w:cs="宋体"/>
          <w:color w:val="auto"/>
          <w:highlight w:val="none"/>
          <w:u w:val="single"/>
        </w:rPr>
      </w:pPr>
      <w:r>
        <w:rPr>
          <w:rFonts w:hint="eastAsia" w:ascii="宋体" w:hAnsi="宋体" w:cs="宋体"/>
          <w:color w:val="auto"/>
          <w:highlight w:val="none"/>
          <w:u w:val="single"/>
        </w:rPr>
        <w:t>（</w:t>
      </w:r>
      <w:r>
        <w:rPr>
          <w:rFonts w:ascii="宋体" w:hAnsi="宋体" w:cs="宋体"/>
          <w:color w:val="auto"/>
          <w:highlight w:val="none"/>
          <w:u w:val="single"/>
        </w:rPr>
        <w:t>1</w:t>
      </w:r>
      <w:r>
        <w:rPr>
          <w:rFonts w:hint="eastAsia" w:ascii="宋体" w:hAnsi="宋体" w:cs="宋体"/>
          <w:color w:val="auto"/>
          <w:highlight w:val="none"/>
          <w:u w:val="single"/>
        </w:rPr>
        <w:t>）发包人负责组织参建单位制定本工程的质量与安全事故应急预案，建立质量与安全事故应急预案，建立质量与安全事故应急处置指挥部。</w:t>
      </w:r>
    </w:p>
    <w:p w14:paraId="54E80021">
      <w:pPr>
        <w:widowControl/>
        <w:autoSpaceDE/>
        <w:autoSpaceDN/>
        <w:snapToGrid w:val="0"/>
        <w:spacing w:line="440" w:lineRule="exact"/>
        <w:ind w:firstLine="480" w:firstLineChars="200"/>
        <w:jc w:val="both"/>
        <w:rPr>
          <w:rFonts w:ascii="宋体" w:cs="宋体"/>
          <w:color w:val="auto"/>
          <w:highlight w:val="none"/>
          <w:u w:val="single"/>
        </w:rPr>
      </w:pPr>
      <w:r>
        <w:rPr>
          <w:rFonts w:hint="eastAsia" w:ascii="宋体" w:hAnsi="宋体" w:cs="宋体"/>
          <w:color w:val="auto"/>
          <w:highlight w:val="none"/>
          <w:u w:val="single"/>
        </w:rPr>
        <w:t>（</w:t>
      </w:r>
      <w:r>
        <w:rPr>
          <w:rFonts w:ascii="宋体" w:hAnsi="宋体" w:cs="宋体"/>
          <w:color w:val="auto"/>
          <w:highlight w:val="none"/>
          <w:u w:val="single"/>
        </w:rPr>
        <w:t>2</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u w:val="single"/>
        </w:rPr>
        <w:t>承包人应对施工现场易发生重大事故的部位、环节进行监控，配备救援器材、设备，并定期组织演练。</w:t>
      </w:r>
    </w:p>
    <w:p w14:paraId="6359CE86">
      <w:pPr>
        <w:widowControl/>
        <w:autoSpaceDE/>
        <w:autoSpaceDN/>
        <w:snapToGrid w:val="0"/>
        <w:spacing w:line="440" w:lineRule="exact"/>
        <w:ind w:firstLine="480" w:firstLineChars="200"/>
        <w:jc w:val="both"/>
        <w:rPr>
          <w:rFonts w:ascii="宋体" w:cs="宋体"/>
          <w:color w:val="auto"/>
          <w:highlight w:val="none"/>
          <w:u w:val="single"/>
        </w:rPr>
      </w:pPr>
      <w:r>
        <w:rPr>
          <w:rFonts w:hint="eastAsia" w:ascii="宋体" w:hAnsi="宋体" w:cs="宋体"/>
          <w:color w:val="auto"/>
          <w:highlight w:val="none"/>
          <w:u w:val="single"/>
        </w:rPr>
        <w:t>（</w:t>
      </w:r>
      <w:r>
        <w:rPr>
          <w:rFonts w:ascii="宋体" w:hAnsi="宋体" w:cs="宋体"/>
          <w:color w:val="auto"/>
          <w:highlight w:val="none"/>
          <w:u w:val="single"/>
        </w:rPr>
        <w:t>3</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u w:val="single"/>
        </w:rPr>
        <w:t>工程开工前，承包人应根据本工程的特点制定施工现场施工质量与安全事故应急预案，并报发包人备案。</w:t>
      </w:r>
    </w:p>
    <w:p w14:paraId="0754D109">
      <w:pPr>
        <w:widowControl/>
        <w:autoSpaceDE/>
        <w:autoSpaceDN/>
        <w:snapToGrid w:val="0"/>
        <w:spacing w:line="440" w:lineRule="exact"/>
        <w:ind w:firstLine="480" w:firstLineChars="200"/>
        <w:jc w:val="both"/>
        <w:rPr>
          <w:color w:val="auto"/>
          <w:highlight w:val="none"/>
          <w:u w:val="single"/>
        </w:rPr>
      </w:pPr>
      <w:r>
        <w:rPr>
          <w:rFonts w:hint="eastAsia" w:ascii="宋体" w:hAnsi="宋体" w:cs="宋体"/>
          <w:color w:val="auto"/>
          <w:highlight w:val="none"/>
          <w:u w:val="single"/>
        </w:rPr>
        <w:t>（</w:t>
      </w:r>
      <w:r>
        <w:rPr>
          <w:rFonts w:ascii="宋体" w:hAnsi="宋体" w:cs="宋体"/>
          <w:color w:val="auto"/>
          <w:highlight w:val="none"/>
          <w:u w:val="single"/>
        </w:rPr>
        <w:t>4</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u w:val="single"/>
        </w:rPr>
        <w:t>施工过程中发生事故时，发包人、承包人应立即启动应急预案。</w:t>
      </w:r>
    </w:p>
    <w:p w14:paraId="5BE3FE64">
      <w:pPr>
        <w:spacing w:line="440" w:lineRule="exact"/>
        <w:ind w:firstLine="480" w:firstLineChars="200"/>
        <w:jc w:val="both"/>
        <w:rPr>
          <w:color w:val="auto"/>
          <w:highlight w:val="none"/>
        </w:rPr>
      </w:pPr>
      <w:r>
        <w:rPr>
          <w:color w:val="auto"/>
          <w:highlight w:val="none"/>
        </w:rPr>
        <w:t xml:space="preserve">7.6.3 </w:t>
      </w:r>
      <w:r>
        <w:rPr>
          <w:rFonts w:hint="eastAsia"/>
          <w:color w:val="auto"/>
          <w:highlight w:val="none"/>
        </w:rPr>
        <w:t>文明施工</w:t>
      </w:r>
    </w:p>
    <w:p w14:paraId="54A31E0A">
      <w:pPr>
        <w:spacing w:line="440" w:lineRule="exact"/>
        <w:ind w:firstLine="480" w:firstLineChars="200"/>
        <w:jc w:val="both"/>
        <w:rPr>
          <w:color w:val="auto"/>
          <w:highlight w:val="none"/>
        </w:rPr>
      </w:pPr>
      <w:r>
        <w:rPr>
          <w:rFonts w:hint="eastAsia"/>
          <w:color w:val="auto"/>
          <w:highlight w:val="none"/>
        </w:rPr>
        <w:t>合同当事人对文明施工的要求：</w:t>
      </w:r>
      <w:r>
        <w:rPr>
          <w:rFonts w:hint="eastAsia"/>
          <w:color w:val="auto"/>
          <w:highlight w:val="none"/>
          <w:u w:val="single"/>
        </w:rPr>
        <w:t>如因工程现场质量安全文明施工或人员未到岗等问题而被市级有关部门查实并通报的，每一次扣罚承包人工程款 2万元；被市政府查实并通报的，每一次扣罚承包人工程款5万元。承包人未按监理整改通知单进行整改或整改不力，导致该问题监理第二次签发整改通知的，每发生一起应向发包人支付违约金0.5万元。以上工程质量、施工进度等问题，在发包人三次书面通知后承包人仍未按发包人要求进行整改的，承包人应向发包人支付违约金5万，发包人有权单方终止合同及要求承包人承担全部违约责任。</w:t>
      </w:r>
    </w:p>
    <w:p w14:paraId="10C44C10">
      <w:pPr>
        <w:pStyle w:val="4"/>
        <w:rPr>
          <w:color w:val="auto"/>
          <w:highlight w:val="none"/>
        </w:rPr>
      </w:pPr>
      <w:r>
        <w:rPr>
          <w:color w:val="auto"/>
          <w:highlight w:val="none"/>
        </w:rPr>
        <w:t xml:space="preserve">7.9 </w:t>
      </w:r>
      <w:r>
        <w:rPr>
          <w:rFonts w:hint="eastAsia"/>
          <w:color w:val="auto"/>
          <w:highlight w:val="none"/>
        </w:rPr>
        <w:t>临时性公用设施</w:t>
      </w:r>
    </w:p>
    <w:p w14:paraId="55A6C0E7">
      <w:pPr>
        <w:spacing w:line="440" w:lineRule="exact"/>
        <w:ind w:firstLine="480" w:firstLineChars="200"/>
        <w:jc w:val="both"/>
        <w:rPr>
          <w:color w:val="auto"/>
          <w:highlight w:val="none"/>
        </w:rPr>
      </w:pPr>
      <w:r>
        <w:rPr>
          <w:rFonts w:hint="eastAsia"/>
          <w:color w:val="auto"/>
          <w:highlight w:val="none"/>
        </w:rPr>
        <w:t>关于临时性公用设施的特别约定：</w:t>
      </w:r>
      <w:r>
        <w:rPr>
          <w:color w:val="auto"/>
          <w:highlight w:val="none"/>
          <w:u w:val="single"/>
        </w:rPr>
        <w:t xml:space="preserve">                    </w:t>
      </w:r>
      <w:r>
        <w:rPr>
          <w:color w:val="auto"/>
          <w:highlight w:val="none"/>
        </w:rPr>
        <w:t xml:space="preserve"> </w:t>
      </w:r>
      <w:r>
        <w:rPr>
          <w:rFonts w:hint="eastAsia"/>
          <w:color w:val="auto"/>
          <w:highlight w:val="none"/>
        </w:rPr>
        <w:t>。</w:t>
      </w:r>
    </w:p>
    <w:p w14:paraId="79433582">
      <w:pPr>
        <w:pStyle w:val="4"/>
        <w:rPr>
          <w:color w:val="auto"/>
          <w:highlight w:val="none"/>
        </w:rPr>
      </w:pPr>
      <w:r>
        <w:rPr>
          <w:color w:val="auto"/>
          <w:highlight w:val="none"/>
        </w:rPr>
        <w:t xml:space="preserve">7.10 </w:t>
      </w:r>
      <w:r>
        <w:rPr>
          <w:rFonts w:hint="eastAsia"/>
          <w:color w:val="auto"/>
          <w:highlight w:val="none"/>
        </w:rPr>
        <w:t>现场安保</w:t>
      </w:r>
    </w:p>
    <w:p w14:paraId="2268A308">
      <w:pPr>
        <w:spacing w:line="440" w:lineRule="exact"/>
        <w:ind w:firstLine="480" w:firstLineChars="200"/>
        <w:jc w:val="both"/>
        <w:rPr>
          <w:color w:val="auto"/>
          <w:highlight w:val="none"/>
        </w:rPr>
      </w:pPr>
      <w:r>
        <w:rPr>
          <w:rFonts w:hint="eastAsia"/>
          <w:color w:val="auto"/>
          <w:highlight w:val="none"/>
        </w:rPr>
        <w:t>承包人现场安保义务的特别约定：</w:t>
      </w:r>
      <w:r>
        <w:rPr>
          <w:color w:val="auto"/>
          <w:highlight w:val="none"/>
          <w:u w:val="single"/>
        </w:rPr>
        <w:t xml:space="preserve">                    </w:t>
      </w:r>
      <w:r>
        <w:rPr>
          <w:color w:val="auto"/>
          <w:highlight w:val="none"/>
        </w:rPr>
        <w:t xml:space="preserve"> 。</w:t>
      </w:r>
    </w:p>
    <w:p w14:paraId="2343257A">
      <w:pPr>
        <w:pStyle w:val="3"/>
        <w:jc w:val="both"/>
        <w:rPr>
          <w:rFonts w:hint="eastAsia" w:ascii="宋体" w:hAnsi="宋体" w:cs="宋体"/>
          <w:color w:val="auto"/>
          <w:highlight w:val="none"/>
        </w:rPr>
      </w:pPr>
      <w:bookmarkStart w:id="143" w:name="_Toc54862339"/>
      <w:r>
        <w:rPr>
          <w:rFonts w:hint="eastAsia" w:ascii="宋体" w:hAnsi="宋体" w:cs="宋体"/>
          <w:color w:val="auto"/>
          <w:highlight w:val="none"/>
        </w:rPr>
        <w:t>第8条 工期和进度</w:t>
      </w:r>
      <w:bookmarkEnd w:id="143"/>
    </w:p>
    <w:p w14:paraId="62017C4E">
      <w:pPr>
        <w:pStyle w:val="4"/>
        <w:rPr>
          <w:color w:val="auto"/>
          <w:highlight w:val="none"/>
        </w:rPr>
      </w:pPr>
      <w:r>
        <w:rPr>
          <w:color w:val="auto"/>
          <w:highlight w:val="none"/>
        </w:rPr>
        <w:t xml:space="preserve">8.1 </w:t>
      </w:r>
      <w:r>
        <w:rPr>
          <w:rFonts w:hint="eastAsia"/>
          <w:color w:val="auto"/>
          <w:highlight w:val="none"/>
        </w:rPr>
        <w:t>开始工作</w:t>
      </w:r>
    </w:p>
    <w:p w14:paraId="6E0AA502">
      <w:pPr>
        <w:spacing w:line="440" w:lineRule="exact"/>
        <w:ind w:firstLine="480" w:firstLineChars="200"/>
        <w:jc w:val="both"/>
        <w:rPr>
          <w:color w:val="auto"/>
          <w:highlight w:val="none"/>
        </w:rPr>
      </w:pPr>
      <w:r>
        <w:rPr>
          <w:color w:val="auto"/>
          <w:highlight w:val="none"/>
        </w:rPr>
        <w:t xml:space="preserve">8.1.1 </w:t>
      </w:r>
      <w:r>
        <w:rPr>
          <w:rFonts w:hint="eastAsia"/>
          <w:color w:val="auto"/>
          <w:highlight w:val="none"/>
        </w:rPr>
        <w:t>开始准备工作：</w:t>
      </w:r>
      <w:r>
        <w:rPr>
          <w:rFonts w:hint="eastAsia"/>
          <w:color w:val="auto"/>
          <w:highlight w:val="none"/>
          <w:u w:val="single"/>
        </w:rPr>
        <w:t>承包人开始现场施工的工作条件：发包人提供施工用电接头，施工用水接口，移交已具备施工条件的施工场地。电讯线路的接入由承包人自行解</w:t>
      </w:r>
      <w:r>
        <w:rPr>
          <w:rFonts w:hint="eastAsia"/>
          <w:color w:val="auto"/>
          <w:highlight w:val="none"/>
        </w:rPr>
        <w:t>决。承包人开始现场施工的工作日期：监理工程师在开工日期7天前向承包人发出开工通知。承包人应在开工日期后尽快进场施工。</w:t>
      </w:r>
    </w:p>
    <w:p w14:paraId="2969346A">
      <w:pPr>
        <w:spacing w:line="440" w:lineRule="exact"/>
        <w:ind w:firstLine="480" w:firstLineChars="200"/>
        <w:jc w:val="both"/>
        <w:rPr>
          <w:color w:val="auto"/>
          <w:highlight w:val="none"/>
        </w:rPr>
      </w:pPr>
      <w:r>
        <w:rPr>
          <w:color w:val="auto"/>
          <w:highlight w:val="none"/>
        </w:rPr>
        <w:t xml:space="preserve">8.1.2 </w:t>
      </w:r>
      <w:r>
        <w:rPr>
          <w:rFonts w:hint="eastAsia"/>
          <w:color w:val="auto"/>
          <w:highlight w:val="none"/>
        </w:rPr>
        <w:t>发包人可在计划开始工作之日起</w:t>
      </w:r>
      <w:r>
        <w:rPr>
          <w:color w:val="auto"/>
          <w:highlight w:val="none"/>
        </w:rPr>
        <w:t>84</w:t>
      </w:r>
      <w:r>
        <w:rPr>
          <w:rFonts w:hint="eastAsia"/>
          <w:color w:val="auto"/>
          <w:highlight w:val="none"/>
        </w:rPr>
        <w:t>日后发出开始工作通知的特殊情形：</w:t>
      </w:r>
      <w:r>
        <w:rPr>
          <w:color w:val="auto"/>
          <w:highlight w:val="none"/>
          <w:u w:val="single"/>
        </w:rPr>
        <w:t xml:space="preserve">         </w:t>
      </w:r>
      <w:r>
        <w:rPr>
          <w:rFonts w:hint="eastAsia"/>
          <w:color w:val="auto"/>
          <w:highlight w:val="none"/>
        </w:rPr>
        <w:t>。</w:t>
      </w:r>
    </w:p>
    <w:p w14:paraId="440C958F">
      <w:pPr>
        <w:pStyle w:val="4"/>
        <w:rPr>
          <w:color w:val="auto"/>
          <w:highlight w:val="none"/>
        </w:rPr>
      </w:pPr>
      <w:r>
        <w:rPr>
          <w:color w:val="auto"/>
          <w:highlight w:val="none"/>
        </w:rPr>
        <w:t xml:space="preserve">8.2 </w:t>
      </w:r>
      <w:r>
        <w:rPr>
          <w:rFonts w:hint="eastAsia"/>
          <w:color w:val="auto"/>
          <w:highlight w:val="none"/>
        </w:rPr>
        <w:t>竣工日期</w:t>
      </w:r>
    </w:p>
    <w:p w14:paraId="31D25AA1">
      <w:pPr>
        <w:spacing w:line="440" w:lineRule="exact"/>
        <w:ind w:firstLine="480" w:firstLineChars="200"/>
        <w:jc w:val="both"/>
        <w:rPr>
          <w:color w:val="auto"/>
          <w:highlight w:val="none"/>
        </w:rPr>
      </w:pPr>
      <w:r>
        <w:rPr>
          <w:rFonts w:hint="eastAsia"/>
          <w:color w:val="auto"/>
          <w:highlight w:val="none"/>
        </w:rPr>
        <w:t>竣工日期的约定：</w:t>
      </w:r>
      <w:r>
        <w:rPr>
          <w:color w:val="auto"/>
          <w:highlight w:val="none"/>
          <w:u w:val="single"/>
        </w:rPr>
        <w:t xml:space="preserve">                                 </w:t>
      </w:r>
      <w:r>
        <w:rPr>
          <w:rFonts w:hint="eastAsia"/>
          <w:color w:val="auto"/>
          <w:highlight w:val="none"/>
        </w:rPr>
        <w:t>。</w:t>
      </w:r>
    </w:p>
    <w:p w14:paraId="6DEB977F">
      <w:pPr>
        <w:pStyle w:val="4"/>
        <w:rPr>
          <w:color w:val="auto"/>
          <w:highlight w:val="none"/>
        </w:rPr>
      </w:pPr>
      <w:r>
        <w:rPr>
          <w:color w:val="auto"/>
          <w:highlight w:val="none"/>
        </w:rPr>
        <w:t xml:space="preserve">8.3 </w:t>
      </w:r>
      <w:r>
        <w:rPr>
          <w:rFonts w:hint="eastAsia"/>
          <w:color w:val="auto"/>
          <w:highlight w:val="none"/>
        </w:rPr>
        <w:t>项目实施计划</w:t>
      </w:r>
    </w:p>
    <w:p w14:paraId="021FC825">
      <w:pPr>
        <w:spacing w:line="440" w:lineRule="exact"/>
        <w:ind w:firstLine="480" w:firstLineChars="200"/>
        <w:jc w:val="both"/>
        <w:rPr>
          <w:color w:val="auto"/>
          <w:highlight w:val="none"/>
        </w:rPr>
      </w:pPr>
      <w:r>
        <w:rPr>
          <w:color w:val="auto"/>
          <w:highlight w:val="none"/>
        </w:rPr>
        <w:t xml:space="preserve">8.3.1 </w:t>
      </w:r>
      <w:r>
        <w:rPr>
          <w:rFonts w:hint="eastAsia"/>
          <w:color w:val="auto"/>
          <w:highlight w:val="none"/>
        </w:rPr>
        <w:t>项目实施计划的内容</w:t>
      </w:r>
    </w:p>
    <w:p w14:paraId="184DE13A">
      <w:pPr>
        <w:spacing w:line="440" w:lineRule="exact"/>
        <w:ind w:firstLine="480" w:firstLineChars="200"/>
        <w:jc w:val="both"/>
        <w:rPr>
          <w:color w:val="auto"/>
          <w:highlight w:val="none"/>
        </w:rPr>
      </w:pPr>
      <w:r>
        <w:rPr>
          <w:rFonts w:hint="eastAsia"/>
          <w:color w:val="auto"/>
          <w:highlight w:val="none"/>
        </w:rPr>
        <w:t>项目实施计划的内容：</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p>
    <w:p w14:paraId="7EC620DF">
      <w:pPr>
        <w:spacing w:line="440" w:lineRule="exact"/>
        <w:ind w:firstLine="480" w:firstLineChars="200"/>
        <w:jc w:val="both"/>
        <w:rPr>
          <w:color w:val="auto"/>
          <w:highlight w:val="none"/>
        </w:rPr>
      </w:pPr>
      <w:r>
        <w:rPr>
          <w:color w:val="auto"/>
          <w:highlight w:val="none"/>
        </w:rPr>
        <w:t xml:space="preserve">8.3.2 </w:t>
      </w:r>
      <w:r>
        <w:rPr>
          <w:rFonts w:hint="eastAsia"/>
          <w:color w:val="auto"/>
          <w:highlight w:val="none"/>
        </w:rPr>
        <w:t>项目实施计划的提交和修改</w:t>
      </w:r>
    </w:p>
    <w:p w14:paraId="11E801B4">
      <w:pPr>
        <w:spacing w:line="440" w:lineRule="exact"/>
        <w:ind w:firstLine="480" w:firstLineChars="200"/>
        <w:jc w:val="both"/>
        <w:rPr>
          <w:color w:val="auto"/>
          <w:highlight w:val="none"/>
        </w:rPr>
      </w:pPr>
      <w:r>
        <w:rPr>
          <w:rFonts w:hint="eastAsia"/>
          <w:color w:val="auto"/>
          <w:highlight w:val="none"/>
        </w:rPr>
        <w:t>项目实施计划的提交及修改期限：</w:t>
      </w:r>
      <w:r>
        <w:rPr>
          <w:color w:val="auto"/>
          <w:highlight w:val="none"/>
          <w:u w:val="single"/>
        </w:rPr>
        <w:t xml:space="preserve">                   </w:t>
      </w:r>
      <w:r>
        <w:rPr>
          <w:color w:val="auto"/>
          <w:highlight w:val="none"/>
        </w:rPr>
        <w:t xml:space="preserve"> </w:t>
      </w:r>
      <w:r>
        <w:rPr>
          <w:rFonts w:hint="eastAsia"/>
          <w:color w:val="auto"/>
          <w:highlight w:val="none"/>
        </w:rPr>
        <w:t>。</w:t>
      </w:r>
    </w:p>
    <w:p w14:paraId="0C95FF15">
      <w:pPr>
        <w:pStyle w:val="4"/>
        <w:rPr>
          <w:color w:val="auto"/>
          <w:highlight w:val="none"/>
        </w:rPr>
      </w:pPr>
      <w:r>
        <w:rPr>
          <w:color w:val="auto"/>
          <w:highlight w:val="none"/>
        </w:rPr>
        <w:t xml:space="preserve">8.4 </w:t>
      </w:r>
      <w:r>
        <w:rPr>
          <w:rFonts w:hint="eastAsia"/>
          <w:color w:val="auto"/>
          <w:highlight w:val="none"/>
        </w:rPr>
        <w:t>项目进度计划</w:t>
      </w:r>
    </w:p>
    <w:p w14:paraId="71676DF1">
      <w:pPr>
        <w:spacing w:line="440" w:lineRule="exact"/>
        <w:ind w:firstLine="480" w:firstLineChars="200"/>
        <w:jc w:val="both"/>
        <w:rPr>
          <w:color w:val="auto"/>
          <w:highlight w:val="none"/>
        </w:rPr>
      </w:pPr>
      <w:r>
        <w:rPr>
          <w:color w:val="auto"/>
          <w:highlight w:val="none"/>
        </w:rPr>
        <w:t xml:space="preserve">8.4.1 </w:t>
      </w:r>
      <w:r>
        <w:rPr>
          <w:rFonts w:hint="eastAsia"/>
          <w:color w:val="auto"/>
          <w:highlight w:val="none"/>
        </w:rPr>
        <w:t>工程师在收到进度计划后确认或提出修改意见的期限：</w:t>
      </w:r>
      <w:r>
        <w:rPr>
          <w:color w:val="auto"/>
          <w:highlight w:val="none"/>
          <w:u w:val="single"/>
        </w:rPr>
        <w:t xml:space="preserve">                                                 </w:t>
      </w:r>
      <w:r>
        <w:rPr>
          <w:color w:val="auto"/>
          <w:highlight w:val="none"/>
        </w:rPr>
        <w:t xml:space="preserve"> </w:t>
      </w:r>
      <w:r>
        <w:rPr>
          <w:rFonts w:hint="eastAsia"/>
          <w:color w:val="auto"/>
          <w:highlight w:val="none"/>
        </w:rPr>
        <w:t>。</w:t>
      </w:r>
    </w:p>
    <w:p w14:paraId="27F1A1ED">
      <w:pPr>
        <w:spacing w:line="440" w:lineRule="exact"/>
        <w:ind w:firstLine="480" w:firstLineChars="200"/>
        <w:jc w:val="both"/>
        <w:rPr>
          <w:color w:val="auto"/>
          <w:highlight w:val="none"/>
        </w:rPr>
      </w:pPr>
      <w:r>
        <w:rPr>
          <w:color w:val="auto"/>
          <w:highlight w:val="none"/>
        </w:rPr>
        <w:t xml:space="preserve">8.4.2 </w:t>
      </w:r>
      <w:r>
        <w:rPr>
          <w:rFonts w:hint="eastAsia"/>
          <w:color w:val="auto"/>
          <w:highlight w:val="none"/>
        </w:rPr>
        <w:t>进度计划的具体要求：</w:t>
      </w:r>
      <w:r>
        <w:rPr>
          <w:color w:val="auto"/>
          <w:highlight w:val="none"/>
          <w:u w:val="single"/>
        </w:rPr>
        <w:t xml:space="preserve">                        </w:t>
      </w:r>
      <w:r>
        <w:rPr>
          <w:rFonts w:hint="eastAsia"/>
          <w:color w:val="auto"/>
          <w:highlight w:val="none"/>
        </w:rPr>
        <w:t>。</w:t>
      </w:r>
    </w:p>
    <w:p w14:paraId="7BDDBFCF">
      <w:pPr>
        <w:spacing w:line="440" w:lineRule="exact"/>
        <w:ind w:firstLine="480" w:firstLineChars="200"/>
        <w:jc w:val="both"/>
        <w:rPr>
          <w:color w:val="auto"/>
          <w:highlight w:val="none"/>
        </w:rPr>
      </w:pPr>
      <w:r>
        <w:rPr>
          <w:rFonts w:hint="eastAsia"/>
          <w:color w:val="auto"/>
          <w:highlight w:val="none"/>
        </w:rPr>
        <w:t>关键路径及关键路径变化的确定原则：</w:t>
      </w:r>
      <w:r>
        <w:rPr>
          <w:color w:val="auto"/>
          <w:highlight w:val="none"/>
          <w:u w:val="single"/>
        </w:rPr>
        <w:t xml:space="preserve">                 </w:t>
      </w:r>
      <w:r>
        <w:rPr>
          <w:rFonts w:hint="eastAsia"/>
          <w:color w:val="auto"/>
          <w:highlight w:val="none"/>
        </w:rPr>
        <w:t>。</w:t>
      </w:r>
    </w:p>
    <w:p w14:paraId="051469AE">
      <w:pPr>
        <w:spacing w:line="440" w:lineRule="exact"/>
        <w:ind w:firstLine="480" w:firstLineChars="200"/>
        <w:jc w:val="both"/>
        <w:rPr>
          <w:color w:val="auto"/>
          <w:highlight w:val="none"/>
        </w:rPr>
      </w:pPr>
      <w:r>
        <w:rPr>
          <w:rFonts w:hint="eastAsia"/>
          <w:color w:val="auto"/>
          <w:highlight w:val="none"/>
        </w:rPr>
        <w:t>承包人提交项目进度计划的份数和时间：</w:t>
      </w:r>
      <w:r>
        <w:rPr>
          <w:color w:val="auto"/>
          <w:highlight w:val="none"/>
          <w:u w:val="single"/>
        </w:rPr>
        <w:t xml:space="preserve">              </w:t>
      </w:r>
      <w:r>
        <w:rPr>
          <w:color w:val="auto"/>
          <w:highlight w:val="none"/>
        </w:rPr>
        <w:t xml:space="preserve"> </w:t>
      </w:r>
      <w:r>
        <w:rPr>
          <w:rFonts w:hint="eastAsia"/>
          <w:color w:val="auto"/>
          <w:highlight w:val="none"/>
        </w:rPr>
        <w:t>。</w:t>
      </w:r>
    </w:p>
    <w:p w14:paraId="7B26E6E3">
      <w:pPr>
        <w:spacing w:line="440" w:lineRule="exact"/>
        <w:ind w:firstLine="480" w:firstLineChars="200"/>
        <w:jc w:val="both"/>
        <w:rPr>
          <w:color w:val="auto"/>
          <w:highlight w:val="none"/>
        </w:rPr>
      </w:pPr>
      <w:r>
        <w:rPr>
          <w:color w:val="auto"/>
          <w:highlight w:val="none"/>
        </w:rPr>
        <w:t xml:space="preserve">8.4.3 </w:t>
      </w:r>
      <w:r>
        <w:rPr>
          <w:rFonts w:hint="eastAsia"/>
          <w:color w:val="auto"/>
          <w:highlight w:val="none"/>
        </w:rPr>
        <w:t>进度计划的修订</w:t>
      </w:r>
    </w:p>
    <w:p w14:paraId="1E7498E3">
      <w:pPr>
        <w:spacing w:line="440" w:lineRule="exact"/>
        <w:ind w:firstLine="480" w:firstLineChars="200"/>
        <w:jc w:val="both"/>
        <w:rPr>
          <w:color w:val="auto"/>
          <w:highlight w:val="none"/>
        </w:rPr>
      </w:pPr>
      <w:r>
        <w:rPr>
          <w:rFonts w:hint="eastAsia"/>
          <w:color w:val="auto"/>
          <w:highlight w:val="none"/>
        </w:rPr>
        <w:t>承包人提交修订</w:t>
      </w:r>
      <w:r>
        <w:rPr>
          <w:color w:val="auto"/>
          <w:highlight w:val="none"/>
        </w:rPr>
        <w:t>项目进度计划</w:t>
      </w:r>
      <w:r>
        <w:rPr>
          <w:rFonts w:hint="eastAsia"/>
          <w:color w:val="auto"/>
          <w:highlight w:val="none"/>
        </w:rPr>
        <w:t>申请报告的期限：</w:t>
      </w:r>
      <w:r>
        <w:rPr>
          <w:color w:val="auto"/>
          <w:highlight w:val="none"/>
          <w:u w:val="single"/>
        </w:rPr>
        <w:t xml:space="preserve">         </w:t>
      </w:r>
      <w:r>
        <w:rPr>
          <w:rFonts w:hint="eastAsia"/>
          <w:color w:val="auto"/>
          <w:highlight w:val="none"/>
        </w:rPr>
        <w:t>。</w:t>
      </w:r>
    </w:p>
    <w:p w14:paraId="7A1A1135">
      <w:pPr>
        <w:spacing w:line="440" w:lineRule="exact"/>
        <w:ind w:firstLine="480" w:firstLineChars="200"/>
        <w:jc w:val="both"/>
        <w:rPr>
          <w:color w:val="auto"/>
          <w:highlight w:val="none"/>
        </w:rPr>
      </w:pPr>
      <w:r>
        <w:rPr>
          <w:rFonts w:hint="eastAsia"/>
          <w:color w:val="auto"/>
          <w:highlight w:val="none"/>
        </w:rPr>
        <w:t>发包人批复修订</w:t>
      </w:r>
      <w:r>
        <w:rPr>
          <w:color w:val="auto"/>
          <w:highlight w:val="none"/>
        </w:rPr>
        <w:t>项目进度计划</w:t>
      </w:r>
      <w:r>
        <w:rPr>
          <w:rFonts w:hint="eastAsia"/>
          <w:color w:val="auto"/>
          <w:highlight w:val="none"/>
        </w:rPr>
        <w:t>申请报告的期限：</w:t>
      </w:r>
      <w:r>
        <w:rPr>
          <w:color w:val="auto"/>
          <w:highlight w:val="none"/>
          <w:u w:val="single"/>
        </w:rPr>
        <w:t xml:space="preserve">        </w:t>
      </w:r>
      <w:r>
        <w:rPr>
          <w:color w:val="auto"/>
          <w:highlight w:val="none"/>
        </w:rPr>
        <w:t xml:space="preserve"> </w:t>
      </w:r>
      <w:r>
        <w:rPr>
          <w:rFonts w:hint="eastAsia"/>
          <w:color w:val="auto"/>
          <w:highlight w:val="none"/>
        </w:rPr>
        <w:t>。</w:t>
      </w:r>
    </w:p>
    <w:p w14:paraId="551308CD">
      <w:pPr>
        <w:spacing w:line="440" w:lineRule="exact"/>
        <w:ind w:firstLine="480" w:firstLineChars="200"/>
        <w:jc w:val="both"/>
        <w:rPr>
          <w:color w:val="auto"/>
          <w:highlight w:val="none"/>
        </w:rPr>
      </w:pPr>
      <w:r>
        <w:rPr>
          <w:rFonts w:hint="eastAsia"/>
          <w:color w:val="auto"/>
          <w:highlight w:val="none"/>
        </w:rPr>
        <w:t>承包人答复发包人提出修订合同计划的期限：</w:t>
      </w:r>
      <w:r>
        <w:rPr>
          <w:color w:val="auto"/>
          <w:highlight w:val="none"/>
          <w:u w:val="single"/>
        </w:rPr>
        <w:t xml:space="preserve">          </w:t>
      </w:r>
      <w:r>
        <w:rPr>
          <w:color w:val="auto"/>
          <w:highlight w:val="none"/>
        </w:rPr>
        <w:t xml:space="preserve"> </w:t>
      </w:r>
      <w:r>
        <w:rPr>
          <w:rFonts w:hint="eastAsia"/>
          <w:color w:val="auto"/>
          <w:highlight w:val="none"/>
        </w:rPr>
        <w:t>。</w:t>
      </w:r>
    </w:p>
    <w:p w14:paraId="564585B3">
      <w:pPr>
        <w:pStyle w:val="4"/>
        <w:rPr>
          <w:color w:val="auto"/>
          <w:highlight w:val="none"/>
        </w:rPr>
      </w:pPr>
      <w:r>
        <w:rPr>
          <w:color w:val="auto"/>
          <w:highlight w:val="none"/>
        </w:rPr>
        <w:t xml:space="preserve">8.5 </w:t>
      </w:r>
      <w:r>
        <w:rPr>
          <w:rFonts w:hint="eastAsia"/>
          <w:color w:val="auto"/>
          <w:highlight w:val="none"/>
        </w:rPr>
        <w:t>进度报告</w:t>
      </w:r>
    </w:p>
    <w:p w14:paraId="44270D14">
      <w:pPr>
        <w:spacing w:line="440" w:lineRule="exact"/>
        <w:ind w:firstLine="480" w:firstLineChars="200"/>
        <w:jc w:val="both"/>
        <w:rPr>
          <w:color w:val="auto"/>
          <w:highlight w:val="none"/>
        </w:rPr>
      </w:pPr>
      <w:r>
        <w:rPr>
          <w:rFonts w:hint="eastAsia"/>
          <w:color w:val="auto"/>
          <w:highlight w:val="none"/>
        </w:rPr>
        <w:t>进度报告的具体要求：</w:t>
      </w:r>
      <w:r>
        <w:rPr>
          <w:color w:val="auto"/>
          <w:highlight w:val="none"/>
          <w:u w:val="single"/>
        </w:rPr>
        <w:t xml:space="preserve">                            </w:t>
      </w:r>
      <w:r>
        <w:rPr>
          <w:color w:val="auto"/>
          <w:highlight w:val="none"/>
        </w:rPr>
        <w:t xml:space="preserve">  </w:t>
      </w:r>
      <w:r>
        <w:rPr>
          <w:rFonts w:hint="eastAsia"/>
          <w:color w:val="auto"/>
          <w:highlight w:val="none"/>
        </w:rPr>
        <w:t>。</w:t>
      </w:r>
    </w:p>
    <w:p w14:paraId="292D8512">
      <w:pPr>
        <w:pStyle w:val="4"/>
        <w:rPr>
          <w:color w:val="auto"/>
          <w:highlight w:val="none"/>
        </w:rPr>
      </w:pPr>
      <w:r>
        <w:rPr>
          <w:color w:val="auto"/>
          <w:highlight w:val="none"/>
        </w:rPr>
        <w:t xml:space="preserve">8.7 </w:t>
      </w:r>
      <w:r>
        <w:rPr>
          <w:rFonts w:hint="eastAsia"/>
          <w:color w:val="auto"/>
          <w:highlight w:val="none"/>
        </w:rPr>
        <w:t>工期延误</w:t>
      </w:r>
    </w:p>
    <w:p w14:paraId="5256BDFB">
      <w:pPr>
        <w:spacing w:line="440" w:lineRule="exact"/>
        <w:ind w:firstLine="480" w:firstLineChars="200"/>
        <w:jc w:val="both"/>
        <w:rPr>
          <w:color w:val="auto"/>
          <w:highlight w:val="none"/>
        </w:rPr>
      </w:pPr>
      <w:r>
        <w:rPr>
          <w:rFonts w:hint="eastAsia"/>
          <w:color w:val="auto"/>
          <w:highlight w:val="none"/>
        </w:rPr>
        <w:t>8.7.1 因发包人原因导致工期延误</w:t>
      </w:r>
    </w:p>
    <w:p w14:paraId="64C33A19">
      <w:pPr>
        <w:spacing w:line="440" w:lineRule="exact"/>
        <w:ind w:firstLine="480" w:firstLineChars="200"/>
        <w:jc w:val="both"/>
        <w:rPr>
          <w:color w:val="auto"/>
          <w:highlight w:val="none"/>
        </w:rPr>
      </w:pPr>
      <w:r>
        <w:rPr>
          <w:rFonts w:hint="eastAsia"/>
          <w:color w:val="auto"/>
          <w:highlight w:val="none"/>
        </w:rPr>
        <w:t>发包人造成工期延误的其他原因：承包人必须考虑自备发电机以备应急之需，保证工程进度。原则上，发包人不接受承包人提出延长工期的申请，如非承包人原因造成的连续停水、停电超过48小时的，经发包人核实并书面确认的，工期顺延，但以上所涉及的所有费用均由承包人承担。</w:t>
      </w:r>
    </w:p>
    <w:p w14:paraId="3098AAD9">
      <w:pPr>
        <w:spacing w:line="440" w:lineRule="exact"/>
        <w:ind w:firstLine="480" w:firstLineChars="200"/>
        <w:jc w:val="both"/>
        <w:rPr>
          <w:color w:val="auto"/>
          <w:highlight w:val="none"/>
        </w:rPr>
      </w:pPr>
      <w:r>
        <w:rPr>
          <w:rFonts w:hint="eastAsia"/>
          <w:color w:val="auto"/>
          <w:highlight w:val="none"/>
        </w:rPr>
        <w:t>工程延期的审批：</w:t>
      </w:r>
    </w:p>
    <w:p w14:paraId="6BDF1188">
      <w:pPr>
        <w:spacing w:line="440" w:lineRule="exact"/>
        <w:ind w:firstLine="480" w:firstLineChars="200"/>
        <w:jc w:val="both"/>
        <w:rPr>
          <w:color w:val="auto"/>
          <w:highlight w:val="none"/>
        </w:rPr>
      </w:pPr>
      <w:r>
        <w:rPr>
          <w:rFonts w:hint="eastAsia"/>
          <w:color w:val="auto"/>
          <w:highlight w:val="none"/>
        </w:rPr>
        <w:t>a.必须是非承包人自身的原因造成的工期延误,发包人才可以考虑是否受理承包人的延期申请；</w:t>
      </w:r>
    </w:p>
    <w:p w14:paraId="67B09247">
      <w:pPr>
        <w:spacing w:line="440" w:lineRule="exact"/>
        <w:ind w:firstLine="480" w:firstLineChars="200"/>
        <w:jc w:val="both"/>
        <w:rPr>
          <w:color w:val="auto"/>
          <w:highlight w:val="none"/>
        </w:rPr>
      </w:pPr>
      <w:r>
        <w:rPr>
          <w:rFonts w:hint="eastAsia"/>
          <w:color w:val="auto"/>
          <w:highlight w:val="none"/>
        </w:rPr>
        <w:t>b.若只是局部工程受到影响，承包人应采取措施予以弥补，而不能推迟工程的总工期；</w:t>
      </w:r>
    </w:p>
    <w:p w14:paraId="7BE8A201">
      <w:pPr>
        <w:spacing w:line="440" w:lineRule="exact"/>
        <w:ind w:firstLine="480" w:firstLineChars="200"/>
        <w:jc w:val="both"/>
        <w:rPr>
          <w:color w:val="auto"/>
          <w:highlight w:val="none"/>
        </w:rPr>
      </w:pPr>
      <w:r>
        <w:rPr>
          <w:rFonts w:hint="eastAsia"/>
          <w:color w:val="auto"/>
          <w:highlight w:val="none"/>
        </w:rPr>
        <w:t>c.延期工程项目如果不在工程施工进度网络计划的关键线路上，即使是关键工序但不在关键线路上的，发包人也不考虑延长工程总工期。</w:t>
      </w:r>
    </w:p>
    <w:p w14:paraId="269BF601">
      <w:pPr>
        <w:spacing w:line="440" w:lineRule="exact"/>
        <w:ind w:firstLine="480" w:firstLineChars="200"/>
        <w:jc w:val="both"/>
        <w:rPr>
          <w:color w:val="auto"/>
          <w:highlight w:val="none"/>
        </w:rPr>
      </w:pPr>
      <w:r>
        <w:rPr>
          <w:color w:val="auto"/>
          <w:highlight w:val="none"/>
        </w:rPr>
        <w:t xml:space="preserve">8.7.2 </w:t>
      </w:r>
      <w:r>
        <w:rPr>
          <w:rFonts w:hint="eastAsia"/>
          <w:color w:val="auto"/>
          <w:highlight w:val="none"/>
        </w:rPr>
        <w:t>因承包人原因导致工期延误</w:t>
      </w:r>
    </w:p>
    <w:p w14:paraId="48393EBB">
      <w:pPr>
        <w:spacing w:line="440" w:lineRule="exact"/>
        <w:ind w:firstLine="480" w:firstLineChars="200"/>
        <w:jc w:val="both"/>
        <w:rPr>
          <w:color w:val="auto"/>
          <w:highlight w:val="none"/>
        </w:rPr>
      </w:pPr>
      <w:r>
        <w:rPr>
          <w:rFonts w:hint="eastAsia"/>
          <w:color w:val="auto"/>
          <w:highlight w:val="none"/>
        </w:rPr>
        <w:t>因承包人原因使竣工日期（或工期）延误，每延误1日的误期赔偿金额为合同协议书的合同价格的</w:t>
      </w:r>
      <w:r>
        <w:rPr>
          <w:rFonts w:hint="eastAsia"/>
          <w:color w:val="auto"/>
          <w:highlight w:val="none"/>
          <w:u w:val="single"/>
        </w:rPr>
        <w:t>0.3/%</w:t>
      </w:r>
      <w:r>
        <w:rPr>
          <w:rFonts w:hint="eastAsia"/>
          <w:strike/>
          <w:color w:val="auto"/>
          <w:highlight w:val="none"/>
        </w:rPr>
        <w:t>或人民币金额为：</w:t>
      </w:r>
      <w:r>
        <w:rPr>
          <w:rFonts w:hint="eastAsia"/>
          <w:b/>
          <w:bCs/>
          <w:strike/>
          <w:color w:val="auto"/>
          <w:highlight w:val="none"/>
          <w:u w:val="single"/>
        </w:rPr>
        <w:t>2万元</w:t>
      </w:r>
      <w:r>
        <w:rPr>
          <w:color w:val="auto"/>
          <w:highlight w:val="none"/>
        </w:rPr>
        <w:t xml:space="preserve"> </w:t>
      </w:r>
      <w:r>
        <w:rPr>
          <w:rFonts w:hint="eastAsia"/>
          <w:color w:val="auto"/>
          <w:highlight w:val="none"/>
        </w:rPr>
        <w:t>、累计最高赔偿金额为合同协议书的合同价格的：</w:t>
      </w:r>
      <w:r>
        <w:rPr>
          <w:rFonts w:hint="eastAsia"/>
          <w:color w:val="auto"/>
          <w:highlight w:val="none"/>
          <w:u w:val="single"/>
        </w:rPr>
        <w:t>30/</w:t>
      </w:r>
      <w:r>
        <w:rPr>
          <w:color w:val="auto"/>
          <w:highlight w:val="none"/>
          <w:u w:val="single"/>
        </w:rPr>
        <w:t xml:space="preserve"> </w:t>
      </w:r>
      <w:r>
        <w:rPr>
          <w:rFonts w:hint="eastAsia"/>
          <w:color w:val="auto"/>
          <w:highlight w:val="none"/>
          <w:u w:val="single"/>
        </w:rPr>
        <w:t>%</w:t>
      </w:r>
      <w:r>
        <w:rPr>
          <w:rFonts w:hint="eastAsia"/>
          <w:strike/>
          <w:color w:val="auto"/>
          <w:highlight w:val="none"/>
        </w:rPr>
        <w:t>或人民币金额为：</w:t>
      </w:r>
      <w:r>
        <w:rPr>
          <w:strike/>
          <w:color w:val="auto"/>
          <w:highlight w:val="none"/>
          <w:u w:val="single"/>
        </w:rPr>
        <w:t xml:space="preserve"> </w:t>
      </w:r>
      <w:r>
        <w:rPr>
          <w:rFonts w:hint="eastAsia"/>
          <w:strike/>
          <w:color w:val="auto"/>
          <w:highlight w:val="none"/>
          <w:u w:val="single"/>
        </w:rPr>
        <w:t>/</w:t>
      </w:r>
      <w:r>
        <w:rPr>
          <w:strike/>
          <w:color w:val="auto"/>
          <w:highlight w:val="none"/>
          <w:u w:val="single"/>
        </w:rPr>
        <w:t xml:space="preserve"> </w:t>
      </w:r>
      <w:r>
        <w:rPr>
          <w:rFonts w:hint="eastAsia"/>
          <w:strike/>
          <w:color w:val="auto"/>
          <w:highlight w:val="none"/>
        </w:rPr>
        <w:t>。</w:t>
      </w:r>
    </w:p>
    <w:p w14:paraId="572878E1">
      <w:pPr>
        <w:spacing w:line="440" w:lineRule="exact"/>
        <w:ind w:firstLine="480" w:firstLineChars="200"/>
        <w:jc w:val="both"/>
        <w:rPr>
          <w:color w:val="auto"/>
          <w:highlight w:val="none"/>
        </w:rPr>
      </w:pPr>
      <w:r>
        <w:rPr>
          <w:color w:val="auto"/>
          <w:highlight w:val="none"/>
        </w:rPr>
        <w:t xml:space="preserve">8.7.3 </w:t>
      </w:r>
      <w:r>
        <w:rPr>
          <w:rFonts w:hint="eastAsia"/>
          <w:color w:val="auto"/>
          <w:highlight w:val="none"/>
        </w:rPr>
        <w:t>行政审批迟延</w:t>
      </w:r>
    </w:p>
    <w:p w14:paraId="46B22DA0">
      <w:pPr>
        <w:spacing w:line="440" w:lineRule="exact"/>
        <w:ind w:firstLine="480" w:firstLineChars="200"/>
        <w:jc w:val="both"/>
        <w:rPr>
          <w:color w:val="auto"/>
          <w:highlight w:val="none"/>
        </w:rPr>
      </w:pPr>
      <w:r>
        <w:rPr>
          <w:rFonts w:hint="eastAsia"/>
          <w:color w:val="auto"/>
          <w:highlight w:val="none"/>
        </w:rPr>
        <w:t>行政审批报送的职责分工：</w:t>
      </w:r>
      <w:r>
        <w:rPr>
          <w:color w:val="auto"/>
          <w:highlight w:val="none"/>
          <w:u w:val="single"/>
        </w:rPr>
        <w:t xml:space="preserve">                         </w:t>
      </w:r>
      <w:r>
        <w:rPr>
          <w:color w:val="auto"/>
          <w:highlight w:val="none"/>
        </w:rPr>
        <w:t xml:space="preserve"> </w:t>
      </w:r>
      <w:r>
        <w:rPr>
          <w:rFonts w:hint="eastAsia"/>
          <w:color w:val="auto"/>
          <w:highlight w:val="none"/>
        </w:rPr>
        <w:t>。</w:t>
      </w:r>
    </w:p>
    <w:p w14:paraId="3C8D1D74">
      <w:pPr>
        <w:spacing w:line="440" w:lineRule="exact"/>
        <w:ind w:firstLine="480" w:firstLineChars="200"/>
        <w:jc w:val="both"/>
        <w:rPr>
          <w:color w:val="auto"/>
          <w:highlight w:val="none"/>
        </w:rPr>
      </w:pPr>
      <w:r>
        <w:rPr>
          <w:color w:val="auto"/>
          <w:highlight w:val="none"/>
        </w:rPr>
        <w:t xml:space="preserve">8.7.4 </w:t>
      </w:r>
      <w:r>
        <w:rPr>
          <w:rFonts w:hint="eastAsia"/>
          <w:color w:val="auto"/>
          <w:highlight w:val="none"/>
        </w:rPr>
        <w:t>异常恶劣的气候条件</w:t>
      </w:r>
    </w:p>
    <w:p w14:paraId="0CAFCC2D">
      <w:pPr>
        <w:spacing w:line="440" w:lineRule="exact"/>
        <w:ind w:firstLine="480" w:firstLineChars="200"/>
        <w:jc w:val="both"/>
        <w:rPr>
          <w:color w:val="auto"/>
          <w:highlight w:val="none"/>
          <w:u w:val="single"/>
        </w:rPr>
      </w:pPr>
      <w:r>
        <w:rPr>
          <w:rFonts w:hint="eastAsia"/>
          <w:color w:val="auto"/>
          <w:highlight w:val="none"/>
        </w:rPr>
        <w:t>双方约定视为异常恶劣的气候条件的情形：</w:t>
      </w:r>
      <w:r>
        <w:rPr>
          <w:rFonts w:hint="eastAsia"/>
          <w:color w:val="auto"/>
          <w:highlight w:val="none"/>
          <w:u w:val="single"/>
        </w:rPr>
        <w:t>市气象局发布的各类恶劣气候橙色（及以上）预警信号，可延长工期。</w:t>
      </w:r>
    </w:p>
    <w:p w14:paraId="4F389671">
      <w:pPr>
        <w:pStyle w:val="4"/>
        <w:rPr>
          <w:color w:val="auto"/>
          <w:highlight w:val="none"/>
        </w:rPr>
      </w:pPr>
      <w:r>
        <w:rPr>
          <w:color w:val="auto"/>
          <w:highlight w:val="none"/>
        </w:rPr>
        <w:t xml:space="preserve">8.8 </w:t>
      </w:r>
      <w:r>
        <w:rPr>
          <w:rFonts w:hint="eastAsia"/>
          <w:color w:val="auto"/>
          <w:highlight w:val="none"/>
        </w:rPr>
        <w:t>工期提前</w:t>
      </w:r>
    </w:p>
    <w:p w14:paraId="48F03A74">
      <w:pPr>
        <w:spacing w:line="440" w:lineRule="exact"/>
        <w:ind w:firstLine="480" w:firstLineChars="200"/>
        <w:jc w:val="both"/>
        <w:rPr>
          <w:color w:val="auto"/>
          <w:highlight w:val="none"/>
        </w:rPr>
      </w:pPr>
      <w:r>
        <w:rPr>
          <w:color w:val="auto"/>
          <w:highlight w:val="none"/>
        </w:rPr>
        <w:t xml:space="preserve">8.8.2 </w:t>
      </w:r>
      <w:r>
        <w:rPr>
          <w:rFonts w:hint="eastAsia"/>
          <w:color w:val="auto"/>
          <w:highlight w:val="none"/>
        </w:rPr>
        <w:t>承包人提前竣工的奖励：</w:t>
      </w:r>
      <w:r>
        <w:rPr>
          <w:rFonts w:hint="eastAsia"/>
          <w:color w:val="auto"/>
          <w:highlight w:val="none"/>
          <w:u w:val="single"/>
        </w:rPr>
        <w:t>/</w:t>
      </w:r>
      <w:r>
        <w:rPr>
          <w:color w:val="auto"/>
          <w:highlight w:val="none"/>
        </w:rPr>
        <w:t xml:space="preserve"> </w:t>
      </w:r>
      <w:r>
        <w:rPr>
          <w:rFonts w:hint="eastAsia"/>
          <w:color w:val="auto"/>
          <w:highlight w:val="none"/>
        </w:rPr>
        <w:t>。</w:t>
      </w:r>
    </w:p>
    <w:p w14:paraId="42FF3FF8">
      <w:pPr>
        <w:pStyle w:val="3"/>
        <w:jc w:val="both"/>
        <w:rPr>
          <w:rFonts w:hint="eastAsia" w:ascii="宋体" w:hAnsi="宋体" w:cs="宋体"/>
          <w:color w:val="auto"/>
          <w:highlight w:val="none"/>
        </w:rPr>
      </w:pPr>
      <w:bookmarkStart w:id="144" w:name="_Toc54862340"/>
      <w:r>
        <w:rPr>
          <w:rFonts w:hint="eastAsia" w:ascii="宋体" w:hAnsi="宋体" w:cs="宋体"/>
          <w:color w:val="auto"/>
          <w:highlight w:val="none"/>
        </w:rPr>
        <w:t>第9条 竣工试验</w:t>
      </w:r>
      <w:bookmarkEnd w:id="144"/>
    </w:p>
    <w:p w14:paraId="5545E00A">
      <w:pPr>
        <w:pStyle w:val="4"/>
        <w:rPr>
          <w:color w:val="auto"/>
          <w:highlight w:val="none"/>
        </w:rPr>
      </w:pPr>
      <w:r>
        <w:rPr>
          <w:color w:val="auto"/>
          <w:highlight w:val="none"/>
        </w:rPr>
        <w:t xml:space="preserve">9.1 </w:t>
      </w:r>
      <w:r>
        <w:rPr>
          <w:rFonts w:hint="eastAsia"/>
          <w:color w:val="auto"/>
          <w:highlight w:val="none"/>
        </w:rPr>
        <w:t>竣工试验的义务</w:t>
      </w:r>
    </w:p>
    <w:p w14:paraId="74B0BC64">
      <w:pPr>
        <w:spacing w:line="440" w:lineRule="exact"/>
        <w:ind w:firstLine="480" w:firstLineChars="200"/>
        <w:jc w:val="both"/>
        <w:rPr>
          <w:rFonts w:eastAsia="仿宋"/>
          <w:color w:val="auto"/>
          <w:highlight w:val="none"/>
          <w:u w:val="single"/>
        </w:rPr>
      </w:pPr>
      <w:r>
        <w:rPr>
          <w:color w:val="auto"/>
          <w:highlight w:val="none"/>
        </w:rPr>
        <w:t xml:space="preserve">9.1.3 </w:t>
      </w:r>
      <w:r>
        <w:rPr>
          <w:rFonts w:hint="eastAsia"/>
          <w:color w:val="auto"/>
          <w:highlight w:val="none"/>
        </w:rPr>
        <w:t>竣工试验的阶段、内容和顺序：</w:t>
      </w:r>
      <w:r>
        <w:rPr>
          <w:rFonts w:hint="eastAsia"/>
          <w:color w:val="auto"/>
          <w:highlight w:val="none"/>
          <w:u w:val="single"/>
        </w:rPr>
        <w:t xml:space="preserve">     。</w:t>
      </w:r>
    </w:p>
    <w:p w14:paraId="3B384396">
      <w:pPr>
        <w:spacing w:line="440" w:lineRule="exact"/>
        <w:ind w:firstLine="480" w:firstLineChars="200"/>
        <w:jc w:val="both"/>
        <w:rPr>
          <w:color w:val="auto"/>
          <w:highlight w:val="none"/>
        </w:rPr>
      </w:pPr>
      <w:r>
        <w:rPr>
          <w:rFonts w:hint="eastAsia"/>
          <w:color w:val="auto"/>
          <w:highlight w:val="none"/>
        </w:rPr>
        <w:t>竣工试验的操作要求：</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p>
    <w:p w14:paraId="7885A3AF">
      <w:pPr>
        <w:pStyle w:val="3"/>
        <w:jc w:val="both"/>
        <w:rPr>
          <w:rFonts w:hint="eastAsia" w:ascii="宋体" w:hAnsi="宋体" w:cs="宋体"/>
          <w:color w:val="auto"/>
          <w:highlight w:val="none"/>
        </w:rPr>
      </w:pPr>
      <w:bookmarkStart w:id="145" w:name="_Toc4784272"/>
      <w:bookmarkEnd w:id="145"/>
      <w:bookmarkStart w:id="146" w:name="_Toc4784273"/>
      <w:bookmarkEnd w:id="146"/>
      <w:bookmarkStart w:id="147" w:name="_Toc54862341"/>
      <w:r>
        <w:rPr>
          <w:rFonts w:hint="eastAsia" w:ascii="宋体" w:hAnsi="宋体" w:cs="宋体"/>
          <w:color w:val="auto"/>
          <w:highlight w:val="none"/>
        </w:rPr>
        <w:t>第10条 验收和工程接收</w:t>
      </w:r>
      <w:bookmarkEnd w:id="147"/>
    </w:p>
    <w:p w14:paraId="39E57ABE">
      <w:pPr>
        <w:pStyle w:val="4"/>
        <w:rPr>
          <w:color w:val="auto"/>
          <w:highlight w:val="none"/>
        </w:rPr>
      </w:pPr>
      <w:r>
        <w:rPr>
          <w:color w:val="auto"/>
          <w:highlight w:val="none"/>
        </w:rPr>
        <w:t xml:space="preserve">10.1 </w:t>
      </w:r>
      <w:r>
        <w:rPr>
          <w:rFonts w:hint="eastAsia"/>
          <w:color w:val="auto"/>
          <w:highlight w:val="none"/>
        </w:rPr>
        <w:t>竣工验收</w:t>
      </w:r>
    </w:p>
    <w:p w14:paraId="33A2A2C4">
      <w:pPr>
        <w:spacing w:line="440" w:lineRule="exact"/>
        <w:ind w:firstLine="480" w:firstLineChars="200"/>
        <w:jc w:val="both"/>
        <w:rPr>
          <w:color w:val="auto"/>
          <w:highlight w:val="none"/>
        </w:rPr>
      </w:pPr>
      <w:r>
        <w:rPr>
          <w:color w:val="auto"/>
          <w:highlight w:val="none"/>
        </w:rPr>
        <w:t xml:space="preserve">10.1.2 </w:t>
      </w:r>
      <w:r>
        <w:rPr>
          <w:rFonts w:hint="eastAsia"/>
          <w:color w:val="auto"/>
          <w:highlight w:val="none"/>
        </w:rPr>
        <w:t>关于竣工验收程序的约定：</w:t>
      </w:r>
      <w:r>
        <w:rPr>
          <w:color w:val="auto"/>
          <w:highlight w:val="none"/>
        </w:rPr>
        <w:t xml:space="preserve"> </w:t>
      </w:r>
      <w:r>
        <w:rPr>
          <w:color w:val="auto"/>
          <w:highlight w:val="none"/>
          <w:u w:val="single"/>
        </w:rPr>
        <w:t xml:space="preserve">                  </w:t>
      </w:r>
      <w:r>
        <w:rPr>
          <w:rFonts w:hint="eastAsia"/>
          <w:color w:val="auto"/>
          <w:highlight w:val="none"/>
        </w:rPr>
        <w:t>。</w:t>
      </w:r>
    </w:p>
    <w:p w14:paraId="014B0795">
      <w:pPr>
        <w:spacing w:line="440" w:lineRule="exact"/>
        <w:ind w:firstLine="480" w:firstLineChars="200"/>
        <w:jc w:val="both"/>
        <w:rPr>
          <w:color w:val="auto"/>
          <w:highlight w:val="none"/>
        </w:rPr>
      </w:pPr>
      <w:bookmarkStart w:id="148" w:name="_Hlk46406260"/>
      <w:r>
        <w:rPr>
          <w:rFonts w:hint="eastAsia"/>
          <w:color w:val="auto"/>
          <w:highlight w:val="none"/>
        </w:rPr>
        <w:t>发包人不按照合同约定组织竣工验收、颁发工程接受证书的违约金的计算方式：</w:t>
      </w:r>
      <w:r>
        <w:rPr>
          <w:color w:val="auto"/>
          <w:highlight w:val="none"/>
          <w:u w:val="single"/>
        </w:rPr>
        <w:t xml:space="preserve">                                   </w:t>
      </w:r>
      <w:r>
        <w:rPr>
          <w:color w:val="auto"/>
          <w:highlight w:val="none"/>
        </w:rPr>
        <w:t xml:space="preserve"> </w:t>
      </w:r>
      <w:r>
        <w:rPr>
          <w:rFonts w:hint="eastAsia"/>
          <w:color w:val="auto"/>
          <w:highlight w:val="none"/>
        </w:rPr>
        <w:t>。</w:t>
      </w:r>
    </w:p>
    <w:bookmarkEnd w:id="148"/>
    <w:p w14:paraId="366E9275">
      <w:pPr>
        <w:pStyle w:val="4"/>
        <w:rPr>
          <w:color w:val="auto"/>
          <w:highlight w:val="none"/>
        </w:rPr>
      </w:pPr>
      <w:r>
        <w:rPr>
          <w:color w:val="auto"/>
          <w:highlight w:val="none"/>
        </w:rPr>
        <w:t>10.3</w:t>
      </w:r>
      <w:r>
        <w:rPr>
          <w:rFonts w:hint="eastAsia"/>
          <w:color w:val="auto"/>
          <w:highlight w:val="none"/>
        </w:rPr>
        <w:t xml:space="preserve"> </w:t>
      </w:r>
      <w:r>
        <w:rPr>
          <w:color w:val="auto"/>
          <w:highlight w:val="none"/>
        </w:rPr>
        <w:t>工程的接收</w:t>
      </w:r>
    </w:p>
    <w:p w14:paraId="4AF5563D">
      <w:pPr>
        <w:spacing w:line="440" w:lineRule="exact"/>
        <w:ind w:firstLine="480" w:firstLineChars="200"/>
        <w:jc w:val="both"/>
        <w:rPr>
          <w:color w:val="auto"/>
          <w:highlight w:val="none"/>
        </w:rPr>
      </w:pPr>
      <w:r>
        <w:rPr>
          <w:color w:val="auto"/>
          <w:highlight w:val="none"/>
        </w:rPr>
        <w:t>10.3.1</w:t>
      </w:r>
      <w:r>
        <w:rPr>
          <w:rFonts w:hint="eastAsia"/>
          <w:color w:val="auto"/>
          <w:highlight w:val="none"/>
        </w:rPr>
        <w:t>工程接收的先后顺序、时间安排和其他要求：</w:t>
      </w:r>
      <w:r>
        <w:rPr>
          <w:color w:val="auto"/>
          <w:highlight w:val="none"/>
          <w:u w:val="single"/>
        </w:rPr>
        <w:t xml:space="preserve">                                         </w:t>
      </w:r>
      <w:r>
        <w:rPr>
          <w:rFonts w:hint="eastAsia"/>
          <w:color w:val="auto"/>
          <w:highlight w:val="none"/>
        </w:rPr>
        <w:t>。</w:t>
      </w:r>
    </w:p>
    <w:p w14:paraId="40FA4F42">
      <w:pPr>
        <w:spacing w:line="440" w:lineRule="exact"/>
        <w:ind w:firstLine="480" w:firstLineChars="200"/>
        <w:jc w:val="both"/>
        <w:rPr>
          <w:color w:val="auto"/>
          <w:highlight w:val="none"/>
          <w:u w:val="single"/>
        </w:rPr>
      </w:pPr>
      <w:r>
        <w:rPr>
          <w:color w:val="auto"/>
          <w:highlight w:val="none"/>
        </w:rPr>
        <w:t xml:space="preserve">10.3.2 </w:t>
      </w:r>
      <w:r>
        <w:rPr>
          <w:rFonts w:hint="eastAsia"/>
          <w:color w:val="auto"/>
          <w:highlight w:val="none"/>
        </w:rPr>
        <w:t>接受工程时承包人需提交竣工验收资料的类别、内容、份数和提交时间：</w:t>
      </w:r>
      <w:r>
        <w:rPr>
          <w:rFonts w:hint="eastAsia"/>
          <w:color w:val="auto"/>
          <w:highlight w:val="none"/>
          <w:u w:val="single"/>
        </w:rPr>
        <w:t xml:space="preserve">竣工验收申请报告的格式、份数和提交时间：在竣工验收前十五天内向发包人提供一式肆份。 </w:t>
      </w:r>
    </w:p>
    <w:p w14:paraId="5DBF5C6F">
      <w:pPr>
        <w:spacing w:line="440" w:lineRule="exact"/>
        <w:ind w:firstLine="480" w:firstLineChars="200"/>
        <w:jc w:val="both"/>
        <w:rPr>
          <w:color w:val="auto"/>
          <w:highlight w:val="none"/>
        </w:rPr>
      </w:pPr>
      <w:r>
        <w:rPr>
          <w:rFonts w:hint="eastAsia"/>
          <w:color w:val="auto"/>
          <w:highlight w:val="none"/>
          <w:u w:val="single"/>
        </w:rPr>
        <w:t>完整竣工资料的格式、份数和提交时间：在竣工验收前十五天向发包人提供完整的竣工资料一式五份，要求监理人盖章确认。竣工图光盘2张。提供工程施工全过程照片（重要工程节点施工过程、涉及工程变更取证、各级领导现场视察、相关部门各种类专项检查过程的记录等），做好影像资料台帐并保证其完备性</w:t>
      </w:r>
      <w:r>
        <w:rPr>
          <w:color w:val="auto"/>
          <w:highlight w:val="none"/>
          <w:u w:val="single"/>
        </w:rPr>
        <w:t xml:space="preserve"> </w:t>
      </w:r>
      <w:r>
        <w:rPr>
          <w:rFonts w:hint="eastAsia"/>
          <w:color w:val="auto"/>
          <w:highlight w:val="none"/>
        </w:rPr>
        <w:t>。</w:t>
      </w:r>
    </w:p>
    <w:p w14:paraId="1149F6C7">
      <w:pPr>
        <w:spacing w:line="440" w:lineRule="exact"/>
        <w:ind w:firstLine="480" w:firstLineChars="200"/>
        <w:jc w:val="both"/>
        <w:rPr>
          <w:color w:val="auto"/>
          <w:highlight w:val="none"/>
        </w:rPr>
      </w:pPr>
      <w:r>
        <w:rPr>
          <w:color w:val="auto"/>
          <w:highlight w:val="none"/>
        </w:rPr>
        <w:t xml:space="preserve">10.3.3 </w:t>
      </w:r>
      <w:r>
        <w:rPr>
          <w:rFonts w:hint="eastAsia"/>
          <w:color w:val="auto"/>
          <w:highlight w:val="none"/>
        </w:rPr>
        <w:t>发包人逾期接收工程的违约责任：</w:t>
      </w:r>
      <w:r>
        <w:rPr>
          <w:color w:val="auto"/>
          <w:highlight w:val="none"/>
          <w:u w:val="single"/>
        </w:rPr>
        <w:t xml:space="preserve">                </w:t>
      </w:r>
      <w:r>
        <w:rPr>
          <w:color w:val="auto"/>
          <w:highlight w:val="none"/>
        </w:rPr>
        <w:t xml:space="preserve"> </w:t>
      </w:r>
      <w:r>
        <w:rPr>
          <w:rFonts w:hint="eastAsia"/>
          <w:color w:val="auto"/>
          <w:highlight w:val="none"/>
        </w:rPr>
        <w:t>。</w:t>
      </w:r>
    </w:p>
    <w:p w14:paraId="5D8CEBB6">
      <w:pPr>
        <w:spacing w:line="440" w:lineRule="exact"/>
        <w:ind w:firstLine="480" w:firstLineChars="200"/>
        <w:jc w:val="both"/>
        <w:rPr>
          <w:color w:val="auto"/>
          <w:highlight w:val="none"/>
        </w:rPr>
      </w:pPr>
      <w:r>
        <w:rPr>
          <w:color w:val="auto"/>
          <w:highlight w:val="none"/>
        </w:rPr>
        <w:t xml:space="preserve">10.3.4 </w:t>
      </w:r>
      <w:r>
        <w:rPr>
          <w:rFonts w:hint="eastAsia"/>
          <w:color w:val="auto"/>
          <w:highlight w:val="none"/>
        </w:rPr>
        <w:t>承包人无正当理由不移交工程的违约责任：</w:t>
      </w:r>
      <w:r>
        <w:rPr>
          <w:color w:val="auto"/>
          <w:highlight w:val="none"/>
          <w:u w:val="single"/>
        </w:rPr>
        <w:t xml:space="preserve">                </w:t>
      </w:r>
      <w:r>
        <w:rPr>
          <w:color w:val="auto"/>
          <w:highlight w:val="none"/>
        </w:rPr>
        <w:t xml:space="preserve"> </w:t>
      </w:r>
      <w:r>
        <w:rPr>
          <w:rFonts w:hint="eastAsia"/>
          <w:color w:val="auto"/>
          <w:highlight w:val="none"/>
        </w:rPr>
        <w:t>。</w:t>
      </w:r>
    </w:p>
    <w:p w14:paraId="023B8089">
      <w:pPr>
        <w:pStyle w:val="4"/>
        <w:rPr>
          <w:color w:val="auto"/>
          <w:highlight w:val="none"/>
        </w:rPr>
      </w:pPr>
      <w:r>
        <w:rPr>
          <w:color w:val="auto"/>
          <w:highlight w:val="none"/>
        </w:rPr>
        <w:t xml:space="preserve">10.4 </w:t>
      </w:r>
      <w:r>
        <w:rPr>
          <w:rFonts w:hint="eastAsia"/>
          <w:color w:val="auto"/>
          <w:highlight w:val="none"/>
        </w:rPr>
        <w:t>接收证书</w:t>
      </w:r>
    </w:p>
    <w:p w14:paraId="3FBEABF6">
      <w:pPr>
        <w:spacing w:line="440" w:lineRule="exact"/>
        <w:ind w:firstLine="480" w:firstLineChars="200"/>
        <w:jc w:val="both"/>
        <w:rPr>
          <w:color w:val="auto"/>
          <w:highlight w:val="none"/>
        </w:rPr>
      </w:pPr>
      <w:r>
        <w:rPr>
          <w:color w:val="auto"/>
          <w:highlight w:val="none"/>
        </w:rPr>
        <w:t xml:space="preserve">10.4.1 </w:t>
      </w:r>
      <w:r>
        <w:rPr>
          <w:rFonts w:hint="eastAsia"/>
          <w:color w:val="auto"/>
          <w:highlight w:val="none"/>
        </w:rPr>
        <w:t>工程接收证书颁发时间：</w:t>
      </w:r>
      <w:r>
        <w:rPr>
          <w:color w:val="auto"/>
          <w:highlight w:val="none"/>
          <w:u w:val="single"/>
        </w:rPr>
        <w:t xml:space="preserve">                     </w:t>
      </w:r>
      <w:r>
        <w:rPr>
          <w:color w:val="auto"/>
          <w:highlight w:val="none"/>
        </w:rPr>
        <w:t xml:space="preserve"> </w:t>
      </w:r>
      <w:r>
        <w:rPr>
          <w:rFonts w:hint="eastAsia"/>
          <w:color w:val="auto"/>
          <w:highlight w:val="none"/>
        </w:rPr>
        <w:t>。</w:t>
      </w:r>
    </w:p>
    <w:p w14:paraId="10D7CBF2">
      <w:pPr>
        <w:pStyle w:val="4"/>
        <w:rPr>
          <w:color w:val="auto"/>
          <w:highlight w:val="none"/>
        </w:rPr>
      </w:pPr>
      <w:r>
        <w:rPr>
          <w:color w:val="auto"/>
          <w:highlight w:val="none"/>
        </w:rPr>
        <w:t xml:space="preserve">10.5 </w:t>
      </w:r>
      <w:r>
        <w:rPr>
          <w:rFonts w:hint="eastAsia"/>
          <w:color w:val="auto"/>
          <w:highlight w:val="none"/>
        </w:rPr>
        <w:t>竣工退场</w:t>
      </w:r>
    </w:p>
    <w:p w14:paraId="41B7C9A6">
      <w:pPr>
        <w:spacing w:line="440" w:lineRule="exact"/>
        <w:ind w:firstLine="480" w:firstLineChars="200"/>
        <w:jc w:val="both"/>
        <w:rPr>
          <w:color w:val="auto"/>
          <w:highlight w:val="none"/>
        </w:rPr>
      </w:pPr>
      <w:r>
        <w:rPr>
          <w:color w:val="auto"/>
          <w:highlight w:val="none"/>
        </w:rPr>
        <w:t xml:space="preserve">10.5.1 </w:t>
      </w:r>
      <w:r>
        <w:rPr>
          <w:rFonts w:hint="eastAsia"/>
          <w:color w:val="auto"/>
          <w:highlight w:val="none"/>
        </w:rPr>
        <w:t>竣工退场的相关约定：</w:t>
      </w:r>
      <w:r>
        <w:rPr>
          <w:color w:val="auto"/>
          <w:highlight w:val="none"/>
          <w:u w:val="single"/>
        </w:rPr>
        <w:t xml:space="preserve">                       </w:t>
      </w:r>
      <w:r>
        <w:rPr>
          <w:color w:val="auto"/>
          <w:highlight w:val="none"/>
        </w:rPr>
        <w:t xml:space="preserve"> </w:t>
      </w:r>
      <w:r>
        <w:rPr>
          <w:rFonts w:hint="eastAsia"/>
          <w:color w:val="auto"/>
          <w:highlight w:val="none"/>
        </w:rPr>
        <w:t>。</w:t>
      </w:r>
    </w:p>
    <w:p w14:paraId="42BFAAC3">
      <w:pPr>
        <w:spacing w:line="440" w:lineRule="exact"/>
        <w:ind w:firstLine="480" w:firstLineChars="200"/>
        <w:jc w:val="both"/>
        <w:rPr>
          <w:color w:val="auto"/>
          <w:highlight w:val="none"/>
        </w:rPr>
      </w:pPr>
      <w:r>
        <w:rPr>
          <w:color w:val="auto"/>
          <w:highlight w:val="none"/>
        </w:rPr>
        <w:t>10.5.3</w:t>
      </w:r>
      <w:r>
        <w:rPr>
          <w:rFonts w:hint="eastAsia"/>
          <w:color w:val="auto"/>
          <w:highlight w:val="none"/>
        </w:rPr>
        <w:t>人员撤离</w:t>
      </w:r>
    </w:p>
    <w:p w14:paraId="4E06E34A">
      <w:pPr>
        <w:spacing w:line="440" w:lineRule="exact"/>
        <w:ind w:firstLine="480" w:firstLineChars="200"/>
        <w:jc w:val="both"/>
        <w:rPr>
          <w:color w:val="auto"/>
          <w:highlight w:val="none"/>
        </w:rPr>
      </w:pPr>
      <w:r>
        <w:rPr>
          <w:rFonts w:hint="eastAsia"/>
          <w:color w:val="auto"/>
          <w:highlight w:val="none"/>
        </w:rPr>
        <w:t>工程师同意需在缺陷责任期内继续工作和使用的人员、施工设备和临时工程的内容：</w:t>
      </w:r>
      <w:r>
        <w:rPr>
          <w:color w:val="auto"/>
          <w:highlight w:val="none"/>
          <w:u w:val="single"/>
        </w:rPr>
        <w:t xml:space="preserve">                        </w:t>
      </w:r>
      <w:r>
        <w:rPr>
          <w:rFonts w:hint="eastAsia"/>
          <w:color w:val="auto"/>
          <w:highlight w:val="none"/>
        </w:rPr>
        <w:t>。</w:t>
      </w:r>
    </w:p>
    <w:p w14:paraId="794A6FA9">
      <w:pPr>
        <w:pStyle w:val="3"/>
        <w:jc w:val="both"/>
        <w:rPr>
          <w:rFonts w:hint="eastAsia" w:ascii="宋体" w:hAnsi="宋体" w:cs="宋体"/>
          <w:color w:val="auto"/>
          <w:highlight w:val="none"/>
        </w:rPr>
      </w:pPr>
      <w:bookmarkStart w:id="149" w:name="_Toc54862342"/>
      <w:r>
        <w:rPr>
          <w:rFonts w:hint="eastAsia" w:ascii="宋体" w:hAnsi="宋体" w:cs="宋体"/>
          <w:color w:val="auto"/>
          <w:highlight w:val="none"/>
        </w:rPr>
        <w:t>第11条 缺陷责任与保修</w:t>
      </w:r>
      <w:bookmarkEnd w:id="149"/>
    </w:p>
    <w:p w14:paraId="37AAA82C">
      <w:pPr>
        <w:pStyle w:val="4"/>
        <w:rPr>
          <w:color w:val="auto"/>
          <w:highlight w:val="none"/>
        </w:rPr>
      </w:pPr>
      <w:r>
        <w:rPr>
          <w:color w:val="auto"/>
          <w:highlight w:val="none"/>
        </w:rPr>
        <w:t xml:space="preserve">11.2 </w:t>
      </w:r>
      <w:r>
        <w:rPr>
          <w:rFonts w:hint="eastAsia"/>
          <w:color w:val="auto"/>
          <w:highlight w:val="none"/>
        </w:rPr>
        <w:t>缺陷责任期</w:t>
      </w:r>
    </w:p>
    <w:p w14:paraId="29026A8A">
      <w:pPr>
        <w:spacing w:line="440" w:lineRule="exact"/>
        <w:ind w:firstLine="480" w:firstLineChars="200"/>
        <w:jc w:val="both"/>
        <w:rPr>
          <w:color w:val="auto"/>
          <w:highlight w:val="none"/>
          <w:u w:val="single"/>
        </w:rPr>
      </w:pPr>
      <w:r>
        <w:rPr>
          <w:color w:val="auto"/>
          <w:highlight w:val="none"/>
        </w:rPr>
        <w:t>缺陷责任期的</w:t>
      </w:r>
      <w:r>
        <w:rPr>
          <w:rFonts w:hint="eastAsia"/>
          <w:color w:val="auto"/>
          <w:highlight w:val="none"/>
        </w:rPr>
        <w:t>期限：</w:t>
      </w:r>
      <w:r>
        <w:rPr>
          <w:color w:val="auto"/>
          <w:highlight w:val="none"/>
          <w:u w:val="single"/>
        </w:rPr>
        <w:t xml:space="preserve"> </w:t>
      </w:r>
      <w:r>
        <w:rPr>
          <w:rFonts w:hint="eastAsia"/>
          <w:color w:val="auto"/>
          <w:highlight w:val="none"/>
          <w:u w:val="single"/>
        </w:rPr>
        <w:t>工程缺陷责任期为24个月（国家规定超过此期限的按国家规定执行），缺陷责任期自工程竣工验收合格之日起计算。</w:t>
      </w:r>
    </w:p>
    <w:p w14:paraId="5CBDFFB5">
      <w:pPr>
        <w:spacing w:line="440" w:lineRule="exact"/>
        <w:ind w:firstLine="480" w:firstLineChars="200"/>
        <w:jc w:val="both"/>
        <w:rPr>
          <w:color w:val="auto"/>
          <w:highlight w:val="none"/>
        </w:rPr>
      </w:pPr>
      <w:r>
        <w:rPr>
          <w:rFonts w:hint="eastAsia"/>
          <w:color w:val="auto"/>
          <w:highlight w:val="none"/>
          <w:u w:val="single"/>
        </w:rPr>
        <w:t>缺陷责任期内，如承包人未按照合同约定提供质保责任，发包人有权自行委托第三方提供保修维护服务，费用从留存的质保金中扣除，不足部分由承包人另行向发包人支付</w:t>
      </w:r>
      <w:r>
        <w:rPr>
          <w:rFonts w:hint="eastAsia"/>
          <w:color w:val="auto"/>
          <w:highlight w:val="none"/>
        </w:rPr>
        <w:t>。</w:t>
      </w:r>
    </w:p>
    <w:p w14:paraId="000798DA">
      <w:pPr>
        <w:pStyle w:val="4"/>
        <w:rPr>
          <w:color w:val="auto"/>
          <w:highlight w:val="none"/>
        </w:rPr>
      </w:pPr>
      <w:r>
        <w:rPr>
          <w:color w:val="auto"/>
          <w:highlight w:val="none"/>
        </w:rPr>
        <w:t xml:space="preserve">11.3 </w:t>
      </w:r>
      <w:r>
        <w:rPr>
          <w:rFonts w:hint="eastAsia"/>
          <w:color w:val="auto"/>
          <w:highlight w:val="none"/>
        </w:rPr>
        <w:t>缺陷调查</w:t>
      </w:r>
    </w:p>
    <w:p w14:paraId="3E7F8B5B">
      <w:pPr>
        <w:spacing w:line="440" w:lineRule="exact"/>
        <w:ind w:firstLine="480" w:firstLineChars="200"/>
        <w:jc w:val="both"/>
        <w:rPr>
          <w:color w:val="auto"/>
          <w:highlight w:val="none"/>
        </w:rPr>
      </w:pPr>
      <w:r>
        <w:rPr>
          <w:color w:val="auto"/>
          <w:highlight w:val="none"/>
        </w:rPr>
        <w:t xml:space="preserve">11.3.4 </w:t>
      </w:r>
      <w:r>
        <w:rPr>
          <w:rFonts w:hint="eastAsia"/>
          <w:color w:val="auto"/>
          <w:highlight w:val="none"/>
        </w:rPr>
        <w:t>修复通知</w:t>
      </w:r>
    </w:p>
    <w:p w14:paraId="3E1209B0">
      <w:pPr>
        <w:spacing w:line="440" w:lineRule="exact"/>
        <w:ind w:firstLine="480" w:firstLineChars="200"/>
        <w:jc w:val="both"/>
        <w:rPr>
          <w:color w:val="auto"/>
          <w:highlight w:val="none"/>
        </w:rPr>
      </w:pPr>
      <w:r>
        <w:rPr>
          <w:color w:val="auto"/>
          <w:highlight w:val="none"/>
        </w:rPr>
        <w:t>承包人收到保修通知并到达工程现场的合理时间：</w:t>
      </w:r>
      <w:r>
        <w:rPr>
          <w:color w:val="auto"/>
          <w:highlight w:val="none"/>
          <w:u w:val="single"/>
        </w:rPr>
        <w:t xml:space="preserve">       </w:t>
      </w:r>
      <w:r>
        <w:rPr>
          <w:rFonts w:hint="eastAsia"/>
          <w:color w:val="auto"/>
          <w:highlight w:val="none"/>
        </w:rPr>
        <w:t>。</w:t>
      </w:r>
    </w:p>
    <w:p w14:paraId="550A6E11">
      <w:pPr>
        <w:pStyle w:val="4"/>
        <w:rPr>
          <w:color w:val="auto"/>
          <w:highlight w:val="none"/>
        </w:rPr>
      </w:pPr>
      <w:r>
        <w:rPr>
          <w:color w:val="auto"/>
          <w:highlight w:val="none"/>
        </w:rPr>
        <w:t xml:space="preserve">11.6 </w:t>
      </w:r>
      <w:r>
        <w:rPr>
          <w:rFonts w:hint="eastAsia"/>
          <w:color w:val="auto"/>
          <w:highlight w:val="none"/>
        </w:rPr>
        <w:t>缺陷责任期终止证书</w:t>
      </w:r>
    </w:p>
    <w:p w14:paraId="0C2D66CF">
      <w:pPr>
        <w:spacing w:line="440" w:lineRule="exact"/>
        <w:ind w:firstLine="480" w:firstLineChars="200"/>
        <w:jc w:val="both"/>
        <w:rPr>
          <w:color w:val="auto"/>
          <w:highlight w:val="none"/>
        </w:rPr>
      </w:pPr>
      <w:r>
        <w:rPr>
          <w:rFonts w:hint="eastAsia"/>
          <w:color w:val="auto"/>
          <w:highlight w:val="none"/>
        </w:rPr>
        <w:t>承包人应于缺陷责任期届满后</w:t>
      </w:r>
      <w:r>
        <w:rPr>
          <w:color w:val="auto"/>
          <w:highlight w:val="none"/>
          <w:u w:val="single"/>
        </w:rPr>
        <w:t xml:space="preserve">    </w:t>
      </w:r>
      <w:r>
        <w:rPr>
          <w:rFonts w:hint="eastAsia"/>
          <w:color w:val="auto"/>
          <w:highlight w:val="none"/>
        </w:rPr>
        <w:t>天内向发包人发出缺陷责任期届满通知，发包人应在收到缺陷责任期满通知后</w:t>
      </w:r>
      <w:r>
        <w:rPr>
          <w:color w:val="auto"/>
          <w:highlight w:val="none"/>
          <w:u w:val="single"/>
        </w:rPr>
        <w:t xml:space="preserve">    </w:t>
      </w:r>
      <w:r>
        <w:rPr>
          <w:rFonts w:hint="eastAsia"/>
          <w:color w:val="auto"/>
          <w:highlight w:val="none"/>
        </w:rPr>
        <w:t>天内核实承包人是否履行缺陷修复义务，承包人未能履行缺陷修复义务的，发包人有权扣除相应金额的维修费用。发包人应在收到缺陷责任期届满通知后</w:t>
      </w:r>
      <w:r>
        <w:rPr>
          <w:color w:val="auto"/>
          <w:highlight w:val="none"/>
          <w:u w:val="single"/>
        </w:rPr>
        <w:t xml:space="preserve">    </w:t>
      </w:r>
      <w:r>
        <w:rPr>
          <w:rFonts w:hint="eastAsia"/>
          <w:color w:val="auto"/>
          <w:highlight w:val="none"/>
        </w:rPr>
        <w:t>天内，向承包人颁发缺陷责任期终止证书。</w:t>
      </w:r>
    </w:p>
    <w:p w14:paraId="44CDC481">
      <w:pPr>
        <w:pStyle w:val="4"/>
        <w:rPr>
          <w:color w:val="auto"/>
          <w:highlight w:val="none"/>
        </w:rPr>
      </w:pPr>
      <w:r>
        <w:rPr>
          <w:color w:val="auto"/>
          <w:highlight w:val="none"/>
        </w:rPr>
        <w:t xml:space="preserve">11.7 </w:t>
      </w:r>
      <w:r>
        <w:rPr>
          <w:rFonts w:hint="eastAsia"/>
          <w:color w:val="auto"/>
          <w:highlight w:val="none"/>
        </w:rPr>
        <w:t>保修责任</w:t>
      </w:r>
    </w:p>
    <w:p w14:paraId="24F85046">
      <w:pPr>
        <w:spacing w:line="440" w:lineRule="exact"/>
        <w:ind w:firstLine="480" w:firstLineChars="200"/>
        <w:jc w:val="both"/>
        <w:rPr>
          <w:color w:val="auto"/>
          <w:highlight w:val="none"/>
        </w:rPr>
      </w:pPr>
      <w:r>
        <w:rPr>
          <w:rFonts w:hint="eastAsia"/>
          <w:color w:val="auto"/>
          <w:highlight w:val="none"/>
        </w:rPr>
        <w:t>工程质量保修范围、期限和责任</w:t>
      </w:r>
      <w:r>
        <w:rPr>
          <w:color w:val="auto"/>
          <w:highlight w:val="none"/>
        </w:rPr>
        <w:t>为：</w:t>
      </w:r>
      <w:r>
        <w:rPr>
          <w:rFonts w:hint="eastAsia"/>
          <w:color w:val="auto"/>
          <w:highlight w:val="none"/>
          <w:u w:val="single"/>
        </w:rPr>
        <w:t>详见工程质量保修书</w:t>
      </w:r>
      <w:r>
        <w:rPr>
          <w:color w:val="auto"/>
          <w:highlight w:val="none"/>
        </w:rPr>
        <w:t xml:space="preserve"> </w:t>
      </w:r>
      <w:r>
        <w:rPr>
          <w:rFonts w:hint="eastAsia"/>
          <w:color w:val="auto"/>
          <w:highlight w:val="none"/>
        </w:rPr>
        <w:t>。</w:t>
      </w:r>
    </w:p>
    <w:p w14:paraId="652C44E0">
      <w:pPr>
        <w:pStyle w:val="3"/>
        <w:jc w:val="both"/>
        <w:rPr>
          <w:rFonts w:hint="eastAsia" w:ascii="宋体" w:hAnsi="宋体" w:cs="宋体"/>
          <w:color w:val="auto"/>
          <w:highlight w:val="none"/>
        </w:rPr>
      </w:pPr>
      <w:bookmarkStart w:id="150" w:name="_Toc54862343"/>
      <w:r>
        <w:rPr>
          <w:rFonts w:hint="eastAsia" w:ascii="宋体" w:hAnsi="宋体" w:cs="宋体"/>
          <w:color w:val="auto"/>
          <w:highlight w:val="none"/>
        </w:rPr>
        <w:t>第12条 竣工后试验</w:t>
      </w:r>
      <w:bookmarkEnd w:id="150"/>
    </w:p>
    <w:p w14:paraId="6E5B2F19">
      <w:pPr>
        <w:spacing w:line="440" w:lineRule="exact"/>
        <w:ind w:firstLine="480" w:firstLineChars="200"/>
        <w:jc w:val="both"/>
        <w:rPr>
          <w:color w:val="auto"/>
          <w:highlight w:val="none"/>
        </w:rPr>
      </w:pPr>
      <w:r>
        <w:rPr>
          <w:rFonts w:hint="eastAsia"/>
          <w:color w:val="auto"/>
          <w:highlight w:val="none"/>
        </w:rPr>
        <w:t>本合同工程是否包含竣工后试验：</w:t>
      </w:r>
      <w:r>
        <w:rPr>
          <w:rFonts w:hint="eastAsia"/>
          <w:color w:val="auto"/>
          <w:highlight w:val="none"/>
          <w:u w:val="single"/>
        </w:rPr>
        <w:t>是</w:t>
      </w:r>
      <w:r>
        <w:rPr>
          <w:rFonts w:hint="eastAsia"/>
          <w:color w:val="auto"/>
          <w:highlight w:val="none"/>
        </w:rPr>
        <w:t>。</w:t>
      </w:r>
    </w:p>
    <w:p w14:paraId="3B2AB73C">
      <w:pPr>
        <w:pStyle w:val="4"/>
        <w:rPr>
          <w:color w:val="auto"/>
          <w:highlight w:val="none"/>
        </w:rPr>
      </w:pPr>
      <w:r>
        <w:rPr>
          <w:color w:val="auto"/>
          <w:highlight w:val="none"/>
        </w:rPr>
        <w:t xml:space="preserve">12.1 </w:t>
      </w:r>
      <w:r>
        <w:rPr>
          <w:rFonts w:hint="eastAsia"/>
          <w:color w:val="auto"/>
          <w:highlight w:val="none"/>
        </w:rPr>
        <w:t>竣工后试验的程序</w:t>
      </w:r>
    </w:p>
    <w:p w14:paraId="70C45B06">
      <w:pPr>
        <w:spacing w:line="440" w:lineRule="exact"/>
        <w:ind w:firstLine="480" w:firstLineChars="200"/>
        <w:jc w:val="both"/>
        <w:rPr>
          <w:color w:val="auto"/>
          <w:highlight w:val="none"/>
        </w:rPr>
      </w:pPr>
      <w:r>
        <w:rPr>
          <w:color w:val="auto"/>
          <w:highlight w:val="none"/>
        </w:rPr>
        <w:t xml:space="preserve">12.1.2 </w:t>
      </w:r>
      <w:r>
        <w:rPr>
          <w:rFonts w:hint="eastAsia"/>
          <w:color w:val="auto"/>
          <w:highlight w:val="none"/>
        </w:rPr>
        <w:t>竣工后试验全部电力、水、污水处理、燃料、消耗品和材料，以及全部其他仪器、协助、文件或其他信息、设备、工具、劳力，启动工程设备，并组织安排有适当资质、经验和能力的工作人员等必要条件的提供方：</w:t>
      </w:r>
    </w:p>
    <w:p w14:paraId="37E4FA67">
      <w:pPr>
        <w:spacing w:line="440" w:lineRule="exact"/>
        <w:ind w:firstLine="480" w:firstLineChars="200"/>
        <w:jc w:val="both"/>
        <w:rPr>
          <w:color w:val="auto"/>
          <w:highlight w:val="none"/>
          <w:u w:val="single"/>
        </w:rPr>
      </w:pPr>
      <w:r>
        <w:rPr>
          <w:rFonts w:hint="eastAsia"/>
          <w:color w:val="auto"/>
          <w:highlight w:val="none"/>
          <w:u w:val="single"/>
        </w:rPr>
        <w:t>（1）承包人负责竣工后试验的电力、材料、燃料、人员和工程设备；</w:t>
      </w:r>
    </w:p>
    <w:p w14:paraId="666719C2">
      <w:pPr>
        <w:spacing w:line="440" w:lineRule="exact"/>
        <w:ind w:firstLine="480" w:firstLineChars="200"/>
        <w:jc w:val="both"/>
        <w:rPr>
          <w:color w:val="auto"/>
          <w:highlight w:val="none"/>
          <w:u w:val="single"/>
        </w:rPr>
      </w:pPr>
      <w:r>
        <w:rPr>
          <w:rFonts w:hint="eastAsia"/>
          <w:color w:val="auto"/>
          <w:highlight w:val="none"/>
          <w:u w:val="single"/>
        </w:rPr>
        <w:t>（2）承包人应提供竣工后试验所需要的所有其他设备、仪器，以及有资格和经验的工作人员；</w:t>
      </w:r>
    </w:p>
    <w:p w14:paraId="1C54073D">
      <w:pPr>
        <w:spacing w:line="440" w:lineRule="exact"/>
        <w:ind w:firstLine="480" w:firstLineChars="200"/>
        <w:jc w:val="both"/>
        <w:rPr>
          <w:color w:val="auto"/>
          <w:highlight w:val="none"/>
        </w:rPr>
      </w:pPr>
      <w:r>
        <w:rPr>
          <w:rFonts w:hint="eastAsia"/>
          <w:color w:val="auto"/>
          <w:highlight w:val="none"/>
          <w:u w:val="single"/>
        </w:rPr>
        <w:t>（3）承包人应在发包人在场的情况下，进行竣工后试验。发包人应提前10天将竣工后试验的日期通知承包人。因承包人原因造成某项竣工后试验未能通过的，承包人应按照合同的约定进行赔偿，或者承包人提出修复建议，按照发包人指示的合理期限内改正，并承担合同约定的相应责任。</w:t>
      </w:r>
    </w:p>
    <w:p w14:paraId="5EA667E1">
      <w:pPr>
        <w:pStyle w:val="3"/>
        <w:jc w:val="both"/>
        <w:rPr>
          <w:rFonts w:hint="eastAsia" w:ascii="宋体" w:hAnsi="宋体" w:cs="宋体"/>
          <w:color w:val="auto"/>
          <w:highlight w:val="none"/>
        </w:rPr>
      </w:pPr>
      <w:bookmarkStart w:id="151" w:name="_Toc54862344"/>
      <w:r>
        <w:rPr>
          <w:rFonts w:hint="eastAsia" w:ascii="宋体" w:hAnsi="宋体" w:cs="宋体"/>
          <w:color w:val="auto"/>
          <w:highlight w:val="none"/>
        </w:rPr>
        <w:t>第13条 变更与调整</w:t>
      </w:r>
      <w:bookmarkEnd w:id="151"/>
    </w:p>
    <w:p w14:paraId="30EC0FD6">
      <w:pPr>
        <w:pStyle w:val="4"/>
        <w:rPr>
          <w:color w:val="auto"/>
          <w:highlight w:val="none"/>
        </w:rPr>
      </w:pPr>
      <w:r>
        <w:rPr>
          <w:color w:val="auto"/>
          <w:highlight w:val="none"/>
        </w:rPr>
        <w:t xml:space="preserve">13.2 </w:t>
      </w:r>
      <w:r>
        <w:rPr>
          <w:rFonts w:hint="eastAsia"/>
          <w:color w:val="auto"/>
          <w:highlight w:val="none"/>
        </w:rPr>
        <w:t>承包人的合理化建议</w:t>
      </w:r>
    </w:p>
    <w:p w14:paraId="6B284A33">
      <w:pPr>
        <w:spacing w:line="440" w:lineRule="exact"/>
        <w:ind w:firstLine="480" w:firstLineChars="200"/>
        <w:jc w:val="both"/>
        <w:rPr>
          <w:color w:val="auto"/>
          <w:highlight w:val="none"/>
        </w:rPr>
      </w:pPr>
      <w:r>
        <w:rPr>
          <w:color w:val="auto"/>
          <w:highlight w:val="none"/>
        </w:rPr>
        <w:t xml:space="preserve">13.2.2 </w:t>
      </w:r>
      <w:r>
        <w:rPr>
          <w:rFonts w:hint="eastAsia"/>
          <w:color w:val="auto"/>
          <w:highlight w:val="none"/>
        </w:rPr>
        <w:t>工程师应在收到承包人提交的合理化建议后</w:t>
      </w:r>
      <w:r>
        <w:rPr>
          <w:rFonts w:hint="eastAsia"/>
          <w:color w:val="auto"/>
          <w:highlight w:val="none"/>
          <w:u w:val="single"/>
        </w:rPr>
        <w:t xml:space="preserve">    </w:t>
      </w:r>
      <w:r>
        <w:rPr>
          <w:rFonts w:hint="eastAsia"/>
          <w:color w:val="auto"/>
          <w:highlight w:val="none"/>
        </w:rPr>
        <w:t>日内审查完毕并报送发包人，发现其中存在技术上的缺陷，应通知承包人修改。发包人应在收到工程师报送的合理化建议后</w:t>
      </w:r>
      <w:r>
        <w:rPr>
          <w:color w:val="auto"/>
          <w:highlight w:val="none"/>
          <w:u w:val="single"/>
        </w:rPr>
        <w:t xml:space="preserve">    </w:t>
      </w:r>
      <w:r>
        <w:rPr>
          <w:rFonts w:hint="eastAsia"/>
          <w:color w:val="auto"/>
          <w:highlight w:val="none"/>
        </w:rPr>
        <w:t>日内审批完毕。合理化建议经发包人批准的，工程师应及时发出变更指示，由此引起的合同价格调整按照</w:t>
      </w:r>
      <w:r>
        <w:rPr>
          <w:rFonts w:hint="eastAsia"/>
          <w:color w:val="auto"/>
          <w:highlight w:val="none"/>
          <w:u w:val="single"/>
        </w:rPr>
        <w:t xml:space="preserve">             </w:t>
      </w:r>
      <w:r>
        <w:rPr>
          <w:rFonts w:hint="eastAsia"/>
          <w:color w:val="auto"/>
          <w:highlight w:val="none"/>
        </w:rPr>
        <w:t xml:space="preserve"> 执行。发包人不同意变更的，工程师应书面通知承包人</w:t>
      </w:r>
    </w:p>
    <w:p w14:paraId="03B36EFB">
      <w:pPr>
        <w:spacing w:line="440" w:lineRule="exact"/>
        <w:ind w:firstLine="480" w:firstLineChars="200"/>
        <w:jc w:val="both"/>
        <w:rPr>
          <w:color w:val="auto"/>
          <w:highlight w:val="none"/>
        </w:rPr>
      </w:pPr>
      <w:r>
        <w:rPr>
          <w:color w:val="auto"/>
          <w:highlight w:val="none"/>
        </w:rPr>
        <w:t>13.2.3 承包人提出的</w:t>
      </w:r>
      <w:r>
        <w:rPr>
          <w:rFonts w:hint="eastAsia"/>
          <w:color w:val="auto"/>
          <w:highlight w:val="none"/>
        </w:rPr>
        <w:t>合理化变更</w:t>
      </w:r>
      <w:r>
        <w:rPr>
          <w:color w:val="auto"/>
          <w:highlight w:val="none"/>
        </w:rPr>
        <w:t>建议的</w:t>
      </w:r>
      <w:r>
        <w:rPr>
          <w:rFonts w:hint="eastAsia"/>
          <w:color w:val="auto"/>
          <w:highlight w:val="none"/>
        </w:rPr>
        <w:t>利益分享约定</w:t>
      </w:r>
      <w:r>
        <w:rPr>
          <w:color w:val="auto"/>
          <w:highlight w:val="none"/>
        </w:rPr>
        <w:t>：</w:t>
      </w:r>
      <w:r>
        <w:rPr>
          <w:color w:val="auto"/>
          <w:highlight w:val="none"/>
          <w:u w:val="single"/>
        </w:rPr>
        <w:t xml:space="preserve">                </w:t>
      </w:r>
      <w:r>
        <w:rPr>
          <w:rFonts w:hint="eastAsia"/>
          <w:color w:val="auto"/>
          <w:highlight w:val="none"/>
        </w:rPr>
        <w:t>。</w:t>
      </w:r>
    </w:p>
    <w:p w14:paraId="15B54EC1">
      <w:pPr>
        <w:pStyle w:val="4"/>
        <w:rPr>
          <w:color w:val="auto"/>
          <w:highlight w:val="none"/>
        </w:rPr>
      </w:pPr>
      <w:r>
        <w:rPr>
          <w:color w:val="auto"/>
          <w:highlight w:val="none"/>
        </w:rPr>
        <w:t xml:space="preserve">13.3 </w:t>
      </w:r>
      <w:r>
        <w:rPr>
          <w:rFonts w:hint="eastAsia"/>
          <w:color w:val="auto"/>
          <w:highlight w:val="none"/>
        </w:rPr>
        <w:t>变更程序</w:t>
      </w:r>
    </w:p>
    <w:p w14:paraId="679B0519">
      <w:pPr>
        <w:spacing w:line="440" w:lineRule="exact"/>
        <w:ind w:firstLine="480" w:firstLineChars="200"/>
        <w:jc w:val="both"/>
        <w:rPr>
          <w:color w:val="auto"/>
          <w:highlight w:val="none"/>
        </w:rPr>
      </w:pPr>
      <w:r>
        <w:rPr>
          <w:color w:val="auto"/>
          <w:highlight w:val="none"/>
        </w:rPr>
        <w:t>13.3.3 变更估价</w:t>
      </w:r>
    </w:p>
    <w:p w14:paraId="411F78C2">
      <w:pPr>
        <w:spacing w:line="440" w:lineRule="exact"/>
        <w:ind w:firstLine="480" w:firstLineChars="200"/>
        <w:jc w:val="both"/>
        <w:rPr>
          <w:color w:val="auto"/>
          <w:highlight w:val="none"/>
        </w:rPr>
      </w:pPr>
      <w:r>
        <w:rPr>
          <w:color w:val="auto"/>
          <w:highlight w:val="none"/>
        </w:rPr>
        <w:t>13.3.3.1 变更估价原则</w:t>
      </w:r>
    </w:p>
    <w:p w14:paraId="6F687ACC">
      <w:pPr>
        <w:spacing w:line="440" w:lineRule="exact"/>
        <w:ind w:firstLine="480" w:firstLineChars="200"/>
        <w:jc w:val="both"/>
        <w:rPr>
          <w:color w:val="auto"/>
          <w:highlight w:val="none"/>
          <w:u w:val="single"/>
        </w:rPr>
      </w:pPr>
      <w:r>
        <w:rPr>
          <w:rFonts w:hint="eastAsia"/>
          <w:color w:val="auto"/>
          <w:highlight w:val="none"/>
        </w:rPr>
        <w:t>关于变更估价原则的约定：</w:t>
      </w:r>
    </w:p>
    <w:p w14:paraId="163BD986">
      <w:pPr>
        <w:spacing w:line="440" w:lineRule="exact"/>
        <w:ind w:firstLine="480" w:firstLineChars="200"/>
        <w:jc w:val="both"/>
        <w:rPr>
          <w:color w:val="auto"/>
          <w:highlight w:val="none"/>
          <w:u w:val="single"/>
        </w:rPr>
      </w:pPr>
      <w:r>
        <w:rPr>
          <w:rFonts w:hint="eastAsia"/>
          <w:color w:val="auto"/>
          <w:highlight w:val="none"/>
          <w:u w:val="single"/>
        </w:rPr>
        <w:t>（1）属人力不可抗力或作为一个有经验的承包人在施工现场遇到的不可预见的自然物质条件、非自然的物质障碍和污染物（包括地表以下的物质条件和水文条件，不包括气候条件）造成承包人直接损失的，发包人将根据实际情况协商解决；但属于应该预见预防的，而承包人没有及时预防或预防不力造成的损失，发包人不负责补偿，属施工技术组织措施失误造成的费用、工期由承包人承担。</w:t>
      </w:r>
    </w:p>
    <w:p w14:paraId="1114B56F">
      <w:pPr>
        <w:spacing w:line="440" w:lineRule="exact"/>
        <w:ind w:firstLine="480" w:firstLineChars="200"/>
        <w:jc w:val="both"/>
        <w:rPr>
          <w:color w:val="auto"/>
          <w:highlight w:val="none"/>
          <w:u w:val="single"/>
        </w:rPr>
      </w:pPr>
      <w:r>
        <w:rPr>
          <w:rFonts w:hint="eastAsia"/>
          <w:color w:val="auto"/>
          <w:highlight w:val="none"/>
          <w:u w:val="single"/>
        </w:rPr>
        <w:t>（2）总承包方原则上不对承包工程提出工程变更，如因设计错误、漏项，不同专业设计配合不好导致影响使用功能等情况以及施工单位调整施工方法、措施，工作失误等原因引起的各种变更，相应费用由总承包方承担。</w:t>
      </w:r>
    </w:p>
    <w:p w14:paraId="62812F4D">
      <w:pPr>
        <w:spacing w:line="440" w:lineRule="exact"/>
        <w:ind w:firstLine="480" w:firstLineChars="200"/>
        <w:jc w:val="both"/>
        <w:rPr>
          <w:color w:val="auto"/>
          <w:highlight w:val="none"/>
          <w:u w:val="single"/>
        </w:rPr>
      </w:pPr>
      <w:r>
        <w:rPr>
          <w:rFonts w:hint="eastAsia"/>
          <w:color w:val="auto"/>
          <w:highlight w:val="none"/>
          <w:u w:val="single"/>
        </w:rPr>
        <w:t>（3）承包人不得以任何理由拒绝发包人要求的工程量的增减及工作内容的变更。</w:t>
      </w:r>
    </w:p>
    <w:p w14:paraId="11007DDC">
      <w:pPr>
        <w:spacing w:line="440" w:lineRule="exact"/>
        <w:ind w:firstLine="480" w:firstLineChars="200"/>
        <w:jc w:val="both"/>
        <w:rPr>
          <w:color w:val="auto"/>
          <w:highlight w:val="none"/>
          <w:u w:val="single"/>
        </w:rPr>
      </w:pPr>
      <w:r>
        <w:rPr>
          <w:rFonts w:hint="eastAsia"/>
          <w:color w:val="auto"/>
          <w:highlight w:val="none"/>
          <w:u w:val="single"/>
        </w:rPr>
        <w:t>承包人不得随意提出材料品种和规格的变更，除非经发包人同意，也不得以采购困难等理由延误工期，否则发包人可自行组织采购，视为甲供材料，费用从承包人工程款中扣除，并处以相同款项处罚。   承包人在深化设计阶段，不能降低原设计方案的品质和标准，发包人提出的修改意见视为设计方案的优化应予以响应并落实，不计入工程变更费用。</w:t>
      </w:r>
    </w:p>
    <w:p w14:paraId="5AE90F14">
      <w:pPr>
        <w:spacing w:line="440" w:lineRule="exact"/>
        <w:ind w:firstLine="480" w:firstLineChars="200"/>
        <w:jc w:val="both"/>
        <w:rPr>
          <w:color w:val="auto"/>
          <w:highlight w:val="none"/>
          <w:u w:val="single"/>
        </w:rPr>
      </w:pPr>
      <w:r>
        <w:rPr>
          <w:rFonts w:hint="eastAsia"/>
          <w:color w:val="auto"/>
          <w:highlight w:val="none"/>
          <w:u w:val="single"/>
        </w:rPr>
        <w:t>（4）发包人对批准后的施工图中尚存在的瑕疵或有歧义的内容有权要求承包人进行修改与完善，其产生的额外费用由承包人承担，不计入工程变更费用。</w:t>
      </w:r>
    </w:p>
    <w:p w14:paraId="39F447E9">
      <w:pPr>
        <w:spacing w:line="440" w:lineRule="exact"/>
        <w:ind w:firstLine="480" w:firstLineChars="200"/>
        <w:jc w:val="both"/>
        <w:rPr>
          <w:color w:val="auto"/>
          <w:highlight w:val="none"/>
          <w:u w:val="single"/>
        </w:rPr>
      </w:pPr>
      <w:r>
        <w:rPr>
          <w:rFonts w:hint="eastAsia"/>
          <w:color w:val="auto"/>
          <w:highlight w:val="none"/>
          <w:u w:val="single"/>
        </w:rPr>
        <w:t>（5）在工程实施过程中，发包人认为可能存在安全隐患或难以实施的情形，有权要求承包人整改，其产生的额外费用由承包人承担，不计入工程变更费用。</w:t>
      </w:r>
    </w:p>
    <w:p w14:paraId="6B7780B8">
      <w:pPr>
        <w:spacing w:line="440" w:lineRule="exact"/>
        <w:ind w:firstLine="480" w:firstLineChars="200"/>
        <w:jc w:val="both"/>
        <w:rPr>
          <w:color w:val="auto"/>
          <w:highlight w:val="none"/>
          <w:u w:val="single"/>
        </w:rPr>
      </w:pPr>
      <w:r>
        <w:rPr>
          <w:rFonts w:hint="eastAsia"/>
          <w:color w:val="auto"/>
          <w:highlight w:val="none"/>
          <w:u w:val="single"/>
        </w:rPr>
        <w:t>（6）在材料及设备运用中未达到设计方案预期效果的，发包人可以要求更换或返工，其产生的额外费用由承包人承担，不计入工程变更费用。</w:t>
      </w:r>
    </w:p>
    <w:p w14:paraId="62921332">
      <w:pPr>
        <w:spacing w:line="440" w:lineRule="exact"/>
        <w:ind w:firstLine="480" w:firstLineChars="200"/>
        <w:jc w:val="both"/>
        <w:rPr>
          <w:color w:val="auto"/>
          <w:highlight w:val="none"/>
          <w:u w:val="single"/>
        </w:rPr>
      </w:pPr>
      <w:r>
        <w:rPr>
          <w:rFonts w:hint="eastAsia"/>
          <w:color w:val="auto"/>
          <w:highlight w:val="none"/>
          <w:u w:val="single"/>
        </w:rPr>
        <w:t>（7）因发包人要求对工程提出变更，改变了原施工图设计意图、使用结构和工程量增加，发生的相关费用则由发包人承担。</w:t>
      </w:r>
    </w:p>
    <w:p w14:paraId="18F744DA">
      <w:pPr>
        <w:spacing w:line="440" w:lineRule="exact"/>
        <w:ind w:firstLine="480" w:firstLineChars="200"/>
        <w:jc w:val="both"/>
        <w:rPr>
          <w:color w:val="auto"/>
          <w:highlight w:val="none"/>
          <w:u w:val="single"/>
        </w:rPr>
      </w:pPr>
      <w:r>
        <w:rPr>
          <w:rFonts w:hint="eastAsia"/>
          <w:color w:val="auto"/>
          <w:highlight w:val="none"/>
          <w:u w:val="single"/>
        </w:rPr>
        <w:t>当合同规定的可以调整合同价格的几种情况（具体详见16款价格调整）发生时，其相应单价的确定方法为：</w:t>
      </w:r>
    </w:p>
    <w:p w14:paraId="611910F2">
      <w:pPr>
        <w:spacing w:line="440" w:lineRule="exact"/>
        <w:ind w:firstLine="480" w:firstLineChars="200"/>
        <w:jc w:val="both"/>
        <w:rPr>
          <w:color w:val="auto"/>
          <w:highlight w:val="none"/>
          <w:u w:val="single"/>
        </w:rPr>
      </w:pPr>
      <w:r>
        <w:rPr>
          <w:rFonts w:hint="eastAsia"/>
          <w:color w:val="auto"/>
          <w:highlight w:val="none"/>
          <w:u w:val="single"/>
        </w:rPr>
        <w:t>①：审核确定的施工图预算中已有项目单价的，按审核确定的施工图预算中确定的综合单价结算；</w:t>
      </w:r>
    </w:p>
    <w:p w14:paraId="19AC0522">
      <w:pPr>
        <w:spacing w:line="440" w:lineRule="exact"/>
        <w:ind w:firstLine="480" w:firstLineChars="200"/>
        <w:jc w:val="both"/>
        <w:rPr>
          <w:color w:val="auto"/>
          <w:highlight w:val="none"/>
          <w:u w:val="single"/>
        </w:rPr>
      </w:pPr>
      <w:r>
        <w:rPr>
          <w:rFonts w:hint="eastAsia"/>
          <w:color w:val="auto"/>
          <w:highlight w:val="none"/>
          <w:u w:val="single"/>
        </w:rPr>
        <w:t>②：审核确定的施工图预算中无该项目单价，但有与该项目类似的子目，参照该子目单价调整；</w:t>
      </w:r>
    </w:p>
    <w:p w14:paraId="774DAE6F">
      <w:pPr>
        <w:spacing w:line="440" w:lineRule="exact"/>
        <w:ind w:firstLine="480" w:firstLineChars="200"/>
        <w:jc w:val="both"/>
        <w:rPr>
          <w:color w:val="auto"/>
          <w:highlight w:val="none"/>
          <w:u w:val="single"/>
        </w:rPr>
      </w:pPr>
      <w:r>
        <w:rPr>
          <w:rFonts w:hint="eastAsia"/>
          <w:color w:val="auto"/>
          <w:highlight w:val="none"/>
          <w:u w:val="single"/>
        </w:rPr>
        <w:t>③：审核确定的施工图预算中既无该项目单价，又无类似子目，但可套定额的，按审核确定的施工图预算口径计算</w:t>
      </w:r>
      <w:r>
        <w:rPr>
          <w:rFonts w:hint="eastAsia"/>
          <w:color w:val="auto"/>
          <w:highlight w:val="none"/>
          <w:u w:val="single"/>
        </w:rPr>
        <w:t>并按下浮率</w:t>
      </w:r>
      <w:r>
        <w:rPr>
          <w:rFonts w:hint="eastAsia"/>
          <w:color w:val="auto"/>
          <w:highlight w:val="none"/>
          <w:u w:val="single"/>
        </w:rPr>
        <w:t>下浮</w:t>
      </w:r>
      <w:r>
        <w:rPr>
          <w:rFonts w:hint="eastAsia"/>
          <w:color w:val="auto"/>
          <w:highlight w:val="none"/>
        </w:rPr>
        <w:t>；</w:t>
      </w:r>
    </w:p>
    <w:p w14:paraId="7A29C44B">
      <w:pPr>
        <w:spacing w:line="440" w:lineRule="exact"/>
        <w:ind w:firstLine="480" w:firstLineChars="200"/>
        <w:jc w:val="both"/>
        <w:rPr>
          <w:color w:val="auto"/>
          <w:highlight w:val="none"/>
        </w:rPr>
      </w:pPr>
      <w:r>
        <w:rPr>
          <w:rFonts w:hint="eastAsia"/>
          <w:color w:val="auto"/>
          <w:highlight w:val="none"/>
          <w:u w:val="single"/>
        </w:rPr>
        <w:t>④：审核确定的施工图预算中既无该项目单价，又无类似子目，没有项目单价和信息价，且无定额可套用，按照发包人签证价结算，签证的价格结算时不再下浮</w:t>
      </w:r>
      <w:r>
        <w:rPr>
          <w:rFonts w:hint="eastAsia"/>
          <w:color w:val="auto"/>
          <w:highlight w:val="none"/>
        </w:rPr>
        <w:t>。</w:t>
      </w:r>
    </w:p>
    <w:p w14:paraId="2F5C67B6">
      <w:pPr>
        <w:pStyle w:val="4"/>
        <w:rPr>
          <w:color w:val="auto"/>
          <w:highlight w:val="none"/>
        </w:rPr>
      </w:pPr>
      <w:r>
        <w:rPr>
          <w:color w:val="auto"/>
          <w:highlight w:val="none"/>
        </w:rPr>
        <w:t xml:space="preserve">13.4 </w:t>
      </w:r>
      <w:r>
        <w:rPr>
          <w:rFonts w:hint="eastAsia"/>
          <w:color w:val="auto"/>
          <w:highlight w:val="none"/>
        </w:rPr>
        <w:t>暂估价</w:t>
      </w:r>
    </w:p>
    <w:p w14:paraId="07036B57">
      <w:pPr>
        <w:spacing w:line="440" w:lineRule="exact"/>
        <w:ind w:firstLine="480" w:firstLineChars="200"/>
        <w:jc w:val="both"/>
        <w:rPr>
          <w:color w:val="auto"/>
          <w:highlight w:val="none"/>
        </w:rPr>
      </w:pPr>
      <w:r>
        <w:rPr>
          <w:color w:val="auto"/>
          <w:highlight w:val="none"/>
        </w:rPr>
        <w:t xml:space="preserve">13.4.1 </w:t>
      </w:r>
      <w:r>
        <w:rPr>
          <w:rFonts w:hint="eastAsia"/>
          <w:color w:val="auto"/>
          <w:highlight w:val="none"/>
        </w:rPr>
        <w:t>依法必须招标的暂估价项目</w:t>
      </w:r>
    </w:p>
    <w:p w14:paraId="2939A141">
      <w:pPr>
        <w:spacing w:line="440" w:lineRule="exact"/>
        <w:ind w:firstLine="480" w:firstLineChars="200"/>
        <w:jc w:val="both"/>
        <w:rPr>
          <w:color w:val="auto"/>
          <w:highlight w:val="none"/>
        </w:rPr>
      </w:pPr>
      <w:r>
        <w:rPr>
          <w:rFonts w:hint="eastAsia"/>
          <w:color w:val="auto"/>
          <w:highlight w:val="none"/>
        </w:rPr>
        <w:t>承包人可以参与投标的暂估价项目范围：</w:t>
      </w:r>
      <w:r>
        <w:rPr>
          <w:color w:val="auto"/>
          <w:highlight w:val="none"/>
          <w:u w:val="single"/>
        </w:rPr>
        <w:t xml:space="preserve">             </w:t>
      </w:r>
      <w:r>
        <w:rPr>
          <w:color w:val="auto"/>
          <w:highlight w:val="none"/>
        </w:rPr>
        <w:t xml:space="preserve"> </w:t>
      </w:r>
      <w:r>
        <w:rPr>
          <w:rFonts w:hint="eastAsia"/>
          <w:color w:val="auto"/>
          <w:highlight w:val="none"/>
        </w:rPr>
        <w:t>。</w:t>
      </w:r>
    </w:p>
    <w:p w14:paraId="22EBFA61">
      <w:pPr>
        <w:spacing w:line="440" w:lineRule="exact"/>
        <w:ind w:firstLine="480" w:firstLineChars="200"/>
        <w:jc w:val="both"/>
        <w:rPr>
          <w:color w:val="auto"/>
          <w:highlight w:val="none"/>
        </w:rPr>
      </w:pPr>
      <w:r>
        <w:rPr>
          <w:rFonts w:hint="eastAsia"/>
          <w:color w:val="auto"/>
          <w:highlight w:val="none"/>
        </w:rPr>
        <w:t>承包人不得参与投标的暂估价项目范围：</w:t>
      </w:r>
      <w:r>
        <w:rPr>
          <w:color w:val="auto"/>
          <w:highlight w:val="none"/>
          <w:u w:val="single"/>
        </w:rPr>
        <w:t xml:space="preserve">             </w:t>
      </w:r>
      <w:r>
        <w:rPr>
          <w:color w:val="auto"/>
          <w:highlight w:val="none"/>
        </w:rPr>
        <w:t xml:space="preserve"> </w:t>
      </w:r>
      <w:r>
        <w:rPr>
          <w:rFonts w:hint="eastAsia"/>
          <w:color w:val="auto"/>
          <w:highlight w:val="none"/>
        </w:rPr>
        <w:t>。</w:t>
      </w:r>
    </w:p>
    <w:p w14:paraId="51F124D1">
      <w:pPr>
        <w:spacing w:line="440" w:lineRule="exact"/>
        <w:ind w:firstLine="480" w:firstLineChars="200"/>
        <w:jc w:val="both"/>
        <w:rPr>
          <w:color w:val="auto"/>
          <w:highlight w:val="none"/>
        </w:rPr>
      </w:pPr>
      <w:r>
        <w:rPr>
          <w:rFonts w:hint="eastAsia"/>
          <w:color w:val="auto"/>
          <w:highlight w:val="none"/>
        </w:rPr>
        <w:t>招投标程序及其他约定</w:t>
      </w:r>
      <w:r>
        <w:rPr>
          <w:rFonts w:hint="eastAsia"/>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w:t>
      </w:r>
    </w:p>
    <w:p w14:paraId="2B1E4E01">
      <w:pPr>
        <w:spacing w:line="440" w:lineRule="exact"/>
        <w:ind w:firstLine="480" w:firstLineChars="200"/>
        <w:jc w:val="both"/>
        <w:rPr>
          <w:color w:val="auto"/>
          <w:highlight w:val="none"/>
        </w:rPr>
      </w:pPr>
      <w:r>
        <w:rPr>
          <w:color w:val="auto"/>
          <w:highlight w:val="none"/>
        </w:rPr>
        <w:t xml:space="preserve">13.4.2 </w:t>
      </w:r>
      <w:r>
        <w:rPr>
          <w:rFonts w:hint="eastAsia"/>
          <w:color w:val="auto"/>
          <w:highlight w:val="none"/>
        </w:rPr>
        <w:t>不属于依法必须招标的暂估价项目</w:t>
      </w:r>
    </w:p>
    <w:p w14:paraId="44A33B4E">
      <w:pPr>
        <w:spacing w:line="440" w:lineRule="exact"/>
        <w:ind w:firstLine="480" w:firstLineChars="200"/>
        <w:jc w:val="both"/>
        <w:rPr>
          <w:color w:val="auto"/>
          <w:highlight w:val="none"/>
        </w:rPr>
      </w:pPr>
      <w:r>
        <w:rPr>
          <w:rFonts w:hint="eastAsia"/>
          <w:color w:val="auto"/>
          <w:highlight w:val="none"/>
        </w:rPr>
        <w:t>不属于依法必须招标的暂估价项目的协商及估价的约定：</w:t>
      </w:r>
      <w:r>
        <w:rPr>
          <w:color w:val="auto"/>
          <w:highlight w:val="none"/>
          <w:u w:val="single"/>
        </w:rPr>
        <w:t xml:space="preserve">                                                 </w:t>
      </w:r>
      <w:r>
        <w:rPr>
          <w:color w:val="auto"/>
          <w:highlight w:val="none"/>
        </w:rPr>
        <w:t xml:space="preserve"> </w:t>
      </w:r>
      <w:r>
        <w:rPr>
          <w:rFonts w:hint="eastAsia"/>
          <w:color w:val="auto"/>
          <w:highlight w:val="none"/>
        </w:rPr>
        <w:t>。</w:t>
      </w:r>
    </w:p>
    <w:p w14:paraId="4526E8FE">
      <w:pPr>
        <w:pStyle w:val="4"/>
        <w:rPr>
          <w:color w:val="auto"/>
          <w:highlight w:val="none"/>
        </w:rPr>
      </w:pPr>
      <w:r>
        <w:rPr>
          <w:color w:val="auto"/>
          <w:highlight w:val="none"/>
        </w:rPr>
        <w:t xml:space="preserve">13.5 </w:t>
      </w:r>
      <w:r>
        <w:rPr>
          <w:rFonts w:hint="eastAsia"/>
          <w:color w:val="auto"/>
          <w:highlight w:val="none"/>
        </w:rPr>
        <w:t>暂列金额</w:t>
      </w:r>
    </w:p>
    <w:p w14:paraId="00C520F5">
      <w:pPr>
        <w:spacing w:line="440" w:lineRule="exact"/>
        <w:ind w:firstLine="480" w:firstLineChars="200"/>
        <w:jc w:val="both"/>
        <w:rPr>
          <w:color w:val="auto"/>
          <w:highlight w:val="none"/>
        </w:rPr>
      </w:pPr>
      <w:r>
        <w:rPr>
          <w:rFonts w:hint="eastAsia"/>
          <w:color w:val="auto"/>
          <w:highlight w:val="none"/>
        </w:rPr>
        <w:t>其他关于暂列金额使用的约定：</w:t>
      </w:r>
      <w:r>
        <w:rPr>
          <w:color w:val="auto"/>
          <w:highlight w:val="none"/>
          <w:u w:val="single"/>
        </w:rPr>
        <w:t xml:space="preserve">                     </w:t>
      </w:r>
      <w:r>
        <w:rPr>
          <w:color w:val="auto"/>
          <w:highlight w:val="none"/>
        </w:rPr>
        <w:t xml:space="preserve"> </w:t>
      </w:r>
      <w:r>
        <w:rPr>
          <w:rFonts w:hint="eastAsia"/>
          <w:color w:val="auto"/>
          <w:highlight w:val="none"/>
        </w:rPr>
        <w:t>。</w:t>
      </w:r>
    </w:p>
    <w:p w14:paraId="258E11D3">
      <w:pPr>
        <w:pStyle w:val="4"/>
        <w:rPr>
          <w:color w:val="auto"/>
          <w:highlight w:val="none"/>
        </w:rPr>
      </w:pPr>
      <w:r>
        <w:rPr>
          <w:color w:val="auto"/>
          <w:highlight w:val="none"/>
        </w:rPr>
        <w:t xml:space="preserve">13.8 </w:t>
      </w:r>
      <w:r>
        <w:rPr>
          <w:rFonts w:hint="eastAsia"/>
          <w:color w:val="auto"/>
          <w:highlight w:val="none"/>
        </w:rPr>
        <w:t>市场价格波动引起的调整</w:t>
      </w:r>
    </w:p>
    <w:p w14:paraId="564E95AE">
      <w:pPr>
        <w:spacing w:line="440" w:lineRule="exact"/>
        <w:ind w:firstLine="480" w:firstLineChars="200"/>
        <w:jc w:val="both"/>
        <w:rPr>
          <w:color w:val="auto"/>
          <w:highlight w:val="none"/>
        </w:rPr>
      </w:pPr>
      <w:r>
        <w:rPr>
          <w:rFonts w:hint="eastAsia"/>
          <w:color w:val="auto"/>
          <w:highlight w:val="none"/>
        </w:rPr>
        <w:t>1</w:t>
      </w:r>
      <w:r>
        <w:rPr>
          <w:color w:val="auto"/>
          <w:highlight w:val="none"/>
        </w:rPr>
        <w:t xml:space="preserve">3.8.2 </w:t>
      </w:r>
      <w:r>
        <w:rPr>
          <w:rFonts w:hint="eastAsia"/>
          <w:color w:val="auto"/>
          <w:highlight w:val="none"/>
        </w:rPr>
        <w:t>关于是否采用《价格指数权重表》的约定：</w:t>
      </w:r>
      <w:r>
        <w:rPr>
          <w:color w:val="auto"/>
          <w:highlight w:val="none"/>
          <w:u w:val="single"/>
        </w:rPr>
        <w:t xml:space="preserve">     </w:t>
      </w:r>
      <w:r>
        <w:rPr>
          <w:color w:val="auto"/>
          <w:highlight w:val="none"/>
        </w:rPr>
        <w:t xml:space="preserve"> </w:t>
      </w:r>
      <w:r>
        <w:rPr>
          <w:rFonts w:hint="eastAsia"/>
          <w:color w:val="auto"/>
          <w:highlight w:val="none"/>
        </w:rPr>
        <w:t>。</w:t>
      </w:r>
    </w:p>
    <w:p w14:paraId="1FD12B3D">
      <w:pPr>
        <w:spacing w:line="440" w:lineRule="exact"/>
        <w:ind w:firstLine="480" w:firstLineChars="200"/>
        <w:jc w:val="both"/>
        <w:rPr>
          <w:color w:val="auto"/>
          <w:highlight w:val="none"/>
        </w:rPr>
      </w:pPr>
      <w:r>
        <w:rPr>
          <w:rFonts w:hint="eastAsia"/>
          <w:color w:val="auto"/>
          <w:highlight w:val="none"/>
        </w:rPr>
        <w:t>1</w:t>
      </w:r>
      <w:r>
        <w:rPr>
          <w:color w:val="auto"/>
          <w:highlight w:val="none"/>
        </w:rPr>
        <w:t xml:space="preserve">3.8.3 </w:t>
      </w:r>
      <w:r>
        <w:rPr>
          <w:rFonts w:hint="eastAsia"/>
          <w:color w:val="auto"/>
          <w:highlight w:val="none"/>
        </w:rPr>
        <w:t>关于采用其他方式调整合同价款的约定：</w:t>
      </w:r>
      <w:r>
        <w:rPr>
          <w:color w:val="auto"/>
          <w:highlight w:val="none"/>
          <w:u w:val="single"/>
        </w:rPr>
        <w:t xml:space="preserve">        </w:t>
      </w:r>
      <w:r>
        <w:rPr>
          <w:color w:val="auto"/>
          <w:highlight w:val="none"/>
        </w:rPr>
        <w:t xml:space="preserve"> </w:t>
      </w:r>
      <w:r>
        <w:rPr>
          <w:rFonts w:hint="eastAsia"/>
          <w:color w:val="auto"/>
          <w:highlight w:val="none"/>
        </w:rPr>
        <w:t>。</w:t>
      </w:r>
    </w:p>
    <w:p w14:paraId="3674780F">
      <w:pPr>
        <w:pStyle w:val="3"/>
        <w:jc w:val="both"/>
        <w:rPr>
          <w:rFonts w:hint="eastAsia" w:ascii="宋体" w:hAnsi="宋体" w:cs="宋体"/>
          <w:color w:val="auto"/>
          <w:highlight w:val="none"/>
        </w:rPr>
      </w:pPr>
      <w:bookmarkStart w:id="152" w:name="_Toc54862345"/>
      <w:r>
        <w:rPr>
          <w:rFonts w:hint="eastAsia" w:ascii="宋体" w:hAnsi="宋体" w:cs="宋体"/>
          <w:color w:val="auto"/>
          <w:highlight w:val="none"/>
        </w:rPr>
        <w:t>第14条 合同价格与支付</w:t>
      </w:r>
      <w:bookmarkEnd w:id="152"/>
    </w:p>
    <w:p w14:paraId="2D2EBA6E">
      <w:pPr>
        <w:pStyle w:val="4"/>
        <w:rPr>
          <w:color w:val="auto"/>
          <w:highlight w:val="none"/>
        </w:rPr>
      </w:pPr>
      <w:r>
        <w:rPr>
          <w:color w:val="auto"/>
          <w:highlight w:val="none"/>
        </w:rPr>
        <w:t xml:space="preserve">14.1 </w:t>
      </w:r>
      <w:r>
        <w:rPr>
          <w:rFonts w:hint="eastAsia"/>
          <w:color w:val="auto"/>
          <w:highlight w:val="none"/>
        </w:rPr>
        <w:t>合同价格形式</w:t>
      </w:r>
    </w:p>
    <w:p w14:paraId="74B2E5C6">
      <w:pPr>
        <w:spacing w:line="440" w:lineRule="exact"/>
        <w:ind w:firstLine="480" w:firstLineChars="200"/>
        <w:jc w:val="both"/>
        <w:rPr>
          <w:color w:val="auto"/>
          <w:highlight w:val="none"/>
        </w:rPr>
      </w:pPr>
      <w:r>
        <w:rPr>
          <w:rFonts w:hint="eastAsia"/>
          <w:color w:val="auto"/>
          <w:highlight w:val="none"/>
        </w:rPr>
        <w:t>1</w:t>
      </w:r>
      <w:r>
        <w:rPr>
          <w:color w:val="auto"/>
          <w:highlight w:val="none"/>
        </w:rPr>
        <w:t xml:space="preserve">4.1.1 </w:t>
      </w:r>
      <w:r>
        <w:rPr>
          <w:rFonts w:hint="eastAsia"/>
          <w:color w:val="auto"/>
          <w:highlight w:val="none"/>
        </w:rPr>
        <w:t>关于合同价格形式的约定：</w:t>
      </w:r>
      <w:r>
        <w:rPr>
          <w:rFonts w:hint="eastAsia"/>
          <w:color w:val="auto"/>
          <w:highlight w:val="none"/>
          <w:u w:val="single"/>
        </w:rPr>
        <w:t>本工程施工采用固定单价（审定的施工图预算单价）及下浮率合同，除法律规定情形外，合同价格不因物价波动进行调整，中标价为暂定合同价</w:t>
      </w:r>
      <w:r>
        <w:rPr>
          <w:rFonts w:hint="eastAsia"/>
          <w:color w:val="auto"/>
          <w:highlight w:val="none"/>
        </w:rPr>
        <w:t>。</w:t>
      </w:r>
    </w:p>
    <w:p w14:paraId="0E25D8A4">
      <w:pPr>
        <w:spacing w:line="440" w:lineRule="exact"/>
        <w:ind w:firstLine="480" w:firstLineChars="200"/>
        <w:jc w:val="both"/>
        <w:rPr>
          <w:color w:val="auto"/>
          <w:highlight w:val="none"/>
          <w:u w:val="single"/>
        </w:rPr>
      </w:pPr>
      <w:r>
        <w:rPr>
          <w:rFonts w:hint="eastAsia"/>
          <w:color w:val="auto"/>
          <w:highlight w:val="none"/>
        </w:rPr>
        <w:t>1</w:t>
      </w:r>
      <w:r>
        <w:rPr>
          <w:color w:val="auto"/>
          <w:highlight w:val="none"/>
        </w:rPr>
        <w:t xml:space="preserve">4.1.2 </w:t>
      </w:r>
      <w:r>
        <w:rPr>
          <w:rFonts w:hint="eastAsia"/>
          <w:color w:val="auto"/>
          <w:highlight w:val="none"/>
        </w:rPr>
        <w:t>关于合同价格调整的约定：</w:t>
      </w:r>
    </w:p>
    <w:p w14:paraId="5CF4BADB">
      <w:pPr>
        <w:spacing w:line="440" w:lineRule="exact"/>
        <w:ind w:firstLine="482" w:firstLineChars="200"/>
        <w:jc w:val="both"/>
        <w:rPr>
          <w:color w:val="auto"/>
          <w:highlight w:val="none"/>
          <w:u w:val="single"/>
        </w:rPr>
      </w:pPr>
      <w:r>
        <w:rPr>
          <w:rFonts w:hint="eastAsia"/>
          <w:b/>
          <w:bCs/>
          <w:color w:val="auto"/>
          <w:highlight w:val="none"/>
          <w:u w:val="single"/>
        </w:rPr>
        <w:t>签约合同价：</w:t>
      </w:r>
      <w:r>
        <w:rPr>
          <w:rFonts w:hint="eastAsia"/>
          <w:color w:val="auto"/>
          <w:highlight w:val="none"/>
          <w:u w:val="single"/>
        </w:rPr>
        <w:t>人民币（大写）    （¥      元 ）（暂定价，已按投标下浮率     下浮）。其中工程费      元，设计费       元。</w:t>
      </w:r>
    </w:p>
    <w:p w14:paraId="33B15500">
      <w:pPr>
        <w:spacing w:line="440" w:lineRule="exact"/>
        <w:ind w:firstLine="480" w:firstLineChars="200"/>
        <w:jc w:val="both"/>
        <w:rPr>
          <w:color w:val="auto"/>
          <w:highlight w:val="none"/>
          <w:u w:val="single"/>
        </w:rPr>
      </w:pPr>
      <w:r>
        <w:rPr>
          <w:rFonts w:hint="eastAsia"/>
          <w:color w:val="auto"/>
          <w:highlight w:val="none"/>
          <w:u w:val="single"/>
        </w:rPr>
        <w:t>注：下浮率=1-建筑安装工程费投标报价/建筑安装工程费最高投标限价</w:t>
      </w:r>
    </w:p>
    <w:p w14:paraId="3516BAFD">
      <w:pPr>
        <w:spacing w:line="440" w:lineRule="exact"/>
        <w:ind w:firstLine="482" w:firstLineChars="200"/>
        <w:jc w:val="both"/>
        <w:rPr>
          <w:color w:val="auto"/>
          <w:highlight w:val="none"/>
          <w:u w:val="single"/>
        </w:rPr>
      </w:pPr>
      <w:r>
        <w:rPr>
          <w:rFonts w:hint="eastAsia"/>
          <w:b/>
          <w:bCs/>
          <w:color w:val="auto"/>
          <w:highlight w:val="none"/>
          <w:u w:val="single"/>
        </w:rPr>
        <w:t>调整合同价：</w:t>
      </w:r>
      <w:r>
        <w:rPr>
          <w:rFonts w:hint="eastAsia"/>
          <w:color w:val="auto"/>
          <w:highlight w:val="none"/>
          <w:u w:val="single"/>
        </w:rPr>
        <w:t>工程建设费用调整合同价+设计费用调整合同价。</w:t>
      </w:r>
    </w:p>
    <w:p w14:paraId="44105B85">
      <w:pPr>
        <w:spacing w:line="440" w:lineRule="exact"/>
        <w:ind w:firstLine="480" w:firstLineChars="200"/>
        <w:jc w:val="both"/>
        <w:rPr>
          <w:color w:val="auto"/>
          <w:highlight w:val="none"/>
          <w:u w:val="single"/>
        </w:rPr>
      </w:pPr>
      <w:r>
        <w:rPr>
          <w:rFonts w:hint="eastAsia"/>
          <w:color w:val="auto"/>
          <w:highlight w:val="none"/>
          <w:u w:val="single"/>
        </w:rPr>
        <w:t>（1）工程建设费用调整合同价：经审核后的施工图预算与经审批后的初步设计概算中工程费用比较，取低者为调整后工程建设费用调整合同价。</w:t>
      </w:r>
    </w:p>
    <w:p w14:paraId="4293CE77">
      <w:pPr>
        <w:spacing w:line="440" w:lineRule="exact"/>
        <w:ind w:firstLine="480" w:firstLineChars="200"/>
        <w:jc w:val="both"/>
        <w:rPr>
          <w:color w:val="auto"/>
          <w:highlight w:val="none"/>
          <w:u w:val="single"/>
        </w:rPr>
      </w:pPr>
      <w:r>
        <w:rPr>
          <w:rFonts w:hint="eastAsia"/>
          <w:color w:val="auto"/>
          <w:highlight w:val="none"/>
          <w:u w:val="single"/>
        </w:rPr>
        <w:t>（2）设计费用调整合同价：/</w:t>
      </w:r>
    </w:p>
    <w:p w14:paraId="3B647A35">
      <w:pPr>
        <w:spacing w:line="440" w:lineRule="exact"/>
        <w:ind w:firstLine="480" w:firstLineChars="200"/>
        <w:jc w:val="both"/>
        <w:rPr>
          <w:color w:val="auto"/>
          <w:highlight w:val="none"/>
          <w:u w:val="single"/>
        </w:rPr>
      </w:pPr>
      <w:r>
        <w:rPr>
          <w:rFonts w:hint="eastAsia"/>
          <w:color w:val="auto"/>
          <w:highlight w:val="none"/>
          <w:u w:val="single"/>
        </w:rPr>
        <w:t>工程设计收费最终以调整后的工程建设费用</w:t>
      </w:r>
      <w:r>
        <w:rPr>
          <w:rFonts w:hint="eastAsia"/>
          <w:color w:val="auto"/>
          <w:highlight w:val="none"/>
          <w:u w:val="single"/>
        </w:rPr>
        <w:t>（不包含工程建设其他费、预备费）</w:t>
      </w:r>
      <w:r>
        <w:rPr>
          <w:rFonts w:hint="eastAsia"/>
          <w:color w:val="auto"/>
          <w:highlight w:val="none"/>
          <w:u w:val="single"/>
        </w:rPr>
        <w:t>为基准价计算工程设计收费基价。即：按《浙江省建设工程其他费用定额2018版》和调整后的工程建设费用</w:t>
      </w:r>
      <w:r>
        <w:rPr>
          <w:rFonts w:hint="eastAsia"/>
          <w:color w:val="auto"/>
          <w:highlight w:val="none"/>
          <w:u w:val="single"/>
        </w:rPr>
        <w:t>（不包含工程建设其他费、预备费）</w:t>
      </w:r>
      <w:r>
        <w:rPr>
          <w:rFonts w:hint="eastAsia"/>
          <w:color w:val="auto"/>
          <w:highlight w:val="none"/>
          <w:u w:val="single"/>
        </w:rPr>
        <w:t>为基准价计算工程设计收费基价（工程设计收费高于概算价，按概算金额支付）。</w:t>
      </w:r>
    </w:p>
    <w:p w14:paraId="18B107F7">
      <w:pPr>
        <w:spacing w:line="440" w:lineRule="exact"/>
        <w:ind w:firstLine="480" w:firstLineChars="200"/>
        <w:jc w:val="both"/>
        <w:rPr>
          <w:color w:val="auto"/>
          <w:highlight w:val="none"/>
          <w:u w:val="single"/>
        </w:rPr>
      </w:pPr>
      <w:r>
        <w:rPr>
          <w:rFonts w:hint="eastAsia"/>
          <w:color w:val="auto"/>
          <w:highlight w:val="none"/>
          <w:u w:val="single"/>
        </w:rPr>
        <w:t>工程设计收费＝工程设计收费基价×专业调整系数1.0×工程复杂程度调整</w:t>
      </w:r>
      <w:r>
        <w:rPr>
          <w:rFonts w:hint="eastAsia"/>
          <w:color w:val="auto"/>
          <w:highlight w:val="none"/>
          <w:u w:val="single"/>
        </w:rPr>
        <w:t>系数1.0×附加调整系数1.5*55%（折扣）*50%（工作量）</w:t>
      </w:r>
    </w:p>
    <w:p w14:paraId="5A8B57DC">
      <w:pPr>
        <w:spacing w:line="440" w:lineRule="exact"/>
        <w:ind w:firstLine="480" w:firstLineChars="200"/>
        <w:jc w:val="both"/>
        <w:rPr>
          <w:color w:val="auto"/>
          <w:highlight w:val="none"/>
          <w:u w:val="single"/>
        </w:rPr>
      </w:pPr>
      <w:r>
        <w:rPr>
          <w:rFonts w:hint="eastAsia"/>
          <w:color w:val="auto"/>
          <w:highlight w:val="none"/>
          <w:u w:val="single"/>
        </w:rPr>
        <w:t>①工程设计基价：根据暂估的工程建安费，通过线性内插法计算。</w:t>
      </w:r>
    </w:p>
    <w:p w14:paraId="2EB6778D">
      <w:pPr>
        <w:spacing w:line="440" w:lineRule="exact"/>
        <w:ind w:firstLine="480" w:firstLineChars="200"/>
        <w:jc w:val="both"/>
        <w:rPr>
          <w:color w:val="auto"/>
          <w:highlight w:val="none"/>
          <w:u w:val="single"/>
        </w:rPr>
      </w:pPr>
      <w:r>
        <w:rPr>
          <w:rFonts w:hint="eastAsia"/>
          <w:color w:val="auto"/>
          <w:highlight w:val="none"/>
          <w:u w:val="single"/>
        </w:rPr>
        <w:t>②专业调整系数：本项目专业均按1.0计取；</w:t>
      </w:r>
    </w:p>
    <w:p w14:paraId="291533E4">
      <w:pPr>
        <w:spacing w:line="440" w:lineRule="exact"/>
        <w:ind w:firstLine="480" w:firstLineChars="200"/>
        <w:jc w:val="both"/>
        <w:rPr>
          <w:color w:val="auto"/>
          <w:highlight w:val="none"/>
          <w:u w:val="single"/>
        </w:rPr>
      </w:pPr>
      <w:r>
        <w:rPr>
          <w:rFonts w:hint="eastAsia"/>
          <w:color w:val="auto"/>
          <w:highlight w:val="none"/>
          <w:u w:val="single"/>
        </w:rPr>
        <w:t>③工程复杂程度调整系数：复杂调整系数为1.0；</w:t>
      </w:r>
    </w:p>
    <w:p w14:paraId="2D74793C">
      <w:pPr>
        <w:spacing w:line="440" w:lineRule="exact"/>
        <w:ind w:firstLine="480" w:firstLineChars="200"/>
        <w:jc w:val="both"/>
        <w:rPr>
          <w:color w:val="auto"/>
          <w:highlight w:val="none"/>
          <w:u w:val="single"/>
        </w:rPr>
      </w:pPr>
      <w:r>
        <w:rPr>
          <w:rFonts w:hint="eastAsia"/>
          <w:color w:val="auto"/>
          <w:highlight w:val="none"/>
          <w:u w:val="single"/>
        </w:rPr>
        <w:t>④附加调整系数：附加调整系数按1.5计取。</w:t>
      </w:r>
    </w:p>
    <w:p w14:paraId="685BD09B">
      <w:pPr>
        <w:spacing w:line="440" w:lineRule="exact"/>
        <w:ind w:firstLine="482" w:firstLineChars="200"/>
        <w:jc w:val="both"/>
        <w:rPr>
          <w:b/>
          <w:bCs/>
          <w:color w:val="auto"/>
          <w:highlight w:val="none"/>
          <w:u w:val="single"/>
        </w:rPr>
      </w:pPr>
      <w:r>
        <w:rPr>
          <w:rFonts w:hint="eastAsia"/>
          <w:b/>
          <w:bCs/>
          <w:color w:val="auto"/>
          <w:highlight w:val="none"/>
          <w:u w:val="single"/>
        </w:rPr>
        <w:t>调整工程费用相关标准和规定：</w:t>
      </w:r>
    </w:p>
    <w:p w14:paraId="255EB409">
      <w:pPr>
        <w:spacing w:line="440" w:lineRule="exact"/>
        <w:ind w:firstLine="480" w:firstLineChars="200"/>
        <w:jc w:val="both"/>
        <w:rPr>
          <w:color w:val="auto"/>
          <w:highlight w:val="none"/>
          <w:u w:val="single"/>
        </w:rPr>
      </w:pPr>
      <w:r>
        <w:rPr>
          <w:rFonts w:hint="eastAsia"/>
          <w:color w:val="auto"/>
          <w:highlight w:val="none"/>
          <w:u w:val="single"/>
        </w:rPr>
        <w:t>施工图审查后，由承包人编制工程施工图预算，预算编制口径（详见投标报价内容3.2.2），施工图预算送发包人后，由发包人按照相关程序报审确定施工图预算价格。</w:t>
      </w:r>
    </w:p>
    <w:p w14:paraId="3D2D7C0F">
      <w:pPr>
        <w:spacing w:line="440" w:lineRule="exact"/>
        <w:ind w:firstLine="480" w:firstLineChars="200"/>
        <w:jc w:val="both"/>
        <w:rPr>
          <w:color w:val="auto"/>
          <w:highlight w:val="none"/>
          <w:u w:val="single"/>
        </w:rPr>
      </w:pPr>
      <w:r>
        <w:rPr>
          <w:rFonts w:hint="eastAsia"/>
          <w:color w:val="auto"/>
          <w:highlight w:val="none"/>
          <w:u w:val="single"/>
        </w:rPr>
        <w:t>承包人在合同签订之日起15日历天内完成所有施工图并通过图审；完成施工图图审后15日历天内完成施工图预算编制并报发包人,最终按</w:t>
      </w:r>
      <w:r>
        <w:rPr>
          <w:rFonts w:hint="eastAsia"/>
          <w:color w:val="auto"/>
          <w:highlight w:val="none"/>
          <w:u w:val="single"/>
        </w:rPr>
        <w:t>《绍兴市市级政府投资项目工程总承包管理办法》</w:t>
      </w:r>
      <w:r>
        <w:rPr>
          <w:rFonts w:hint="eastAsia"/>
          <w:color w:val="auto"/>
          <w:highlight w:val="none"/>
          <w:u w:val="single"/>
        </w:rPr>
        <w:t>执行。</w:t>
      </w:r>
    </w:p>
    <w:p w14:paraId="14FD2D89">
      <w:pPr>
        <w:spacing w:line="440" w:lineRule="exact"/>
        <w:ind w:firstLine="480" w:firstLineChars="200"/>
        <w:jc w:val="both"/>
        <w:rPr>
          <w:color w:val="auto"/>
          <w:highlight w:val="none"/>
          <w:u w:val="single"/>
        </w:rPr>
      </w:pPr>
      <w:r>
        <w:rPr>
          <w:rFonts w:hint="eastAsia"/>
          <w:color w:val="auto"/>
          <w:highlight w:val="none"/>
          <w:u w:val="single"/>
        </w:rPr>
        <w:t>由于承包人自身原因，延误了施工图交付及施工图预算编制报送时间的，每延迟一天，处以违约金2000元，违约金总额最高不超过设计费的 10 ％。</w:t>
      </w:r>
    </w:p>
    <w:p w14:paraId="4FC88B54">
      <w:pPr>
        <w:spacing w:line="440" w:lineRule="exact"/>
        <w:ind w:firstLine="482" w:firstLineChars="200"/>
        <w:jc w:val="both"/>
        <w:rPr>
          <w:b/>
          <w:bCs/>
          <w:color w:val="auto"/>
          <w:highlight w:val="none"/>
          <w:u w:val="single"/>
        </w:rPr>
      </w:pPr>
      <w:r>
        <w:rPr>
          <w:rFonts w:hint="eastAsia"/>
          <w:b/>
          <w:bCs/>
          <w:color w:val="auto"/>
          <w:highlight w:val="none"/>
          <w:u w:val="single"/>
        </w:rPr>
        <w:t>合同结算价：</w:t>
      </w:r>
    </w:p>
    <w:p w14:paraId="5B95F5F2">
      <w:pPr>
        <w:spacing w:line="440" w:lineRule="exact"/>
        <w:ind w:firstLine="480" w:firstLineChars="200"/>
        <w:jc w:val="both"/>
        <w:rPr>
          <w:color w:val="auto"/>
          <w:highlight w:val="none"/>
          <w:u w:val="single"/>
        </w:rPr>
      </w:pPr>
      <w:r>
        <w:rPr>
          <w:rFonts w:hint="eastAsia"/>
          <w:color w:val="auto"/>
          <w:highlight w:val="none"/>
          <w:u w:val="single"/>
        </w:rPr>
        <w:t>工程建设费用结算价：根据合同约定的结算方式进行计算并经审计审定的价格作为工程建设结算价。</w:t>
      </w:r>
    </w:p>
    <w:p w14:paraId="23093C5A">
      <w:pPr>
        <w:spacing w:line="440" w:lineRule="exact"/>
        <w:ind w:firstLine="480" w:firstLineChars="200"/>
        <w:jc w:val="both"/>
        <w:rPr>
          <w:color w:val="auto"/>
          <w:highlight w:val="none"/>
        </w:rPr>
      </w:pPr>
      <w:r>
        <w:rPr>
          <w:rFonts w:hint="eastAsia"/>
          <w:color w:val="auto"/>
          <w:highlight w:val="none"/>
          <w:u w:val="single"/>
        </w:rPr>
        <w:t>设计费用结算价：以结算审计审定后的工程建设费用为基准，按1.1.5.2.2条款计算设计费</w:t>
      </w:r>
      <w:r>
        <w:rPr>
          <w:color w:val="auto"/>
          <w:highlight w:val="none"/>
          <w:u w:val="single"/>
        </w:rPr>
        <w:t xml:space="preserve"> </w:t>
      </w:r>
      <w:r>
        <w:rPr>
          <w:rFonts w:hint="eastAsia"/>
          <w:color w:val="auto"/>
          <w:highlight w:val="none"/>
        </w:rPr>
        <w:t>。</w:t>
      </w:r>
    </w:p>
    <w:p w14:paraId="345D10B4">
      <w:pPr>
        <w:spacing w:line="440" w:lineRule="exact"/>
        <w:ind w:firstLine="482" w:firstLineChars="200"/>
        <w:jc w:val="both"/>
        <w:rPr>
          <w:b/>
          <w:bCs/>
          <w:color w:val="auto"/>
          <w:highlight w:val="none"/>
        </w:rPr>
      </w:pPr>
      <w:r>
        <w:rPr>
          <w:rFonts w:hint="eastAsia"/>
          <w:b/>
          <w:bCs/>
          <w:color w:val="auto"/>
          <w:highlight w:val="none"/>
        </w:rPr>
        <w:t>以下可能发生的费用，已包含在合同价内，不再另行计取：</w:t>
      </w:r>
    </w:p>
    <w:p w14:paraId="71569238">
      <w:pPr>
        <w:spacing w:line="440" w:lineRule="exact"/>
        <w:ind w:firstLine="480" w:firstLineChars="200"/>
        <w:jc w:val="both"/>
        <w:rPr>
          <w:color w:val="auto"/>
          <w:highlight w:val="none"/>
        </w:rPr>
      </w:pPr>
      <w:r>
        <w:rPr>
          <w:rFonts w:hint="eastAsia"/>
          <w:color w:val="auto"/>
          <w:highlight w:val="none"/>
        </w:rPr>
        <w:t>（1）承包人应全面履行安全职责并接受有关部门的监督和管理，加强施工作业安全管理，特别应加强易燃、易爆材料、火工器材、有毒与腐蚀性材料和其他危险品的管理；承包人应严格按照国家安全标准制定施工安全操作规程，配备必要的安全生产和劳动保护设施，加强对承包人人员的安全教育，并发放安全工作手册和劳动保护用具；承包人应制定应对灾害的紧急预案，做好安全检查，配置必要的救助物资和器材，切实保护好有关人员的人身和财产安全。安全作业环境及安全施工措施所需费用均已包含在合同价款中；</w:t>
      </w:r>
    </w:p>
    <w:p w14:paraId="21345D77">
      <w:pPr>
        <w:spacing w:line="440" w:lineRule="exact"/>
        <w:ind w:firstLine="480" w:firstLineChars="200"/>
        <w:jc w:val="both"/>
        <w:rPr>
          <w:color w:val="auto"/>
          <w:highlight w:val="none"/>
        </w:rPr>
      </w:pPr>
      <w:r>
        <w:rPr>
          <w:rFonts w:hint="eastAsia"/>
          <w:color w:val="auto"/>
          <w:highlight w:val="none"/>
        </w:rPr>
        <w:t>（2）因施工噪音、物体坠落、材料抛散而扰民及影响环境卫生、交通城管、现场文明和施工安全等问题产生的费用，由承包人和有关管理部门、人员联系，自行解决。因此造成工期延长由承包人负责。如给发包人另行造成额外的经济损失，发包人可从承包人的工程款或结算款中扣回；</w:t>
      </w:r>
    </w:p>
    <w:p w14:paraId="70F26017">
      <w:pPr>
        <w:spacing w:line="440" w:lineRule="exact"/>
        <w:ind w:firstLine="480" w:firstLineChars="200"/>
        <w:jc w:val="both"/>
        <w:rPr>
          <w:color w:val="auto"/>
          <w:highlight w:val="none"/>
        </w:rPr>
      </w:pPr>
      <w:r>
        <w:rPr>
          <w:rFonts w:hint="eastAsia"/>
          <w:color w:val="auto"/>
          <w:highlight w:val="none"/>
        </w:rPr>
        <w:t>（3）凡招标文件中没有明确允许补差或建设管理部门文件没有明确规定由发包人承担的，但实际施工中可能发生的其它管理费均由承包人承担；</w:t>
      </w:r>
    </w:p>
    <w:p w14:paraId="1D5D4599">
      <w:pPr>
        <w:spacing w:line="440" w:lineRule="exact"/>
        <w:ind w:firstLine="480" w:firstLineChars="200"/>
        <w:jc w:val="both"/>
        <w:rPr>
          <w:color w:val="auto"/>
          <w:highlight w:val="none"/>
        </w:rPr>
      </w:pPr>
      <w:r>
        <w:rPr>
          <w:rFonts w:hint="eastAsia"/>
          <w:color w:val="auto"/>
          <w:highlight w:val="none"/>
        </w:rPr>
        <w:t>（4）承包人采购的所有材料的检测费用均由承包人承担；</w:t>
      </w:r>
    </w:p>
    <w:p w14:paraId="1E43C026">
      <w:pPr>
        <w:spacing w:line="440" w:lineRule="exact"/>
        <w:ind w:firstLine="480" w:firstLineChars="200"/>
        <w:jc w:val="both"/>
        <w:rPr>
          <w:color w:val="auto"/>
          <w:highlight w:val="none"/>
        </w:rPr>
      </w:pPr>
      <w:r>
        <w:rPr>
          <w:rFonts w:hint="eastAsia"/>
          <w:color w:val="auto"/>
          <w:highlight w:val="none"/>
        </w:rPr>
        <w:t>（5）工程的工程设计责任险、建安工程一切险、第三方责任险、人身意外伤害险费均包含在投标总价内不得另行计取，承包人在报价时请自行考虑；</w:t>
      </w:r>
    </w:p>
    <w:p w14:paraId="282F22CF">
      <w:pPr>
        <w:spacing w:line="440" w:lineRule="exact"/>
        <w:ind w:firstLine="480" w:firstLineChars="200"/>
        <w:jc w:val="both"/>
        <w:rPr>
          <w:color w:val="auto"/>
          <w:highlight w:val="none"/>
        </w:rPr>
      </w:pPr>
      <w:r>
        <w:rPr>
          <w:rFonts w:hint="eastAsia"/>
          <w:color w:val="auto"/>
          <w:highlight w:val="none"/>
        </w:rPr>
        <w:t>（6）工程竣工验收以后，资料必须交付城建档案馆备案，费用由承包人承担。竣工资料移交档案馆所产生的费用由承包人在投标报价时自行考虑，不再另行支付。</w:t>
      </w:r>
    </w:p>
    <w:p w14:paraId="33573119">
      <w:pPr>
        <w:spacing w:line="440" w:lineRule="exact"/>
        <w:ind w:firstLine="480" w:firstLineChars="200"/>
        <w:jc w:val="both"/>
        <w:rPr>
          <w:color w:val="auto"/>
          <w:highlight w:val="none"/>
        </w:rPr>
      </w:pPr>
      <w:r>
        <w:rPr>
          <w:rFonts w:hint="eastAsia"/>
          <w:color w:val="auto"/>
          <w:highlight w:val="none"/>
        </w:rPr>
        <w:t>9、承包人必须按国家工程建设的有关规定，进行安全文明施工，在施工过程中（包括质保期内）发生的安全事故均由承包人自行负责，由承包人对造成的损坏将按原价赔偿，与发包人无涉。如有垃圾运输途中沿路抛弃的行为、施工车辆进出保护措施不到位导致污染外环境的行为，一经发现，除负责清理外，还应向发包人递交2000元／次的违约金。</w:t>
      </w:r>
    </w:p>
    <w:p w14:paraId="33035404">
      <w:pPr>
        <w:spacing w:line="440" w:lineRule="exact"/>
        <w:ind w:firstLine="480" w:firstLineChars="200"/>
        <w:jc w:val="both"/>
        <w:rPr>
          <w:color w:val="auto"/>
          <w:highlight w:val="none"/>
        </w:rPr>
      </w:pPr>
      <w:r>
        <w:rPr>
          <w:rFonts w:hint="eastAsia"/>
          <w:color w:val="auto"/>
          <w:highlight w:val="none"/>
        </w:rPr>
        <w:t>10、竣工时必须做到工完场清、料清、障清，如未在发包人指定时间内做到工完场清，发包人有权指定其他单位清理，由此产生的费用在承包人应付工程款中扣除。</w:t>
      </w:r>
    </w:p>
    <w:p w14:paraId="21BADF51">
      <w:pPr>
        <w:spacing w:line="440" w:lineRule="exact"/>
        <w:ind w:firstLine="480" w:firstLineChars="200"/>
        <w:jc w:val="both"/>
        <w:rPr>
          <w:color w:val="auto"/>
          <w:highlight w:val="none"/>
        </w:rPr>
      </w:pPr>
      <w:r>
        <w:rPr>
          <w:rFonts w:hint="eastAsia"/>
          <w:color w:val="auto"/>
          <w:highlight w:val="none"/>
        </w:rPr>
        <w:t>11、施工用电、用水相关手续由承包人办理，费用由承包人承担，同时施工过程中承包人水电费用按实际用量向相关单位支付。</w:t>
      </w:r>
    </w:p>
    <w:p w14:paraId="1915F34E">
      <w:pPr>
        <w:spacing w:line="440" w:lineRule="exact"/>
        <w:ind w:firstLine="480" w:firstLineChars="200"/>
        <w:jc w:val="both"/>
        <w:rPr>
          <w:color w:val="auto"/>
          <w:highlight w:val="none"/>
        </w:rPr>
      </w:pPr>
      <w:r>
        <w:rPr>
          <w:rFonts w:hint="eastAsia"/>
          <w:color w:val="auto"/>
          <w:highlight w:val="none"/>
        </w:rPr>
        <w:t>1</w:t>
      </w:r>
      <w:r>
        <w:rPr>
          <w:color w:val="auto"/>
          <w:highlight w:val="none"/>
        </w:rPr>
        <w:t xml:space="preserve">4.1.3 </w:t>
      </w:r>
      <w:r>
        <w:rPr>
          <w:rFonts w:hint="eastAsia"/>
          <w:color w:val="auto"/>
          <w:highlight w:val="none"/>
        </w:rPr>
        <w:t>按实际完成的工程量支付工程价款的计量方法、估价方法：</w:t>
      </w:r>
      <w:r>
        <w:rPr>
          <w:color w:val="auto"/>
          <w:highlight w:val="none"/>
          <w:u w:val="single"/>
        </w:rPr>
        <w:t xml:space="preserve">       </w:t>
      </w:r>
      <w:r>
        <w:rPr>
          <w:color w:val="auto"/>
          <w:highlight w:val="none"/>
        </w:rPr>
        <w:t xml:space="preserve"> </w:t>
      </w:r>
      <w:r>
        <w:rPr>
          <w:rFonts w:hint="eastAsia"/>
          <w:color w:val="auto"/>
          <w:highlight w:val="none"/>
        </w:rPr>
        <w:t>。</w:t>
      </w:r>
    </w:p>
    <w:p w14:paraId="7A23B8BF">
      <w:pPr>
        <w:pStyle w:val="4"/>
        <w:rPr>
          <w:color w:val="auto"/>
          <w:highlight w:val="none"/>
        </w:rPr>
      </w:pPr>
      <w:r>
        <w:rPr>
          <w:color w:val="auto"/>
          <w:highlight w:val="none"/>
        </w:rPr>
        <w:t xml:space="preserve">14.2 </w:t>
      </w:r>
      <w:r>
        <w:rPr>
          <w:rFonts w:hint="eastAsia"/>
          <w:color w:val="auto"/>
          <w:highlight w:val="none"/>
        </w:rPr>
        <w:t>预付款</w:t>
      </w:r>
    </w:p>
    <w:p w14:paraId="4773672E">
      <w:pPr>
        <w:spacing w:line="440" w:lineRule="exact"/>
        <w:ind w:firstLine="480" w:firstLineChars="200"/>
        <w:jc w:val="both"/>
        <w:rPr>
          <w:color w:val="auto"/>
          <w:highlight w:val="none"/>
        </w:rPr>
      </w:pPr>
      <w:r>
        <w:rPr>
          <w:color w:val="auto"/>
          <w:highlight w:val="none"/>
        </w:rPr>
        <w:t xml:space="preserve">14.2.1 </w:t>
      </w:r>
      <w:r>
        <w:rPr>
          <w:rFonts w:hint="eastAsia"/>
          <w:color w:val="auto"/>
          <w:highlight w:val="none"/>
        </w:rPr>
        <w:t>预付款支付</w:t>
      </w:r>
    </w:p>
    <w:p w14:paraId="314A29DA">
      <w:pPr>
        <w:spacing w:line="440" w:lineRule="exact"/>
        <w:ind w:firstLine="480" w:firstLineChars="200"/>
        <w:jc w:val="both"/>
        <w:rPr>
          <w:color w:val="auto"/>
          <w:highlight w:val="none"/>
        </w:rPr>
      </w:pPr>
      <w:r>
        <w:rPr>
          <w:rFonts w:hint="eastAsia"/>
          <w:color w:val="auto"/>
          <w:highlight w:val="none"/>
        </w:rPr>
        <w:t>预付款的金额或比例为：</w:t>
      </w:r>
      <w:r>
        <w:rPr>
          <w:rFonts w:hint="eastAsia"/>
          <w:color w:val="auto"/>
          <w:highlight w:val="none"/>
          <w:u w:val="single"/>
        </w:rPr>
        <w:t>暂定合同价（扣除暂定合同价内的设计费用及合同内约定的暂定安全文明施工费及的10%</w:t>
      </w:r>
      <w:r>
        <w:rPr>
          <w:color w:val="auto"/>
          <w:highlight w:val="none"/>
          <w:u w:val="single"/>
        </w:rPr>
        <w:t xml:space="preserve"> </w:t>
      </w:r>
      <w:r>
        <w:rPr>
          <w:rFonts w:hint="eastAsia"/>
          <w:color w:val="auto"/>
          <w:highlight w:val="none"/>
        </w:rPr>
        <w:t>。</w:t>
      </w:r>
    </w:p>
    <w:p w14:paraId="05345762">
      <w:pPr>
        <w:spacing w:line="440" w:lineRule="exact"/>
        <w:ind w:firstLine="480" w:firstLineChars="200"/>
        <w:jc w:val="both"/>
        <w:rPr>
          <w:color w:val="auto"/>
          <w:highlight w:val="none"/>
        </w:rPr>
      </w:pPr>
      <w:r>
        <w:rPr>
          <w:rFonts w:hint="eastAsia"/>
          <w:color w:val="auto"/>
          <w:highlight w:val="none"/>
        </w:rPr>
        <w:t>预付款支付期限：</w:t>
      </w:r>
      <w:r>
        <w:rPr>
          <w:rFonts w:hint="eastAsia"/>
          <w:color w:val="auto"/>
          <w:highlight w:val="none"/>
          <w:u w:val="single"/>
        </w:rPr>
        <w:t>承包人提交履约担保、相关合同（总承包合同、安全责任书、廉政合同）签订、总监理工程师发出书面施工开工指令后一个月内</w:t>
      </w:r>
      <w:r>
        <w:rPr>
          <w:rFonts w:hint="eastAsia"/>
          <w:color w:val="auto"/>
          <w:highlight w:val="none"/>
        </w:rPr>
        <w:t>。</w:t>
      </w:r>
    </w:p>
    <w:p w14:paraId="4408ED25">
      <w:pPr>
        <w:spacing w:line="440" w:lineRule="exact"/>
        <w:ind w:firstLine="480" w:firstLineChars="200"/>
        <w:jc w:val="both"/>
        <w:rPr>
          <w:color w:val="auto"/>
          <w:highlight w:val="none"/>
        </w:rPr>
      </w:pPr>
      <w:r>
        <w:rPr>
          <w:rFonts w:hint="eastAsia"/>
          <w:color w:val="auto"/>
          <w:highlight w:val="none"/>
        </w:rPr>
        <w:t>预付款扣回的方式：</w:t>
      </w:r>
      <w:r>
        <w:rPr>
          <w:rFonts w:hint="eastAsia"/>
          <w:color w:val="auto"/>
          <w:highlight w:val="none"/>
          <w:u w:val="single"/>
        </w:rPr>
        <w:t xml:space="preserve"> 预付款在项目开工后分2次扣回，每期按预付款总数的50%扣回。每月可支付产值不足以抵扣预付款时，当月不支付工程款，并入下一个月一起支付</w:t>
      </w:r>
      <w:r>
        <w:rPr>
          <w:color w:val="auto"/>
          <w:highlight w:val="none"/>
          <w:u w:val="single"/>
        </w:rPr>
        <w:t xml:space="preserve"> </w:t>
      </w:r>
      <w:r>
        <w:rPr>
          <w:rFonts w:hint="eastAsia"/>
          <w:color w:val="auto"/>
          <w:highlight w:val="none"/>
        </w:rPr>
        <w:t>。</w:t>
      </w:r>
    </w:p>
    <w:p w14:paraId="257E742B">
      <w:pPr>
        <w:spacing w:line="440" w:lineRule="exact"/>
        <w:ind w:firstLine="480" w:firstLineChars="200"/>
        <w:jc w:val="both"/>
        <w:rPr>
          <w:color w:val="auto"/>
          <w:highlight w:val="none"/>
        </w:rPr>
      </w:pPr>
      <w:r>
        <w:rPr>
          <w:rFonts w:hint="eastAsia"/>
          <w:color w:val="auto"/>
          <w:highlight w:val="none"/>
        </w:rPr>
        <w:t>1</w:t>
      </w:r>
      <w:r>
        <w:rPr>
          <w:color w:val="auto"/>
          <w:highlight w:val="none"/>
        </w:rPr>
        <w:t>4.2.2预付款担保</w:t>
      </w:r>
    </w:p>
    <w:p w14:paraId="7F3B5349">
      <w:pPr>
        <w:spacing w:line="440" w:lineRule="exact"/>
        <w:ind w:firstLine="480" w:firstLineChars="200"/>
        <w:jc w:val="both"/>
        <w:rPr>
          <w:color w:val="auto"/>
          <w:highlight w:val="none"/>
        </w:rPr>
      </w:pPr>
      <w:r>
        <w:rPr>
          <w:rFonts w:hint="eastAsia"/>
          <w:color w:val="auto"/>
          <w:highlight w:val="none"/>
        </w:rPr>
        <w:t>提供预付款担保期限：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w:t>
      </w:r>
    </w:p>
    <w:p w14:paraId="21F7042B">
      <w:pPr>
        <w:spacing w:line="440" w:lineRule="exact"/>
        <w:ind w:firstLine="480" w:firstLineChars="200"/>
        <w:jc w:val="both"/>
        <w:rPr>
          <w:color w:val="auto"/>
          <w:highlight w:val="none"/>
        </w:rPr>
      </w:pPr>
      <w:r>
        <w:rPr>
          <w:rFonts w:hint="eastAsia"/>
          <w:color w:val="auto"/>
          <w:highlight w:val="none"/>
        </w:rPr>
        <w:t>预付款担保形式：</w:t>
      </w:r>
      <w:r>
        <w:rPr>
          <w:rFonts w:hint="eastAsia"/>
          <w:color w:val="auto"/>
          <w:highlight w:val="none"/>
          <w:u w:val="single"/>
        </w:rPr>
        <w:t>/</w:t>
      </w:r>
      <w:r>
        <w:rPr>
          <w:color w:val="auto"/>
          <w:highlight w:val="none"/>
          <w:u w:val="single"/>
        </w:rPr>
        <w:t xml:space="preserve">  </w:t>
      </w:r>
      <w:r>
        <w:rPr>
          <w:rFonts w:hint="eastAsia"/>
          <w:color w:val="auto"/>
          <w:highlight w:val="none"/>
        </w:rPr>
        <w:t>。</w:t>
      </w:r>
    </w:p>
    <w:p w14:paraId="1C67A7C9">
      <w:pPr>
        <w:pStyle w:val="4"/>
        <w:rPr>
          <w:color w:val="auto"/>
          <w:highlight w:val="none"/>
        </w:rPr>
      </w:pPr>
      <w:r>
        <w:rPr>
          <w:color w:val="auto"/>
          <w:highlight w:val="none"/>
        </w:rPr>
        <w:t xml:space="preserve">14.3 </w:t>
      </w:r>
      <w:r>
        <w:rPr>
          <w:rFonts w:hint="eastAsia"/>
          <w:color w:val="auto"/>
          <w:highlight w:val="none"/>
        </w:rPr>
        <w:t>工程进度款</w:t>
      </w:r>
    </w:p>
    <w:p w14:paraId="4F9C8C68">
      <w:pPr>
        <w:spacing w:line="440" w:lineRule="exact"/>
        <w:ind w:firstLine="480" w:firstLineChars="200"/>
        <w:jc w:val="both"/>
        <w:rPr>
          <w:color w:val="auto"/>
          <w:highlight w:val="none"/>
        </w:rPr>
      </w:pPr>
      <w:r>
        <w:rPr>
          <w:color w:val="auto"/>
          <w:highlight w:val="none"/>
        </w:rPr>
        <w:t xml:space="preserve">14.3.1 </w:t>
      </w:r>
      <w:r>
        <w:rPr>
          <w:rFonts w:hint="eastAsia"/>
          <w:color w:val="auto"/>
          <w:highlight w:val="none"/>
        </w:rPr>
        <w:t>工程进度付款申请</w:t>
      </w:r>
    </w:p>
    <w:p w14:paraId="43C34913">
      <w:pPr>
        <w:spacing w:line="440" w:lineRule="exact"/>
        <w:ind w:firstLine="480" w:firstLineChars="200"/>
        <w:jc w:val="both"/>
        <w:rPr>
          <w:color w:val="auto"/>
          <w:highlight w:val="none"/>
        </w:rPr>
      </w:pPr>
      <w:r>
        <w:rPr>
          <w:rFonts w:hint="eastAsia"/>
          <w:color w:val="auto"/>
          <w:highlight w:val="none"/>
        </w:rPr>
        <w:t>工程进度付款申请方式：</w:t>
      </w:r>
      <w:r>
        <w:rPr>
          <w:color w:val="auto"/>
          <w:highlight w:val="none"/>
          <w:u w:val="single"/>
        </w:rPr>
        <w:t xml:space="preserve">                           </w:t>
      </w:r>
      <w:r>
        <w:rPr>
          <w:color w:val="auto"/>
          <w:highlight w:val="none"/>
        </w:rPr>
        <w:t xml:space="preserve"> </w:t>
      </w:r>
      <w:r>
        <w:rPr>
          <w:rFonts w:hint="eastAsia"/>
          <w:color w:val="auto"/>
          <w:highlight w:val="none"/>
        </w:rPr>
        <w:t>。</w:t>
      </w:r>
    </w:p>
    <w:p w14:paraId="35D728D5">
      <w:pPr>
        <w:spacing w:line="440" w:lineRule="exact"/>
        <w:ind w:firstLine="480" w:firstLineChars="200"/>
        <w:jc w:val="both"/>
        <w:rPr>
          <w:color w:val="auto"/>
          <w:highlight w:val="none"/>
        </w:rPr>
      </w:pPr>
      <w:r>
        <w:rPr>
          <w:rFonts w:hint="eastAsia"/>
          <w:color w:val="auto"/>
          <w:highlight w:val="none"/>
        </w:rPr>
        <w:t>承包人提交进度付款申请单的格式、内容、份数和时间：</w:t>
      </w:r>
      <w:r>
        <w:rPr>
          <w:rFonts w:hint="eastAsia"/>
          <w:color w:val="auto"/>
          <w:highlight w:val="none"/>
          <w:u w:val="single"/>
        </w:rPr>
        <w:t>每月20日前提供月进度计划及当月工程量统计报表各5份，上报监理、全过程工程咨询单位及有关部门核定后，报至发包人项目负责人，经审核后予以支付。</w:t>
      </w:r>
    </w:p>
    <w:p w14:paraId="1A463F6F">
      <w:pPr>
        <w:spacing w:line="440" w:lineRule="exact"/>
        <w:ind w:firstLine="480" w:firstLineChars="200"/>
        <w:jc w:val="both"/>
        <w:rPr>
          <w:color w:val="auto"/>
          <w:highlight w:val="none"/>
        </w:rPr>
      </w:pPr>
      <w:r>
        <w:rPr>
          <w:rFonts w:hint="eastAsia"/>
          <w:color w:val="auto"/>
          <w:highlight w:val="none"/>
        </w:rPr>
        <w:t>进度付款申请单应包括的内容：</w:t>
      </w:r>
      <w:r>
        <w:rPr>
          <w:color w:val="auto"/>
          <w:highlight w:val="none"/>
          <w:u w:val="single"/>
        </w:rPr>
        <w:t xml:space="preserve">                      </w:t>
      </w:r>
      <w:r>
        <w:rPr>
          <w:rFonts w:hint="eastAsia"/>
          <w:color w:val="auto"/>
          <w:highlight w:val="none"/>
        </w:rPr>
        <w:t>。</w:t>
      </w:r>
    </w:p>
    <w:p w14:paraId="13FC46D1">
      <w:pPr>
        <w:spacing w:line="440" w:lineRule="exact"/>
        <w:ind w:firstLine="480" w:firstLineChars="200"/>
        <w:jc w:val="both"/>
        <w:rPr>
          <w:color w:val="auto"/>
          <w:highlight w:val="none"/>
        </w:rPr>
      </w:pPr>
      <w:r>
        <w:rPr>
          <w:color w:val="auto"/>
          <w:highlight w:val="none"/>
        </w:rPr>
        <w:t xml:space="preserve">14.3.2 </w:t>
      </w:r>
      <w:r>
        <w:rPr>
          <w:rFonts w:hint="eastAsia"/>
          <w:color w:val="auto"/>
          <w:highlight w:val="none"/>
        </w:rPr>
        <w:t>进度付款审核和支付</w:t>
      </w:r>
    </w:p>
    <w:p w14:paraId="503569F6">
      <w:pPr>
        <w:spacing w:line="440" w:lineRule="exact"/>
        <w:ind w:firstLine="480" w:firstLineChars="200"/>
        <w:jc w:val="both"/>
        <w:rPr>
          <w:color w:val="auto"/>
          <w:highlight w:val="none"/>
        </w:rPr>
      </w:pPr>
      <w:r>
        <w:rPr>
          <w:rFonts w:hint="eastAsia"/>
          <w:color w:val="auto"/>
          <w:highlight w:val="none"/>
        </w:rPr>
        <w:t>进度付款的审核方式和支付的约定：</w:t>
      </w:r>
    </w:p>
    <w:p w14:paraId="2C2ED863">
      <w:pPr>
        <w:spacing w:line="440" w:lineRule="exact"/>
        <w:ind w:firstLine="480" w:firstLineChars="200"/>
        <w:jc w:val="both"/>
        <w:rPr>
          <w:color w:val="auto"/>
          <w:highlight w:val="none"/>
          <w:u w:val="single"/>
        </w:rPr>
      </w:pPr>
      <w:r>
        <w:rPr>
          <w:rFonts w:hint="eastAsia"/>
          <w:color w:val="auto"/>
          <w:highlight w:val="none"/>
        </w:rPr>
        <w:t>（1）</w:t>
      </w:r>
      <w:r>
        <w:rPr>
          <w:rFonts w:hint="eastAsia"/>
          <w:b/>
          <w:bCs/>
          <w:color w:val="auto"/>
          <w:highlight w:val="none"/>
          <w:u w:val="single"/>
        </w:rPr>
        <w:t>施工进度款的支付：</w:t>
      </w:r>
      <w:r>
        <w:rPr>
          <w:rFonts w:hint="eastAsia"/>
          <w:color w:val="auto"/>
          <w:highlight w:val="none"/>
          <w:u w:val="single"/>
        </w:rPr>
        <w:t>承包人于每月20日前向监理单位及发包人上报产值报表，</w:t>
      </w:r>
      <w:r>
        <w:rPr>
          <w:rFonts w:hint="eastAsia"/>
          <w:color w:val="auto"/>
          <w:highlight w:val="none"/>
          <w:u w:val="single"/>
        </w:rPr>
        <w:t>支付比例为发包人审核值的85%</w:t>
      </w:r>
      <w:r>
        <w:rPr>
          <w:rFonts w:hint="eastAsia"/>
          <w:color w:val="auto"/>
          <w:highlight w:val="none"/>
          <w:u w:val="single"/>
        </w:rPr>
        <w:t>（如已完成工程量部分预算经相关部门审核，可付至相关部门审核</w:t>
      </w:r>
      <w:r>
        <w:rPr>
          <w:rFonts w:hint="eastAsia"/>
          <w:color w:val="auto"/>
          <w:highlight w:val="none"/>
          <w:u w:val="single"/>
        </w:rPr>
        <w:t>值的90%）</w:t>
      </w:r>
      <w:r>
        <w:rPr>
          <w:rFonts w:hint="eastAsia"/>
          <w:color w:val="auto"/>
          <w:highlight w:val="none"/>
          <w:u w:val="single"/>
        </w:rPr>
        <w:t>；工程竣工验收合格，竣工资料整理并归档、预算经相关部门审核后，</w:t>
      </w:r>
      <w:r>
        <w:rPr>
          <w:rFonts w:hint="eastAsia"/>
          <w:color w:val="auto"/>
          <w:highlight w:val="none"/>
          <w:u w:val="single"/>
        </w:rPr>
        <w:t>付至经审核预算的90％</w:t>
      </w:r>
      <w:r>
        <w:rPr>
          <w:rFonts w:hint="eastAsia"/>
          <w:color w:val="auto"/>
          <w:highlight w:val="none"/>
          <w:u w:val="single"/>
        </w:rPr>
        <w:t>（经发包人、监理人、全过程工程咨询单位核准的实际完成工程量小于经审核的预算，付至实际完成工程量</w:t>
      </w:r>
      <w:r>
        <w:rPr>
          <w:rFonts w:hint="eastAsia"/>
          <w:color w:val="auto"/>
          <w:highlight w:val="none"/>
          <w:u w:val="single"/>
        </w:rPr>
        <w:t>的90%。</w:t>
      </w:r>
      <w:r>
        <w:rPr>
          <w:rFonts w:hint="eastAsia"/>
          <w:color w:val="auto"/>
          <w:highlight w:val="none"/>
          <w:u w:val="single"/>
        </w:rPr>
        <w:t>变更金额在进度款中不支付，待结算审计后支付，预付款根据施工进度在每次进度款付款中扣除，直至扣除完）；工程结算经审核后付至结算价的98.5％；余款1.5％作为工程质量保修金（一审结算金额与发包金额相差超过±10%（含10%）需进行二审），在质量缺陷期满后支付（保修金不计利息，根据实际的保修情况多退少补）。施工进度款支付需满足</w:t>
      </w:r>
      <w:r>
        <w:rPr>
          <w:rFonts w:hint="eastAsia"/>
          <w:color w:val="auto"/>
          <w:highlight w:val="none"/>
          <w:u w:val="single"/>
        </w:rPr>
        <w:t>《绍兴市市级政府投资项目工程总承包管理办法》</w:t>
      </w:r>
      <w:r>
        <w:rPr>
          <w:rFonts w:hint="eastAsia"/>
          <w:color w:val="auto"/>
          <w:highlight w:val="none"/>
          <w:u w:val="single"/>
        </w:rPr>
        <w:t>文件要求。</w:t>
      </w:r>
    </w:p>
    <w:p w14:paraId="1C301586">
      <w:pPr>
        <w:spacing w:line="440" w:lineRule="exact"/>
        <w:ind w:firstLine="480" w:firstLineChars="200"/>
        <w:jc w:val="both"/>
        <w:rPr>
          <w:color w:val="auto"/>
          <w:highlight w:val="none"/>
          <w:u w:val="single"/>
        </w:rPr>
      </w:pPr>
      <w:r>
        <w:rPr>
          <w:rFonts w:hint="eastAsia"/>
          <w:color w:val="auto"/>
          <w:highlight w:val="none"/>
          <w:u w:val="single"/>
        </w:rPr>
        <w:t>承包人未能完成月计划进度或工程质量未达到约定要求的，或者调减变更未及时上报的，发包人有权暂缓支付工程进度款；最终结算价格以发包人上级主管部门审核后的并经承包人确认的审计结果作为工程竣工结算依据。</w:t>
      </w:r>
    </w:p>
    <w:p w14:paraId="7BB67B0F">
      <w:pPr>
        <w:spacing w:line="440" w:lineRule="exact"/>
        <w:ind w:firstLine="482" w:firstLineChars="200"/>
        <w:jc w:val="both"/>
        <w:rPr>
          <w:color w:val="auto"/>
          <w:highlight w:val="none"/>
          <w:u w:val="single"/>
        </w:rPr>
      </w:pPr>
      <w:r>
        <w:rPr>
          <w:rFonts w:hint="eastAsia" w:ascii="宋体" w:hAnsi="宋体" w:cs="宋体"/>
          <w:b/>
          <w:color w:val="auto"/>
          <w:highlight w:val="none"/>
        </w:rPr>
        <w:t>（2）设计费的支付方式：</w:t>
      </w:r>
      <w:r>
        <w:rPr>
          <w:rFonts w:hint="eastAsia"/>
          <w:color w:val="auto"/>
          <w:highlight w:val="none"/>
          <w:u w:val="single"/>
        </w:rPr>
        <w:t>提供工程施工图设计文件（包含材料清单及材料档次建议）和光盘且施工图审查通过后付至设计费用的25%；完成施工图预算并经跟审单位审核后，报发包人后付至设计费用的的50%；工程完工并验收合格后付至调整设计费用的90%，余款在项目建设资料完成归档后予以付清。</w:t>
      </w:r>
    </w:p>
    <w:p w14:paraId="229BF64C">
      <w:pPr>
        <w:spacing w:line="440" w:lineRule="exact"/>
        <w:ind w:firstLine="480" w:firstLineChars="200"/>
        <w:jc w:val="both"/>
        <w:rPr>
          <w:b/>
          <w:bCs/>
          <w:color w:val="auto"/>
          <w:highlight w:val="none"/>
        </w:rPr>
      </w:pPr>
      <w:r>
        <w:rPr>
          <w:rFonts w:hint="eastAsia"/>
          <w:color w:val="auto"/>
          <w:highlight w:val="none"/>
        </w:rPr>
        <w:t>上述工程款支付时承包人应及时开具发票，否则发包人相应顺延支付工程款。</w:t>
      </w:r>
    </w:p>
    <w:p w14:paraId="54448139">
      <w:pPr>
        <w:widowControl/>
        <w:autoSpaceDE/>
        <w:autoSpaceDN/>
        <w:snapToGrid w:val="0"/>
        <w:spacing w:line="440" w:lineRule="exact"/>
        <w:ind w:firstLine="480" w:firstLineChars="200"/>
        <w:jc w:val="both"/>
        <w:rPr>
          <w:color w:val="auto"/>
          <w:highlight w:val="none"/>
        </w:rPr>
      </w:pPr>
      <w:r>
        <w:rPr>
          <w:rFonts w:hint="eastAsia"/>
          <w:color w:val="auto"/>
          <w:highlight w:val="none"/>
        </w:rPr>
        <w:t>发包人应在进度款支付证书或临时进度款支付证书签发后的</w:t>
      </w:r>
      <w:r>
        <w:rPr>
          <w:rFonts w:hint="eastAsia"/>
          <w:color w:val="auto"/>
          <w:highlight w:val="none"/>
          <w:u w:val="single"/>
        </w:rPr>
        <w:t>/</w:t>
      </w:r>
      <w:r>
        <w:rPr>
          <w:rFonts w:hint="eastAsia"/>
          <w:color w:val="auto"/>
          <w:highlight w:val="none"/>
        </w:rPr>
        <w:t>天内完成支付，发包人逾期支付进度款的，应按照</w:t>
      </w:r>
      <w:r>
        <w:rPr>
          <w:rFonts w:hint="eastAsia"/>
          <w:color w:val="auto"/>
          <w:highlight w:val="none"/>
          <w:u w:val="single"/>
        </w:rPr>
        <w:t>/</w:t>
      </w:r>
      <w:r>
        <w:rPr>
          <w:color w:val="auto"/>
          <w:highlight w:val="none"/>
          <w:u w:val="single"/>
        </w:rPr>
        <w:t xml:space="preserve"> </w:t>
      </w:r>
      <w:r>
        <w:rPr>
          <w:rFonts w:hint="eastAsia"/>
          <w:color w:val="auto"/>
          <w:highlight w:val="none"/>
        </w:rPr>
        <w:t>支付违约金。</w:t>
      </w:r>
    </w:p>
    <w:p w14:paraId="631E49B6">
      <w:pPr>
        <w:pStyle w:val="4"/>
        <w:rPr>
          <w:color w:val="auto"/>
          <w:highlight w:val="none"/>
        </w:rPr>
      </w:pPr>
      <w:r>
        <w:rPr>
          <w:color w:val="auto"/>
          <w:highlight w:val="none"/>
        </w:rPr>
        <w:t xml:space="preserve">14.4 </w:t>
      </w:r>
      <w:r>
        <w:rPr>
          <w:rFonts w:hint="eastAsia"/>
          <w:color w:val="auto"/>
          <w:highlight w:val="none"/>
        </w:rPr>
        <w:t>付款计划表</w:t>
      </w:r>
    </w:p>
    <w:p w14:paraId="1BFEBB70">
      <w:pPr>
        <w:spacing w:line="440" w:lineRule="exact"/>
        <w:ind w:firstLine="480" w:firstLineChars="200"/>
        <w:jc w:val="both"/>
        <w:rPr>
          <w:color w:val="auto"/>
          <w:highlight w:val="none"/>
        </w:rPr>
      </w:pPr>
      <w:r>
        <w:rPr>
          <w:color w:val="auto"/>
          <w:highlight w:val="none"/>
        </w:rPr>
        <w:t>14.4.1 付款计划表的编制要求</w:t>
      </w:r>
      <w:r>
        <w:rPr>
          <w:rFonts w:hint="eastAsia"/>
          <w:color w:val="auto"/>
          <w:highlight w:val="none"/>
        </w:rPr>
        <w:t>：</w:t>
      </w:r>
      <w:r>
        <w:rPr>
          <w:color w:val="auto"/>
          <w:highlight w:val="none"/>
          <w:u w:val="single"/>
        </w:rPr>
        <w:t xml:space="preserve">                     </w:t>
      </w:r>
      <w:r>
        <w:rPr>
          <w:rFonts w:hint="eastAsia"/>
          <w:color w:val="auto"/>
          <w:highlight w:val="none"/>
        </w:rPr>
        <w:t>。</w:t>
      </w:r>
    </w:p>
    <w:p w14:paraId="166975E1">
      <w:pPr>
        <w:spacing w:line="440" w:lineRule="exact"/>
        <w:ind w:firstLine="480" w:firstLineChars="200"/>
        <w:jc w:val="both"/>
        <w:rPr>
          <w:color w:val="auto"/>
          <w:highlight w:val="none"/>
        </w:rPr>
      </w:pPr>
      <w:r>
        <w:rPr>
          <w:color w:val="auto"/>
          <w:highlight w:val="none"/>
        </w:rPr>
        <w:t xml:space="preserve">14.4.2 </w:t>
      </w:r>
      <w:r>
        <w:rPr>
          <w:rFonts w:hint="eastAsia"/>
          <w:color w:val="auto"/>
          <w:highlight w:val="none"/>
        </w:rPr>
        <w:t>付款计划表的编制与审批</w:t>
      </w:r>
    </w:p>
    <w:p w14:paraId="66DC096F">
      <w:pPr>
        <w:spacing w:line="440" w:lineRule="exact"/>
        <w:ind w:firstLine="480" w:firstLineChars="200"/>
        <w:jc w:val="both"/>
        <w:rPr>
          <w:color w:val="auto"/>
          <w:highlight w:val="none"/>
        </w:rPr>
      </w:pPr>
      <w:r>
        <w:rPr>
          <w:rFonts w:hint="eastAsia"/>
          <w:color w:val="auto"/>
          <w:highlight w:val="none"/>
        </w:rPr>
        <w:t>付款计划表的编制：</w:t>
      </w:r>
      <w:r>
        <w:rPr>
          <w:color w:val="auto"/>
          <w:highlight w:val="none"/>
          <w:u w:val="single"/>
        </w:rPr>
        <w:t xml:space="preserve">                               </w:t>
      </w:r>
      <w:r>
        <w:rPr>
          <w:color w:val="auto"/>
          <w:highlight w:val="none"/>
        </w:rPr>
        <w:t xml:space="preserve"> </w:t>
      </w:r>
      <w:r>
        <w:rPr>
          <w:rFonts w:hint="eastAsia"/>
          <w:color w:val="auto"/>
          <w:highlight w:val="none"/>
        </w:rPr>
        <w:t>。</w:t>
      </w:r>
    </w:p>
    <w:p w14:paraId="2262D938">
      <w:pPr>
        <w:pStyle w:val="4"/>
        <w:rPr>
          <w:color w:val="auto"/>
          <w:highlight w:val="none"/>
        </w:rPr>
      </w:pPr>
      <w:r>
        <w:rPr>
          <w:color w:val="auto"/>
          <w:highlight w:val="none"/>
        </w:rPr>
        <w:t xml:space="preserve">14.5 </w:t>
      </w:r>
      <w:r>
        <w:rPr>
          <w:rFonts w:hint="eastAsia"/>
          <w:color w:val="auto"/>
          <w:highlight w:val="none"/>
        </w:rPr>
        <w:t>竣工结算</w:t>
      </w:r>
    </w:p>
    <w:p w14:paraId="4533F06B">
      <w:pPr>
        <w:spacing w:line="440" w:lineRule="exact"/>
        <w:ind w:firstLine="480" w:firstLineChars="200"/>
        <w:jc w:val="both"/>
        <w:rPr>
          <w:color w:val="auto"/>
          <w:highlight w:val="none"/>
        </w:rPr>
      </w:pPr>
      <w:r>
        <w:rPr>
          <w:color w:val="auto"/>
          <w:highlight w:val="none"/>
        </w:rPr>
        <w:t xml:space="preserve">14.5.1 </w:t>
      </w:r>
      <w:r>
        <w:rPr>
          <w:rFonts w:hint="eastAsia"/>
          <w:color w:val="auto"/>
          <w:highlight w:val="none"/>
        </w:rPr>
        <w:t>竣工结算申请</w:t>
      </w:r>
    </w:p>
    <w:p w14:paraId="749AFFC0">
      <w:pPr>
        <w:spacing w:line="440" w:lineRule="exact"/>
        <w:ind w:firstLine="480" w:firstLineChars="200"/>
        <w:jc w:val="both"/>
        <w:rPr>
          <w:color w:val="auto"/>
          <w:highlight w:val="none"/>
        </w:rPr>
      </w:pPr>
      <w:r>
        <w:rPr>
          <w:rFonts w:hint="eastAsia"/>
          <w:color w:val="auto"/>
          <w:highlight w:val="none"/>
        </w:rPr>
        <w:t>承包人提交竣工结算申请的时间：</w:t>
      </w:r>
      <w:r>
        <w:rPr>
          <w:rFonts w:hint="eastAsia"/>
          <w:color w:val="auto"/>
          <w:highlight w:val="none"/>
          <w:u w:val="single"/>
        </w:rPr>
        <w:t>竣工验收合格后30天内</w:t>
      </w:r>
      <w:r>
        <w:rPr>
          <w:color w:val="auto"/>
          <w:highlight w:val="none"/>
        </w:rPr>
        <w:t xml:space="preserve"> </w:t>
      </w:r>
      <w:r>
        <w:rPr>
          <w:rFonts w:hint="eastAsia"/>
          <w:color w:val="auto"/>
          <w:highlight w:val="none"/>
        </w:rPr>
        <w:t>。</w:t>
      </w:r>
    </w:p>
    <w:p w14:paraId="79526281">
      <w:pPr>
        <w:spacing w:line="440" w:lineRule="exact"/>
        <w:ind w:firstLine="480" w:firstLineChars="200"/>
        <w:jc w:val="both"/>
        <w:rPr>
          <w:color w:val="auto"/>
          <w:highlight w:val="none"/>
        </w:rPr>
      </w:pPr>
      <w:r>
        <w:rPr>
          <w:rFonts w:hint="eastAsia"/>
          <w:color w:val="auto"/>
          <w:highlight w:val="none"/>
        </w:rPr>
        <w:t>竣工结算申请的资料清单和份数：</w:t>
      </w:r>
      <w:r>
        <w:rPr>
          <w:rFonts w:hint="eastAsia"/>
          <w:color w:val="auto"/>
          <w:highlight w:val="none"/>
          <w:u w:val="single"/>
        </w:rPr>
        <w:t>一式5份</w:t>
      </w:r>
      <w:r>
        <w:rPr>
          <w:rFonts w:hint="eastAsia"/>
          <w:color w:val="auto"/>
          <w:highlight w:val="none"/>
        </w:rPr>
        <w:t>。</w:t>
      </w:r>
    </w:p>
    <w:p w14:paraId="6899F582">
      <w:pPr>
        <w:spacing w:line="440" w:lineRule="exact"/>
        <w:ind w:firstLine="480" w:firstLineChars="200"/>
        <w:jc w:val="both"/>
        <w:rPr>
          <w:color w:val="auto"/>
          <w:highlight w:val="none"/>
        </w:rPr>
      </w:pPr>
      <w:r>
        <w:rPr>
          <w:rFonts w:hint="eastAsia"/>
          <w:color w:val="auto"/>
          <w:highlight w:val="none"/>
        </w:rPr>
        <w:t>竣工结算申请单的内容应包括：</w:t>
      </w:r>
      <w:r>
        <w:rPr>
          <w:rFonts w:hint="eastAsia"/>
          <w:color w:val="auto"/>
          <w:highlight w:val="none"/>
          <w:u w:val="single"/>
        </w:rPr>
        <w:t xml:space="preserve">工程名称、竣工结算资料，已付工程款，应扣留的质量保证金，应付竣工工程款等相关材料 </w:t>
      </w:r>
      <w:r>
        <w:rPr>
          <w:color w:val="auto"/>
          <w:highlight w:val="none"/>
        </w:rPr>
        <w:t xml:space="preserve"> </w:t>
      </w:r>
      <w:r>
        <w:rPr>
          <w:rFonts w:hint="eastAsia"/>
          <w:color w:val="auto"/>
          <w:highlight w:val="none"/>
        </w:rPr>
        <w:t>。</w:t>
      </w:r>
    </w:p>
    <w:p w14:paraId="756C65CC">
      <w:pPr>
        <w:spacing w:line="440" w:lineRule="exact"/>
        <w:ind w:firstLine="480" w:firstLineChars="200"/>
        <w:jc w:val="both"/>
        <w:rPr>
          <w:color w:val="auto"/>
          <w:highlight w:val="none"/>
        </w:rPr>
      </w:pPr>
      <w:r>
        <w:rPr>
          <w:color w:val="auto"/>
          <w:highlight w:val="none"/>
        </w:rPr>
        <w:t xml:space="preserve">14.5.2 </w:t>
      </w:r>
      <w:r>
        <w:rPr>
          <w:rFonts w:hint="eastAsia"/>
          <w:color w:val="auto"/>
          <w:highlight w:val="none"/>
        </w:rPr>
        <w:t>竣工结算审核</w:t>
      </w:r>
    </w:p>
    <w:p w14:paraId="5A8A40B0">
      <w:pPr>
        <w:spacing w:line="440" w:lineRule="exact"/>
        <w:ind w:firstLine="480" w:firstLineChars="200"/>
        <w:jc w:val="both"/>
        <w:rPr>
          <w:color w:val="auto"/>
          <w:highlight w:val="none"/>
        </w:rPr>
      </w:pPr>
      <w:r>
        <w:rPr>
          <w:rFonts w:hint="eastAsia"/>
          <w:color w:val="auto"/>
          <w:highlight w:val="none"/>
        </w:rPr>
        <w:t>发包人审批竣工付款申请单的期限：</w:t>
      </w:r>
      <w:r>
        <w:rPr>
          <w:rFonts w:hint="eastAsia"/>
          <w:color w:val="auto"/>
          <w:highlight w:val="none"/>
          <w:u w:val="single"/>
        </w:rPr>
        <w:t>收到竣工结算资料后30天内提交至政府部门（相关主管部门）进行审核</w:t>
      </w:r>
      <w:r>
        <w:rPr>
          <w:color w:val="auto"/>
          <w:highlight w:val="none"/>
          <w:u w:val="single"/>
        </w:rPr>
        <w:t xml:space="preserve"> </w:t>
      </w:r>
      <w:r>
        <w:rPr>
          <w:color w:val="auto"/>
          <w:highlight w:val="none"/>
        </w:rPr>
        <w:t xml:space="preserve"> </w:t>
      </w:r>
      <w:r>
        <w:rPr>
          <w:rFonts w:hint="eastAsia"/>
          <w:color w:val="auto"/>
          <w:highlight w:val="none"/>
        </w:rPr>
        <w:t>。</w:t>
      </w:r>
    </w:p>
    <w:p w14:paraId="04E08A44">
      <w:pPr>
        <w:spacing w:line="440" w:lineRule="exact"/>
        <w:ind w:firstLine="480" w:firstLineChars="200"/>
        <w:jc w:val="both"/>
        <w:rPr>
          <w:color w:val="auto"/>
          <w:highlight w:val="none"/>
        </w:rPr>
      </w:pPr>
      <w:r>
        <w:rPr>
          <w:rFonts w:hint="eastAsia"/>
          <w:color w:val="auto"/>
          <w:highlight w:val="none"/>
        </w:rPr>
        <w:t>发包人完成竣工付款的期限：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color w:val="auto"/>
          <w:highlight w:val="none"/>
        </w:rPr>
        <w:t>。</w:t>
      </w:r>
    </w:p>
    <w:p w14:paraId="3524FC84">
      <w:pPr>
        <w:spacing w:line="440" w:lineRule="exact"/>
        <w:ind w:firstLine="480" w:firstLineChars="200"/>
        <w:jc w:val="both"/>
        <w:rPr>
          <w:color w:val="auto"/>
          <w:highlight w:val="none"/>
        </w:rPr>
      </w:pPr>
      <w:r>
        <w:rPr>
          <w:rFonts w:hint="eastAsia"/>
          <w:color w:val="auto"/>
          <w:highlight w:val="none"/>
        </w:rPr>
        <w:t>关于竣工付款证书异议部分复核的方式和程序：</w:t>
      </w:r>
      <w:r>
        <w:rPr>
          <w:rFonts w:hint="eastAsia"/>
          <w:color w:val="auto"/>
          <w:highlight w:val="none"/>
          <w:u w:val="single"/>
        </w:rPr>
        <w:t>根据发包人及绍兴市当地规定执行</w:t>
      </w:r>
      <w:r>
        <w:rPr>
          <w:color w:val="auto"/>
          <w:highlight w:val="none"/>
          <w:u w:val="single"/>
        </w:rPr>
        <w:t xml:space="preserve"> </w:t>
      </w:r>
      <w:r>
        <w:rPr>
          <w:rFonts w:hint="eastAsia"/>
          <w:color w:val="auto"/>
          <w:highlight w:val="none"/>
        </w:rPr>
        <w:t>。</w:t>
      </w:r>
    </w:p>
    <w:p w14:paraId="66F81510">
      <w:pPr>
        <w:pStyle w:val="4"/>
        <w:rPr>
          <w:color w:val="auto"/>
          <w:highlight w:val="none"/>
        </w:rPr>
      </w:pPr>
      <w:r>
        <w:rPr>
          <w:color w:val="auto"/>
          <w:highlight w:val="none"/>
        </w:rPr>
        <w:t xml:space="preserve">14.6 </w:t>
      </w:r>
      <w:r>
        <w:rPr>
          <w:rFonts w:hint="eastAsia"/>
          <w:color w:val="auto"/>
          <w:highlight w:val="none"/>
        </w:rPr>
        <w:t>质量保证金</w:t>
      </w:r>
    </w:p>
    <w:p w14:paraId="564D0118">
      <w:pPr>
        <w:spacing w:line="440" w:lineRule="exact"/>
        <w:ind w:firstLine="480" w:firstLineChars="200"/>
        <w:jc w:val="both"/>
        <w:rPr>
          <w:color w:val="auto"/>
          <w:highlight w:val="none"/>
        </w:rPr>
      </w:pPr>
      <w:r>
        <w:rPr>
          <w:color w:val="auto"/>
          <w:highlight w:val="none"/>
        </w:rPr>
        <w:t xml:space="preserve">14.6.1 </w:t>
      </w:r>
      <w:r>
        <w:rPr>
          <w:rFonts w:hint="eastAsia"/>
          <w:color w:val="auto"/>
          <w:highlight w:val="none"/>
        </w:rPr>
        <w:t>承包人提供质量保证金的方式</w:t>
      </w:r>
    </w:p>
    <w:p w14:paraId="632FE057">
      <w:pPr>
        <w:spacing w:line="440" w:lineRule="exact"/>
        <w:ind w:firstLine="480" w:firstLineChars="200"/>
        <w:jc w:val="both"/>
        <w:rPr>
          <w:color w:val="auto"/>
          <w:highlight w:val="none"/>
        </w:rPr>
      </w:pPr>
      <w:r>
        <w:rPr>
          <w:color w:val="auto"/>
          <w:highlight w:val="none"/>
        </w:rPr>
        <w:t>质量</w:t>
      </w:r>
      <w:r>
        <w:rPr>
          <w:rFonts w:hint="eastAsia"/>
          <w:color w:val="auto"/>
          <w:highlight w:val="none"/>
        </w:rPr>
        <w:t>保证金</w:t>
      </w:r>
      <w:r>
        <w:rPr>
          <w:color w:val="auto"/>
          <w:highlight w:val="none"/>
        </w:rPr>
        <w:t>采用以下</w:t>
      </w:r>
      <w:r>
        <w:rPr>
          <w:rFonts w:hint="eastAsia"/>
          <w:color w:val="auto"/>
          <w:highlight w:val="none"/>
        </w:rPr>
        <w:t>第</w:t>
      </w:r>
      <w:r>
        <w:rPr>
          <w:color w:val="auto"/>
          <w:highlight w:val="none"/>
          <w:u w:val="single"/>
        </w:rPr>
        <w:t xml:space="preserve"> </w:t>
      </w:r>
      <w:r>
        <w:rPr>
          <w:rFonts w:hint="eastAsia"/>
          <w:color w:val="auto"/>
          <w:highlight w:val="none"/>
          <w:u w:val="single"/>
        </w:rPr>
        <w:t>3</w:t>
      </w:r>
      <w:r>
        <w:rPr>
          <w:color w:val="auto"/>
          <w:highlight w:val="none"/>
          <w:u w:val="single"/>
        </w:rPr>
        <w:t xml:space="preserve"> </w:t>
      </w:r>
      <w:r>
        <w:rPr>
          <w:rFonts w:hint="eastAsia"/>
          <w:color w:val="auto"/>
          <w:highlight w:val="none"/>
        </w:rPr>
        <w:t>种</w:t>
      </w:r>
      <w:r>
        <w:rPr>
          <w:color w:val="auto"/>
          <w:highlight w:val="none"/>
        </w:rPr>
        <w:t>方式：</w:t>
      </w:r>
    </w:p>
    <w:p w14:paraId="3EBE55A7">
      <w:pPr>
        <w:spacing w:line="440" w:lineRule="exact"/>
        <w:ind w:firstLine="480" w:firstLineChars="200"/>
        <w:jc w:val="both"/>
        <w:rPr>
          <w:color w:val="auto"/>
          <w:highlight w:val="none"/>
        </w:rPr>
      </w:pPr>
      <w:r>
        <w:rPr>
          <w:color w:val="auto"/>
          <w:highlight w:val="none"/>
        </w:rPr>
        <w:t xml:space="preserve">(1) </w:t>
      </w:r>
      <w:r>
        <w:rPr>
          <w:rFonts w:hint="eastAsia"/>
          <w:color w:val="auto"/>
          <w:highlight w:val="none"/>
        </w:rPr>
        <w:t>工程质量保证担保</w:t>
      </w:r>
      <w:r>
        <w:rPr>
          <w:color w:val="auto"/>
          <w:highlight w:val="none"/>
        </w:rPr>
        <w:t>，保证金额为：</w:t>
      </w:r>
      <w:r>
        <w:rPr>
          <w:color w:val="auto"/>
          <w:highlight w:val="none"/>
          <w:u w:val="single"/>
        </w:rPr>
        <w:t xml:space="preserve">               </w:t>
      </w:r>
      <w:r>
        <w:rPr>
          <w:color w:val="auto"/>
          <w:highlight w:val="none"/>
        </w:rPr>
        <w:t xml:space="preserve"> </w:t>
      </w:r>
      <w:r>
        <w:rPr>
          <w:rFonts w:hint="eastAsia"/>
          <w:color w:val="auto"/>
          <w:highlight w:val="none"/>
        </w:rPr>
        <w:t>；</w:t>
      </w:r>
    </w:p>
    <w:p w14:paraId="26E8BEA9">
      <w:pPr>
        <w:spacing w:line="440" w:lineRule="exact"/>
        <w:ind w:firstLine="480" w:firstLineChars="200"/>
        <w:jc w:val="both"/>
        <w:rPr>
          <w:color w:val="auto"/>
          <w:highlight w:val="none"/>
        </w:rPr>
      </w:pPr>
      <w:r>
        <w:rPr>
          <w:color w:val="auto"/>
          <w:highlight w:val="none"/>
        </w:rPr>
        <w:t xml:space="preserve">(2) </w:t>
      </w:r>
      <w:r>
        <w:rPr>
          <w:color w:val="auto"/>
          <w:highlight w:val="none"/>
          <w:u w:val="single"/>
        </w:rPr>
        <w:t xml:space="preserve">      </w:t>
      </w:r>
      <w:r>
        <w:rPr>
          <w:color w:val="auto"/>
          <w:highlight w:val="none"/>
        </w:rPr>
        <w:t xml:space="preserve"> %的工程款；</w:t>
      </w:r>
    </w:p>
    <w:p w14:paraId="49E72ED0">
      <w:pPr>
        <w:spacing w:line="440" w:lineRule="exact"/>
        <w:ind w:firstLine="480" w:firstLineChars="200"/>
        <w:jc w:val="both"/>
        <w:rPr>
          <w:color w:val="auto"/>
          <w:highlight w:val="none"/>
        </w:rPr>
      </w:pPr>
      <w:r>
        <w:rPr>
          <w:color w:val="auto"/>
          <w:highlight w:val="none"/>
        </w:rPr>
        <w:t xml:space="preserve">(3) </w:t>
      </w:r>
      <w:r>
        <w:rPr>
          <w:rFonts w:hint="eastAsia"/>
          <w:color w:val="auto"/>
          <w:highlight w:val="none"/>
        </w:rPr>
        <w:t>其他方式：</w:t>
      </w:r>
      <w:r>
        <w:rPr>
          <w:rFonts w:hint="eastAsia"/>
          <w:color w:val="auto"/>
          <w:highlight w:val="none"/>
          <w:u w:val="single"/>
        </w:rPr>
        <w:t>质量保证金为施工结算价款的1.5％，工程竣工结算时一次性扣留质量保证金。</w:t>
      </w:r>
    </w:p>
    <w:p w14:paraId="44FBBE19">
      <w:pPr>
        <w:spacing w:line="440" w:lineRule="exact"/>
        <w:ind w:firstLine="480" w:firstLineChars="200"/>
        <w:jc w:val="both"/>
        <w:rPr>
          <w:color w:val="auto"/>
          <w:highlight w:val="none"/>
        </w:rPr>
      </w:pPr>
      <w:r>
        <w:rPr>
          <w:color w:val="auto"/>
          <w:highlight w:val="none"/>
        </w:rPr>
        <w:t xml:space="preserve">14.6.2 </w:t>
      </w:r>
      <w:r>
        <w:rPr>
          <w:rFonts w:hint="eastAsia"/>
          <w:color w:val="auto"/>
          <w:highlight w:val="none"/>
        </w:rPr>
        <w:t>质量保证金的预留</w:t>
      </w:r>
    </w:p>
    <w:p w14:paraId="08B8AB70">
      <w:pPr>
        <w:spacing w:line="440" w:lineRule="exact"/>
        <w:ind w:firstLine="480" w:firstLineChars="200"/>
        <w:jc w:val="both"/>
        <w:rPr>
          <w:color w:val="auto"/>
          <w:highlight w:val="none"/>
        </w:rPr>
      </w:pPr>
      <w:r>
        <w:rPr>
          <w:color w:val="auto"/>
          <w:highlight w:val="none"/>
        </w:rPr>
        <w:t>质量</w:t>
      </w:r>
      <w:r>
        <w:rPr>
          <w:rFonts w:hint="eastAsia"/>
          <w:color w:val="auto"/>
          <w:highlight w:val="none"/>
        </w:rPr>
        <w:t>保证金</w:t>
      </w:r>
      <w:r>
        <w:rPr>
          <w:color w:val="auto"/>
          <w:highlight w:val="none"/>
        </w:rPr>
        <w:t>的预留采取以下第</w:t>
      </w:r>
      <w:r>
        <w:rPr>
          <w:color w:val="auto"/>
          <w:highlight w:val="none"/>
          <w:u w:val="single"/>
        </w:rPr>
        <w:t xml:space="preserve">      </w:t>
      </w:r>
      <w:r>
        <w:rPr>
          <w:rFonts w:hint="eastAsia"/>
          <w:color w:val="auto"/>
          <w:highlight w:val="none"/>
        </w:rPr>
        <w:t>种</w:t>
      </w:r>
      <w:r>
        <w:rPr>
          <w:color w:val="auto"/>
          <w:highlight w:val="none"/>
        </w:rPr>
        <w:t>方式：</w:t>
      </w:r>
    </w:p>
    <w:p w14:paraId="2F959FCF">
      <w:pPr>
        <w:spacing w:line="440" w:lineRule="exact"/>
        <w:ind w:firstLine="480" w:firstLineChars="200"/>
        <w:jc w:val="both"/>
        <w:rPr>
          <w:color w:val="auto"/>
          <w:highlight w:val="none"/>
        </w:rPr>
      </w:pPr>
      <w:r>
        <w:rPr>
          <w:color w:val="auto"/>
          <w:highlight w:val="none"/>
        </w:rPr>
        <w:t>(1) 在支付工程进度款时逐次预留</w:t>
      </w:r>
      <w:r>
        <w:rPr>
          <w:rFonts w:hint="eastAsia"/>
          <w:color w:val="auto"/>
          <w:highlight w:val="none"/>
        </w:rPr>
        <w:t>的质量保证金的比例：</w:t>
      </w:r>
      <w:r>
        <w:rPr>
          <w:color w:val="auto"/>
          <w:highlight w:val="none"/>
          <w:u w:val="single"/>
        </w:rPr>
        <w:t xml:space="preserve">           </w:t>
      </w:r>
      <w:r>
        <w:rPr>
          <w:color w:val="auto"/>
          <w:highlight w:val="none"/>
        </w:rPr>
        <w:t xml:space="preserve"> ，在此情形下，质量</w:t>
      </w:r>
      <w:r>
        <w:rPr>
          <w:rFonts w:hint="eastAsia"/>
          <w:color w:val="auto"/>
          <w:highlight w:val="none"/>
        </w:rPr>
        <w:t>保证金</w:t>
      </w:r>
      <w:r>
        <w:rPr>
          <w:color w:val="auto"/>
          <w:highlight w:val="none"/>
        </w:rPr>
        <w:t>的计算基数不包括预付款的支付、扣回以及价格调整的金额；</w:t>
      </w:r>
    </w:p>
    <w:p w14:paraId="1A20A3EA">
      <w:pPr>
        <w:spacing w:line="440" w:lineRule="exact"/>
        <w:ind w:firstLine="480" w:firstLineChars="200"/>
        <w:jc w:val="both"/>
        <w:rPr>
          <w:color w:val="auto"/>
          <w:highlight w:val="none"/>
        </w:rPr>
      </w:pPr>
      <w:r>
        <w:rPr>
          <w:color w:val="auto"/>
          <w:highlight w:val="none"/>
        </w:rPr>
        <w:t>(2) 工程竣工结算时一次性预留</w:t>
      </w:r>
      <w:r>
        <w:rPr>
          <w:rFonts w:hint="eastAsia"/>
          <w:color w:val="auto"/>
          <w:highlight w:val="none"/>
        </w:rPr>
        <w:t>专用合同条件第</w:t>
      </w:r>
      <w:r>
        <w:rPr>
          <w:color w:val="auto"/>
          <w:highlight w:val="none"/>
        </w:rPr>
        <w:t>14.6.1</w:t>
      </w:r>
      <w:r>
        <w:rPr>
          <w:rFonts w:hint="eastAsia"/>
          <w:color w:val="auto"/>
          <w:highlight w:val="none"/>
        </w:rPr>
        <w:t>项第</w:t>
      </w:r>
      <w:r>
        <w:rPr>
          <w:color w:val="auto"/>
          <w:highlight w:val="none"/>
        </w:rPr>
        <w:t>(2)</w:t>
      </w:r>
      <w:r>
        <w:rPr>
          <w:rFonts w:hint="eastAsia"/>
          <w:color w:val="auto"/>
          <w:highlight w:val="none"/>
        </w:rPr>
        <w:t>目约定的工程款预留比例的</w:t>
      </w:r>
      <w:r>
        <w:rPr>
          <w:color w:val="auto"/>
          <w:highlight w:val="none"/>
        </w:rPr>
        <w:t>质量</w:t>
      </w:r>
      <w:r>
        <w:rPr>
          <w:rFonts w:hint="eastAsia"/>
          <w:color w:val="auto"/>
          <w:highlight w:val="none"/>
        </w:rPr>
        <w:t>保证金</w:t>
      </w:r>
      <w:r>
        <w:rPr>
          <w:color w:val="auto"/>
          <w:highlight w:val="none"/>
        </w:rPr>
        <w:t>；</w:t>
      </w:r>
    </w:p>
    <w:p w14:paraId="713D0812">
      <w:pPr>
        <w:spacing w:line="440" w:lineRule="exact"/>
        <w:ind w:firstLine="480" w:firstLineChars="200"/>
        <w:jc w:val="both"/>
        <w:rPr>
          <w:color w:val="auto"/>
          <w:highlight w:val="none"/>
        </w:rPr>
      </w:pPr>
      <w:r>
        <w:rPr>
          <w:color w:val="auto"/>
          <w:highlight w:val="none"/>
        </w:rPr>
        <w:t>(3) 其他预留方式:</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p>
    <w:p w14:paraId="4D6B7FFE">
      <w:pPr>
        <w:spacing w:line="440" w:lineRule="exact"/>
        <w:ind w:firstLine="480" w:firstLineChars="200"/>
        <w:jc w:val="both"/>
        <w:rPr>
          <w:color w:val="auto"/>
          <w:highlight w:val="none"/>
        </w:rPr>
      </w:pPr>
      <w:r>
        <w:rPr>
          <w:rFonts w:hint="eastAsia"/>
          <w:color w:val="auto"/>
          <w:highlight w:val="none"/>
        </w:rPr>
        <w:t>关于质量保证金的补充约定：</w:t>
      </w:r>
      <w:r>
        <w:rPr>
          <w:rFonts w:hint="eastAsia"/>
          <w:color w:val="auto"/>
          <w:highlight w:val="none"/>
          <w:u w:val="single"/>
        </w:rPr>
        <w:t>工程保修责任期期限按质量保修书及国务院的《建筑工程质量管理条例》相关规定执行。</w:t>
      </w:r>
      <w:r>
        <w:rPr>
          <w:rFonts w:hint="eastAsia"/>
          <w:color w:val="auto"/>
          <w:highlight w:val="none"/>
        </w:rPr>
        <w:t>。</w:t>
      </w:r>
    </w:p>
    <w:p w14:paraId="301A0B04">
      <w:pPr>
        <w:pStyle w:val="4"/>
        <w:rPr>
          <w:color w:val="auto"/>
          <w:highlight w:val="none"/>
        </w:rPr>
      </w:pPr>
      <w:r>
        <w:rPr>
          <w:color w:val="auto"/>
          <w:highlight w:val="none"/>
        </w:rPr>
        <w:t xml:space="preserve">14.7 </w:t>
      </w:r>
      <w:r>
        <w:rPr>
          <w:rFonts w:hint="eastAsia"/>
          <w:color w:val="auto"/>
          <w:highlight w:val="none"/>
        </w:rPr>
        <w:t>最终结清</w:t>
      </w:r>
    </w:p>
    <w:p w14:paraId="722566D3">
      <w:pPr>
        <w:spacing w:line="440" w:lineRule="exact"/>
        <w:ind w:firstLine="480" w:firstLineChars="200"/>
        <w:jc w:val="both"/>
        <w:rPr>
          <w:color w:val="auto"/>
          <w:highlight w:val="none"/>
        </w:rPr>
      </w:pPr>
      <w:r>
        <w:rPr>
          <w:color w:val="auto"/>
          <w:highlight w:val="none"/>
        </w:rPr>
        <w:t xml:space="preserve">14.7.1 </w:t>
      </w:r>
      <w:r>
        <w:rPr>
          <w:rFonts w:hint="eastAsia"/>
          <w:color w:val="auto"/>
          <w:highlight w:val="none"/>
        </w:rPr>
        <w:t>最终结清申请单</w:t>
      </w:r>
    </w:p>
    <w:p w14:paraId="1FE6ACB5">
      <w:pPr>
        <w:spacing w:line="440" w:lineRule="exact"/>
        <w:ind w:firstLine="480" w:firstLineChars="200"/>
        <w:jc w:val="both"/>
        <w:rPr>
          <w:color w:val="auto"/>
          <w:highlight w:val="none"/>
        </w:rPr>
      </w:pPr>
      <w:r>
        <w:rPr>
          <w:rFonts w:hint="eastAsia"/>
          <w:color w:val="auto"/>
          <w:highlight w:val="none"/>
        </w:rPr>
        <w:t>（1）当事人双方关于最终结清申请的其他约定：承包人提交最终结清申请单的份数：</w:t>
      </w:r>
      <w:r>
        <w:rPr>
          <w:rFonts w:hint="eastAsia"/>
          <w:color w:val="auto"/>
          <w:highlight w:val="none"/>
          <w:u w:val="single"/>
        </w:rPr>
        <w:t xml:space="preserve">  一式5份   </w:t>
      </w:r>
      <w:r>
        <w:rPr>
          <w:rFonts w:hint="eastAsia"/>
          <w:color w:val="auto"/>
          <w:highlight w:val="none"/>
        </w:rPr>
        <w:t xml:space="preserve"> 。</w:t>
      </w:r>
    </w:p>
    <w:p w14:paraId="6F7C5F90">
      <w:pPr>
        <w:spacing w:line="440" w:lineRule="exact"/>
        <w:ind w:firstLine="480" w:firstLineChars="200"/>
        <w:jc w:val="both"/>
        <w:rPr>
          <w:color w:val="auto"/>
          <w:highlight w:val="none"/>
        </w:rPr>
      </w:pPr>
      <w:r>
        <w:rPr>
          <w:rFonts w:hint="eastAsia"/>
          <w:color w:val="auto"/>
          <w:highlight w:val="none"/>
        </w:rPr>
        <w:t>（2）承包人提交最终结算申请单的期限：</w:t>
      </w:r>
      <w:r>
        <w:rPr>
          <w:rFonts w:hint="eastAsia"/>
          <w:color w:val="auto"/>
          <w:highlight w:val="none"/>
          <w:u w:val="single"/>
        </w:rPr>
        <w:t>本工程经验收达到合同约定条件后，承包人应在28日内提供完整工程结算资料。发包人收到承包人递交的竣工结算报告及完整的结算资料后，发包人在28天内送发包人委托审计，承包人提交的工程结算金额与发包人委托的造价咨询单位审定的结算金额如超过5%以外的核减、核增额，收取审核追加费用。审核追加费用由承包人承担</w:t>
      </w:r>
      <w:r>
        <w:rPr>
          <w:rFonts w:hint="eastAsia"/>
          <w:color w:val="auto"/>
          <w:highlight w:val="none"/>
        </w:rPr>
        <w:t>。</w:t>
      </w:r>
    </w:p>
    <w:p w14:paraId="116AFFEA">
      <w:pPr>
        <w:spacing w:line="440" w:lineRule="exact"/>
        <w:ind w:firstLine="480" w:firstLineChars="200"/>
        <w:jc w:val="both"/>
        <w:rPr>
          <w:color w:val="auto"/>
          <w:highlight w:val="none"/>
        </w:rPr>
      </w:pPr>
      <w:r>
        <w:rPr>
          <w:color w:val="auto"/>
          <w:highlight w:val="none"/>
        </w:rPr>
        <w:t xml:space="preserve">14.7.2 </w:t>
      </w:r>
      <w:r>
        <w:rPr>
          <w:rFonts w:hint="eastAsia"/>
          <w:color w:val="auto"/>
          <w:highlight w:val="none"/>
        </w:rPr>
        <w:t>最终结清证书和支付</w:t>
      </w:r>
    </w:p>
    <w:p w14:paraId="50E87D5D">
      <w:pPr>
        <w:spacing w:line="440" w:lineRule="exact"/>
        <w:ind w:firstLine="480" w:firstLineChars="200"/>
        <w:jc w:val="both"/>
        <w:rPr>
          <w:color w:val="auto"/>
          <w:highlight w:val="none"/>
        </w:rPr>
      </w:pPr>
      <w:r>
        <w:rPr>
          <w:rFonts w:hint="eastAsia"/>
          <w:color w:val="auto"/>
          <w:highlight w:val="none"/>
        </w:rPr>
        <w:t>当事人双方关于最终结清支付的其他约定：</w:t>
      </w:r>
      <w:r>
        <w:rPr>
          <w:rFonts w:hint="eastAsia"/>
          <w:color w:val="auto"/>
          <w:highlight w:val="none"/>
          <w:u w:val="single"/>
        </w:rPr>
        <w:t>发包人完成支付的期限为完成结算审核后30天内</w:t>
      </w:r>
      <w:r>
        <w:rPr>
          <w:rFonts w:hint="eastAsia"/>
          <w:color w:val="auto"/>
          <w:highlight w:val="none"/>
        </w:rPr>
        <w:t>。</w:t>
      </w:r>
    </w:p>
    <w:p w14:paraId="021E2BF6">
      <w:pPr>
        <w:spacing w:line="440" w:lineRule="exact"/>
        <w:ind w:firstLine="480" w:firstLineChars="200"/>
        <w:jc w:val="both"/>
        <w:rPr>
          <w:color w:val="auto"/>
          <w:highlight w:val="none"/>
        </w:rPr>
      </w:pPr>
      <w:r>
        <w:rPr>
          <w:rFonts w:hint="eastAsia"/>
          <w:color w:val="auto"/>
          <w:highlight w:val="none"/>
        </w:rPr>
        <w:t>14.6.3结算依据和方式：</w:t>
      </w:r>
    </w:p>
    <w:p w14:paraId="5A89214E">
      <w:pPr>
        <w:spacing w:line="440" w:lineRule="exact"/>
        <w:ind w:firstLine="480" w:firstLineChars="200"/>
        <w:jc w:val="both"/>
        <w:rPr>
          <w:color w:val="auto"/>
          <w:highlight w:val="none"/>
        </w:rPr>
      </w:pPr>
      <w:r>
        <w:rPr>
          <w:rFonts w:hint="eastAsia"/>
          <w:color w:val="auto"/>
          <w:highlight w:val="none"/>
        </w:rPr>
        <w:t>本项目设计费用根据调整后设计费用固定总价合同包干，不再调整。</w:t>
      </w:r>
    </w:p>
    <w:p w14:paraId="59CF9C3B">
      <w:pPr>
        <w:spacing w:line="440" w:lineRule="exact"/>
        <w:ind w:firstLine="480" w:firstLineChars="200"/>
        <w:jc w:val="both"/>
        <w:rPr>
          <w:color w:val="auto"/>
          <w:highlight w:val="none"/>
        </w:rPr>
      </w:pPr>
      <w:r>
        <w:rPr>
          <w:rFonts w:hint="eastAsia"/>
          <w:color w:val="auto"/>
          <w:highlight w:val="none"/>
        </w:rPr>
        <w:t>本项目工程建设费用采用</w:t>
      </w:r>
      <w:r>
        <w:rPr>
          <w:rFonts w:hint="eastAsia"/>
          <w:color w:val="auto"/>
          <w:highlight w:val="none"/>
          <w:u w:val="single"/>
        </w:rPr>
        <w:t>固定单价合同</w:t>
      </w:r>
      <w:r>
        <w:rPr>
          <w:rFonts w:hint="eastAsia"/>
          <w:color w:val="auto"/>
          <w:highlight w:val="none"/>
        </w:rPr>
        <w:t>，工程量按实结算。</w:t>
      </w:r>
    </w:p>
    <w:p w14:paraId="0CA96DAF">
      <w:pPr>
        <w:spacing w:line="440" w:lineRule="exact"/>
        <w:ind w:firstLine="480" w:firstLineChars="200"/>
        <w:jc w:val="both"/>
        <w:rPr>
          <w:color w:val="auto"/>
          <w:highlight w:val="none"/>
        </w:rPr>
      </w:pPr>
      <w:r>
        <w:rPr>
          <w:rFonts w:hint="eastAsia"/>
          <w:color w:val="auto"/>
          <w:highlight w:val="none"/>
        </w:rPr>
        <w:t>14.6.3.1承包人按中标通知书要求的时限内与发包人签订合同，合同价暂以承包人中标限价签订，承包人在限价内进行限额设计。</w:t>
      </w:r>
    </w:p>
    <w:p w14:paraId="5AE19BC7">
      <w:pPr>
        <w:spacing w:line="440" w:lineRule="exact"/>
        <w:ind w:firstLine="480" w:firstLineChars="200"/>
        <w:jc w:val="both"/>
        <w:rPr>
          <w:color w:val="auto"/>
          <w:highlight w:val="none"/>
        </w:rPr>
      </w:pPr>
      <w:r>
        <w:rPr>
          <w:rFonts w:hint="eastAsia"/>
          <w:color w:val="auto"/>
          <w:highlight w:val="none"/>
        </w:rPr>
        <w:t>14.6.3.2在施工图预算审查完成后按约定进行调整合同价，确定调整合同价格。</w:t>
      </w:r>
    </w:p>
    <w:p w14:paraId="1C220CE4">
      <w:pPr>
        <w:spacing w:line="440" w:lineRule="exact"/>
        <w:ind w:firstLine="480" w:firstLineChars="200"/>
        <w:jc w:val="both"/>
        <w:rPr>
          <w:color w:val="auto"/>
          <w:highlight w:val="none"/>
        </w:rPr>
      </w:pPr>
      <w:r>
        <w:rPr>
          <w:rFonts w:hint="eastAsia"/>
          <w:color w:val="auto"/>
          <w:highlight w:val="none"/>
        </w:rPr>
        <w:t>14.6.3.3在项目竣工验收合格，资料提交齐全后进行最终结算审计。</w:t>
      </w:r>
    </w:p>
    <w:p w14:paraId="61555A5F">
      <w:pPr>
        <w:spacing w:line="440" w:lineRule="exact"/>
        <w:ind w:firstLine="480" w:firstLineChars="200"/>
        <w:jc w:val="both"/>
        <w:rPr>
          <w:color w:val="auto"/>
          <w:highlight w:val="none"/>
        </w:rPr>
      </w:pPr>
      <w:r>
        <w:rPr>
          <w:rFonts w:hint="eastAsia"/>
          <w:color w:val="auto"/>
          <w:highlight w:val="none"/>
        </w:rPr>
        <w:t>14.6.3.3.1由发包人委托审核确定的施工图预算作为项目结算的依据。</w:t>
      </w:r>
    </w:p>
    <w:p w14:paraId="2278DCA9">
      <w:pPr>
        <w:spacing w:line="440" w:lineRule="exact"/>
        <w:ind w:firstLine="480" w:firstLineChars="200"/>
        <w:jc w:val="both"/>
        <w:rPr>
          <w:color w:val="auto"/>
          <w:highlight w:val="none"/>
        </w:rPr>
      </w:pPr>
      <w:r>
        <w:rPr>
          <w:rFonts w:hint="eastAsia"/>
          <w:color w:val="auto"/>
          <w:highlight w:val="none"/>
        </w:rPr>
        <w:t>14.6.3.3.2招标文件约定的3.2.2施工图预算编制口径作为项目结算的依据。其中3.2.2具体内容为：3.2.2.1定额套用：《浙江省建设工程计价规则》（2018版）、《浙江省市政工程预算定额》（2018版）、《浙江省园林绿化及仿古建筑工程预算定额》（2018版）、《浙江省房屋建筑与装饰工程预算定额》（2018版）、《浙江省通用安装工程预算定额》（2018版）、《浙江省建筑安装材料基期价格》（2018版）、《浙江省建设工程施工机械台班费用定额》（2018版）、《建设工程工程量清单计价规范》（GB50500-2013）、《建设工程工程量计算规范（2013）浙江省补充规定》等。缺项部分参照浙江省其他适用定额。</w:t>
      </w:r>
    </w:p>
    <w:p w14:paraId="11B5F353">
      <w:pPr>
        <w:spacing w:line="440" w:lineRule="exact"/>
        <w:ind w:firstLine="480" w:firstLineChars="200"/>
        <w:jc w:val="both"/>
        <w:rPr>
          <w:color w:val="auto"/>
          <w:highlight w:val="none"/>
        </w:rPr>
      </w:pPr>
      <w:r>
        <w:rPr>
          <w:rFonts w:hint="eastAsia"/>
          <w:color w:val="auto"/>
          <w:highlight w:val="none"/>
        </w:rPr>
        <w:t>费用计取：费用计取：费用按2018版《浙江省建设工程计价规则》，其中企业管理费、利润费率按18计价的一般计税费率中值计取；税金费率按18计价的一般计税费率计取；施工组织措施费中的安全文明施工基本费按市区工程一般计税费率中值计取，二次搬运费、冬雨季施工增加费以及行车、行人干扰增加费不予考虑。其他施工组织措施项目费率、其他项目费率预算中暂不予考虑。具体按最新的相关政策文件执行。</w:t>
      </w:r>
    </w:p>
    <w:p w14:paraId="0C4465E9">
      <w:pPr>
        <w:spacing w:line="440" w:lineRule="exact"/>
        <w:ind w:firstLine="480" w:firstLineChars="200"/>
        <w:jc w:val="both"/>
        <w:rPr>
          <w:color w:val="auto"/>
          <w:highlight w:val="none"/>
        </w:rPr>
      </w:pPr>
      <w:r>
        <w:rPr>
          <w:rFonts w:hint="eastAsia"/>
          <w:color w:val="auto"/>
          <w:highlight w:val="none"/>
        </w:rPr>
        <w:t>本项目规费取费按浙建建﹝2018﹞61号规定的标准费率的 36 %计算。</w:t>
      </w:r>
    </w:p>
    <w:p w14:paraId="37065C4F">
      <w:pPr>
        <w:spacing w:line="440" w:lineRule="exact"/>
        <w:ind w:firstLine="480" w:firstLineChars="200"/>
        <w:jc w:val="both"/>
        <w:rPr>
          <w:color w:val="auto"/>
          <w:highlight w:val="none"/>
        </w:rPr>
      </w:pPr>
      <w:r>
        <w:rPr>
          <w:rFonts w:hint="eastAsia"/>
          <w:color w:val="auto"/>
          <w:highlight w:val="none"/>
        </w:rPr>
        <w:t>材料计价依据：按监理签发开工报告之日的前一个月《绍兴市建设工程造价管理信息》正刊、同期《浙江造价管理信息》正刊及市场调查价计入（含拆除工程）。</w:t>
      </w:r>
    </w:p>
    <w:p w14:paraId="0A10132D">
      <w:pPr>
        <w:spacing w:line="440" w:lineRule="exact"/>
        <w:ind w:firstLine="480" w:firstLineChars="200"/>
        <w:jc w:val="both"/>
        <w:rPr>
          <w:color w:val="auto"/>
          <w:highlight w:val="none"/>
        </w:rPr>
      </w:pPr>
      <w:r>
        <w:rPr>
          <w:rFonts w:hint="eastAsia"/>
          <w:color w:val="auto"/>
          <w:highlight w:val="none"/>
        </w:rPr>
        <w:t>人工计价依据：按监理签发开工报告之日的前一个月《绍兴市建设工程造价管理信息》正刊计入（含拆除工程）。</w:t>
      </w:r>
    </w:p>
    <w:p w14:paraId="25BC5BF9">
      <w:pPr>
        <w:spacing w:line="440" w:lineRule="exact"/>
        <w:ind w:firstLine="480" w:firstLineChars="200"/>
        <w:jc w:val="both"/>
        <w:rPr>
          <w:color w:val="auto"/>
          <w:highlight w:val="none"/>
        </w:rPr>
      </w:pPr>
      <w:r>
        <w:rPr>
          <w:rFonts w:hint="eastAsia"/>
          <w:color w:val="auto"/>
          <w:highlight w:val="none"/>
        </w:rPr>
        <w:t>民工工伤保险费用已计入施工图预算，由承包人按规定负责办理相关手续。</w:t>
      </w:r>
    </w:p>
    <w:p w14:paraId="462122E4">
      <w:pPr>
        <w:spacing w:line="440" w:lineRule="exact"/>
        <w:ind w:firstLine="480" w:firstLineChars="200"/>
        <w:jc w:val="both"/>
        <w:rPr>
          <w:color w:val="auto"/>
          <w:highlight w:val="none"/>
        </w:rPr>
      </w:pPr>
      <w:r>
        <w:rPr>
          <w:rFonts w:hint="eastAsia"/>
          <w:color w:val="auto"/>
          <w:highlight w:val="none"/>
        </w:rPr>
        <w:t>结算时的措施费依据审定后的施工图预算书中的措施费按中标下浮率同比例下浮，因施工过程中4技术方案调整引起的措施费变更的，增加部分，不予增加；减少部分，按实结算。</w:t>
      </w:r>
    </w:p>
    <w:p w14:paraId="004470F4">
      <w:pPr>
        <w:spacing w:line="440" w:lineRule="exact"/>
        <w:ind w:firstLine="480" w:firstLineChars="200"/>
        <w:jc w:val="both"/>
        <w:rPr>
          <w:color w:val="auto"/>
          <w:highlight w:val="none"/>
        </w:rPr>
      </w:pPr>
      <w:r>
        <w:rPr>
          <w:rFonts w:hint="eastAsia"/>
          <w:color w:val="auto"/>
          <w:highlight w:val="none"/>
        </w:rPr>
        <w:t>施工过程中，承包人需配合发包人办理相关备案手续，并按发包人要求的内容和数量提供有关工程资料，如施工图、效果图、施工方案等，相关费用由投标人在投标报价中包含，不再另行计取。</w:t>
      </w:r>
    </w:p>
    <w:p w14:paraId="5CADF83C">
      <w:pPr>
        <w:spacing w:line="440" w:lineRule="exact"/>
        <w:ind w:firstLine="480" w:firstLineChars="200"/>
        <w:jc w:val="both"/>
        <w:rPr>
          <w:color w:val="auto"/>
          <w:highlight w:val="none"/>
        </w:rPr>
      </w:pPr>
      <w:r>
        <w:rPr>
          <w:rFonts w:hint="eastAsia"/>
          <w:color w:val="auto"/>
          <w:highlight w:val="none"/>
        </w:rPr>
        <w:t>注：本工程为限额设计，总承包单位编制的施工图预算不得突破投标报价中建安工程费项目清单的报价总和。预算项目清单单价不得超过投标报价中相同项目清单单价，投标清单没有的预算清单按招标预算口径组价并下浮。若预算突破投标报价时建安工程清单报价的总价，发包人将视为承包人未做好限额设计工作，超过部分不予支付。</w:t>
      </w:r>
    </w:p>
    <w:p w14:paraId="19190D76">
      <w:pPr>
        <w:spacing w:line="440" w:lineRule="exact"/>
        <w:ind w:firstLine="480" w:firstLineChars="200"/>
        <w:jc w:val="both"/>
        <w:rPr>
          <w:color w:val="auto"/>
          <w:highlight w:val="none"/>
        </w:rPr>
      </w:pPr>
      <w:r>
        <w:rPr>
          <w:rFonts w:hint="eastAsia"/>
          <w:color w:val="auto"/>
          <w:highlight w:val="none"/>
        </w:rPr>
        <w:t>14.6.3.3.3单价执行依据：</w:t>
      </w:r>
    </w:p>
    <w:p w14:paraId="71262CCC">
      <w:pPr>
        <w:spacing w:line="440" w:lineRule="exact"/>
        <w:ind w:firstLine="480" w:firstLineChars="200"/>
        <w:jc w:val="both"/>
        <w:rPr>
          <w:color w:val="auto"/>
          <w:highlight w:val="none"/>
        </w:rPr>
      </w:pPr>
      <w:r>
        <w:rPr>
          <w:rFonts w:hint="eastAsia"/>
          <w:color w:val="auto"/>
          <w:highlight w:val="none"/>
        </w:rPr>
        <w:t>在合同实施期间，所有人工、材料、机械均按审核确定的施工图预算单价作为依据，不作调整。</w:t>
      </w:r>
    </w:p>
    <w:p w14:paraId="60919282">
      <w:pPr>
        <w:spacing w:line="440" w:lineRule="exact"/>
        <w:ind w:firstLine="480" w:firstLineChars="200"/>
        <w:jc w:val="both"/>
        <w:rPr>
          <w:color w:val="auto"/>
          <w:highlight w:val="none"/>
        </w:rPr>
      </w:pPr>
      <w:r>
        <w:rPr>
          <w:rFonts w:hint="eastAsia"/>
          <w:color w:val="auto"/>
          <w:highlight w:val="none"/>
        </w:rPr>
        <w:t>变更内容单价的确定：</w:t>
      </w:r>
    </w:p>
    <w:p w14:paraId="4BAE5D91">
      <w:pPr>
        <w:spacing w:line="440" w:lineRule="exact"/>
        <w:ind w:firstLine="480" w:firstLineChars="200"/>
        <w:jc w:val="both"/>
        <w:rPr>
          <w:color w:val="auto"/>
          <w:highlight w:val="none"/>
        </w:rPr>
      </w:pPr>
      <w:r>
        <w:rPr>
          <w:rFonts w:hint="eastAsia"/>
          <w:color w:val="auto"/>
          <w:highlight w:val="none"/>
        </w:rPr>
        <w:t>①：审核确定的施工图预算中已有项目单价的，按审核确定的施工图预算中确定的综合单价结算；</w:t>
      </w:r>
    </w:p>
    <w:p w14:paraId="7B48636E">
      <w:pPr>
        <w:spacing w:line="440" w:lineRule="exact"/>
        <w:ind w:firstLine="480" w:firstLineChars="200"/>
        <w:jc w:val="both"/>
        <w:rPr>
          <w:color w:val="auto"/>
          <w:highlight w:val="none"/>
        </w:rPr>
      </w:pPr>
      <w:r>
        <w:rPr>
          <w:rFonts w:hint="eastAsia"/>
          <w:color w:val="auto"/>
          <w:highlight w:val="none"/>
        </w:rPr>
        <w:t>②：审核确定的施工图预算中无该项目单价，但有与该项目类似的子目，参照该子目单价调整；</w:t>
      </w:r>
    </w:p>
    <w:p w14:paraId="231B7869">
      <w:pPr>
        <w:spacing w:line="440" w:lineRule="exact"/>
        <w:ind w:firstLine="480" w:firstLineChars="200"/>
        <w:jc w:val="both"/>
        <w:rPr>
          <w:color w:val="auto"/>
          <w:highlight w:val="none"/>
        </w:rPr>
      </w:pPr>
      <w:r>
        <w:rPr>
          <w:rFonts w:hint="eastAsia"/>
          <w:color w:val="auto"/>
          <w:highlight w:val="none"/>
        </w:rPr>
        <w:t>③：审核确定的施工图预算中既无该项目单价，又无类似子目，但可套定额的，按审核确定的施工图预算口径计算并按中标下浮率下浮；</w:t>
      </w:r>
    </w:p>
    <w:p w14:paraId="6FE71AF3">
      <w:pPr>
        <w:spacing w:line="440" w:lineRule="exact"/>
        <w:ind w:firstLine="480" w:firstLineChars="200"/>
        <w:jc w:val="both"/>
        <w:rPr>
          <w:color w:val="auto"/>
          <w:highlight w:val="none"/>
        </w:rPr>
      </w:pPr>
      <w:r>
        <w:rPr>
          <w:rFonts w:hint="eastAsia"/>
          <w:color w:val="auto"/>
          <w:highlight w:val="none"/>
        </w:rPr>
        <w:t>④：审核确定的施工图预算中既无该项目单价，又无类似子目，没有项目单价和信息价，且无定额可套用，按照发包人签证价结算，签证的价格结算时不再下浮。</w:t>
      </w:r>
    </w:p>
    <w:p w14:paraId="1001CF12">
      <w:pPr>
        <w:spacing w:line="440" w:lineRule="exact"/>
        <w:ind w:firstLine="480" w:firstLineChars="200"/>
        <w:jc w:val="both"/>
        <w:rPr>
          <w:color w:val="auto"/>
          <w:highlight w:val="none"/>
        </w:rPr>
      </w:pPr>
      <w:r>
        <w:rPr>
          <w:rFonts w:hint="eastAsia"/>
          <w:color w:val="auto"/>
          <w:highlight w:val="none"/>
        </w:rPr>
        <w:t>14.6.3.3.5工程量认定：经发包人确定变更的工程量应根据变更设计图纸、变更联系单，并按有关工程量计算规则计算确定。</w:t>
      </w:r>
    </w:p>
    <w:p w14:paraId="3071A382">
      <w:pPr>
        <w:spacing w:line="440" w:lineRule="exact"/>
        <w:ind w:firstLine="480" w:firstLineChars="200"/>
        <w:jc w:val="both"/>
        <w:rPr>
          <w:color w:val="auto"/>
          <w:highlight w:val="none"/>
        </w:rPr>
      </w:pPr>
      <w:r>
        <w:rPr>
          <w:rFonts w:hint="eastAsia"/>
          <w:color w:val="auto"/>
          <w:highlight w:val="none"/>
        </w:rPr>
        <w:t>注：招标文件已确定的因承包人设计或施工原因、缺陷造成的工作、工程量损失部分均有承包人承担，结算时不再予以增加相关费用。</w:t>
      </w:r>
    </w:p>
    <w:p w14:paraId="129A6E06">
      <w:pPr>
        <w:pStyle w:val="3"/>
        <w:jc w:val="both"/>
        <w:rPr>
          <w:rFonts w:hint="eastAsia" w:ascii="宋体" w:hAnsi="宋体" w:cs="宋体"/>
          <w:color w:val="auto"/>
          <w:highlight w:val="none"/>
        </w:rPr>
      </w:pPr>
      <w:bookmarkStart w:id="153" w:name="_Toc54862346"/>
      <w:r>
        <w:rPr>
          <w:rFonts w:hint="eastAsia" w:ascii="宋体" w:hAnsi="宋体" w:cs="宋体"/>
          <w:color w:val="auto"/>
          <w:highlight w:val="none"/>
        </w:rPr>
        <w:t>第15条 违约</w:t>
      </w:r>
      <w:bookmarkEnd w:id="153"/>
    </w:p>
    <w:p w14:paraId="497B8DB5">
      <w:pPr>
        <w:pStyle w:val="4"/>
        <w:rPr>
          <w:color w:val="auto"/>
          <w:highlight w:val="none"/>
        </w:rPr>
      </w:pPr>
      <w:r>
        <w:rPr>
          <w:color w:val="auto"/>
          <w:highlight w:val="none"/>
        </w:rPr>
        <w:t xml:space="preserve">15.1 </w:t>
      </w:r>
      <w:r>
        <w:rPr>
          <w:rFonts w:hint="eastAsia"/>
          <w:color w:val="auto"/>
          <w:highlight w:val="none"/>
        </w:rPr>
        <w:t>发包人违约</w:t>
      </w:r>
    </w:p>
    <w:p w14:paraId="23F83511">
      <w:pPr>
        <w:spacing w:line="440" w:lineRule="exact"/>
        <w:ind w:firstLine="480" w:firstLineChars="200"/>
        <w:jc w:val="both"/>
        <w:rPr>
          <w:color w:val="auto"/>
          <w:highlight w:val="none"/>
        </w:rPr>
      </w:pPr>
      <w:r>
        <w:rPr>
          <w:color w:val="auto"/>
          <w:highlight w:val="none"/>
        </w:rPr>
        <w:t xml:space="preserve">15.1.1 </w:t>
      </w:r>
      <w:r>
        <w:rPr>
          <w:rFonts w:hint="eastAsia"/>
          <w:color w:val="auto"/>
          <w:highlight w:val="none"/>
        </w:rPr>
        <w:t>发包人违约的情形</w:t>
      </w:r>
    </w:p>
    <w:p w14:paraId="04189EA0">
      <w:pPr>
        <w:spacing w:line="440" w:lineRule="exact"/>
        <w:ind w:firstLine="480" w:firstLineChars="200"/>
        <w:jc w:val="both"/>
        <w:rPr>
          <w:color w:val="auto"/>
          <w:highlight w:val="none"/>
        </w:rPr>
      </w:pPr>
      <w:r>
        <w:rPr>
          <w:rFonts w:hint="eastAsia"/>
          <w:color w:val="auto"/>
          <w:highlight w:val="none"/>
        </w:rPr>
        <w:t>发包人违约的其他情形</w:t>
      </w:r>
      <w:r>
        <w:rPr>
          <w:color w:val="auto"/>
          <w:highlight w:val="none"/>
        </w:rPr>
        <w:t xml:space="preserve"> </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w:t>
      </w:r>
    </w:p>
    <w:p w14:paraId="3F8A249C">
      <w:pPr>
        <w:spacing w:line="440" w:lineRule="exact"/>
        <w:ind w:firstLine="480" w:firstLineChars="200"/>
        <w:jc w:val="both"/>
        <w:rPr>
          <w:color w:val="auto"/>
          <w:highlight w:val="none"/>
        </w:rPr>
      </w:pPr>
      <w:r>
        <w:rPr>
          <w:color w:val="auto"/>
          <w:highlight w:val="none"/>
        </w:rPr>
        <w:t xml:space="preserve">15.1.3 </w:t>
      </w:r>
      <w:r>
        <w:rPr>
          <w:rFonts w:hint="eastAsia"/>
          <w:color w:val="auto"/>
          <w:highlight w:val="none"/>
        </w:rPr>
        <w:t>发包人违约的责任</w:t>
      </w:r>
    </w:p>
    <w:p w14:paraId="31AB4F43">
      <w:pPr>
        <w:spacing w:line="440" w:lineRule="exact"/>
        <w:ind w:firstLine="480" w:firstLineChars="200"/>
        <w:jc w:val="both"/>
        <w:rPr>
          <w:color w:val="auto"/>
          <w:highlight w:val="none"/>
        </w:rPr>
      </w:pPr>
      <w:r>
        <w:rPr>
          <w:rFonts w:hint="eastAsia"/>
          <w:color w:val="auto"/>
          <w:highlight w:val="none"/>
        </w:rPr>
        <w:t>发包人违约</w:t>
      </w:r>
      <w:r>
        <w:rPr>
          <w:color w:val="auto"/>
          <w:highlight w:val="none"/>
        </w:rPr>
        <w:t>责任</w:t>
      </w:r>
      <w:r>
        <w:rPr>
          <w:rFonts w:hint="eastAsia"/>
          <w:color w:val="auto"/>
          <w:highlight w:val="none"/>
        </w:rPr>
        <w:t>的</w:t>
      </w:r>
      <w:r>
        <w:rPr>
          <w:color w:val="auto"/>
          <w:highlight w:val="none"/>
        </w:rPr>
        <w:t>承担方式</w:t>
      </w:r>
      <w:r>
        <w:rPr>
          <w:rFonts w:hint="eastAsia"/>
          <w:color w:val="auto"/>
          <w:highlight w:val="none"/>
        </w:rPr>
        <w:t>和</w:t>
      </w:r>
      <w:r>
        <w:rPr>
          <w:color w:val="auto"/>
          <w:highlight w:val="none"/>
        </w:rPr>
        <w:t>计算方法</w:t>
      </w:r>
      <w:r>
        <w:rPr>
          <w:rFonts w:hint="eastAsia"/>
          <w:color w:val="auto"/>
          <w:highlight w:val="none"/>
        </w:rPr>
        <w:t>：</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w:t>
      </w:r>
    </w:p>
    <w:p w14:paraId="140C87F9">
      <w:pPr>
        <w:pStyle w:val="4"/>
        <w:rPr>
          <w:color w:val="auto"/>
          <w:highlight w:val="none"/>
        </w:rPr>
      </w:pPr>
      <w:r>
        <w:rPr>
          <w:color w:val="auto"/>
          <w:highlight w:val="none"/>
        </w:rPr>
        <w:t xml:space="preserve">15.2 </w:t>
      </w:r>
      <w:r>
        <w:rPr>
          <w:rFonts w:hint="eastAsia"/>
          <w:color w:val="auto"/>
          <w:highlight w:val="none"/>
        </w:rPr>
        <w:t>承包人违约</w:t>
      </w:r>
    </w:p>
    <w:p w14:paraId="3FC90BA3">
      <w:pPr>
        <w:spacing w:line="440" w:lineRule="exact"/>
        <w:ind w:firstLine="480" w:firstLineChars="200"/>
        <w:jc w:val="both"/>
        <w:rPr>
          <w:color w:val="auto"/>
          <w:highlight w:val="none"/>
        </w:rPr>
      </w:pPr>
      <w:r>
        <w:rPr>
          <w:color w:val="auto"/>
          <w:highlight w:val="none"/>
        </w:rPr>
        <w:t xml:space="preserve">15.2.1 </w:t>
      </w:r>
      <w:r>
        <w:rPr>
          <w:rFonts w:hint="eastAsia"/>
          <w:color w:val="auto"/>
          <w:highlight w:val="none"/>
        </w:rPr>
        <w:t>承包人违约的情形</w:t>
      </w:r>
    </w:p>
    <w:p w14:paraId="1ED03E30">
      <w:pPr>
        <w:spacing w:line="440" w:lineRule="exact"/>
        <w:ind w:firstLine="480" w:firstLineChars="200"/>
        <w:jc w:val="both"/>
        <w:rPr>
          <w:color w:val="auto"/>
          <w:highlight w:val="none"/>
        </w:rPr>
      </w:pPr>
      <w:r>
        <w:rPr>
          <w:rFonts w:hint="eastAsia"/>
          <w:color w:val="auto"/>
          <w:highlight w:val="none"/>
        </w:rPr>
        <w:t>承包人违约的其他情形：</w:t>
      </w:r>
      <w:r>
        <w:rPr>
          <w:color w:val="auto"/>
          <w:highlight w:val="none"/>
          <w:u w:val="single"/>
        </w:rPr>
        <w:t xml:space="preserve">                    </w:t>
      </w:r>
      <w:r>
        <w:rPr>
          <w:rFonts w:hint="eastAsia"/>
          <w:color w:val="auto"/>
          <w:highlight w:val="none"/>
        </w:rPr>
        <w:t>。</w:t>
      </w:r>
    </w:p>
    <w:p w14:paraId="35EE8657">
      <w:pPr>
        <w:spacing w:line="440" w:lineRule="exact"/>
        <w:ind w:firstLine="480" w:firstLineChars="200"/>
        <w:jc w:val="both"/>
        <w:rPr>
          <w:color w:val="auto"/>
          <w:highlight w:val="none"/>
        </w:rPr>
      </w:pPr>
      <w:r>
        <w:rPr>
          <w:color w:val="auto"/>
          <w:highlight w:val="none"/>
        </w:rPr>
        <w:t xml:space="preserve">15.2.2 </w:t>
      </w:r>
      <w:r>
        <w:rPr>
          <w:rFonts w:hint="eastAsia"/>
          <w:color w:val="auto"/>
          <w:highlight w:val="none"/>
        </w:rPr>
        <w:t>通知改正</w:t>
      </w:r>
    </w:p>
    <w:p w14:paraId="1AA47559">
      <w:pPr>
        <w:spacing w:line="440" w:lineRule="exact"/>
        <w:ind w:firstLine="480" w:firstLineChars="200"/>
        <w:jc w:val="both"/>
        <w:rPr>
          <w:color w:val="auto"/>
          <w:highlight w:val="none"/>
        </w:rPr>
      </w:pPr>
      <w:r>
        <w:rPr>
          <w:rFonts w:hint="eastAsia"/>
          <w:color w:val="auto"/>
          <w:highlight w:val="none"/>
        </w:rPr>
        <w:t>工程师通知承包人改正的合理期限是：</w:t>
      </w:r>
      <w:r>
        <w:rPr>
          <w:color w:val="auto"/>
          <w:highlight w:val="none"/>
          <w:u w:val="single"/>
        </w:rPr>
        <w:t xml:space="preserve">                </w:t>
      </w:r>
      <w:r>
        <w:rPr>
          <w:color w:val="auto"/>
          <w:highlight w:val="none"/>
        </w:rPr>
        <w:t xml:space="preserve"> </w:t>
      </w:r>
      <w:r>
        <w:rPr>
          <w:rFonts w:hint="eastAsia"/>
          <w:color w:val="auto"/>
          <w:highlight w:val="none"/>
        </w:rPr>
        <w:t>。</w:t>
      </w:r>
    </w:p>
    <w:p w14:paraId="3236A496">
      <w:pPr>
        <w:spacing w:line="440" w:lineRule="exact"/>
        <w:ind w:firstLine="480" w:firstLineChars="200"/>
        <w:jc w:val="both"/>
        <w:rPr>
          <w:color w:val="auto"/>
          <w:highlight w:val="none"/>
        </w:rPr>
      </w:pPr>
      <w:r>
        <w:rPr>
          <w:color w:val="auto"/>
          <w:highlight w:val="none"/>
        </w:rPr>
        <w:t xml:space="preserve">15.2.3 </w:t>
      </w:r>
      <w:r>
        <w:rPr>
          <w:rFonts w:hint="eastAsia"/>
          <w:color w:val="auto"/>
          <w:highlight w:val="none"/>
        </w:rPr>
        <w:t>承包人违约的责任</w:t>
      </w:r>
    </w:p>
    <w:p w14:paraId="7554CC61">
      <w:pPr>
        <w:spacing w:line="440" w:lineRule="exact"/>
        <w:ind w:firstLine="480" w:firstLineChars="200"/>
        <w:jc w:val="both"/>
        <w:rPr>
          <w:color w:val="auto"/>
          <w:highlight w:val="none"/>
          <w:u w:val="single"/>
        </w:rPr>
      </w:pPr>
      <w:r>
        <w:rPr>
          <w:rFonts w:hint="eastAsia"/>
          <w:color w:val="auto"/>
          <w:highlight w:val="none"/>
        </w:rPr>
        <w:t>承包人违约</w:t>
      </w:r>
      <w:r>
        <w:rPr>
          <w:color w:val="auto"/>
          <w:highlight w:val="none"/>
        </w:rPr>
        <w:t>责任</w:t>
      </w:r>
      <w:r>
        <w:rPr>
          <w:rFonts w:hint="eastAsia"/>
          <w:color w:val="auto"/>
          <w:highlight w:val="none"/>
        </w:rPr>
        <w:t>的</w:t>
      </w:r>
      <w:r>
        <w:rPr>
          <w:color w:val="auto"/>
          <w:highlight w:val="none"/>
        </w:rPr>
        <w:t>承担方式</w:t>
      </w:r>
      <w:r>
        <w:rPr>
          <w:rFonts w:hint="eastAsia"/>
          <w:color w:val="auto"/>
          <w:highlight w:val="none"/>
        </w:rPr>
        <w:t>和</w:t>
      </w:r>
      <w:r>
        <w:rPr>
          <w:color w:val="auto"/>
          <w:highlight w:val="none"/>
        </w:rPr>
        <w:t>计算方法</w:t>
      </w:r>
      <w:r>
        <w:rPr>
          <w:rFonts w:hint="eastAsia"/>
          <w:color w:val="auto"/>
          <w:highlight w:val="none"/>
          <w:u w:val="single"/>
        </w:rPr>
        <w:t>：（1）承包人发生通用条款第15.2.1 （1）目约定的违约情况时约定承包人违约应承担的违约责任：承包人必须严格按照施工图及工程施工验收规范等精心组织施工，严格把好每道工序的质量关，确保工程竣工验收达到合格等级。经验收，如有不合格工程，承包人应返工、整改、采取相应的补救、修复措施，直至工程竣工验收合格，如无法修复或严重降低工程整体质量，则发包人有权扣除其全额质量履约保证金，并处以合同价的3%的违约金，同时应赔偿发包人全部损失。</w:t>
      </w:r>
    </w:p>
    <w:p w14:paraId="5131A6CA">
      <w:pPr>
        <w:spacing w:line="440" w:lineRule="exact"/>
        <w:ind w:firstLine="480" w:firstLineChars="200"/>
        <w:jc w:val="both"/>
        <w:rPr>
          <w:color w:val="auto"/>
          <w:highlight w:val="none"/>
          <w:u w:val="single"/>
        </w:rPr>
      </w:pPr>
      <w:r>
        <w:rPr>
          <w:rFonts w:hint="eastAsia"/>
          <w:color w:val="auto"/>
          <w:highlight w:val="none"/>
          <w:u w:val="single"/>
        </w:rPr>
        <w:t>（2）设计资料及文件出现的遗漏或错误负责修改或补充。由于设计人员的失误造成工程质量事故损失，承包人除负责采取补救措施外，应免收直接损失部分的设计费，同时应赔偿发包人全部损失。</w:t>
      </w:r>
    </w:p>
    <w:p w14:paraId="78D86F77">
      <w:pPr>
        <w:spacing w:line="440" w:lineRule="exact"/>
        <w:ind w:firstLine="480" w:firstLineChars="200"/>
        <w:jc w:val="both"/>
        <w:rPr>
          <w:color w:val="auto"/>
          <w:highlight w:val="none"/>
          <w:u w:val="single"/>
        </w:rPr>
      </w:pPr>
      <w:r>
        <w:rPr>
          <w:rFonts w:hint="eastAsia"/>
          <w:color w:val="auto"/>
          <w:highlight w:val="none"/>
          <w:u w:val="single"/>
        </w:rPr>
        <w:t>（3）设计结果必须符合国家规范和标准及发包人有关要求，未达到承诺的设计质量标准，根据责任大小承担相应的违约金。联合体牵头人代表联合体向发包人负全部责任和义务，联合体成员负连带责任。</w:t>
      </w:r>
    </w:p>
    <w:p w14:paraId="22393180">
      <w:pPr>
        <w:spacing w:line="440" w:lineRule="exact"/>
        <w:ind w:firstLine="480" w:firstLineChars="200"/>
        <w:jc w:val="both"/>
        <w:rPr>
          <w:color w:val="auto"/>
          <w:highlight w:val="none"/>
          <w:u w:val="single"/>
        </w:rPr>
      </w:pPr>
      <w:r>
        <w:rPr>
          <w:rFonts w:hint="eastAsia"/>
          <w:color w:val="auto"/>
          <w:highlight w:val="none"/>
          <w:u w:val="single"/>
        </w:rPr>
        <w:t>（4）若因设计深度不够、资料不足而造成工期延误、增加投资或质量问题，承包人负全部责任。</w:t>
      </w:r>
    </w:p>
    <w:p w14:paraId="072CCC5A">
      <w:pPr>
        <w:spacing w:line="440" w:lineRule="exact"/>
        <w:ind w:firstLine="480" w:firstLineChars="200"/>
        <w:jc w:val="both"/>
        <w:rPr>
          <w:color w:val="auto"/>
          <w:highlight w:val="none"/>
          <w:u w:val="single"/>
        </w:rPr>
      </w:pPr>
      <w:r>
        <w:rPr>
          <w:rFonts w:hint="eastAsia"/>
          <w:color w:val="auto"/>
          <w:highlight w:val="none"/>
          <w:u w:val="single"/>
        </w:rPr>
        <w:t>发包人继续使用承包人在施工现场的材料、设备、临时工程、承包人文件和由承包人或以其名义编制的其他文件的费用承担方式：承包人未清场的材料、设备、设施等，发包人有权使用，费用承包人承担。</w:t>
      </w:r>
    </w:p>
    <w:p w14:paraId="5CA84BCC">
      <w:pPr>
        <w:spacing w:line="440" w:lineRule="exact"/>
        <w:ind w:firstLine="480" w:firstLineChars="200"/>
        <w:jc w:val="both"/>
        <w:rPr>
          <w:rFonts w:eastAsia="仿宋"/>
          <w:color w:val="auto"/>
          <w:highlight w:val="none"/>
          <w:u w:val="single"/>
        </w:rPr>
      </w:pPr>
      <w:r>
        <w:rPr>
          <w:rFonts w:hint="eastAsia"/>
          <w:color w:val="auto"/>
          <w:highlight w:val="none"/>
          <w:u w:val="single"/>
        </w:rPr>
        <w:t>（5）承包人发生通用条款第15.2.1（2）目约定的违约情况时，若出现质量、进度等问题，经发包人三次书面通知后仍未采取有效措施的，发包人有权单方终止合同，并进行处罚、保留索赔的权利。</w:t>
      </w:r>
    </w:p>
    <w:p w14:paraId="3F70A64E">
      <w:pPr>
        <w:widowControl/>
        <w:autoSpaceDE/>
        <w:autoSpaceDN/>
        <w:snapToGrid w:val="0"/>
        <w:spacing w:line="440" w:lineRule="exact"/>
        <w:ind w:firstLine="480" w:firstLineChars="200"/>
        <w:jc w:val="both"/>
        <w:rPr>
          <w:color w:val="auto"/>
          <w:highlight w:val="none"/>
        </w:rPr>
      </w:pPr>
      <w:r>
        <w:rPr>
          <w:rFonts w:hint="eastAsia"/>
          <w:color w:val="auto"/>
          <w:highlight w:val="none"/>
          <w:u w:val="single"/>
        </w:rPr>
        <w:t>（6）承包人发生通用条款第15.2.1（6）目约定的违约情况时约定承包人违约承担的违约责任：按第8.7.2 因承包人原因导致工期延误条款执行外，发包人有权要求承包人退场，并承担由此产生的一切损失</w:t>
      </w:r>
      <w:r>
        <w:rPr>
          <w:color w:val="auto"/>
          <w:highlight w:val="none"/>
        </w:rPr>
        <w:t xml:space="preserve"> </w:t>
      </w:r>
      <w:r>
        <w:rPr>
          <w:rFonts w:hint="eastAsia"/>
          <w:color w:val="auto"/>
          <w:highlight w:val="none"/>
        </w:rPr>
        <w:t>。</w:t>
      </w:r>
    </w:p>
    <w:p w14:paraId="5FA8C5F7">
      <w:pPr>
        <w:widowControl/>
        <w:autoSpaceDE/>
        <w:autoSpaceDN/>
        <w:snapToGrid w:val="0"/>
        <w:spacing w:line="440" w:lineRule="exact"/>
        <w:ind w:firstLine="480" w:firstLineChars="200"/>
        <w:jc w:val="both"/>
        <w:rPr>
          <w:rFonts w:eastAsia="仿宋"/>
          <w:color w:val="auto"/>
          <w:highlight w:val="none"/>
          <w:u w:val="single"/>
        </w:rPr>
      </w:pPr>
      <w:r>
        <w:rPr>
          <w:rFonts w:hint="eastAsia"/>
          <w:color w:val="auto"/>
          <w:highlight w:val="none"/>
          <w:u w:val="single"/>
        </w:rPr>
        <w:t>（7）工程所产生的罚款及违约金均打入代建单位账户。</w:t>
      </w:r>
    </w:p>
    <w:p w14:paraId="68BF8772">
      <w:pPr>
        <w:pStyle w:val="3"/>
        <w:jc w:val="both"/>
        <w:rPr>
          <w:rFonts w:hint="eastAsia" w:ascii="宋体" w:hAnsi="宋体" w:cs="宋体"/>
          <w:color w:val="auto"/>
          <w:highlight w:val="none"/>
        </w:rPr>
      </w:pPr>
      <w:bookmarkStart w:id="154" w:name="_Toc54862347"/>
      <w:r>
        <w:rPr>
          <w:rFonts w:hint="eastAsia" w:ascii="宋体" w:hAnsi="宋体" w:cs="宋体"/>
          <w:color w:val="auto"/>
          <w:highlight w:val="none"/>
        </w:rPr>
        <w:t>第16条 合同解除</w:t>
      </w:r>
      <w:bookmarkEnd w:id="154"/>
    </w:p>
    <w:p w14:paraId="16BBFDC7">
      <w:pPr>
        <w:pStyle w:val="4"/>
        <w:rPr>
          <w:color w:val="auto"/>
          <w:highlight w:val="none"/>
        </w:rPr>
      </w:pPr>
      <w:r>
        <w:rPr>
          <w:color w:val="auto"/>
          <w:highlight w:val="none"/>
        </w:rPr>
        <w:t xml:space="preserve">16.1 </w:t>
      </w:r>
      <w:r>
        <w:rPr>
          <w:rFonts w:hint="eastAsia"/>
          <w:color w:val="auto"/>
          <w:highlight w:val="none"/>
        </w:rPr>
        <w:t>由发包人解除合同</w:t>
      </w:r>
    </w:p>
    <w:p w14:paraId="45037B35">
      <w:pPr>
        <w:spacing w:line="440" w:lineRule="exact"/>
        <w:ind w:firstLine="480" w:firstLineChars="200"/>
        <w:jc w:val="both"/>
        <w:rPr>
          <w:color w:val="auto"/>
          <w:highlight w:val="none"/>
        </w:rPr>
      </w:pPr>
      <w:r>
        <w:rPr>
          <w:color w:val="auto"/>
          <w:highlight w:val="none"/>
        </w:rPr>
        <w:t xml:space="preserve">16.1.1 </w:t>
      </w:r>
      <w:r>
        <w:rPr>
          <w:rFonts w:hint="eastAsia"/>
          <w:color w:val="auto"/>
          <w:highlight w:val="none"/>
        </w:rPr>
        <w:t>因承包人违约解除合同</w:t>
      </w:r>
    </w:p>
    <w:p w14:paraId="319A77C5">
      <w:pPr>
        <w:spacing w:line="440" w:lineRule="exact"/>
        <w:ind w:firstLine="480" w:firstLineChars="200"/>
        <w:jc w:val="both"/>
        <w:rPr>
          <w:color w:val="auto"/>
          <w:highlight w:val="none"/>
        </w:rPr>
      </w:pPr>
      <w:r>
        <w:rPr>
          <w:rFonts w:hint="eastAsia"/>
          <w:color w:val="auto"/>
          <w:highlight w:val="none"/>
        </w:rPr>
        <w:t>双方约定可由发包人解除合同的其他事由：</w:t>
      </w:r>
      <w:r>
        <w:rPr>
          <w:color w:val="auto"/>
          <w:highlight w:val="none"/>
          <w:u w:val="single"/>
        </w:rPr>
        <w:t xml:space="preserve"> </w:t>
      </w:r>
      <w:r>
        <w:rPr>
          <w:rFonts w:hint="eastAsia"/>
          <w:color w:val="auto"/>
          <w:highlight w:val="none"/>
          <w:u w:val="single"/>
        </w:rPr>
        <w:t>因承包人违约导致合同解除的，承包人应按合同暂定总价的10％向发包人支付违约金并赔偿发包人因此所受之全部损失包括但不限于另行委托第三人进行后续承包施工产生的差价损失及为此支出的律师费、诉讼费、差旅费等所有相关费用。并承包人应在收到合同解除通知后3天内退场并移交全部施工资料；若延期退场或延期移交资料的，每延期一天，应向发包人支付违约金10000元。</w:t>
      </w:r>
    </w:p>
    <w:p w14:paraId="0DF1A067">
      <w:pPr>
        <w:pStyle w:val="4"/>
        <w:rPr>
          <w:color w:val="auto"/>
          <w:highlight w:val="none"/>
        </w:rPr>
      </w:pPr>
      <w:r>
        <w:rPr>
          <w:color w:val="auto"/>
          <w:highlight w:val="none"/>
        </w:rPr>
        <w:t xml:space="preserve">16.2 </w:t>
      </w:r>
      <w:r>
        <w:rPr>
          <w:rFonts w:hint="eastAsia"/>
          <w:color w:val="auto"/>
          <w:highlight w:val="none"/>
        </w:rPr>
        <w:t>由承包人解除合同</w:t>
      </w:r>
    </w:p>
    <w:p w14:paraId="09A34F1C">
      <w:pPr>
        <w:spacing w:line="440" w:lineRule="exact"/>
        <w:ind w:firstLine="480" w:firstLineChars="200"/>
        <w:jc w:val="both"/>
        <w:rPr>
          <w:color w:val="auto"/>
          <w:highlight w:val="none"/>
        </w:rPr>
      </w:pPr>
      <w:r>
        <w:rPr>
          <w:color w:val="auto"/>
          <w:highlight w:val="none"/>
        </w:rPr>
        <w:t xml:space="preserve">16.2.1 </w:t>
      </w:r>
      <w:r>
        <w:rPr>
          <w:rFonts w:hint="eastAsia"/>
          <w:color w:val="auto"/>
          <w:highlight w:val="none"/>
        </w:rPr>
        <w:t>因发包人违约解除合同</w:t>
      </w:r>
    </w:p>
    <w:p w14:paraId="591EA7C8">
      <w:pPr>
        <w:spacing w:line="440" w:lineRule="exact"/>
        <w:ind w:firstLine="480" w:firstLineChars="200"/>
        <w:jc w:val="both"/>
        <w:rPr>
          <w:color w:val="auto"/>
          <w:highlight w:val="none"/>
        </w:rPr>
      </w:pPr>
      <w:r>
        <w:rPr>
          <w:rFonts w:hint="eastAsia"/>
          <w:color w:val="auto"/>
          <w:highlight w:val="none"/>
        </w:rPr>
        <w:t>双方约定可由承包人解除合同的其他事由：</w:t>
      </w:r>
      <w:r>
        <w:rPr>
          <w:color w:val="auto"/>
          <w:highlight w:val="none"/>
          <w:u w:val="single"/>
        </w:rPr>
        <w:t xml:space="preserve">            </w:t>
      </w:r>
      <w:r>
        <w:rPr>
          <w:color w:val="auto"/>
          <w:highlight w:val="none"/>
        </w:rPr>
        <w:t xml:space="preserve"> </w:t>
      </w:r>
      <w:r>
        <w:rPr>
          <w:rFonts w:hint="eastAsia"/>
          <w:color w:val="auto"/>
          <w:highlight w:val="none"/>
        </w:rPr>
        <w:t>。</w:t>
      </w:r>
    </w:p>
    <w:p w14:paraId="08178FDB">
      <w:pPr>
        <w:pStyle w:val="3"/>
        <w:jc w:val="both"/>
        <w:rPr>
          <w:rFonts w:hint="eastAsia" w:ascii="宋体" w:hAnsi="宋体" w:cs="宋体"/>
          <w:color w:val="auto"/>
          <w:highlight w:val="none"/>
        </w:rPr>
      </w:pPr>
      <w:bookmarkStart w:id="155" w:name="_Toc54862348"/>
      <w:r>
        <w:rPr>
          <w:rFonts w:hint="eastAsia" w:ascii="宋体" w:hAnsi="宋体" w:cs="宋体"/>
          <w:color w:val="auto"/>
          <w:highlight w:val="none"/>
        </w:rPr>
        <w:t>第17条 不可抗力</w:t>
      </w:r>
      <w:bookmarkEnd w:id="155"/>
    </w:p>
    <w:p w14:paraId="0AF68321">
      <w:pPr>
        <w:pStyle w:val="4"/>
        <w:rPr>
          <w:color w:val="auto"/>
          <w:highlight w:val="none"/>
        </w:rPr>
      </w:pPr>
      <w:r>
        <w:rPr>
          <w:color w:val="auto"/>
          <w:highlight w:val="none"/>
        </w:rPr>
        <w:t xml:space="preserve">17.1 </w:t>
      </w:r>
      <w:r>
        <w:rPr>
          <w:rFonts w:hint="eastAsia"/>
          <w:color w:val="auto"/>
          <w:highlight w:val="none"/>
        </w:rPr>
        <w:t>不可抗力的定义</w:t>
      </w:r>
    </w:p>
    <w:p w14:paraId="2E112FCD">
      <w:pPr>
        <w:spacing w:line="440" w:lineRule="exact"/>
        <w:ind w:firstLine="480" w:firstLineChars="200"/>
        <w:jc w:val="both"/>
        <w:rPr>
          <w:color w:val="auto"/>
          <w:highlight w:val="none"/>
        </w:rPr>
      </w:pPr>
      <w:r>
        <w:rPr>
          <w:color w:val="auto"/>
          <w:highlight w:val="none"/>
        </w:rPr>
        <w:t>除通用合同条件约定的不可抗力事件之外，视为不可抗力的其他情形：</w:t>
      </w:r>
      <w:r>
        <w:rPr>
          <w:rFonts w:hint="eastAsia"/>
          <w:color w:val="auto"/>
          <w:highlight w:val="none"/>
          <w:u w:val="single"/>
        </w:rPr>
        <w:t>六级以上地震、山洪暴发、战争、十级以上台风及其他属于承包人不能预见、不能避免且不能克服的客观情况</w:t>
      </w:r>
      <w:r>
        <w:rPr>
          <w:rFonts w:hint="eastAsia"/>
          <w:color w:val="auto"/>
          <w:highlight w:val="none"/>
        </w:rPr>
        <w:t>。</w:t>
      </w:r>
    </w:p>
    <w:p w14:paraId="6463A8C2">
      <w:pPr>
        <w:pStyle w:val="4"/>
        <w:rPr>
          <w:color w:val="auto"/>
          <w:highlight w:val="none"/>
        </w:rPr>
      </w:pPr>
      <w:r>
        <w:rPr>
          <w:color w:val="auto"/>
          <w:highlight w:val="none"/>
        </w:rPr>
        <w:t xml:space="preserve">17.6 </w:t>
      </w:r>
      <w:r>
        <w:rPr>
          <w:rFonts w:hint="eastAsia"/>
          <w:color w:val="auto"/>
          <w:highlight w:val="none"/>
        </w:rPr>
        <w:t>因不可抗力解除合同</w:t>
      </w:r>
    </w:p>
    <w:p w14:paraId="5E4DF9C9">
      <w:pPr>
        <w:spacing w:line="440" w:lineRule="exact"/>
        <w:ind w:firstLine="480" w:firstLineChars="200"/>
        <w:jc w:val="both"/>
        <w:rPr>
          <w:color w:val="auto"/>
          <w:highlight w:val="none"/>
        </w:rPr>
      </w:pPr>
      <w:r>
        <w:rPr>
          <w:color w:val="auto"/>
          <w:highlight w:val="none"/>
        </w:rPr>
        <w:t>合同解除后，发包人应</w:t>
      </w:r>
      <w:r>
        <w:rPr>
          <w:rFonts w:hint="eastAsia"/>
          <w:color w:val="auto"/>
          <w:highlight w:val="none"/>
        </w:rPr>
        <w:t>当</w:t>
      </w:r>
      <w:r>
        <w:rPr>
          <w:color w:val="auto"/>
          <w:highlight w:val="none"/>
        </w:rPr>
        <w:t>在商定或确定发包人应支付款项后</w:t>
      </w:r>
      <w:r>
        <w:rPr>
          <w:rFonts w:hint="eastAsia"/>
          <w:color w:val="auto"/>
          <w:highlight w:val="none"/>
        </w:rPr>
        <w:t xml:space="preserve">的 </w:t>
      </w:r>
      <w:r>
        <w:rPr>
          <w:color w:val="auto"/>
          <w:highlight w:val="none"/>
        </w:rPr>
        <w:t xml:space="preserve">      天内完成款项的支付。</w:t>
      </w:r>
    </w:p>
    <w:p w14:paraId="70746FA7">
      <w:pPr>
        <w:pStyle w:val="3"/>
        <w:jc w:val="both"/>
        <w:rPr>
          <w:rFonts w:hint="eastAsia" w:ascii="宋体" w:hAnsi="宋体" w:cs="宋体"/>
          <w:color w:val="auto"/>
          <w:highlight w:val="none"/>
        </w:rPr>
      </w:pPr>
      <w:bookmarkStart w:id="156" w:name="_Toc4784277"/>
      <w:bookmarkEnd w:id="156"/>
      <w:bookmarkStart w:id="157" w:name="_Toc4784276"/>
      <w:bookmarkEnd w:id="157"/>
      <w:bookmarkStart w:id="158" w:name="_Toc54862349"/>
      <w:r>
        <w:rPr>
          <w:rFonts w:hint="eastAsia" w:ascii="宋体" w:hAnsi="宋体" w:cs="宋体"/>
          <w:color w:val="auto"/>
          <w:highlight w:val="none"/>
        </w:rPr>
        <w:t>第18条 保险</w:t>
      </w:r>
      <w:bookmarkEnd w:id="158"/>
    </w:p>
    <w:p w14:paraId="3DEC5F7E">
      <w:pPr>
        <w:pStyle w:val="4"/>
        <w:rPr>
          <w:color w:val="auto"/>
          <w:highlight w:val="none"/>
        </w:rPr>
      </w:pPr>
      <w:r>
        <w:rPr>
          <w:color w:val="auto"/>
          <w:highlight w:val="none"/>
        </w:rPr>
        <w:t xml:space="preserve">18.1 </w:t>
      </w:r>
      <w:r>
        <w:rPr>
          <w:rFonts w:hint="eastAsia"/>
          <w:color w:val="auto"/>
          <w:highlight w:val="none"/>
        </w:rPr>
        <w:t>设计和工程保险</w:t>
      </w:r>
    </w:p>
    <w:p w14:paraId="30182823">
      <w:pPr>
        <w:spacing w:line="440" w:lineRule="exact"/>
        <w:ind w:firstLine="480" w:firstLineChars="200"/>
        <w:jc w:val="both"/>
        <w:rPr>
          <w:color w:val="auto"/>
          <w:highlight w:val="none"/>
          <w:u w:val="single"/>
        </w:rPr>
      </w:pPr>
      <w:r>
        <w:rPr>
          <w:rFonts w:hint="eastAsia"/>
          <w:color w:val="auto"/>
          <w:highlight w:val="none"/>
        </w:rPr>
        <w:t>1</w:t>
      </w:r>
      <w:r>
        <w:rPr>
          <w:color w:val="auto"/>
          <w:highlight w:val="none"/>
        </w:rPr>
        <w:t xml:space="preserve">8.1.1 </w:t>
      </w:r>
      <w:r>
        <w:rPr>
          <w:rFonts w:hint="eastAsia"/>
          <w:color w:val="auto"/>
          <w:highlight w:val="none"/>
        </w:rPr>
        <w:t>双方当事人</w:t>
      </w:r>
      <w:r>
        <w:rPr>
          <w:color w:val="auto"/>
          <w:highlight w:val="none"/>
        </w:rPr>
        <w:t>关于</w:t>
      </w:r>
      <w:r>
        <w:rPr>
          <w:rFonts w:hint="eastAsia"/>
          <w:color w:val="auto"/>
          <w:highlight w:val="none"/>
        </w:rPr>
        <w:t>设计和工程保险</w:t>
      </w:r>
      <w:r>
        <w:rPr>
          <w:color w:val="auto"/>
          <w:highlight w:val="none"/>
        </w:rPr>
        <w:t>的特别</w:t>
      </w:r>
      <w:r>
        <w:rPr>
          <w:rFonts w:hint="eastAsia"/>
          <w:color w:val="auto"/>
          <w:highlight w:val="none"/>
        </w:rPr>
        <w:t>约</w:t>
      </w:r>
      <w:r>
        <w:rPr>
          <w:color w:val="auto"/>
          <w:highlight w:val="none"/>
        </w:rPr>
        <w:t>定</w:t>
      </w:r>
      <w:r>
        <w:rPr>
          <w:rFonts w:hint="eastAsia"/>
          <w:color w:val="auto"/>
          <w:highlight w:val="none"/>
        </w:rPr>
        <w:t>：</w:t>
      </w:r>
      <w:r>
        <w:rPr>
          <w:rFonts w:hint="eastAsia"/>
          <w:color w:val="auto"/>
          <w:highlight w:val="none"/>
          <w:u w:val="single"/>
        </w:rPr>
        <w:t>合同双方商定，由承包人负责投保的保险种类、保险范围、投保金额、保险期限和持续有效的时间：</w:t>
      </w:r>
    </w:p>
    <w:p w14:paraId="29C88582">
      <w:pPr>
        <w:spacing w:line="440" w:lineRule="exact"/>
        <w:ind w:firstLine="480" w:firstLineChars="200"/>
        <w:jc w:val="both"/>
        <w:rPr>
          <w:color w:val="auto"/>
          <w:highlight w:val="none"/>
          <w:u w:val="single"/>
        </w:rPr>
      </w:pPr>
      <w:r>
        <w:rPr>
          <w:rFonts w:hint="eastAsia"/>
          <w:color w:val="auto"/>
          <w:highlight w:val="none"/>
          <w:u w:val="single"/>
        </w:rPr>
        <w:t>保险范围：为合同工程的永久工程、临时工程和设备及运至施工工地用于永久工程的材料和设备所投的保险。</w:t>
      </w:r>
    </w:p>
    <w:p w14:paraId="0CB687F3">
      <w:pPr>
        <w:spacing w:line="440" w:lineRule="exact"/>
        <w:ind w:firstLine="480" w:firstLineChars="200"/>
        <w:jc w:val="both"/>
        <w:rPr>
          <w:color w:val="auto"/>
          <w:highlight w:val="none"/>
          <w:u w:val="single"/>
        </w:rPr>
      </w:pPr>
      <w:r>
        <w:rPr>
          <w:rFonts w:hint="eastAsia"/>
          <w:color w:val="auto"/>
          <w:highlight w:val="none"/>
          <w:u w:val="single"/>
        </w:rPr>
        <w:t>保险期限：开工起直至承包人向发包人移交合格工程前。</w:t>
      </w:r>
    </w:p>
    <w:p w14:paraId="518A1FD6">
      <w:pPr>
        <w:spacing w:line="440" w:lineRule="exact"/>
        <w:ind w:firstLine="480" w:firstLineChars="200"/>
        <w:jc w:val="both"/>
        <w:rPr>
          <w:color w:val="auto"/>
          <w:highlight w:val="none"/>
        </w:rPr>
      </w:pPr>
      <w:r>
        <w:rPr>
          <w:rFonts w:hint="eastAsia"/>
          <w:color w:val="auto"/>
          <w:highlight w:val="none"/>
          <w:u w:val="single"/>
        </w:rPr>
        <w:t>工程设计责任险、建安工程一切险的投保方及对投保的相关要求：由承包人负责并承担费用。</w:t>
      </w:r>
    </w:p>
    <w:p w14:paraId="3AF4352D">
      <w:pPr>
        <w:spacing w:line="440" w:lineRule="exact"/>
        <w:ind w:firstLine="480" w:firstLineChars="200"/>
        <w:jc w:val="both"/>
        <w:rPr>
          <w:color w:val="auto"/>
          <w:highlight w:val="none"/>
        </w:rPr>
      </w:pPr>
      <w:r>
        <w:rPr>
          <w:rFonts w:hint="eastAsia"/>
          <w:color w:val="auto"/>
          <w:highlight w:val="none"/>
        </w:rPr>
        <w:t>1</w:t>
      </w:r>
      <w:r>
        <w:rPr>
          <w:color w:val="auto"/>
          <w:highlight w:val="none"/>
        </w:rPr>
        <w:t xml:space="preserve">8.1.2 </w:t>
      </w:r>
      <w:r>
        <w:rPr>
          <w:rFonts w:hint="eastAsia"/>
          <w:color w:val="auto"/>
          <w:highlight w:val="none"/>
        </w:rPr>
        <w:t>双方当事人</w:t>
      </w:r>
      <w:r>
        <w:rPr>
          <w:color w:val="auto"/>
          <w:highlight w:val="none"/>
        </w:rPr>
        <w:t>关于</w:t>
      </w:r>
      <w:r>
        <w:rPr>
          <w:rFonts w:hint="eastAsia"/>
          <w:color w:val="auto"/>
          <w:highlight w:val="none"/>
        </w:rPr>
        <w:t>第三方责任险</w:t>
      </w:r>
      <w:r>
        <w:rPr>
          <w:color w:val="auto"/>
          <w:highlight w:val="none"/>
        </w:rPr>
        <w:t>的特别</w:t>
      </w:r>
      <w:r>
        <w:rPr>
          <w:rFonts w:hint="eastAsia"/>
          <w:color w:val="auto"/>
          <w:highlight w:val="none"/>
        </w:rPr>
        <w:t>约</w:t>
      </w:r>
      <w:r>
        <w:rPr>
          <w:color w:val="auto"/>
          <w:highlight w:val="none"/>
        </w:rPr>
        <w:t>定：</w:t>
      </w:r>
      <w:r>
        <w:rPr>
          <w:rFonts w:hint="eastAsia"/>
          <w:color w:val="auto"/>
          <w:highlight w:val="none"/>
          <w:u w:val="single"/>
        </w:rPr>
        <w:t>：第三者责任险的保险费、人身意外伤害险由承包人负责并承担费用</w:t>
      </w:r>
      <w:r>
        <w:rPr>
          <w:rFonts w:hint="eastAsia"/>
          <w:color w:val="auto"/>
          <w:highlight w:val="none"/>
        </w:rPr>
        <w:t>。</w:t>
      </w:r>
    </w:p>
    <w:p w14:paraId="45A8D06C">
      <w:pPr>
        <w:pStyle w:val="4"/>
        <w:rPr>
          <w:color w:val="auto"/>
          <w:highlight w:val="none"/>
        </w:rPr>
      </w:pPr>
      <w:r>
        <w:rPr>
          <w:color w:val="auto"/>
          <w:highlight w:val="none"/>
        </w:rPr>
        <w:t xml:space="preserve">18.2 </w:t>
      </w:r>
      <w:r>
        <w:rPr>
          <w:rFonts w:hint="eastAsia"/>
          <w:color w:val="auto"/>
          <w:highlight w:val="none"/>
        </w:rPr>
        <w:t>工伤和意外伤害保险</w:t>
      </w:r>
    </w:p>
    <w:p w14:paraId="7850873D">
      <w:pPr>
        <w:spacing w:line="440" w:lineRule="exact"/>
        <w:ind w:firstLine="480" w:firstLineChars="200"/>
        <w:jc w:val="both"/>
        <w:rPr>
          <w:color w:val="auto"/>
          <w:highlight w:val="none"/>
        </w:rPr>
      </w:pPr>
      <w:r>
        <w:rPr>
          <w:rFonts w:hint="eastAsia"/>
          <w:color w:val="auto"/>
          <w:highlight w:val="none"/>
        </w:rPr>
        <w:t>1</w:t>
      </w:r>
      <w:r>
        <w:rPr>
          <w:color w:val="auto"/>
          <w:highlight w:val="none"/>
        </w:rPr>
        <w:t>8.2.3 关于</w:t>
      </w:r>
      <w:r>
        <w:rPr>
          <w:rFonts w:hint="eastAsia"/>
          <w:color w:val="auto"/>
          <w:highlight w:val="none"/>
        </w:rPr>
        <w:t>工伤保险和意外伤害保险</w:t>
      </w:r>
      <w:r>
        <w:rPr>
          <w:color w:val="auto"/>
          <w:highlight w:val="none"/>
        </w:rPr>
        <w:t>的特别</w:t>
      </w:r>
      <w:r>
        <w:rPr>
          <w:rFonts w:hint="eastAsia"/>
          <w:color w:val="auto"/>
          <w:highlight w:val="none"/>
        </w:rPr>
        <w:t>约</w:t>
      </w:r>
      <w:r>
        <w:rPr>
          <w:color w:val="auto"/>
          <w:highlight w:val="none"/>
        </w:rPr>
        <w:t>定：</w:t>
      </w:r>
      <w:r>
        <w:rPr>
          <w:color w:val="auto"/>
          <w:highlight w:val="none"/>
          <w:u w:val="single"/>
        </w:rPr>
        <w:t xml:space="preserve">          </w:t>
      </w:r>
      <w:r>
        <w:rPr>
          <w:rFonts w:hint="eastAsia"/>
          <w:color w:val="auto"/>
          <w:highlight w:val="none"/>
        </w:rPr>
        <w:t>。</w:t>
      </w:r>
    </w:p>
    <w:p w14:paraId="44611E5B">
      <w:pPr>
        <w:pStyle w:val="4"/>
        <w:rPr>
          <w:color w:val="auto"/>
          <w:highlight w:val="none"/>
        </w:rPr>
      </w:pPr>
      <w:r>
        <w:rPr>
          <w:color w:val="auto"/>
          <w:highlight w:val="none"/>
        </w:rPr>
        <w:t xml:space="preserve">18.3 </w:t>
      </w:r>
      <w:r>
        <w:rPr>
          <w:rFonts w:hint="eastAsia"/>
          <w:color w:val="auto"/>
          <w:highlight w:val="none"/>
        </w:rPr>
        <w:t>货物保险</w:t>
      </w:r>
    </w:p>
    <w:p w14:paraId="5CD651D0">
      <w:pPr>
        <w:spacing w:line="440" w:lineRule="exact"/>
        <w:ind w:firstLine="480" w:firstLineChars="200"/>
        <w:jc w:val="both"/>
        <w:rPr>
          <w:color w:val="auto"/>
          <w:highlight w:val="none"/>
        </w:rPr>
      </w:pPr>
      <w:r>
        <w:rPr>
          <w:rFonts w:hint="eastAsia"/>
          <w:color w:val="auto"/>
          <w:highlight w:val="none"/>
        </w:rPr>
        <w:t>关于承包人应为其施工设备、材料、工程设备和临时工程等办理财产</w:t>
      </w:r>
      <w:r>
        <w:rPr>
          <w:color w:val="auto"/>
          <w:highlight w:val="none"/>
        </w:rPr>
        <w:t>保险的特别</w:t>
      </w:r>
      <w:r>
        <w:rPr>
          <w:rFonts w:hint="eastAsia"/>
          <w:color w:val="auto"/>
          <w:highlight w:val="none"/>
        </w:rPr>
        <w:t>约</w:t>
      </w:r>
      <w:r>
        <w:rPr>
          <w:color w:val="auto"/>
          <w:highlight w:val="none"/>
        </w:rPr>
        <w:t>定：</w:t>
      </w:r>
      <w:r>
        <w:rPr>
          <w:color w:val="auto"/>
          <w:highlight w:val="none"/>
          <w:u w:val="single"/>
        </w:rPr>
        <w:t xml:space="preserve">             </w:t>
      </w:r>
      <w:r>
        <w:rPr>
          <w:rFonts w:hint="eastAsia"/>
          <w:color w:val="auto"/>
          <w:highlight w:val="none"/>
        </w:rPr>
        <w:t>。</w:t>
      </w:r>
    </w:p>
    <w:p w14:paraId="250D80B7">
      <w:pPr>
        <w:pStyle w:val="4"/>
        <w:rPr>
          <w:color w:val="auto"/>
          <w:highlight w:val="none"/>
        </w:rPr>
      </w:pPr>
      <w:r>
        <w:rPr>
          <w:color w:val="auto"/>
          <w:highlight w:val="none"/>
        </w:rPr>
        <w:t xml:space="preserve">18.4 </w:t>
      </w:r>
      <w:r>
        <w:rPr>
          <w:rFonts w:hint="eastAsia"/>
          <w:color w:val="auto"/>
          <w:highlight w:val="none"/>
        </w:rPr>
        <w:t>其他保险</w:t>
      </w:r>
    </w:p>
    <w:p w14:paraId="120FB264">
      <w:pPr>
        <w:spacing w:line="440" w:lineRule="exact"/>
        <w:ind w:firstLine="480" w:firstLineChars="200"/>
        <w:jc w:val="both"/>
        <w:rPr>
          <w:color w:val="auto"/>
          <w:highlight w:val="none"/>
        </w:rPr>
      </w:pPr>
      <w:r>
        <w:rPr>
          <w:rFonts w:hint="eastAsia"/>
          <w:color w:val="auto"/>
          <w:highlight w:val="none"/>
        </w:rPr>
        <w:t>关于其他保险的约定：</w:t>
      </w:r>
      <w:r>
        <w:rPr>
          <w:color w:val="auto"/>
          <w:highlight w:val="none"/>
          <w:u w:val="single"/>
        </w:rPr>
        <w:t xml:space="preserve">             </w:t>
      </w:r>
      <w:r>
        <w:rPr>
          <w:rFonts w:hint="eastAsia"/>
          <w:color w:val="auto"/>
          <w:highlight w:val="none"/>
        </w:rPr>
        <w:t>。</w:t>
      </w:r>
    </w:p>
    <w:p w14:paraId="7F3B6BDC">
      <w:pPr>
        <w:pStyle w:val="4"/>
        <w:rPr>
          <w:color w:val="auto"/>
          <w:highlight w:val="none"/>
        </w:rPr>
      </w:pPr>
      <w:r>
        <w:rPr>
          <w:color w:val="auto"/>
          <w:highlight w:val="none"/>
        </w:rPr>
        <w:t xml:space="preserve">18.5 </w:t>
      </w:r>
      <w:r>
        <w:rPr>
          <w:rFonts w:hint="eastAsia"/>
          <w:color w:val="auto"/>
          <w:highlight w:val="none"/>
        </w:rPr>
        <w:t>对各项保险的一般要求</w:t>
      </w:r>
    </w:p>
    <w:p w14:paraId="25A5C658">
      <w:pPr>
        <w:spacing w:line="440" w:lineRule="exact"/>
        <w:ind w:firstLine="480" w:firstLineChars="200"/>
        <w:jc w:val="both"/>
        <w:rPr>
          <w:color w:val="auto"/>
          <w:highlight w:val="none"/>
        </w:rPr>
      </w:pPr>
      <w:r>
        <w:rPr>
          <w:color w:val="auto"/>
          <w:highlight w:val="none"/>
        </w:rPr>
        <w:t>18.5.2 保险凭证</w:t>
      </w:r>
    </w:p>
    <w:p w14:paraId="63B6D557">
      <w:pPr>
        <w:spacing w:line="440" w:lineRule="exact"/>
        <w:ind w:firstLine="480" w:firstLineChars="200"/>
        <w:jc w:val="both"/>
        <w:rPr>
          <w:color w:val="auto"/>
          <w:highlight w:val="none"/>
        </w:rPr>
      </w:pPr>
      <w:r>
        <w:rPr>
          <w:rFonts w:hint="eastAsia"/>
          <w:color w:val="auto"/>
          <w:highlight w:val="none"/>
        </w:rPr>
        <w:t>保险单的条件：</w:t>
      </w:r>
      <w:r>
        <w:rPr>
          <w:color w:val="auto"/>
          <w:highlight w:val="none"/>
          <w:u w:val="single"/>
        </w:rPr>
        <w:t xml:space="preserve">                                   </w:t>
      </w:r>
      <w:r>
        <w:rPr>
          <w:color w:val="auto"/>
          <w:highlight w:val="none"/>
        </w:rPr>
        <w:t xml:space="preserve"> </w:t>
      </w:r>
      <w:r>
        <w:rPr>
          <w:rFonts w:hint="eastAsia"/>
          <w:color w:val="auto"/>
          <w:highlight w:val="none"/>
        </w:rPr>
        <w:t>。</w:t>
      </w:r>
    </w:p>
    <w:p w14:paraId="78234D5C">
      <w:pPr>
        <w:spacing w:line="440" w:lineRule="exact"/>
        <w:ind w:firstLine="480" w:firstLineChars="200"/>
        <w:jc w:val="both"/>
        <w:rPr>
          <w:color w:val="auto"/>
          <w:highlight w:val="none"/>
        </w:rPr>
      </w:pPr>
      <w:r>
        <w:rPr>
          <w:color w:val="auto"/>
          <w:highlight w:val="none"/>
        </w:rPr>
        <w:t>18.5.4 通知义务</w:t>
      </w:r>
    </w:p>
    <w:p w14:paraId="7D5BABB1">
      <w:pPr>
        <w:spacing w:line="440" w:lineRule="exact"/>
        <w:ind w:firstLine="480" w:firstLineChars="200"/>
        <w:jc w:val="both"/>
        <w:rPr>
          <w:color w:val="auto"/>
          <w:highlight w:val="none"/>
        </w:rPr>
      </w:pPr>
      <w:r>
        <w:rPr>
          <w:rFonts w:hint="eastAsia"/>
          <w:color w:val="auto"/>
          <w:highlight w:val="none"/>
        </w:rPr>
        <w:t>关于变更保险合同时的通知义务的约定：</w:t>
      </w:r>
      <w:r>
        <w:rPr>
          <w:rFonts w:hint="eastAsia"/>
          <w:color w:val="auto"/>
          <w:highlight w:val="none"/>
          <w:u w:val="single"/>
        </w:rPr>
        <w:t>合同签订后14天内提交</w:t>
      </w:r>
      <w:r>
        <w:rPr>
          <w:rFonts w:hint="eastAsia"/>
          <w:color w:val="auto"/>
          <w:highlight w:val="none"/>
        </w:rPr>
        <w:t>。</w:t>
      </w:r>
    </w:p>
    <w:p w14:paraId="40D6AD72">
      <w:pPr>
        <w:pStyle w:val="3"/>
        <w:jc w:val="both"/>
        <w:rPr>
          <w:rFonts w:hint="eastAsia" w:ascii="宋体" w:hAnsi="宋体" w:cs="宋体"/>
          <w:color w:val="auto"/>
          <w:highlight w:val="none"/>
        </w:rPr>
      </w:pPr>
      <w:bookmarkStart w:id="159" w:name="_Toc54862350"/>
      <w:r>
        <w:rPr>
          <w:rFonts w:hint="eastAsia" w:ascii="宋体" w:hAnsi="宋体" w:cs="宋体"/>
          <w:color w:val="auto"/>
          <w:highlight w:val="none"/>
        </w:rPr>
        <w:t>第20条 争议解决</w:t>
      </w:r>
      <w:bookmarkEnd w:id="159"/>
    </w:p>
    <w:p w14:paraId="06C8C9E8">
      <w:pPr>
        <w:spacing w:line="440" w:lineRule="exact"/>
        <w:ind w:firstLine="480" w:firstLineChars="200"/>
        <w:jc w:val="both"/>
        <w:rPr>
          <w:color w:val="auto"/>
          <w:highlight w:val="none"/>
        </w:rPr>
      </w:pPr>
      <w:r>
        <w:rPr>
          <w:rFonts w:hint="eastAsia"/>
          <w:color w:val="auto"/>
          <w:highlight w:val="none"/>
        </w:rPr>
        <w:t>发包人和承包人在履行合同中发生争议的，可以友好协商解决或者提请争议评审组评审。合同当事人友好协商解决不成、不愿提请争议评审或者不接受争议评审组意见的，则任一方可将该争议向工程所在地有管辖权的人民法院提起诉讼。</w:t>
      </w:r>
    </w:p>
    <w:p w14:paraId="5FF67470">
      <w:pPr>
        <w:spacing w:line="440" w:lineRule="exact"/>
        <w:ind w:firstLine="480" w:firstLineChars="200"/>
        <w:jc w:val="both"/>
        <w:rPr>
          <w:color w:val="auto"/>
          <w:highlight w:val="none"/>
        </w:rPr>
      </w:pPr>
      <w:r>
        <w:rPr>
          <w:rFonts w:hint="eastAsia"/>
          <w:color w:val="auto"/>
          <w:highlight w:val="none"/>
        </w:rPr>
        <w:t>在争议解决期间，双方应在不影响本项目工程进度的情况下继续履行合同。</w:t>
      </w:r>
    </w:p>
    <w:p w14:paraId="0CDDDE82">
      <w:pPr>
        <w:pStyle w:val="4"/>
        <w:rPr>
          <w:color w:val="auto"/>
          <w:highlight w:val="none"/>
        </w:rPr>
      </w:pPr>
      <w:r>
        <w:rPr>
          <w:color w:val="auto"/>
          <w:highlight w:val="none"/>
        </w:rPr>
        <w:t xml:space="preserve">20.3 </w:t>
      </w:r>
      <w:r>
        <w:rPr>
          <w:rFonts w:hint="eastAsia"/>
          <w:color w:val="auto"/>
          <w:highlight w:val="none"/>
        </w:rPr>
        <w:t>争议评审</w:t>
      </w:r>
    </w:p>
    <w:p w14:paraId="36ADD155">
      <w:pPr>
        <w:spacing w:line="440" w:lineRule="exact"/>
        <w:ind w:firstLine="480" w:firstLineChars="200"/>
        <w:jc w:val="both"/>
        <w:rPr>
          <w:color w:val="auto"/>
          <w:highlight w:val="none"/>
        </w:rPr>
      </w:pPr>
      <w:r>
        <w:rPr>
          <w:rFonts w:hint="eastAsia"/>
          <w:color w:val="auto"/>
          <w:highlight w:val="none"/>
        </w:rPr>
        <w:t>合同当事人是否同意将工程争议提交争议评审小组决定：</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p>
    <w:p w14:paraId="454474E2">
      <w:pPr>
        <w:spacing w:line="440" w:lineRule="exact"/>
        <w:ind w:firstLine="480" w:firstLineChars="200"/>
        <w:jc w:val="both"/>
        <w:rPr>
          <w:color w:val="auto"/>
          <w:highlight w:val="none"/>
        </w:rPr>
      </w:pPr>
      <w:r>
        <w:rPr>
          <w:color w:val="auto"/>
          <w:highlight w:val="none"/>
        </w:rPr>
        <w:t>20.3.1</w:t>
      </w:r>
      <w:r>
        <w:rPr>
          <w:rFonts w:hint="eastAsia"/>
          <w:color w:val="auto"/>
          <w:highlight w:val="none"/>
        </w:rPr>
        <w:t xml:space="preserve"> 争议评审小组</w:t>
      </w:r>
      <w:r>
        <w:rPr>
          <w:color w:val="auto"/>
          <w:highlight w:val="none"/>
        </w:rPr>
        <w:t>的确定</w:t>
      </w:r>
    </w:p>
    <w:p w14:paraId="6E44D51F">
      <w:pPr>
        <w:spacing w:line="440" w:lineRule="exact"/>
        <w:ind w:firstLine="480" w:firstLineChars="200"/>
        <w:jc w:val="both"/>
        <w:rPr>
          <w:color w:val="auto"/>
          <w:highlight w:val="none"/>
        </w:rPr>
      </w:pPr>
      <w:r>
        <w:rPr>
          <w:rFonts w:hint="eastAsia"/>
          <w:color w:val="auto"/>
          <w:highlight w:val="none"/>
        </w:rPr>
        <w:t>争议评审小组成员的人数：</w:t>
      </w:r>
      <w:r>
        <w:rPr>
          <w:color w:val="auto"/>
          <w:highlight w:val="none"/>
          <w:u w:val="single"/>
        </w:rPr>
        <w:t xml:space="preserve">                          </w:t>
      </w:r>
      <w:r>
        <w:rPr>
          <w:color w:val="auto"/>
          <w:highlight w:val="none"/>
        </w:rPr>
        <w:t>。</w:t>
      </w:r>
    </w:p>
    <w:p w14:paraId="61B0E9FD">
      <w:pPr>
        <w:spacing w:line="440" w:lineRule="exact"/>
        <w:ind w:firstLine="480" w:firstLineChars="200"/>
        <w:jc w:val="both"/>
        <w:rPr>
          <w:color w:val="auto"/>
          <w:highlight w:val="none"/>
        </w:rPr>
      </w:pPr>
      <w:r>
        <w:rPr>
          <w:rFonts w:hint="eastAsia"/>
          <w:color w:val="auto"/>
          <w:highlight w:val="none"/>
        </w:rPr>
        <w:t>争议评审小组成员的确定：</w:t>
      </w:r>
      <w:r>
        <w:rPr>
          <w:color w:val="auto"/>
          <w:highlight w:val="none"/>
          <w:u w:val="single"/>
        </w:rPr>
        <w:t xml:space="preserve">                         </w:t>
      </w:r>
      <w:r>
        <w:rPr>
          <w:color w:val="auto"/>
          <w:highlight w:val="none"/>
        </w:rPr>
        <w:t xml:space="preserve"> 。</w:t>
      </w:r>
    </w:p>
    <w:p w14:paraId="5B0D861F">
      <w:pPr>
        <w:spacing w:line="440" w:lineRule="exact"/>
        <w:ind w:firstLine="480" w:firstLineChars="200"/>
        <w:jc w:val="both"/>
        <w:rPr>
          <w:color w:val="auto"/>
          <w:highlight w:val="none"/>
        </w:rPr>
      </w:pPr>
      <w:r>
        <w:rPr>
          <w:rFonts w:hint="eastAsia"/>
          <w:color w:val="auto"/>
          <w:highlight w:val="none"/>
        </w:rPr>
        <w:t>选定争议避免/评审组的期限：</w:t>
      </w:r>
      <w:r>
        <w:rPr>
          <w:color w:val="auto"/>
          <w:highlight w:val="none"/>
          <w:u w:val="single"/>
        </w:rPr>
        <w:t xml:space="preserve">                      </w:t>
      </w:r>
      <w:r>
        <w:rPr>
          <w:color w:val="auto"/>
          <w:highlight w:val="none"/>
        </w:rPr>
        <w:t xml:space="preserve"> 。</w:t>
      </w:r>
    </w:p>
    <w:p w14:paraId="30DF2CBA">
      <w:pPr>
        <w:spacing w:line="440" w:lineRule="exact"/>
        <w:ind w:firstLine="480" w:firstLineChars="200"/>
        <w:jc w:val="both"/>
        <w:rPr>
          <w:color w:val="auto"/>
          <w:highlight w:val="none"/>
        </w:rPr>
      </w:pPr>
      <w:r>
        <w:rPr>
          <w:rFonts w:hint="eastAsia"/>
          <w:color w:val="auto"/>
          <w:highlight w:val="none"/>
        </w:rPr>
        <w:t>评审机构：</w:t>
      </w:r>
      <w:r>
        <w:rPr>
          <w:color w:val="auto"/>
          <w:highlight w:val="none"/>
          <w:u w:val="single"/>
        </w:rPr>
        <w:t xml:space="preserve">                                        </w:t>
      </w:r>
      <w:r>
        <w:rPr>
          <w:color w:val="auto"/>
          <w:highlight w:val="none"/>
        </w:rPr>
        <w:t>。</w:t>
      </w:r>
    </w:p>
    <w:p w14:paraId="7CC3B0C3">
      <w:pPr>
        <w:spacing w:line="440" w:lineRule="exact"/>
        <w:ind w:firstLine="480" w:firstLineChars="200"/>
        <w:jc w:val="both"/>
        <w:rPr>
          <w:color w:val="auto"/>
          <w:highlight w:val="none"/>
        </w:rPr>
      </w:pPr>
      <w:r>
        <w:rPr>
          <w:rFonts w:hint="eastAsia"/>
          <w:color w:val="auto"/>
          <w:highlight w:val="none"/>
        </w:rPr>
        <w:t>其他事项的约定：</w:t>
      </w:r>
      <w:r>
        <w:rPr>
          <w:color w:val="auto"/>
          <w:highlight w:val="none"/>
          <w:u w:val="single"/>
        </w:rPr>
        <w:t xml:space="preserve">                                 </w:t>
      </w:r>
      <w:r>
        <w:rPr>
          <w:color w:val="auto"/>
          <w:highlight w:val="none"/>
        </w:rPr>
        <w:t xml:space="preserve"> 。</w:t>
      </w:r>
    </w:p>
    <w:p w14:paraId="7A6116D5">
      <w:pPr>
        <w:spacing w:line="440" w:lineRule="exact"/>
        <w:ind w:firstLine="480" w:firstLineChars="200"/>
        <w:jc w:val="both"/>
        <w:rPr>
          <w:color w:val="auto"/>
          <w:highlight w:val="none"/>
        </w:rPr>
      </w:pPr>
      <w:r>
        <w:rPr>
          <w:color w:val="auto"/>
          <w:highlight w:val="none"/>
        </w:rPr>
        <w:t>争议评审员报酬</w:t>
      </w:r>
      <w:r>
        <w:rPr>
          <w:rFonts w:hint="eastAsia"/>
          <w:color w:val="auto"/>
          <w:highlight w:val="none"/>
        </w:rPr>
        <w:t>的承担人：</w:t>
      </w:r>
      <w:r>
        <w:rPr>
          <w:color w:val="auto"/>
          <w:highlight w:val="none"/>
          <w:u w:val="single"/>
        </w:rPr>
        <w:t xml:space="preserve">                         </w:t>
      </w:r>
      <w:r>
        <w:rPr>
          <w:color w:val="auto"/>
          <w:highlight w:val="none"/>
        </w:rPr>
        <w:t xml:space="preserve"> </w:t>
      </w:r>
      <w:r>
        <w:rPr>
          <w:rFonts w:hint="eastAsia"/>
          <w:color w:val="auto"/>
          <w:highlight w:val="none"/>
        </w:rPr>
        <w:t>。</w:t>
      </w:r>
    </w:p>
    <w:p w14:paraId="79B5DC17">
      <w:pPr>
        <w:spacing w:line="440" w:lineRule="exact"/>
        <w:ind w:firstLine="480" w:firstLineChars="200"/>
        <w:jc w:val="both"/>
        <w:rPr>
          <w:color w:val="auto"/>
          <w:highlight w:val="none"/>
        </w:rPr>
      </w:pPr>
      <w:r>
        <w:rPr>
          <w:rFonts w:hint="eastAsia"/>
          <w:color w:val="auto"/>
          <w:highlight w:val="none"/>
        </w:rPr>
        <w:t>20.3.2 争议的避免</w:t>
      </w:r>
    </w:p>
    <w:p w14:paraId="50C96227">
      <w:pPr>
        <w:spacing w:line="440" w:lineRule="exact"/>
        <w:ind w:firstLine="480" w:firstLineChars="200"/>
        <w:jc w:val="both"/>
        <w:rPr>
          <w:color w:val="auto"/>
          <w:highlight w:val="none"/>
        </w:rPr>
      </w:pPr>
      <w:r>
        <w:rPr>
          <w:rFonts w:hint="eastAsia"/>
          <w:color w:val="auto"/>
          <w:highlight w:val="none"/>
        </w:rPr>
        <w:t>发包人和承包人是否均出席争议避免的非正式讨论：</w:t>
      </w:r>
      <w:r>
        <w:rPr>
          <w:color w:val="auto"/>
          <w:highlight w:val="none"/>
          <w:u w:val="single"/>
        </w:rPr>
        <w:t xml:space="preserve">      </w:t>
      </w:r>
      <w:r>
        <w:rPr>
          <w:color w:val="auto"/>
          <w:highlight w:val="none"/>
        </w:rPr>
        <w:t>。</w:t>
      </w:r>
    </w:p>
    <w:p w14:paraId="58C75F7D">
      <w:pPr>
        <w:spacing w:line="440" w:lineRule="exact"/>
        <w:ind w:firstLine="480" w:firstLineChars="200"/>
        <w:jc w:val="both"/>
        <w:rPr>
          <w:color w:val="auto"/>
          <w:highlight w:val="none"/>
        </w:rPr>
      </w:pPr>
      <w:r>
        <w:rPr>
          <w:color w:val="auto"/>
          <w:highlight w:val="none"/>
        </w:rPr>
        <w:t>20.3.3</w:t>
      </w:r>
      <w:r>
        <w:rPr>
          <w:rFonts w:hint="eastAsia"/>
          <w:color w:val="auto"/>
          <w:highlight w:val="none"/>
        </w:rPr>
        <w:t xml:space="preserve"> 争议评审小组的决定</w:t>
      </w:r>
    </w:p>
    <w:p w14:paraId="73A718C5">
      <w:pPr>
        <w:spacing w:line="440" w:lineRule="exact"/>
        <w:ind w:firstLine="480" w:firstLineChars="200"/>
        <w:jc w:val="both"/>
        <w:rPr>
          <w:color w:val="auto"/>
          <w:highlight w:val="none"/>
        </w:rPr>
      </w:pPr>
      <w:r>
        <w:rPr>
          <w:rFonts w:hint="eastAsia"/>
          <w:color w:val="auto"/>
          <w:highlight w:val="none"/>
        </w:rPr>
        <w:t>关于争议评审小组的决定的特别约定：</w:t>
      </w:r>
      <w:r>
        <w:rPr>
          <w:color w:val="auto"/>
          <w:highlight w:val="none"/>
          <w:u w:val="single"/>
        </w:rPr>
        <w:t xml:space="preserve">                </w:t>
      </w:r>
      <w:r>
        <w:rPr>
          <w:color w:val="auto"/>
          <w:highlight w:val="none"/>
        </w:rPr>
        <w:t>。</w:t>
      </w:r>
    </w:p>
    <w:p w14:paraId="6C6E4004">
      <w:pPr>
        <w:pStyle w:val="4"/>
        <w:rPr>
          <w:color w:val="auto"/>
          <w:highlight w:val="none"/>
        </w:rPr>
      </w:pPr>
      <w:r>
        <w:rPr>
          <w:color w:val="auto"/>
          <w:highlight w:val="none"/>
        </w:rPr>
        <w:t xml:space="preserve">20.4 </w:t>
      </w:r>
      <w:r>
        <w:rPr>
          <w:rFonts w:hint="eastAsia"/>
          <w:color w:val="auto"/>
          <w:highlight w:val="none"/>
        </w:rPr>
        <w:t>仲裁或诉讼</w:t>
      </w:r>
    </w:p>
    <w:p w14:paraId="5C9ABC6F">
      <w:pPr>
        <w:spacing w:line="440" w:lineRule="exact"/>
        <w:ind w:firstLine="480" w:firstLineChars="200"/>
        <w:jc w:val="both"/>
        <w:rPr>
          <w:color w:val="auto"/>
          <w:highlight w:val="none"/>
        </w:rPr>
      </w:pPr>
      <w:r>
        <w:rPr>
          <w:rFonts w:hint="eastAsia"/>
          <w:color w:val="auto"/>
          <w:highlight w:val="none"/>
        </w:rPr>
        <w:t>因合同及合同有关事项发生的争议，按下列第（2）</w:t>
      </w:r>
      <w:r>
        <w:rPr>
          <w:color w:val="auto"/>
          <w:highlight w:val="none"/>
        </w:rPr>
        <w:t xml:space="preserve"> 种方式解决：</w:t>
      </w:r>
    </w:p>
    <w:p w14:paraId="373BC637">
      <w:pPr>
        <w:spacing w:line="440" w:lineRule="exact"/>
        <w:ind w:firstLine="480" w:firstLineChars="200"/>
        <w:jc w:val="both"/>
        <w:rPr>
          <w:color w:val="auto"/>
          <w:highlight w:val="none"/>
        </w:rPr>
      </w:pPr>
      <w:r>
        <w:rPr>
          <w:rFonts w:hint="eastAsia"/>
          <w:color w:val="auto"/>
          <w:highlight w:val="none"/>
        </w:rPr>
        <w:t>（</w:t>
      </w:r>
      <w:r>
        <w:rPr>
          <w:color w:val="auto"/>
          <w:highlight w:val="none"/>
        </w:rPr>
        <w:t xml:space="preserve">1）向 </w:t>
      </w:r>
      <w:r>
        <w:rPr>
          <w:color w:val="auto"/>
          <w:highlight w:val="none"/>
          <w:u w:val="single"/>
        </w:rPr>
        <w:t xml:space="preserve"> </w:t>
      </w:r>
      <w:r>
        <w:rPr>
          <w:rFonts w:hint="eastAsia"/>
          <w:color w:val="auto"/>
          <w:highlight w:val="none"/>
          <w:u w:val="single"/>
        </w:rPr>
        <w:t xml:space="preserve">/ </w:t>
      </w:r>
      <w:r>
        <w:rPr>
          <w:color w:val="auto"/>
          <w:highlight w:val="none"/>
        </w:rPr>
        <w:t>仲裁委员会申请仲裁；</w:t>
      </w:r>
    </w:p>
    <w:p w14:paraId="0B30084C">
      <w:pPr>
        <w:spacing w:line="440" w:lineRule="exact"/>
        <w:ind w:firstLine="480" w:firstLineChars="200"/>
        <w:jc w:val="both"/>
        <w:rPr>
          <w:color w:val="auto"/>
          <w:highlight w:val="none"/>
        </w:rPr>
      </w:pPr>
      <w:r>
        <w:rPr>
          <w:rFonts w:hint="eastAsia"/>
          <w:color w:val="auto"/>
          <w:highlight w:val="none"/>
        </w:rPr>
        <w:t>（</w:t>
      </w:r>
      <w:r>
        <w:rPr>
          <w:color w:val="auto"/>
          <w:highlight w:val="none"/>
        </w:rPr>
        <w:t>2）向</w:t>
      </w:r>
      <w:r>
        <w:rPr>
          <w:color w:val="auto"/>
          <w:highlight w:val="none"/>
          <w:u w:val="single"/>
        </w:rPr>
        <w:t xml:space="preserve"> </w:t>
      </w:r>
      <w:r>
        <w:rPr>
          <w:rFonts w:hint="eastAsia"/>
          <w:color w:val="auto"/>
          <w:highlight w:val="none"/>
          <w:u w:val="single"/>
        </w:rPr>
        <w:t>项目所在地</w:t>
      </w:r>
      <w:r>
        <w:rPr>
          <w:color w:val="auto"/>
          <w:highlight w:val="none"/>
        </w:rPr>
        <w:t>人民法院起诉。</w:t>
      </w:r>
    </w:p>
    <w:p w14:paraId="4CBAF6B1">
      <w:pPr>
        <w:pStyle w:val="2"/>
        <w:spacing w:before="120" w:after="120"/>
        <w:jc w:val="both"/>
        <w:rPr>
          <w:color w:val="auto"/>
          <w:highlight w:val="none"/>
        </w:rPr>
      </w:pPr>
    </w:p>
    <w:p w14:paraId="3B96CF26">
      <w:pPr>
        <w:pStyle w:val="2"/>
        <w:spacing w:before="120" w:after="120"/>
        <w:jc w:val="both"/>
        <w:rPr>
          <w:color w:val="auto"/>
          <w:highlight w:val="none"/>
        </w:rPr>
      </w:pPr>
    </w:p>
    <w:p w14:paraId="2395BF65">
      <w:pPr>
        <w:pStyle w:val="2"/>
        <w:spacing w:before="120" w:after="120"/>
        <w:jc w:val="both"/>
        <w:rPr>
          <w:color w:val="auto"/>
          <w:highlight w:val="none"/>
        </w:rPr>
      </w:pPr>
    </w:p>
    <w:p w14:paraId="42DC5052">
      <w:pPr>
        <w:rPr>
          <w:color w:val="auto"/>
          <w:highlight w:val="none"/>
        </w:rPr>
      </w:pPr>
    </w:p>
    <w:p w14:paraId="19023055">
      <w:pPr>
        <w:pStyle w:val="6"/>
        <w:ind w:firstLine="480"/>
        <w:rPr>
          <w:color w:val="auto"/>
          <w:highlight w:val="none"/>
        </w:rPr>
      </w:pPr>
    </w:p>
    <w:p w14:paraId="0404FEDB">
      <w:pPr>
        <w:pStyle w:val="6"/>
        <w:ind w:firstLine="480"/>
        <w:rPr>
          <w:color w:val="auto"/>
          <w:highlight w:val="none"/>
        </w:rPr>
      </w:pPr>
    </w:p>
    <w:p w14:paraId="4EB1C018">
      <w:pPr>
        <w:pStyle w:val="2"/>
        <w:spacing w:before="120" w:after="120"/>
        <w:rPr>
          <w:color w:val="auto"/>
          <w:highlight w:val="none"/>
        </w:rPr>
      </w:pPr>
      <w:r>
        <w:rPr>
          <w:rFonts w:hint="eastAsia"/>
          <w:color w:val="auto"/>
          <w:highlight w:val="none"/>
        </w:rPr>
        <w:t>专用合同条件附件</w:t>
      </w:r>
    </w:p>
    <w:p w14:paraId="14233CD3">
      <w:pPr>
        <w:rPr>
          <w:color w:val="auto"/>
          <w:highlight w:val="none"/>
        </w:rPr>
      </w:pPr>
    </w:p>
    <w:p w14:paraId="26E137E8">
      <w:pPr>
        <w:pStyle w:val="4"/>
        <w:rPr>
          <w:color w:val="auto"/>
          <w:highlight w:val="none"/>
        </w:rPr>
      </w:pPr>
      <w:r>
        <w:rPr>
          <w:rFonts w:hint="eastAsia"/>
          <w:color w:val="auto"/>
          <w:highlight w:val="none"/>
        </w:rPr>
        <w:t>附件1：发包人要求</w:t>
      </w:r>
    </w:p>
    <w:p w14:paraId="292A7D2C">
      <w:pPr>
        <w:pStyle w:val="4"/>
        <w:rPr>
          <w:color w:val="auto"/>
          <w:highlight w:val="none"/>
        </w:rPr>
      </w:pPr>
      <w:r>
        <w:rPr>
          <w:rFonts w:hint="eastAsia"/>
          <w:color w:val="auto"/>
          <w:highlight w:val="none"/>
        </w:rPr>
        <w:t>附件2：发包人供应材料设备一览表</w:t>
      </w:r>
    </w:p>
    <w:p w14:paraId="5E10DC2C">
      <w:pPr>
        <w:pStyle w:val="4"/>
        <w:rPr>
          <w:color w:val="auto"/>
          <w:highlight w:val="none"/>
        </w:rPr>
      </w:pPr>
      <w:r>
        <w:rPr>
          <w:rFonts w:hint="eastAsia"/>
          <w:color w:val="auto"/>
          <w:highlight w:val="none"/>
        </w:rPr>
        <w:t>附件3：工程质量保修书</w:t>
      </w:r>
    </w:p>
    <w:p w14:paraId="47DB5FFF">
      <w:pPr>
        <w:pStyle w:val="4"/>
        <w:rPr>
          <w:color w:val="auto"/>
          <w:highlight w:val="none"/>
        </w:rPr>
      </w:pPr>
      <w:r>
        <w:rPr>
          <w:rFonts w:hint="eastAsia"/>
          <w:color w:val="auto"/>
          <w:highlight w:val="none"/>
        </w:rPr>
        <w:t>附件4：主要建设工程文件目录</w:t>
      </w:r>
    </w:p>
    <w:p w14:paraId="45FE9593">
      <w:pPr>
        <w:pStyle w:val="4"/>
        <w:rPr>
          <w:color w:val="auto"/>
          <w:highlight w:val="none"/>
        </w:rPr>
      </w:pPr>
      <w:r>
        <w:rPr>
          <w:rFonts w:hint="eastAsia"/>
          <w:color w:val="auto"/>
          <w:highlight w:val="none"/>
        </w:rPr>
        <w:t>附件5：承包人主要管理人员表</w:t>
      </w:r>
    </w:p>
    <w:p w14:paraId="52BCFD5F">
      <w:pPr>
        <w:pStyle w:val="4"/>
        <w:rPr>
          <w:color w:val="auto"/>
          <w:highlight w:val="none"/>
        </w:rPr>
      </w:pPr>
      <w:r>
        <w:rPr>
          <w:rFonts w:hint="eastAsia"/>
          <w:color w:val="auto"/>
          <w:highlight w:val="none"/>
        </w:rPr>
        <w:t>附件</w:t>
      </w:r>
      <w:r>
        <w:rPr>
          <w:color w:val="auto"/>
          <w:highlight w:val="none"/>
        </w:rPr>
        <w:t>6</w:t>
      </w:r>
      <w:r>
        <w:rPr>
          <w:rFonts w:hint="eastAsia"/>
          <w:color w:val="auto"/>
          <w:highlight w:val="none"/>
        </w:rPr>
        <w:t>：价格指数权重表</w:t>
      </w:r>
    </w:p>
    <w:p w14:paraId="3750FE9A">
      <w:pPr>
        <w:rPr>
          <w:color w:val="auto"/>
          <w:highlight w:val="none"/>
        </w:rPr>
      </w:pPr>
    </w:p>
    <w:p w14:paraId="394432A9">
      <w:pPr>
        <w:rPr>
          <w:color w:val="auto"/>
          <w:highlight w:val="none"/>
        </w:rPr>
      </w:pPr>
    </w:p>
    <w:p w14:paraId="085859A3">
      <w:pPr>
        <w:rPr>
          <w:color w:val="auto"/>
          <w:highlight w:val="none"/>
        </w:rPr>
      </w:pPr>
    </w:p>
    <w:p w14:paraId="40736655">
      <w:pPr>
        <w:rPr>
          <w:color w:val="auto"/>
          <w:highlight w:val="none"/>
        </w:rPr>
      </w:pPr>
      <w:r>
        <w:rPr>
          <w:color w:val="auto"/>
          <w:highlight w:val="none"/>
        </w:rPr>
        <w:br w:type="page"/>
      </w:r>
    </w:p>
    <w:p w14:paraId="2629937C">
      <w:pPr>
        <w:pStyle w:val="41"/>
        <w:numPr>
          <w:ilvl w:val="0"/>
          <w:numId w:val="0"/>
        </w:numPr>
        <w:rPr>
          <w:rFonts w:hint="eastAsia"/>
          <w:color w:val="auto"/>
          <w:highlight w:val="none"/>
        </w:rPr>
      </w:pPr>
      <w:bookmarkStart w:id="160" w:name="_Toc54862352"/>
      <w:bookmarkStart w:id="161" w:name="_Hlk38571789"/>
      <w:r>
        <w:rPr>
          <w:rFonts w:hint="eastAsia"/>
          <w:color w:val="auto"/>
          <w:highlight w:val="none"/>
        </w:rPr>
        <w:t>附件1</w:t>
      </w:r>
      <w:r>
        <w:rPr>
          <w:color w:val="auto"/>
          <w:highlight w:val="none"/>
        </w:rPr>
        <w:t xml:space="preserve"> </w:t>
      </w:r>
      <w:r>
        <w:rPr>
          <w:rFonts w:hint="eastAsia"/>
          <w:color w:val="auto"/>
          <w:highlight w:val="none"/>
        </w:rPr>
        <w:t>《发包人要求》</w:t>
      </w:r>
      <w:bookmarkEnd w:id="160"/>
    </w:p>
    <w:p w14:paraId="240BD643">
      <w:pPr>
        <w:numPr>
          <w:ilvl w:val="0"/>
          <w:numId w:val="23"/>
        </w:numPr>
        <w:autoSpaceDE/>
        <w:autoSpaceDN/>
        <w:adjustRightInd/>
        <w:snapToGrid w:val="0"/>
        <w:spacing w:line="360" w:lineRule="auto"/>
        <w:contextualSpacing/>
        <w:jc w:val="center"/>
        <w:rPr>
          <w:rFonts w:eastAsia="黑体"/>
          <w:b/>
          <w:color w:val="auto"/>
          <w:sz w:val="28"/>
          <w:szCs w:val="28"/>
          <w:highlight w:val="none"/>
        </w:rPr>
      </w:pPr>
      <w:r>
        <w:rPr>
          <w:rFonts w:hint="eastAsia" w:eastAsia="黑体"/>
          <w:b/>
          <w:color w:val="auto"/>
          <w:sz w:val="28"/>
          <w:szCs w:val="28"/>
          <w:highlight w:val="none"/>
        </w:rPr>
        <w:t>项目说明</w:t>
      </w:r>
    </w:p>
    <w:p w14:paraId="7527967D">
      <w:pPr>
        <w:widowControl/>
        <w:rPr>
          <w:color w:val="auto"/>
          <w:highlight w:val="none"/>
        </w:rPr>
      </w:pPr>
      <w:r>
        <w:rPr>
          <w:rFonts w:hint="eastAsia"/>
          <w:b/>
          <w:color w:val="auto"/>
          <w:highlight w:val="none"/>
        </w:rPr>
        <w:t>工程概况</w:t>
      </w:r>
      <w:r>
        <w:rPr>
          <w:rFonts w:hint="eastAsia"/>
          <w:color w:val="auto"/>
          <w:highlight w:val="none"/>
        </w:rPr>
        <w:t>：</w:t>
      </w:r>
    </w:p>
    <w:p w14:paraId="0AC52490">
      <w:pPr>
        <w:widowControl/>
        <w:ind w:firstLine="480" w:firstLineChars="200"/>
        <w:rPr>
          <w:color w:val="auto"/>
          <w:szCs w:val="21"/>
          <w:highlight w:val="none"/>
        </w:rPr>
      </w:pPr>
      <w:r>
        <w:rPr>
          <w:rFonts w:hint="eastAsia"/>
          <w:color w:val="auto"/>
          <w:szCs w:val="21"/>
          <w:highlight w:val="none"/>
        </w:rPr>
        <w:t>越润集成电路（绍兴）有限公司下一代异构集成先进封装技术及DDIC项目</w:t>
      </w:r>
      <w:bookmarkStart w:id="162" w:name="_Hlk216276467"/>
      <w:r>
        <w:rPr>
          <w:rFonts w:hint="eastAsia"/>
          <w:color w:val="auto"/>
          <w:szCs w:val="21"/>
          <w:highlight w:val="none"/>
        </w:rPr>
        <w:t>（</w:t>
      </w:r>
      <w:r>
        <w:rPr>
          <w:color w:val="auto"/>
          <w:szCs w:val="21"/>
          <w:highlight w:val="none"/>
        </w:rPr>
        <w:t>A1</w:t>
      </w:r>
      <w:r>
        <w:rPr>
          <w:rFonts w:hint="eastAsia"/>
          <w:color w:val="auto"/>
          <w:szCs w:val="21"/>
          <w:highlight w:val="none"/>
        </w:rPr>
        <w:t>厂房洁净室</w:t>
      </w:r>
      <w:bookmarkEnd w:id="162"/>
      <w:r>
        <w:rPr>
          <w:rFonts w:hint="eastAsia"/>
          <w:color w:val="auto"/>
          <w:szCs w:val="21"/>
          <w:highlight w:val="none"/>
        </w:rPr>
        <w:t>装修）。项目地址位于越润集成电路（绍兴）有限公司A</w:t>
      </w:r>
      <w:r>
        <w:rPr>
          <w:color w:val="auto"/>
          <w:szCs w:val="21"/>
          <w:highlight w:val="none"/>
        </w:rPr>
        <w:t>1</w:t>
      </w:r>
      <w:r>
        <w:rPr>
          <w:rFonts w:hint="eastAsia"/>
          <w:color w:val="auto"/>
          <w:szCs w:val="21"/>
          <w:highlight w:val="none"/>
        </w:rPr>
        <w:t>厂房，建筑面积约14557㎡，</w:t>
      </w:r>
      <w:r>
        <w:rPr>
          <w:rFonts w:hint="eastAsia"/>
          <w:color w:val="auto"/>
          <w:szCs w:val="21"/>
          <w:highlight w:val="none"/>
        </w:rPr>
        <w:t>其中洁净室面积约8037㎡（洁净室等级7级面积约500m²，洁净等级6级面积约6550m²，洁净室等级5级面积约987m²），辅房及其他区域面积约6520㎡。</w:t>
      </w:r>
    </w:p>
    <w:p w14:paraId="48185232">
      <w:pPr>
        <w:snapToGrid w:val="0"/>
        <w:spacing w:line="360" w:lineRule="auto"/>
        <w:contextualSpacing/>
        <w:rPr>
          <w:color w:val="auto"/>
          <w:highlight w:val="none"/>
        </w:rPr>
      </w:pPr>
    </w:p>
    <w:p w14:paraId="6816369B">
      <w:pPr>
        <w:numPr>
          <w:ilvl w:val="0"/>
          <w:numId w:val="23"/>
        </w:numPr>
        <w:autoSpaceDE/>
        <w:autoSpaceDN/>
        <w:adjustRightInd/>
        <w:snapToGrid w:val="0"/>
        <w:spacing w:line="360" w:lineRule="auto"/>
        <w:contextualSpacing/>
        <w:jc w:val="center"/>
        <w:rPr>
          <w:rFonts w:eastAsia="黑体"/>
          <w:b/>
          <w:color w:val="auto"/>
          <w:sz w:val="28"/>
          <w:szCs w:val="28"/>
          <w:highlight w:val="none"/>
        </w:rPr>
      </w:pPr>
      <w:r>
        <w:rPr>
          <w:rFonts w:eastAsia="黑体"/>
          <w:b/>
          <w:color w:val="auto"/>
          <w:sz w:val="28"/>
          <w:szCs w:val="28"/>
          <w:highlight w:val="none"/>
        </w:rPr>
        <w:t>设计要求</w:t>
      </w:r>
    </w:p>
    <w:p w14:paraId="3739CE79">
      <w:pPr>
        <w:pStyle w:val="4"/>
        <w:spacing w:before="120" w:after="120"/>
        <w:rPr>
          <w:b w:val="0"/>
          <w:strike/>
          <w:color w:val="auto"/>
          <w:highlight w:val="none"/>
        </w:rPr>
      </w:pPr>
      <w:r>
        <w:rPr>
          <w:strike/>
          <w:color w:val="auto"/>
          <w:highlight w:val="none"/>
        </w:rPr>
        <w:t xml:space="preserve">2.1 </w:t>
      </w:r>
      <w:r>
        <w:rPr>
          <w:rFonts w:hint="eastAsia"/>
          <w:strike/>
          <w:color w:val="auto"/>
          <w:highlight w:val="none"/>
        </w:rPr>
        <w:t>资质要求</w:t>
      </w:r>
      <w:bookmarkStart w:id="163" w:name="_Hlk216799461"/>
    </w:p>
    <w:p w14:paraId="3FB2BC97">
      <w:pPr>
        <w:rPr>
          <w:bCs/>
          <w:strike/>
          <w:color w:val="auto"/>
          <w:highlight w:val="none"/>
        </w:rPr>
      </w:pPr>
      <w:r>
        <w:rPr>
          <w:rFonts w:hint="eastAsia"/>
          <w:bCs/>
          <w:strike/>
          <w:color w:val="auto"/>
          <w:highlight w:val="none"/>
        </w:rPr>
        <w:t>参照标书资质。</w:t>
      </w:r>
    </w:p>
    <w:bookmarkEnd w:id="163"/>
    <w:p w14:paraId="46F9D561">
      <w:pPr>
        <w:pStyle w:val="4"/>
        <w:spacing w:before="120" w:after="120"/>
        <w:rPr>
          <w:rFonts w:hint="eastAsia" w:ascii="等线" w:hAnsi="等线" w:eastAsia="等线"/>
          <w:color w:val="auto"/>
          <w:highlight w:val="none"/>
        </w:rPr>
      </w:pPr>
      <w:r>
        <w:rPr>
          <w:color w:val="auto"/>
          <w:highlight w:val="none"/>
        </w:rPr>
        <w:t>2.2</w:t>
      </w:r>
      <w:r>
        <w:rPr>
          <w:rFonts w:hint="eastAsia"/>
          <w:color w:val="auto"/>
          <w:highlight w:val="none"/>
        </w:rPr>
        <w:t>工程要求</w:t>
      </w:r>
    </w:p>
    <w:p w14:paraId="797BD2FC">
      <w:pPr>
        <w:pStyle w:val="4"/>
        <w:spacing w:before="120" w:after="120"/>
        <w:rPr>
          <w:rFonts w:hint="eastAsia" w:ascii="等线" w:hAnsi="等线" w:eastAsia="等线"/>
          <w:color w:val="auto"/>
          <w:highlight w:val="none"/>
        </w:rPr>
      </w:pPr>
      <w:r>
        <w:rPr>
          <w:bCs w:val="0"/>
          <w:color w:val="auto"/>
          <w:highlight w:val="none"/>
        </w:rPr>
        <w:t xml:space="preserve">2.2.1 </w:t>
      </w:r>
      <w:bookmarkStart w:id="164" w:name="_Toc515702250"/>
      <w:r>
        <w:rPr>
          <w:bCs w:val="0"/>
          <w:color w:val="auto"/>
          <w:highlight w:val="none"/>
        </w:rPr>
        <w:t>土建工程的要求</w:t>
      </w:r>
      <w:bookmarkEnd w:id="164"/>
      <w:r>
        <w:rPr>
          <w:rFonts w:hint="eastAsia" w:ascii="等线" w:hAnsi="等线" w:eastAsia="等线"/>
          <w:color w:val="auto"/>
          <w:highlight w:val="none"/>
        </w:rPr>
        <w:t>：</w:t>
      </w:r>
    </w:p>
    <w:p w14:paraId="1E5A0B34">
      <w:pPr>
        <w:pStyle w:val="4"/>
        <w:tabs>
          <w:tab w:val="left" w:pos="312"/>
        </w:tabs>
        <w:spacing w:before="120" w:after="120"/>
        <w:rPr>
          <w:b w:val="0"/>
          <w:bCs w:val="0"/>
          <w:color w:val="auto"/>
          <w:sz w:val="24"/>
          <w:szCs w:val="21"/>
          <w:highlight w:val="none"/>
        </w:rPr>
      </w:pPr>
      <w:r>
        <w:rPr>
          <w:rFonts w:hint="eastAsia"/>
          <w:b w:val="0"/>
          <w:bCs w:val="0"/>
          <w:color w:val="auto"/>
          <w:sz w:val="24"/>
          <w:szCs w:val="21"/>
          <w:highlight w:val="none"/>
        </w:rPr>
        <w:t>中继槽，</w:t>
      </w:r>
      <w:r>
        <w:rPr>
          <w:b w:val="0"/>
          <w:bCs w:val="0"/>
          <w:color w:val="auto"/>
          <w:sz w:val="24"/>
          <w:szCs w:val="21"/>
          <w:highlight w:val="none"/>
        </w:rPr>
        <w:t>共2处</w:t>
      </w:r>
      <w:r>
        <w:rPr>
          <w:rFonts w:hint="eastAsia"/>
          <w:b w:val="0"/>
          <w:bCs w:val="0"/>
          <w:color w:val="auto"/>
          <w:sz w:val="24"/>
          <w:szCs w:val="21"/>
          <w:highlight w:val="none"/>
        </w:rPr>
        <w:t>（废水中继槽、废液中继槽），涉及室外土方开挖、废水和废液接收位置及相关</w:t>
      </w:r>
      <w:r>
        <w:rPr>
          <w:b w:val="0"/>
          <w:bCs w:val="0"/>
          <w:color w:val="auto"/>
          <w:sz w:val="24"/>
          <w:szCs w:val="21"/>
          <w:highlight w:val="none"/>
        </w:rPr>
        <w:t>管线工程。</w:t>
      </w:r>
    </w:p>
    <w:p w14:paraId="7F6C94E4">
      <w:pPr>
        <w:pStyle w:val="4"/>
        <w:tabs>
          <w:tab w:val="left" w:pos="312"/>
        </w:tabs>
        <w:spacing w:before="120" w:after="120"/>
        <w:rPr>
          <w:b w:val="0"/>
          <w:bCs w:val="0"/>
          <w:color w:val="auto"/>
          <w:sz w:val="24"/>
          <w:szCs w:val="21"/>
          <w:highlight w:val="none"/>
        </w:rPr>
      </w:pPr>
      <w:r>
        <w:rPr>
          <w:b w:val="0"/>
          <w:bCs w:val="0"/>
          <w:color w:val="auto"/>
          <w:sz w:val="24"/>
          <w:szCs w:val="21"/>
          <w:highlight w:val="none"/>
        </w:rPr>
        <w:t>具体建设内容见下表：</w:t>
      </w:r>
      <w:r>
        <w:rPr>
          <w:rFonts w:hint="eastAsia"/>
          <w:b w:val="0"/>
          <w:bCs w:val="0"/>
          <w:color w:val="auto"/>
          <w:sz w:val="24"/>
          <w:szCs w:val="21"/>
          <w:highlight w:val="none"/>
        </w:rPr>
        <w:t>（相关建筑物规划数据供投标参考，具体最终以工艺需求为准）</w:t>
      </w:r>
    </w:p>
    <w:p w14:paraId="0398E837">
      <w:pPr>
        <w:snapToGrid w:val="0"/>
        <w:spacing w:line="360" w:lineRule="auto"/>
        <w:ind w:firstLine="240" w:firstLineChars="100"/>
        <w:contextualSpacing/>
        <w:rPr>
          <w:b/>
          <w:color w:val="auto"/>
          <w:szCs w:val="21"/>
          <w:highlight w:val="none"/>
        </w:rPr>
      </w:pPr>
      <w:r>
        <w:rPr>
          <w:rFonts w:hint="eastAsia"/>
          <w:color w:val="auto"/>
          <w:szCs w:val="21"/>
          <w:highlight w:val="none"/>
        </w:rPr>
        <w:t>土建工程的工作范围</w:t>
      </w:r>
      <w:r>
        <w:rPr>
          <w:rFonts w:hint="eastAsia"/>
          <w:b/>
          <w:color w:val="auto"/>
          <w:szCs w:val="21"/>
          <w:highlight w:val="none"/>
        </w:rPr>
        <w:t>：</w:t>
      </w:r>
    </w:p>
    <w:tbl>
      <w:tblPr>
        <w:tblStyle w:val="23"/>
        <w:tblW w:w="9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2977"/>
        <w:gridCol w:w="5338"/>
      </w:tblGrid>
      <w:tr w14:paraId="1A5F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3785" w:type="dxa"/>
            <w:gridSpan w:val="2"/>
            <w:shd w:val="clear" w:color="000000" w:fill="FFFFFF"/>
            <w:vAlign w:val="center"/>
          </w:tcPr>
          <w:p w14:paraId="1C114359">
            <w:pPr>
              <w:widowControl/>
              <w:jc w:val="center"/>
              <w:rPr>
                <w:rFonts w:hint="eastAsia" w:ascii="宋体" w:hAnsi="宋体" w:cs="宋体"/>
                <w:b/>
                <w:bCs/>
                <w:color w:val="auto"/>
                <w:szCs w:val="21"/>
                <w:highlight w:val="none"/>
              </w:rPr>
            </w:pPr>
            <w:r>
              <w:rPr>
                <w:rFonts w:hint="eastAsia" w:ascii="宋体" w:hAnsi="宋体" w:cs="宋体"/>
                <w:b/>
                <w:bCs/>
                <w:color w:val="auto"/>
                <w:szCs w:val="21"/>
                <w:highlight w:val="none"/>
              </w:rPr>
              <w:t>土建工作范围</w:t>
            </w:r>
          </w:p>
        </w:tc>
        <w:tc>
          <w:tcPr>
            <w:tcW w:w="5338" w:type="dxa"/>
            <w:shd w:val="clear" w:color="000000" w:fill="FFFFFF"/>
            <w:vAlign w:val="center"/>
          </w:tcPr>
          <w:p w14:paraId="5D517E1A">
            <w:pPr>
              <w:widowControl/>
              <w:jc w:val="center"/>
              <w:rPr>
                <w:rFonts w:cs="Calibri"/>
                <w:b/>
                <w:bCs/>
                <w:color w:val="auto"/>
                <w:szCs w:val="21"/>
                <w:highlight w:val="none"/>
              </w:rPr>
            </w:pPr>
            <w:r>
              <w:rPr>
                <w:rFonts w:hint="eastAsia" w:ascii="宋体" w:hAnsi="宋体" w:cs="Calibri"/>
                <w:b/>
                <w:bCs/>
                <w:color w:val="auto"/>
                <w:szCs w:val="21"/>
                <w:highlight w:val="none"/>
              </w:rPr>
              <w:t>界面划分</w:t>
            </w:r>
            <w:r>
              <w:rPr>
                <w:b/>
                <w:bCs/>
                <w:color w:val="auto"/>
                <w:szCs w:val="21"/>
                <w:highlight w:val="none"/>
              </w:rPr>
              <w:t>（</w:t>
            </w:r>
            <w:r>
              <w:rPr>
                <w:rFonts w:hint="eastAsia"/>
                <w:b/>
                <w:bCs/>
                <w:color w:val="auto"/>
                <w:szCs w:val="21"/>
                <w:highlight w:val="none"/>
              </w:rPr>
              <w:t>建议，</w:t>
            </w:r>
            <w:r>
              <w:rPr>
                <w:b/>
                <w:bCs/>
                <w:color w:val="auto"/>
                <w:szCs w:val="21"/>
                <w:highlight w:val="none"/>
              </w:rPr>
              <w:t>包括但不限于</w:t>
            </w:r>
            <w:r>
              <w:rPr>
                <w:rFonts w:hint="eastAsia"/>
                <w:b/>
                <w:bCs/>
                <w:color w:val="auto"/>
                <w:szCs w:val="21"/>
                <w:highlight w:val="none"/>
              </w:rPr>
              <w:t>，具体实施中建设单位有权根据实际情况细化和调整</w:t>
            </w:r>
            <w:r>
              <w:rPr>
                <w:b/>
                <w:bCs/>
                <w:color w:val="auto"/>
                <w:szCs w:val="21"/>
                <w:highlight w:val="none"/>
              </w:rPr>
              <w:t>）</w:t>
            </w:r>
          </w:p>
        </w:tc>
      </w:tr>
      <w:tr w14:paraId="5EEB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808" w:type="dxa"/>
            <w:shd w:val="clear" w:color="000000" w:fill="FFFFFF"/>
            <w:vAlign w:val="center"/>
          </w:tcPr>
          <w:p w14:paraId="622F1DA6">
            <w:pPr>
              <w:widowControl/>
              <w:jc w:val="center"/>
              <w:rPr>
                <w:rFonts w:cs="Calibri"/>
                <w:color w:val="auto"/>
                <w:szCs w:val="21"/>
                <w:highlight w:val="none"/>
              </w:rPr>
            </w:pPr>
            <w:r>
              <w:rPr>
                <w:rFonts w:hint="eastAsia" w:ascii="宋体" w:hAnsi="宋体" w:cs="Calibri"/>
                <w:color w:val="auto"/>
                <w:szCs w:val="21"/>
                <w:highlight w:val="none"/>
              </w:rPr>
              <w:t>室外工程</w:t>
            </w:r>
          </w:p>
        </w:tc>
        <w:tc>
          <w:tcPr>
            <w:tcW w:w="2977" w:type="dxa"/>
            <w:vAlign w:val="center"/>
          </w:tcPr>
          <w:p w14:paraId="449156ED">
            <w:pPr>
              <w:widowControl/>
              <w:rPr>
                <w:rFonts w:hint="eastAsia" w:ascii="宋体" w:hAnsi="宋体" w:cs="宋体"/>
                <w:color w:val="auto"/>
                <w:szCs w:val="21"/>
                <w:highlight w:val="none"/>
              </w:rPr>
            </w:pPr>
            <w:r>
              <w:rPr>
                <w:rFonts w:hint="eastAsia" w:ascii="宋体" w:hAnsi="宋体" w:cs="宋体"/>
                <w:color w:val="auto"/>
                <w:szCs w:val="21"/>
                <w:highlight w:val="none"/>
              </w:rPr>
              <w:t>中继槽等</w:t>
            </w:r>
          </w:p>
          <w:p w14:paraId="16C091F9">
            <w:pPr>
              <w:widowControl/>
              <w:rPr>
                <w:rFonts w:hint="eastAsia" w:ascii="宋体" w:hAnsi="宋体" w:cs="宋体"/>
                <w:color w:val="auto"/>
                <w:szCs w:val="21"/>
                <w:highlight w:val="none"/>
              </w:rPr>
            </w:pPr>
            <w:r>
              <w:rPr>
                <w:rFonts w:hint="eastAsia" w:ascii="宋体" w:hAnsi="宋体" w:cs="宋体"/>
                <w:color w:val="auto"/>
                <w:szCs w:val="21"/>
                <w:highlight w:val="none"/>
              </w:rPr>
              <w:t>中继槽尺寸，单位mm（55000*7500*-4200）</w:t>
            </w:r>
          </w:p>
        </w:tc>
        <w:tc>
          <w:tcPr>
            <w:tcW w:w="5338" w:type="dxa"/>
            <w:shd w:val="clear" w:color="000000" w:fill="FFFFFF"/>
          </w:tcPr>
          <w:p w14:paraId="74ACC90F">
            <w:pPr>
              <w:pStyle w:val="47"/>
              <w:widowControl/>
              <w:numPr>
                <w:ilvl w:val="0"/>
                <w:numId w:val="24"/>
              </w:numPr>
              <w:ind w:firstLineChars="0"/>
              <w:jc w:val="left"/>
              <w:rPr>
                <w:rFonts w:hint="eastAsia" w:ascii="宋体" w:hAnsi="宋体" w:cs="Calibri"/>
                <w:color w:val="auto"/>
                <w:kern w:val="0"/>
                <w:szCs w:val="21"/>
                <w:highlight w:val="none"/>
              </w:rPr>
            </w:pPr>
            <w:r>
              <w:rPr>
                <w:rFonts w:hint="eastAsia" w:ascii="宋体" w:hAnsi="宋体" w:cs="Calibri"/>
                <w:color w:val="auto"/>
                <w:kern w:val="0"/>
                <w:szCs w:val="21"/>
                <w:highlight w:val="none"/>
              </w:rPr>
              <w:t>中继槽地面环氧涂覆；</w:t>
            </w:r>
          </w:p>
          <w:p w14:paraId="23AA28DB">
            <w:pPr>
              <w:pStyle w:val="47"/>
              <w:widowControl/>
              <w:numPr>
                <w:ilvl w:val="0"/>
                <w:numId w:val="24"/>
              </w:numPr>
              <w:ind w:firstLineChars="0"/>
              <w:jc w:val="left"/>
              <w:rPr>
                <w:rFonts w:hint="eastAsia" w:ascii="宋体" w:hAnsi="宋体" w:cs="Calibri"/>
                <w:color w:val="auto"/>
                <w:kern w:val="0"/>
                <w:szCs w:val="21"/>
                <w:highlight w:val="none"/>
              </w:rPr>
            </w:pPr>
            <w:r>
              <w:rPr>
                <w:rFonts w:hint="eastAsia" w:ascii="宋体" w:hAnsi="宋体" w:cs="Calibri"/>
                <w:color w:val="auto"/>
                <w:kern w:val="0"/>
                <w:szCs w:val="21"/>
                <w:highlight w:val="none"/>
              </w:rPr>
              <w:t>中继槽设备混凝土基础及其环氧树脂涂层</w:t>
            </w:r>
          </w:p>
          <w:p w14:paraId="51EE1C52">
            <w:pPr>
              <w:pStyle w:val="47"/>
              <w:widowControl/>
              <w:numPr>
                <w:ilvl w:val="0"/>
                <w:numId w:val="24"/>
              </w:numPr>
              <w:ind w:firstLineChars="0"/>
              <w:jc w:val="left"/>
              <w:rPr>
                <w:rFonts w:hint="eastAsia" w:ascii="宋体" w:hAnsi="宋体" w:cs="Calibri"/>
                <w:color w:val="auto"/>
                <w:kern w:val="0"/>
                <w:szCs w:val="21"/>
                <w:highlight w:val="none"/>
              </w:rPr>
            </w:pPr>
            <w:r>
              <w:rPr>
                <w:rFonts w:hint="eastAsia" w:ascii="宋体" w:hAnsi="宋体" w:cs="Calibri"/>
                <w:color w:val="auto"/>
                <w:kern w:val="0"/>
                <w:szCs w:val="21"/>
                <w:highlight w:val="none"/>
              </w:rPr>
              <w:t>中继槽地沟、地坑的混凝土工程；</w:t>
            </w:r>
          </w:p>
          <w:p w14:paraId="36C1498F">
            <w:pPr>
              <w:pStyle w:val="47"/>
              <w:widowControl/>
              <w:numPr>
                <w:ilvl w:val="0"/>
                <w:numId w:val="24"/>
              </w:numPr>
              <w:ind w:firstLineChars="0"/>
              <w:jc w:val="left"/>
              <w:rPr>
                <w:rFonts w:hint="eastAsia" w:ascii="宋体" w:hAnsi="宋体" w:cs="Calibri"/>
                <w:color w:val="auto"/>
                <w:kern w:val="0"/>
                <w:szCs w:val="21"/>
                <w:highlight w:val="none"/>
              </w:rPr>
            </w:pPr>
            <w:r>
              <w:rPr>
                <w:rFonts w:hint="eastAsia" w:ascii="宋体" w:hAnsi="宋体" w:cs="Calibri"/>
                <w:color w:val="auto"/>
                <w:kern w:val="0"/>
                <w:szCs w:val="21"/>
                <w:highlight w:val="none"/>
              </w:rPr>
              <w:t>中继槽内地沟、地坑的</w:t>
            </w:r>
            <w:r>
              <w:rPr>
                <w:rFonts w:cs="Calibri"/>
                <w:color w:val="auto"/>
                <w:kern w:val="0"/>
                <w:szCs w:val="21"/>
                <w:highlight w:val="none"/>
              </w:rPr>
              <w:t>FRP</w:t>
            </w:r>
            <w:r>
              <w:rPr>
                <w:rFonts w:hint="eastAsia" w:ascii="宋体" w:hAnsi="宋体" w:cs="Calibri"/>
                <w:color w:val="auto"/>
                <w:kern w:val="0"/>
                <w:szCs w:val="21"/>
                <w:highlight w:val="none"/>
              </w:rPr>
              <w:t>涂覆、地沟的</w:t>
            </w:r>
            <w:r>
              <w:rPr>
                <w:rFonts w:cs="Calibri"/>
                <w:color w:val="auto"/>
                <w:kern w:val="0"/>
                <w:szCs w:val="21"/>
                <w:highlight w:val="none"/>
              </w:rPr>
              <w:t>FRP</w:t>
            </w:r>
            <w:r>
              <w:rPr>
                <w:rFonts w:hint="eastAsia" w:ascii="宋体" w:hAnsi="宋体" w:cs="Calibri"/>
                <w:color w:val="auto"/>
                <w:kern w:val="0"/>
                <w:szCs w:val="21"/>
                <w:highlight w:val="none"/>
              </w:rPr>
              <w:t>盖板；</w:t>
            </w:r>
          </w:p>
          <w:p w14:paraId="302FCFA3">
            <w:pPr>
              <w:pStyle w:val="47"/>
              <w:widowControl/>
              <w:numPr>
                <w:ilvl w:val="0"/>
                <w:numId w:val="24"/>
              </w:numPr>
              <w:ind w:firstLineChars="0"/>
              <w:jc w:val="left"/>
              <w:rPr>
                <w:rFonts w:hint="eastAsia" w:ascii="宋体" w:hAnsi="宋体" w:cs="Calibri"/>
                <w:color w:val="auto"/>
                <w:kern w:val="0"/>
                <w:szCs w:val="21"/>
                <w:highlight w:val="none"/>
              </w:rPr>
            </w:pPr>
            <w:r>
              <w:rPr>
                <w:rFonts w:hint="eastAsia" w:ascii="宋体" w:hAnsi="宋体" w:cs="Calibri"/>
                <w:color w:val="auto"/>
                <w:kern w:val="0"/>
                <w:szCs w:val="21"/>
                <w:highlight w:val="none"/>
              </w:rPr>
              <w:t>中继槽的预埋管（含内衬</w:t>
            </w:r>
            <w:r>
              <w:rPr>
                <w:rFonts w:cs="Calibri"/>
                <w:color w:val="auto"/>
                <w:kern w:val="0"/>
                <w:szCs w:val="21"/>
                <w:highlight w:val="none"/>
              </w:rPr>
              <w:t>FRP</w:t>
            </w:r>
            <w:r>
              <w:rPr>
                <w:rFonts w:hint="eastAsia" w:ascii="宋体" w:hAnsi="宋体" w:cs="Calibri"/>
                <w:color w:val="auto"/>
                <w:kern w:val="0"/>
                <w:szCs w:val="21"/>
                <w:highlight w:val="none"/>
              </w:rPr>
              <w:t>预埋管）、钢梯或者土建爬梯、人孔、盖板混凝土工程和</w:t>
            </w:r>
            <w:r>
              <w:rPr>
                <w:rFonts w:cs="Calibri"/>
                <w:color w:val="auto"/>
                <w:kern w:val="0"/>
                <w:szCs w:val="21"/>
                <w:highlight w:val="none"/>
              </w:rPr>
              <w:t>FRP</w:t>
            </w:r>
            <w:r>
              <w:rPr>
                <w:rFonts w:hint="eastAsia" w:ascii="宋体" w:hAnsi="宋体" w:cs="Calibri"/>
                <w:color w:val="auto"/>
                <w:kern w:val="0"/>
                <w:szCs w:val="21"/>
                <w:highlight w:val="none"/>
              </w:rPr>
              <w:t>涂覆；</w:t>
            </w:r>
          </w:p>
          <w:p w14:paraId="353D6E24">
            <w:pPr>
              <w:pStyle w:val="47"/>
              <w:widowControl/>
              <w:numPr>
                <w:ilvl w:val="0"/>
                <w:numId w:val="24"/>
              </w:numPr>
              <w:ind w:firstLineChars="0"/>
              <w:jc w:val="left"/>
              <w:rPr>
                <w:rFonts w:hint="eastAsia" w:ascii="宋体" w:hAnsi="宋体" w:cs="Calibri"/>
                <w:color w:val="auto"/>
                <w:kern w:val="0"/>
                <w:szCs w:val="21"/>
                <w:highlight w:val="none"/>
              </w:rPr>
            </w:pPr>
            <w:r>
              <w:rPr>
                <w:rFonts w:hint="eastAsia" w:ascii="宋体" w:hAnsi="宋体" w:cs="Calibri"/>
                <w:color w:val="auto"/>
                <w:kern w:val="0"/>
                <w:szCs w:val="21"/>
                <w:highlight w:val="none"/>
              </w:rPr>
              <w:t>生活废水管线开挖改造及进入中继槽预埋管；</w:t>
            </w:r>
          </w:p>
          <w:p w14:paraId="10B73153">
            <w:pPr>
              <w:pStyle w:val="47"/>
              <w:widowControl/>
              <w:numPr>
                <w:ilvl w:val="0"/>
                <w:numId w:val="24"/>
              </w:numPr>
              <w:ind w:firstLineChars="0"/>
              <w:jc w:val="left"/>
              <w:rPr>
                <w:rFonts w:hint="eastAsia" w:ascii="宋体" w:hAnsi="宋体" w:cs="Calibri"/>
                <w:color w:val="auto"/>
                <w:kern w:val="0"/>
                <w:szCs w:val="21"/>
                <w:highlight w:val="none"/>
              </w:rPr>
            </w:pPr>
            <w:r>
              <w:rPr>
                <w:rFonts w:hint="eastAsia" w:ascii="宋体" w:hAnsi="宋体" w:cs="Calibri"/>
                <w:color w:val="auto"/>
                <w:kern w:val="0"/>
                <w:szCs w:val="21"/>
                <w:highlight w:val="none"/>
              </w:rPr>
              <w:t>上方需搭设顶棚，顶棚需≥2m。</w:t>
            </w:r>
          </w:p>
        </w:tc>
      </w:tr>
      <w:tr w14:paraId="4F34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808" w:type="dxa"/>
            <w:vAlign w:val="center"/>
          </w:tcPr>
          <w:p w14:paraId="1CDFBDA3">
            <w:pPr>
              <w:widowControl/>
              <w:rPr>
                <w:rFonts w:hint="eastAsia" w:ascii="宋体" w:hAnsi="宋体" w:cs="宋体"/>
                <w:color w:val="auto"/>
                <w:szCs w:val="21"/>
                <w:highlight w:val="none"/>
              </w:rPr>
            </w:pPr>
            <w:r>
              <w:rPr>
                <w:rFonts w:hint="eastAsia" w:ascii="宋体" w:hAnsi="宋体" w:cs="宋体"/>
                <w:color w:val="auto"/>
                <w:szCs w:val="21"/>
                <w:highlight w:val="none"/>
              </w:rPr>
              <w:t>室内工程</w:t>
            </w:r>
          </w:p>
        </w:tc>
        <w:tc>
          <w:tcPr>
            <w:tcW w:w="2977" w:type="dxa"/>
            <w:vAlign w:val="center"/>
          </w:tcPr>
          <w:p w14:paraId="4E7AD275">
            <w:pPr>
              <w:widowControl/>
              <w:rPr>
                <w:rFonts w:hint="eastAsia" w:ascii="宋体" w:hAnsi="宋体" w:cs="宋体"/>
                <w:color w:val="auto"/>
                <w:szCs w:val="21"/>
                <w:highlight w:val="none"/>
              </w:rPr>
            </w:pPr>
            <w:r>
              <w:rPr>
                <w:rFonts w:hint="eastAsia" w:ascii="宋体" w:hAnsi="宋体" w:cs="宋体"/>
                <w:color w:val="auto"/>
                <w:szCs w:val="21"/>
                <w:highlight w:val="none"/>
              </w:rPr>
              <w:t>内装</w:t>
            </w:r>
          </w:p>
        </w:tc>
        <w:tc>
          <w:tcPr>
            <w:tcW w:w="5338" w:type="dxa"/>
          </w:tcPr>
          <w:p w14:paraId="58E8ADD7">
            <w:pPr>
              <w:pStyle w:val="47"/>
              <w:widowControl/>
              <w:numPr>
                <w:ilvl w:val="0"/>
                <w:numId w:val="25"/>
              </w:numPr>
              <w:ind w:firstLineChars="0"/>
              <w:jc w:val="left"/>
              <w:rPr>
                <w:rFonts w:hint="eastAsia" w:ascii="宋体" w:hAnsi="宋体" w:cs="Calibri"/>
                <w:color w:val="auto"/>
                <w:kern w:val="0"/>
                <w:szCs w:val="21"/>
                <w:highlight w:val="none"/>
              </w:rPr>
            </w:pPr>
            <w:r>
              <w:rPr>
                <w:rFonts w:hint="eastAsia" w:ascii="宋体" w:hAnsi="宋体" w:cs="Calibri"/>
                <w:color w:val="auto"/>
                <w:kern w:val="0"/>
                <w:szCs w:val="21"/>
                <w:highlight w:val="none"/>
              </w:rPr>
              <w:t>本工程涉及的建筑环氧涂料和环氧自流平；</w:t>
            </w:r>
          </w:p>
          <w:p w14:paraId="7161FB0D">
            <w:pPr>
              <w:pStyle w:val="47"/>
              <w:widowControl/>
              <w:numPr>
                <w:ilvl w:val="0"/>
                <w:numId w:val="25"/>
              </w:numPr>
              <w:ind w:firstLineChars="0"/>
              <w:jc w:val="left"/>
              <w:rPr>
                <w:rFonts w:cs="Calibri"/>
                <w:color w:val="auto"/>
                <w:kern w:val="0"/>
                <w:szCs w:val="21"/>
                <w:highlight w:val="none"/>
              </w:rPr>
            </w:pPr>
            <w:r>
              <w:rPr>
                <w:rFonts w:hint="eastAsia" w:cs="Calibri"/>
                <w:color w:val="auto"/>
                <w:kern w:val="0"/>
                <w:szCs w:val="21"/>
                <w:highlight w:val="none"/>
              </w:rPr>
              <w:t>动力设备基础；</w:t>
            </w:r>
          </w:p>
          <w:p w14:paraId="56E91BC8">
            <w:pPr>
              <w:pStyle w:val="47"/>
              <w:widowControl/>
              <w:numPr>
                <w:ilvl w:val="0"/>
                <w:numId w:val="25"/>
              </w:numPr>
              <w:ind w:firstLineChars="0"/>
              <w:jc w:val="left"/>
              <w:rPr>
                <w:rFonts w:cs="Calibri"/>
                <w:color w:val="auto"/>
                <w:kern w:val="0"/>
                <w:szCs w:val="21"/>
                <w:highlight w:val="none"/>
              </w:rPr>
            </w:pPr>
            <w:r>
              <w:rPr>
                <w:rFonts w:hint="eastAsia" w:cs="Calibri"/>
                <w:color w:val="auto"/>
                <w:kern w:val="0"/>
                <w:szCs w:val="21"/>
                <w:highlight w:val="none"/>
              </w:rPr>
              <w:t>集中供液间地沟、围堰等；</w:t>
            </w:r>
          </w:p>
          <w:p w14:paraId="47DB9D73">
            <w:pPr>
              <w:pStyle w:val="47"/>
              <w:widowControl/>
              <w:numPr>
                <w:ilvl w:val="0"/>
                <w:numId w:val="25"/>
              </w:numPr>
              <w:ind w:firstLineChars="0"/>
              <w:jc w:val="left"/>
              <w:rPr>
                <w:rFonts w:cs="Calibri"/>
                <w:color w:val="auto"/>
                <w:kern w:val="0"/>
                <w:szCs w:val="21"/>
                <w:highlight w:val="none"/>
              </w:rPr>
            </w:pPr>
            <w:r>
              <w:rPr>
                <w:rFonts w:hint="eastAsia" w:cs="Calibri"/>
                <w:color w:val="auto"/>
                <w:kern w:val="0"/>
                <w:szCs w:val="21"/>
                <w:highlight w:val="none"/>
              </w:rPr>
              <w:t>A</w:t>
            </w:r>
            <w:r>
              <w:rPr>
                <w:rFonts w:cs="Calibri"/>
                <w:color w:val="auto"/>
                <w:kern w:val="0"/>
                <w:szCs w:val="21"/>
                <w:highlight w:val="none"/>
              </w:rPr>
              <w:t>1-1F/2F/</w:t>
            </w:r>
            <w:r>
              <w:rPr>
                <w:rFonts w:hint="eastAsia" w:cs="Calibri"/>
                <w:color w:val="auto"/>
                <w:kern w:val="0"/>
                <w:szCs w:val="21"/>
                <w:highlight w:val="none"/>
              </w:rPr>
              <w:t>屋面等非洁净区过道做环氧</w:t>
            </w:r>
            <w:r>
              <w:rPr>
                <w:rFonts w:hint="eastAsia" w:ascii="宋体" w:hAnsi="宋体" w:cs="Calibri"/>
                <w:color w:val="auto"/>
                <w:kern w:val="0"/>
                <w:szCs w:val="21"/>
                <w:highlight w:val="none"/>
              </w:rPr>
              <w:t>自流平；</w:t>
            </w:r>
          </w:p>
        </w:tc>
      </w:tr>
    </w:tbl>
    <w:p w14:paraId="1D67C67F">
      <w:pPr>
        <w:pStyle w:val="4"/>
        <w:spacing w:before="120" w:after="120"/>
        <w:rPr>
          <w:rFonts w:hint="eastAsia" w:ascii="等线" w:hAnsi="等线" w:eastAsia="等线"/>
          <w:color w:val="auto"/>
          <w:highlight w:val="none"/>
        </w:rPr>
      </w:pPr>
      <w:bookmarkStart w:id="165" w:name="_Toc515702251"/>
      <w:r>
        <w:rPr>
          <w:bCs w:val="0"/>
          <w:color w:val="auto"/>
          <w:highlight w:val="none"/>
        </w:rPr>
        <w:t>2.2.2机电工程的要求</w:t>
      </w:r>
      <w:bookmarkEnd w:id="165"/>
    </w:p>
    <w:p w14:paraId="3136B022">
      <w:pPr>
        <w:pStyle w:val="47"/>
        <w:numPr>
          <w:ilvl w:val="0"/>
          <w:numId w:val="26"/>
        </w:numPr>
        <w:snapToGrid w:val="0"/>
        <w:spacing w:line="360" w:lineRule="auto"/>
        <w:ind w:firstLineChars="0"/>
        <w:contextualSpacing/>
        <w:jc w:val="left"/>
        <w:rPr>
          <w:b/>
          <w:color w:val="auto"/>
          <w:szCs w:val="21"/>
          <w:highlight w:val="none"/>
        </w:rPr>
      </w:pPr>
      <w:r>
        <w:rPr>
          <w:b/>
          <w:color w:val="auto"/>
          <w:szCs w:val="21"/>
          <w:highlight w:val="none"/>
        </w:rPr>
        <w:t>生产厂房洁净室及一般机电</w:t>
      </w:r>
    </w:p>
    <w:p w14:paraId="1A0FD275">
      <w:pPr>
        <w:snapToGrid w:val="0"/>
        <w:spacing w:line="360" w:lineRule="auto"/>
        <w:ind w:firstLine="480" w:firstLineChars="200"/>
        <w:contextualSpacing/>
        <w:rPr>
          <w:color w:val="auto"/>
          <w:szCs w:val="21"/>
          <w:highlight w:val="none"/>
        </w:rPr>
      </w:pPr>
      <w:r>
        <w:rPr>
          <w:color w:val="auto"/>
          <w:szCs w:val="21"/>
          <w:highlight w:val="none"/>
        </w:rPr>
        <w:t>主要涵盖</w:t>
      </w:r>
      <w:bookmarkStart w:id="166" w:name="_Hlk216799388"/>
      <w:r>
        <w:rPr>
          <w:rFonts w:hint="eastAsia"/>
          <w:color w:val="auto"/>
          <w:szCs w:val="21"/>
          <w:highlight w:val="none"/>
        </w:rPr>
        <w:t>A</w:t>
      </w:r>
      <w:r>
        <w:rPr>
          <w:color w:val="auto"/>
          <w:szCs w:val="21"/>
          <w:highlight w:val="none"/>
        </w:rPr>
        <w:t>1</w:t>
      </w:r>
      <w:r>
        <w:rPr>
          <w:rFonts w:hint="eastAsia"/>
          <w:color w:val="auto"/>
          <w:szCs w:val="21"/>
          <w:highlight w:val="none"/>
        </w:rPr>
        <w:t>厂房及与F1相连走廊的</w:t>
      </w:r>
      <w:r>
        <w:rPr>
          <w:color w:val="auto"/>
          <w:szCs w:val="21"/>
          <w:highlight w:val="none"/>
        </w:rPr>
        <w:t>洁净</w:t>
      </w:r>
      <w:r>
        <w:rPr>
          <w:rFonts w:hint="eastAsia"/>
          <w:color w:val="auto"/>
          <w:szCs w:val="21"/>
          <w:highlight w:val="none"/>
        </w:rPr>
        <w:t>装修及配套动力设施安装（</w:t>
      </w:r>
      <w:r>
        <w:rPr>
          <w:color w:val="auto"/>
          <w:szCs w:val="21"/>
          <w:highlight w:val="none"/>
        </w:rPr>
        <w:t>洁净室新风处理系统、洁净室FFU系统、洁净室干式冷盘管系统、一般机电系统、工艺排气处理系统、工艺真空系统、清扫真空系统、工艺冷却水系统、</w:t>
      </w:r>
      <w:r>
        <w:rPr>
          <w:rFonts w:hint="eastAsia"/>
          <w:color w:val="auto"/>
          <w:szCs w:val="21"/>
          <w:highlight w:val="none"/>
        </w:rPr>
        <w:t>冷热源供应系统、</w:t>
      </w:r>
      <w:r>
        <w:rPr>
          <w:color w:val="auto"/>
          <w:szCs w:val="21"/>
          <w:highlight w:val="none"/>
        </w:rPr>
        <w:t>紧急冲淋和洗眼系统、</w:t>
      </w:r>
      <w:r>
        <w:rPr>
          <w:rFonts w:hint="eastAsia"/>
          <w:color w:val="auto"/>
          <w:szCs w:val="21"/>
          <w:highlight w:val="none"/>
        </w:rPr>
        <w:t>中低压系统</w:t>
      </w:r>
      <w:r>
        <w:rPr>
          <w:color w:val="auto"/>
          <w:szCs w:val="21"/>
          <w:highlight w:val="none"/>
        </w:rPr>
        <w:t>、自控系统</w:t>
      </w:r>
      <w:r>
        <w:rPr>
          <w:rFonts w:hint="eastAsia"/>
          <w:color w:val="auto"/>
          <w:szCs w:val="21"/>
          <w:highlight w:val="none"/>
        </w:rPr>
        <w:t>（F</w:t>
      </w:r>
      <w:r>
        <w:rPr>
          <w:color w:val="auto"/>
          <w:szCs w:val="21"/>
          <w:highlight w:val="none"/>
        </w:rPr>
        <w:t>MCS</w:t>
      </w:r>
      <w:r>
        <w:rPr>
          <w:rFonts w:hint="eastAsia"/>
          <w:color w:val="auto"/>
          <w:szCs w:val="21"/>
          <w:highlight w:val="none"/>
        </w:rPr>
        <w:t>）、</w:t>
      </w:r>
      <w:r>
        <w:rPr>
          <w:color w:val="auto"/>
          <w:szCs w:val="21"/>
          <w:highlight w:val="none"/>
        </w:rPr>
        <w:t>一般空调系统</w:t>
      </w:r>
      <w:r>
        <w:rPr>
          <w:rFonts w:hint="eastAsia"/>
          <w:color w:val="auto"/>
          <w:szCs w:val="21"/>
          <w:highlight w:val="none"/>
        </w:rPr>
        <w:t>、纯废水/废液系统、给排水系统、集中供液系统、压缩空气系统、气体管道系统（4种）、消防系统、安防含监控网络系统、E</w:t>
      </w:r>
      <w:r>
        <w:rPr>
          <w:color w:val="auto"/>
          <w:szCs w:val="21"/>
          <w:highlight w:val="none"/>
        </w:rPr>
        <w:t>SD</w:t>
      </w:r>
      <w:r>
        <w:rPr>
          <w:rFonts w:hint="eastAsia"/>
          <w:color w:val="auto"/>
          <w:szCs w:val="21"/>
          <w:highlight w:val="none"/>
        </w:rPr>
        <w:t>系统等）</w:t>
      </w:r>
      <w:r>
        <w:rPr>
          <w:color w:val="auto"/>
          <w:szCs w:val="21"/>
          <w:highlight w:val="none"/>
        </w:rPr>
        <w:t>。</w:t>
      </w:r>
      <w:bookmarkEnd w:id="166"/>
    </w:p>
    <w:p w14:paraId="6C099EA1">
      <w:pPr>
        <w:snapToGrid w:val="0"/>
        <w:spacing w:line="360" w:lineRule="auto"/>
        <w:ind w:firstLine="482" w:firstLineChars="200"/>
        <w:contextualSpacing/>
        <w:rPr>
          <w:b/>
          <w:color w:val="auto"/>
          <w:szCs w:val="21"/>
          <w:highlight w:val="none"/>
        </w:rPr>
      </w:pPr>
      <w:r>
        <w:rPr>
          <w:rFonts w:hint="eastAsia"/>
          <w:b/>
          <w:color w:val="auto"/>
          <w:szCs w:val="21"/>
          <w:highlight w:val="none"/>
        </w:rPr>
        <w:t>工艺设计需求清单</w:t>
      </w:r>
    </w:p>
    <w:p w14:paraId="4817754F">
      <w:pPr>
        <w:snapToGrid w:val="0"/>
        <w:spacing w:line="360" w:lineRule="auto"/>
        <w:contextualSpacing/>
        <w:rPr>
          <w:color w:val="auto"/>
          <w:szCs w:val="21"/>
          <w:highlight w:val="none"/>
        </w:rPr>
      </w:pPr>
      <w:r>
        <w:rPr>
          <w:color w:val="auto"/>
          <w:highlight w:val="none"/>
        </w:rPr>
        <w:drawing>
          <wp:inline distT="0" distB="0" distL="0" distR="0">
            <wp:extent cx="6101715" cy="8729980"/>
            <wp:effectExtent l="0" t="0" r="0" b="0"/>
            <wp:docPr id="1" name="图片 3"/>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8">
                      <a:extLst>
                        <a:ext uri="{28A0092B-C50C-407E-A947-70E740481C1C}">
                          <a14:useLocalDpi xmlns:a14="http://schemas.microsoft.com/office/drawing/2010/main" val="0"/>
                        </a:ext>
                      </a:extLst>
                    </a:blip>
                    <a:srcRect/>
                    <a:stretch>
                      <a:fillRect/>
                    </a:stretch>
                  </pic:blipFill>
                  <pic:spPr>
                    <a:xfrm>
                      <a:off x="0" y="0"/>
                      <a:ext cx="6101715" cy="8729980"/>
                    </a:xfrm>
                    <a:prstGeom prst="rect">
                      <a:avLst/>
                    </a:prstGeom>
                    <a:noFill/>
                    <a:ln>
                      <a:noFill/>
                    </a:ln>
                  </pic:spPr>
                </pic:pic>
              </a:graphicData>
            </a:graphic>
          </wp:inline>
        </w:drawing>
      </w:r>
    </w:p>
    <w:p w14:paraId="46FC240D">
      <w:pPr>
        <w:snapToGrid w:val="0"/>
        <w:spacing w:line="360" w:lineRule="auto"/>
        <w:contextualSpacing/>
        <w:rPr>
          <w:color w:val="auto"/>
          <w:szCs w:val="21"/>
          <w:highlight w:val="none"/>
        </w:rPr>
      </w:pPr>
      <w:r>
        <w:rPr>
          <w:rFonts w:hint="eastAsia"/>
          <w:color w:val="auto"/>
          <w:szCs w:val="21"/>
          <w:highlight w:val="none"/>
        </w:rPr>
        <w:t>一次管线设计与安装包括</w:t>
      </w:r>
      <w:r>
        <w:rPr>
          <w:color w:val="auto"/>
          <w:szCs w:val="21"/>
          <w:highlight w:val="none"/>
        </w:rPr>
        <w:t>但不限于</w:t>
      </w:r>
      <w:r>
        <w:rPr>
          <w:rFonts w:hint="eastAsia"/>
          <w:color w:val="auto"/>
          <w:szCs w:val="21"/>
          <w:highlight w:val="none"/>
        </w:rPr>
        <w:t>（二次配不属于本次招投标范围）</w:t>
      </w:r>
      <w:r>
        <w:rPr>
          <w:color w:val="auto"/>
          <w:szCs w:val="21"/>
          <w:highlight w:val="none"/>
        </w:rPr>
        <w:t>：</w:t>
      </w:r>
    </w:p>
    <w:p w14:paraId="51FFE415">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各类排水（含主管、支管、Take-off</w:t>
      </w:r>
      <w:r>
        <w:rPr>
          <w:rFonts w:hint="eastAsia" w:ascii="Times New Roman" w:hAnsi="Times New Roman"/>
          <w:color w:val="auto"/>
          <w:szCs w:val="21"/>
          <w:highlight w:val="none"/>
        </w:rPr>
        <w:t>阀及盲板</w:t>
      </w:r>
      <w:r>
        <w:rPr>
          <w:rFonts w:ascii="Times New Roman" w:hAnsi="Times New Roman"/>
          <w:color w:val="auto"/>
          <w:szCs w:val="21"/>
          <w:highlight w:val="none"/>
        </w:rPr>
        <w:t>）</w:t>
      </w:r>
    </w:p>
    <w:p w14:paraId="60DDDFE8">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超纯水各Loop（Reverse Return形式，含主管、支管、Take-off</w:t>
      </w:r>
      <w:r>
        <w:rPr>
          <w:rFonts w:hint="eastAsia" w:ascii="Times New Roman" w:hAnsi="Times New Roman"/>
          <w:color w:val="auto"/>
          <w:szCs w:val="21"/>
          <w:highlight w:val="none"/>
        </w:rPr>
        <w:t>阀及盲板</w:t>
      </w:r>
      <w:r>
        <w:rPr>
          <w:rFonts w:ascii="Times New Roman" w:hAnsi="Times New Roman"/>
          <w:color w:val="auto"/>
          <w:szCs w:val="21"/>
          <w:highlight w:val="none"/>
        </w:rPr>
        <w:t>、隔膜阀）</w:t>
      </w:r>
    </w:p>
    <w:p w14:paraId="3AE39ECC">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各类大宗气体包含一般氮气GN2、</w:t>
      </w:r>
      <w:r>
        <w:rPr>
          <w:rFonts w:hint="eastAsia" w:ascii="Times New Roman" w:hAnsi="Times New Roman"/>
          <w:color w:val="auto"/>
          <w:szCs w:val="21"/>
          <w:highlight w:val="none"/>
        </w:rPr>
        <w:t>工艺</w:t>
      </w:r>
      <w:r>
        <w:rPr>
          <w:rFonts w:ascii="Times New Roman" w:hAnsi="Times New Roman"/>
          <w:color w:val="auto"/>
          <w:szCs w:val="21"/>
          <w:highlight w:val="none"/>
        </w:rPr>
        <w:t>氧气PO2、</w:t>
      </w:r>
      <w:r>
        <w:rPr>
          <w:rFonts w:hint="eastAsia" w:ascii="Times New Roman" w:hAnsi="Times New Roman"/>
          <w:color w:val="auto"/>
          <w:szCs w:val="21"/>
          <w:highlight w:val="none"/>
        </w:rPr>
        <w:t>工艺</w:t>
      </w:r>
      <w:r>
        <w:rPr>
          <w:rFonts w:ascii="Times New Roman" w:hAnsi="Times New Roman"/>
          <w:color w:val="auto"/>
          <w:szCs w:val="21"/>
          <w:highlight w:val="none"/>
        </w:rPr>
        <w:t>氩气PAr、干燥净化压缩空气CDA、工艺二氧化碳CO2</w:t>
      </w:r>
      <w:r>
        <w:rPr>
          <w:rFonts w:hint="eastAsia" w:ascii="Times New Roman" w:hAnsi="Times New Roman"/>
          <w:color w:val="auto"/>
          <w:szCs w:val="21"/>
          <w:highlight w:val="none"/>
        </w:rPr>
        <w:t>等</w:t>
      </w:r>
      <w:r>
        <w:rPr>
          <w:rFonts w:ascii="Times New Roman" w:hAnsi="Times New Roman"/>
          <w:color w:val="auto"/>
          <w:szCs w:val="21"/>
          <w:highlight w:val="none"/>
        </w:rPr>
        <w:t>的主管、支管、Take-off阀</w:t>
      </w:r>
      <w:r>
        <w:rPr>
          <w:rFonts w:hint="eastAsia" w:ascii="Times New Roman" w:hAnsi="Times New Roman"/>
          <w:color w:val="auto"/>
          <w:szCs w:val="21"/>
          <w:highlight w:val="none"/>
        </w:rPr>
        <w:t>及盲板</w:t>
      </w:r>
    </w:p>
    <w:p w14:paraId="494FD7F1">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工艺酸排气系统（含主管、支管、Take-off</w:t>
      </w:r>
      <w:r>
        <w:rPr>
          <w:rFonts w:hint="eastAsia" w:ascii="Times New Roman" w:hAnsi="Times New Roman"/>
          <w:color w:val="auto"/>
          <w:szCs w:val="21"/>
          <w:highlight w:val="none"/>
        </w:rPr>
        <w:t>阀及盲板</w:t>
      </w:r>
      <w:r>
        <w:rPr>
          <w:rFonts w:ascii="Times New Roman" w:hAnsi="Times New Roman"/>
          <w:color w:val="auto"/>
          <w:szCs w:val="21"/>
          <w:highlight w:val="none"/>
        </w:rPr>
        <w:t>）</w:t>
      </w:r>
      <w:r>
        <w:rPr>
          <w:rFonts w:hint="eastAsia" w:ascii="Times New Roman" w:hAnsi="Times New Roman"/>
          <w:color w:val="auto"/>
          <w:szCs w:val="21"/>
          <w:highlight w:val="none"/>
        </w:rPr>
        <w:t>，接入F</w:t>
      </w:r>
      <w:r>
        <w:rPr>
          <w:rFonts w:ascii="Times New Roman" w:hAnsi="Times New Roman"/>
          <w:color w:val="auto"/>
          <w:szCs w:val="21"/>
          <w:highlight w:val="none"/>
        </w:rPr>
        <w:t>1</w:t>
      </w:r>
      <w:r>
        <w:rPr>
          <w:rFonts w:hint="eastAsia" w:ascii="Times New Roman" w:hAnsi="Times New Roman"/>
          <w:color w:val="auto"/>
          <w:szCs w:val="21"/>
          <w:highlight w:val="none"/>
        </w:rPr>
        <w:t>屋面主系统</w:t>
      </w:r>
    </w:p>
    <w:p w14:paraId="171C1E9B">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工艺有机排气系统（含主管、支管、Take-off</w:t>
      </w:r>
      <w:r>
        <w:rPr>
          <w:rFonts w:hint="eastAsia" w:ascii="Times New Roman" w:hAnsi="Times New Roman"/>
          <w:color w:val="auto"/>
          <w:szCs w:val="21"/>
          <w:highlight w:val="none"/>
        </w:rPr>
        <w:t>阀及盲板</w:t>
      </w:r>
      <w:r>
        <w:rPr>
          <w:rFonts w:ascii="Times New Roman" w:hAnsi="Times New Roman"/>
          <w:color w:val="auto"/>
          <w:szCs w:val="21"/>
          <w:highlight w:val="none"/>
        </w:rPr>
        <w:t>）</w:t>
      </w:r>
      <w:r>
        <w:rPr>
          <w:rFonts w:hint="eastAsia" w:ascii="Times New Roman" w:hAnsi="Times New Roman"/>
          <w:color w:val="auto"/>
          <w:szCs w:val="21"/>
          <w:highlight w:val="none"/>
        </w:rPr>
        <w:t>，接入F</w:t>
      </w:r>
      <w:r>
        <w:rPr>
          <w:rFonts w:ascii="Times New Roman" w:hAnsi="Times New Roman"/>
          <w:color w:val="auto"/>
          <w:szCs w:val="21"/>
          <w:highlight w:val="none"/>
        </w:rPr>
        <w:t>1</w:t>
      </w:r>
      <w:r>
        <w:rPr>
          <w:rFonts w:hint="eastAsia" w:ascii="Times New Roman" w:hAnsi="Times New Roman"/>
          <w:color w:val="auto"/>
          <w:szCs w:val="21"/>
          <w:highlight w:val="none"/>
        </w:rPr>
        <w:t>屋面主系统</w:t>
      </w:r>
    </w:p>
    <w:p w14:paraId="2CCEE2EC">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工艺一般排气系统（含主管、支管、Take-off</w:t>
      </w:r>
      <w:r>
        <w:rPr>
          <w:rFonts w:hint="eastAsia" w:ascii="Times New Roman" w:hAnsi="Times New Roman"/>
          <w:color w:val="auto"/>
          <w:szCs w:val="21"/>
          <w:highlight w:val="none"/>
        </w:rPr>
        <w:t>阀及盲板</w:t>
      </w:r>
      <w:r>
        <w:rPr>
          <w:rFonts w:ascii="Times New Roman" w:hAnsi="Times New Roman"/>
          <w:color w:val="auto"/>
          <w:szCs w:val="21"/>
          <w:highlight w:val="none"/>
        </w:rPr>
        <w:t>）</w:t>
      </w:r>
    </w:p>
    <w:p w14:paraId="17E43D92">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工艺冷却水系统（含主、支管、Take-off</w:t>
      </w:r>
      <w:r>
        <w:rPr>
          <w:rFonts w:hint="eastAsia" w:ascii="Times New Roman" w:hAnsi="Times New Roman"/>
          <w:color w:val="auto"/>
          <w:szCs w:val="21"/>
          <w:highlight w:val="none"/>
        </w:rPr>
        <w:t>阀及盲板</w:t>
      </w:r>
      <w:r>
        <w:rPr>
          <w:rFonts w:ascii="Times New Roman" w:hAnsi="Times New Roman"/>
          <w:color w:val="auto"/>
          <w:szCs w:val="21"/>
          <w:highlight w:val="none"/>
        </w:rPr>
        <w:t>）</w:t>
      </w:r>
    </w:p>
    <w:p w14:paraId="2A1AC89B">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工艺生产真空系统（含主管、支管、Take-off</w:t>
      </w:r>
      <w:r>
        <w:rPr>
          <w:rFonts w:hint="eastAsia" w:ascii="Times New Roman" w:hAnsi="Times New Roman"/>
          <w:color w:val="auto"/>
          <w:szCs w:val="21"/>
          <w:highlight w:val="none"/>
        </w:rPr>
        <w:t>阀及盲板</w:t>
      </w:r>
      <w:r>
        <w:rPr>
          <w:rFonts w:ascii="Times New Roman" w:hAnsi="Times New Roman"/>
          <w:color w:val="auto"/>
          <w:szCs w:val="21"/>
          <w:highlight w:val="none"/>
        </w:rPr>
        <w:t>）</w:t>
      </w:r>
    </w:p>
    <w:p w14:paraId="608EAF7C">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hint="eastAsia" w:ascii="Times New Roman" w:hAnsi="Times New Roman"/>
          <w:color w:val="auto"/>
          <w:szCs w:val="21"/>
          <w:highlight w:val="none"/>
        </w:rPr>
        <w:t>清扫</w:t>
      </w:r>
      <w:r>
        <w:rPr>
          <w:rFonts w:ascii="Times New Roman" w:hAnsi="Times New Roman"/>
          <w:color w:val="auto"/>
          <w:szCs w:val="21"/>
          <w:highlight w:val="none"/>
        </w:rPr>
        <w:t>真空系统（含主管、支管、</w:t>
      </w:r>
      <w:r>
        <w:rPr>
          <w:rFonts w:hint="eastAsia" w:ascii="Times New Roman" w:hAnsi="Times New Roman"/>
          <w:color w:val="auto"/>
          <w:szCs w:val="21"/>
          <w:highlight w:val="none"/>
        </w:rPr>
        <w:t>墙阀、地插及盲板</w:t>
      </w:r>
      <w:r>
        <w:rPr>
          <w:rFonts w:ascii="Times New Roman" w:hAnsi="Times New Roman"/>
          <w:color w:val="auto"/>
          <w:szCs w:val="21"/>
          <w:highlight w:val="none"/>
        </w:rPr>
        <w:t>）</w:t>
      </w:r>
    </w:p>
    <w:p w14:paraId="5CEF0555">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生产及生活给水系统（含主管、支管）</w:t>
      </w:r>
    </w:p>
    <w:p w14:paraId="58AC6D30">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hint="eastAsia" w:ascii="Times New Roman" w:hAnsi="Times New Roman"/>
          <w:color w:val="auto"/>
          <w:szCs w:val="21"/>
          <w:highlight w:val="none"/>
        </w:rPr>
        <w:t>中低压系统（含与变电站间连接等）</w:t>
      </w:r>
    </w:p>
    <w:p w14:paraId="69E5A613">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hint="eastAsia" w:ascii="Times New Roman" w:hAnsi="Times New Roman"/>
          <w:color w:val="auto"/>
          <w:szCs w:val="21"/>
          <w:highlight w:val="none"/>
        </w:rPr>
        <w:t>集中供液系统（</w:t>
      </w:r>
      <w:r>
        <w:rPr>
          <w:rFonts w:ascii="Times New Roman" w:hAnsi="Times New Roman"/>
          <w:color w:val="auto"/>
          <w:szCs w:val="21"/>
          <w:highlight w:val="none"/>
        </w:rPr>
        <w:t>含主管、支管</w:t>
      </w:r>
      <w:r>
        <w:rPr>
          <w:rFonts w:hint="eastAsia" w:ascii="Times New Roman" w:hAnsi="Times New Roman"/>
          <w:color w:val="auto"/>
          <w:szCs w:val="21"/>
          <w:highlight w:val="none"/>
        </w:rPr>
        <w:t>、V</w:t>
      </w:r>
      <w:r>
        <w:rPr>
          <w:rFonts w:ascii="Times New Roman" w:hAnsi="Times New Roman"/>
          <w:color w:val="auto"/>
          <w:szCs w:val="21"/>
          <w:highlight w:val="none"/>
        </w:rPr>
        <w:t>MB</w:t>
      </w:r>
      <w:r>
        <w:rPr>
          <w:rFonts w:hint="eastAsia" w:ascii="Times New Roman" w:hAnsi="Times New Roman"/>
          <w:color w:val="auto"/>
          <w:szCs w:val="21"/>
          <w:highlight w:val="none"/>
        </w:rPr>
        <w:t>等）</w:t>
      </w:r>
    </w:p>
    <w:p w14:paraId="2A21065D">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hint="eastAsia" w:ascii="Times New Roman" w:hAnsi="Times New Roman"/>
          <w:color w:val="auto"/>
          <w:szCs w:val="21"/>
          <w:highlight w:val="none"/>
        </w:rPr>
        <w:t>冷热源系统（含</w:t>
      </w:r>
      <w:r>
        <w:rPr>
          <w:rFonts w:ascii="Times New Roman" w:hAnsi="Times New Roman"/>
          <w:color w:val="auto"/>
          <w:szCs w:val="21"/>
          <w:highlight w:val="none"/>
        </w:rPr>
        <w:t>主管、支管</w:t>
      </w:r>
      <w:r>
        <w:rPr>
          <w:rFonts w:hint="eastAsia" w:ascii="Times New Roman" w:hAnsi="Times New Roman"/>
          <w:color w:val="auto"/>
          <w:szCs w:val="21"/>
          <w:highlight w:val="none"/>
        </w:rPr>
        <w:t>等）</w:t>
      </w:r>
    </w:p>
    <w:p w14:paraId="4FFDE0FF">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排烟及生产厂房</w:t>
      </w:r>
      <w:r>
        <w:rPr>
          <w:rFonts w:hint="eastAsia" w:ascii="Times New Roman" w:hAnsi="Times New Roman"/>
          <w:color w:val="auto"/>
          <w:szCs w:val="21"/>
          <w:highlight w:val="none"/>
        </w:rPr>
        <w:t>事故排风</w:t>
      </w:r>
    </w:p>
    <w:p w14:paraId="59AD6DDA">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hint="eastAsia" w:ascii="Times New Roman" w:hAnsi="Times New Roman"/>
          <w:color w:val="auto"/>
          <w:szCs w:val="21"/>
          <w:highlight w:val="none"/>
        </w:rPr>
        <w:t>消防与应急设施（含自动控阀、防火阀、管道等）</w:t>
      </w:r>
    </w:p>
    <w:p w14:paraId="6D5C2E84">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其它</w:t>
      </w:r>
      <w:r>
        <w:rPr>
          <w:rFonts w:hint="eastAsia" w:ascii="Times New Roman" w:hAnsi="Times New Roman"/>
          <w:color w:val="auto"/>
          <w:szCs w:val="21"/>
          <w:highlight w:val="none"/>
        </w:rPr>
        <w:t>（含洁净室</w:t>
      </w:r>
      <w:r>
        <w:rPr>
          <w:color w:val="auto"/>
          <w:highlight w:val="none"/>
        </w:rPr>
        <w:t>漏液Sensor</w:t>
      </w:r>
      <w:r>
        <w:rPr>
          <w:rFonts w:hint="eastAsia"/>
          <w:color w:val="auto"/>
          <w:highlight w:val="none"/>
        </w:rPr>
        <w:t>、洁净2T电梯等</w:t>
      </w:r>
      <w:r>
        <w:rPr>
          <w:rFonts w:hint="eastAsia" w:ascii="Times New Roman" w:hAnsi="Times New Roman"/>
          <w:color w:val="auto"/>
          <w:szCs w:val="21"/>
          <w:highlight w:val="none"/>
        </w:rPr>
        <w:t>）</w:t>
      </w:r>
    </w:p>
    <w:p w14:paraId="0471747E">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hint="eastAsia" w:ascii="Times New Roman" w:hAnsi="Times New Roman"/>
          <w:color w:val="auto"/>
          <w:szCs w:val="21"/>
          <w:highlight w:val="none"/>
        </w:rPr>
        <w:t>各系统均需设置预留口（需满足A1其他楼层使用需求）</w:t>
      </w:r>
    </w:p>
    <w:p w14:paraId="0F8EC70A">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hint="eastAsia" w:ascii="Times New Roman" w:hAnsi="Times New Roman"/>
          <w:color w:val="auto"/>
          <w:szCs w:val="21"/>
          <w:highlight w:val="none"/>
        </w:rPr>
        <w:t>无尘室形式采用MAU+FFU+DCC模式。</w:t>
      </w:r>
    </w:p>
    <w:p w14:paraId="73768620">
      <w:pPr>
        <w:pStyle w:val="47"/>
        <w:numPr>
          <w:ilvl w:val="0"/>
          <w:numId w:val="27"/>
        </w:numPr>
        <w:snapToGrid w:val="0"/>
        <w:spacing w:line="360" w:lineRule="auto"/>
        <w:ind w:firstLineChars="0"/>
        <w:contextualSpacing/>
        <w:jc w:val="left"/>
        <w:rPr>
          <w:rFonts w:ascii="Times New Roman" w:hAnsi="Times New Roman"/>
          <w:color w:val="auto"/>
          <w:szCs w:val="21"/>
          <w:highlight w:val="none"/>
        </w:rPr>
      </w:pPr>
      <w:r>
        <w:rPr>
          <w:rFonts w:ascii="Times New Roman" w:hAnsi="Times New Roman"/>
          <w:color w:val="auto"/>
          <w:szCs w:val="21"/>
          <w:highlight w:val="none"/>
        </w:rPr>
        <w:t>洁净室设计参数</w:t>
      </w:r>
      <w:r>
        <w:rPr>
          <w:rFonts w:hint="eastAsia" w:ascii="Times New Roman" w:hAnsi="Times New Roman"/>
          <w:color w:val="auto"/>
          <w:szCs w:val="21"/>
          <w:highlight w:val="none"/>
        </w:rPr>
        <w:t>需求如下表</w:t>
      </w:r>
      <w:r>
        <w:rPr>
          <w:rFonts w:ascii="Times New Roman" w:hAnsi="Times New Roman"/>
          <w:color w:val="auto"/>
          <w:szCs w:val="21"/>
          <w:highlight w:val="none"/>
        </w:rPr>
        <w:t>（静态）</w:t>
      </w:r>
    </w:p>
    <w:p w14:paraId="25045C02">
      <w:pPr>
        <w:snapToGrid w:val="0"/>
        <w:spacing w:before="120" w:after="60" w:line="360" w:lineRule="auto"/>
        <w:contextualSpacing/>
        <w:textAlignment w:val="baseline"/>
        <w:rPr>
          <w:b/>
          <w:color w:val="auto"/>
          <w:szCs w:val="21"/>
          <w:highlight w:val="none"/>
        </w:rPr>
      </w:pPr>
      <w:r>
        <w:rPr>
          <w:color w:val="auto"/>
          <w:highlight w:val="none"/>
        </w:rPr>
        <w:drawing>
          <wp:inline distT="0" distB="0" distL="0" distR="0">
            <wp:extent cx="6048375" cy="2837815"/>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9">
                      <a:extLst>
                        <a:ext uri="{28A0092B-C50C-407E-A947-70E740481C1C}">
                          <a14:useLocalDpi xmlns:a14="http://schemas.microsoft.com/office/drawing/2010/main" val="0"/>
                        </a:ext>
                      </a:extLst>
                    </a:blip>
                    <a:srcRect/>
                    <a:stretch>
                      <a:fillRect/>
                    </a:stretch>
                  </pic:blipFill>
                  <pic:spPr>
                    <a:xfrm>
                      <a:off x="0" y="0"/>
                      <a:ext cx="6048375" cy="2837815"/>
                    </a:xfrm>
                    <a:prstGeom prst="rect">
                      <a:avLst/>
                    </a:prstGeom>
                    <a:noFill/>
                    <a:ln>
                      <a:noFill/>
                    </a:ln>
                  </pic:spPr>
                </pic:pic>
              </a:graphicData>
            </a:graphic>
          </wp:inline>
        </w:drawing>
      </w:r>
    </w:p>
    <w:p w14:paraId="334A7F3C">
      <w:pPr>
        <w:pStyle w:val="47"/>
        <w:numPr>
          <w:ilvl w:val="0"/>
          <w:numId w:val="26"/>
        </w:numPr>
        <w:snapToGrid w:val="0"/>
        <w:spacing w:line="360" w:lineRule="auto"/>
        <w:ind w:firstLineChars="0"/>
        <w:contextualSpacing/>
        <w:jc w:val="left"/>
        <w:rPr>
          <w:b/>
          <w:color w:val="auto"/>
          <w:szCs w:val="21"/>
          <w:highlight w:val="none"/>
        </w:rPr>
      </w:pPr>
      <w:r>
        <w:rPr>
          <w:b/>
          <w:color w:val="auto"/>
          <w:szCs w:val="21"/>
          <w:highlight w:val="none"/>
        </w:rPr>
        <w:t>工艺冷却水系统</w:t>
      </w:r>
    </w:p>
    <w:p w14:paraId="4BFFF7B7">
      <w:pPr>
        <w:snapToGrid w:val="0"/>
        <w:spacing w:line="360" w:lineRule="auto"/>
        <w:ind w:firstLine="480" w:firstLineChars="200"/>
        <w:contextualSpacing/>
        <w:rPr>
          <w:color w:val="auto"/>
          <w:szCs w:val="21"/>
          <w:highlight w:val="none"/>
        </w:rPr>
      </w:pPr>
      <w:r>
        <w:rPr>
          <w:color w:val="auto"/>
          <w:szCs w:val="21"/>
          <w:highlight w:val="none"/>
        </w:rPr>
        <w:t>工艺冷却水系统设备主要包括水泵、过滤器、板式换热器等。</w:t>
      </w:r>
    </w:p>
    <w:p w14:paraId="35CEF5EE">
      <w:pPr>
        <w:snapToGrid w:val="0"/>
        <w:spacing w:line="360" w:lineRule="auto"/>
        <w:ind w:firstLine="480" w:firstLineChars="200"/>
        <w:contextualSpacing/>
        <w:rPr>
          <w:color w:val="auto"/>
          <w:szCs w:val="21"/>
          <w:highlight w:val="none"/>
        </w:rPr>
      </w:pPr>
      <w:r>
        <w:rPr>
          <w:color w:val="auto"/>
          <w:szCs w:val="21"/>
          <w:highlight w:val="none"/>
        </w:rPr>
        <w:t>5分钟内工艺冷却水出水温度波动不超过±</w:t>
      </w:r>
      <w:r>
        <w:rPr>
          <w:rFonts w:hint="eastAsia"/>
          <w:color w:val="auto"/>
          <w:szCs w:val="21"/>
          <w:highlight w:val="none"/>
        </w:rPr>
        <w:t>1</w:t>
      </w:r>
      <w:r>
        <w:rPr>
          <w:color w:val="auto"/>
          <w:szCs w:val="21"/>
          <w:highlight w:val="none"/>
        </w:rPr>
        <w:sym w:font="Courier New" w:char="00B0"/>
      </w:r>
      <w:r>
        <w:rPr>
          <w:color w:val="auto"/>
          <w:szCs w:val="21"/>
          <w:highlight w:val="none"/>
        </w:rPr>
        <w:t>C。</w:t>
      </w:r>
    </w:p>
    <w:p w14:paraId="5FBD8C1E">
      <w:pPr>
        <w:snapToGrid w:val="0"/>
        <w:spacing w:line="360" w:lineRule="auto"/>
        <w:ind w:firstLine="480" w:firstLineChars="200"/>
        <w:contextualSpacing/>
        <w:rPr>
          <w:color w:val="auto"/>
          <w:szCs w:val="21"/>
          <w:highlight w:val="none"/>
        </w:rPr>
      </w:pPr>
      <w:r>
        <w:rPr>
          <w:color w:val="auto"/>
          <w:szCs w:val="21"/>
          <w:highlight w:val="none"/>
        </w:rPr>
        <w:t>系统采用的变频泵由各主管线的压力传感器或压差传感器来控制。</w:t>
      </w:r>
    </w:p>
    <w:p w14:paraId="05B540E1">
      <w:pPr>
        <w:snapToGrid w:val="0"/>
        <w:spacing w:line="360" w:lineRule="auto"/>
        <w:ind w:firstLine="480" w:firstLineChars="200"/>
        <w:contextualSpacing/>
        <w:rPr>
          <w:color w:val="auto"/>
          <w:szCs w:val="21"/>
          <w:highlight w:val="none"/>
        </w:rPr>
      </w:pPr>
      <w:r>
        <w:rPr>
          <w:color w:val="auto"/>
          <w:szCs w:val="21"/>
          <w:highlight w:val="none"/>
        </w:rPr>
        <w:t>工艺冷却水系统供水压力在</w:t>
      </w:r>
      <w:r>
        <w:rPr>
          <w:rFonts w:hint="eastAsia"/>
          <w:color w:val="auto"/>
          <w:szCs w:val="21"/>
          <w:highlight w:val="none"/>
        </w:rPr>
        <w:t>各</w:t>
      </w:r>
      <w:r>
        <w:rPr>
          <w:color w:val="auto"/>
          <w:szCs w:val="21"/>
          <w:highlight w:val="none"/>
        </w:rPr>
        <w:t>层工艺机台处为5</w:t>
      </w:r>
      <w:r>
        <w:rPr>
          <w:rFonts w:hint="eastAsia"/>
          <w:color w:val="auto"/>
          <w:szCs w:val="21"/>
          <w:highlight w:val="none"/>
        </w:rPr>
        <w:t>b</w:t>
      </w:r>
      <w:r>
        <w:rPr>
          <w:color w:val="auto"/>
          <w:szCs w:val="21"/>
          <w:highlight w:val="none"/>
        </w:rPr>
        <w:t>ar。</w:t>
      </w:r>
    </w:p>
    <w:p w14:paraId="1586B362">
      <w:pPr>
        <w:snapToGrid w:val="0"/>
        <w:spacing w:line="360" w:lineRule="auto"/>
        <w:ind w:firstLine="480" w:firstLineChars="200"/>
        <w:contextualSpacing/>
        <w:rPr>
          <w:color w:val="auto"/>
          <w:szCs w:val="21"/>
          <w:highlight w:val="none"/>
        </w:rPr>
      </w:pPr>
      <w:r>
        <w:rPr>
          <w:color w:val="auto"/>
          <w:szCs w:val="21"/>
          <w:highlight w:val="none"/>
        </w:rPr>
        <w:t>系统正常补水采用RO水。补水根据系统内水质的PH值和电导率（&lt;80 μs/cm）来控制。</w:t>
      </w:r>
    </w:p>
    <w:p w14:paraId="6B9C808E">
      <w:pPr>
        <w:pStyle w:val="47"/>
        <w:numPr>
          <w:ilvl w:val="0"/>
          <w:numId w:val="28"/>
        </w:numPr>
        <w:snapToGrid w:val="0"/>
        <w:spacing w:line="360" w:lineRule="auto"/>
        <w:ind w:firstLineChars="0"/>
        <w:contextualSpacing/>
        <w:jc w:val="left"/>
        <w:rPr>
          <w:b/>
          <w:color w:val="auto"/>
          <w:szCs w:val="21"/>
          <w:highlight w:val="none"/>
        </w:rPr>
      </w:pPr>
      <w:r>
        <w:rPr>
          <w:b/>
          <w:color w:val="auto"/>
          <w:szCs w:val="21"/>
          <w:highlight w:val="none"/>
        </w:rPr>
        <w:t>工艺真空系统</w:t>
      </w:r>
    </w:p>
    <w:p w14:paraId="6DFCAC23">
      <w:pPr>
        <w:snapToGrid w:val="0"/>
        <w:spacing w:line="360" w:lineRule="auto"/>
        <w:ind w:firstLine="480" w:firstLineChars="200"/>
        <w:contextualSpacing/>
        <w:rPr>
          <w:color w:val="auto"/>
          <w:szCs w:val="21"/>
          <w:highlight w:val="none"/>
        </w:rPr>
      </w:pPr>
      <w:r>
        <w:rPr>
          <w:rFonts w:hint="eastAsia"/>
          <w:color w:val="auto"/>
          <w:szCs w:val="21"/>
          <w:highlight w:val="none"/>
        </w:rPr>
        <w:t>工艺真空站位于动力厂房内，通过管桥分别给A</w:t>
      </w:r>
      <w:r>
        <w:rPr>
          <w:color w:val="auto"/>
          <w:szCs w:val="21"/>
          <w:highlight w:val="none"/>
        </w:rPr>
        <w:t>1</w:t>
      </w:r>
      <w:r>
        <w:rPr>
          <w:rFonts w:hint="eastAsia"/>
          <w:color w:val="auto"/>
          <w:szCs w:val="21"/>
          <w:highlight w:val="none"/>
        </w:rPr>
        <w:t>厂房提供工艺真空。</w:t>
      </w:r>
    </w:p>
    <w:p w14:paraId="1164B1EE">
      <w:pPr>
        <w:snapToGrid w:val="0"/>
        <w:spacing w:line="360" w:lineRule="auto"/>
        <w:ind w:firstLine="480" w:firstLineChars="200"/>
        <w:contextualSpacing/>
        <w:rPr>
          <w:color w:val="auto"/>
          <w:szCs w:val="21"/>
          <w:highlight w:val="none"/>
        </w:rPr>
      </w:pPr>
      <w:r>
        <w:rPr>
          <w:color w:val="auto"/>
          <w:szCs w:val="21"/>
          <w:highlight w:val="none"/>
        </w:rPr>
        <w:t>工艺真空站包括真空泵</w:t>
      </w:r>
      <w:r>
        <w:rPr>
          <w:rFonts w:hint="eastAsia"/>
          <w:color w:val="auto"/>
          <w:szCs w:val="21"/>
          <w:highlight w:val="none"/>
        </w:rPr>
        <w:t>、</w:t>
      </w:r>
      <w:r>
        <w:rPr>
          <w:color w:val="auto"/>
          <w:szCs w:val="21"/>
          <w:highlight w:val="none"/>
        </w:rPr>
        <w:t>缓冲罐</w:t>
      </w:r>
      <w:r>
        <w:rPr>
          <w:rFonts w:hint="eastAsia"/>
          <w:color w:val="auto"/>
          <w:szCs w:val="21"/>
          <w:highlight w:val="none"/>
        </w:rPr>
        <w:t>、</w:t>
      </w:r>
      <w:r>
        <w:rPr>
          <w:color w:val="auto"/>
          <w:szCs w:val="21"/>
          <w:highlight w:val="none"/>
        </w:rPr>
        <w:t>管道阀门及控制系统等。</w:t>
      </w:r>
      <w:r>
        <w:rPr>
          <w:rFonts w:hint="eastAsia"/>
          <w:color w:val="auto"/>
          <w:szCs w:val="21"/>
          <w:highlight w:val="none"/>
        </w:rPr>
        <w:t>要求末端负压≤</w:t>
      </w:r>
      <w:r>
        <w:rPr>
          <w:color w:val="auto"/>
          <w:szCs w:val="21"/>
          <w:highlight w:val="none"/>
        </w:rPr>
        <w:t>-90kpa</w:t>
      </w:r>
      <w:r>
        <w:rPr>
          <w:rFonts w:hint="eastAsia"/>
          <w:color w:val="auto"/>
          <w:szCs w:val="21"/>
          <w:highlight w:val="none"/>
        </w:rPr>
        <w:t>。</w:t>
      </w:r>
    </w:p>
    <w:p w14:paraId="5F0AAAA3">
      <w:pPr>
        <w:pStyle w:val="47"/>
        <w:numPr>
          <w:ilvl w:val="0"/>
          <w:numId w:val="28"/>
        </w:numPr>
        <w:snapToGrid w:val="0"/>
        <w:spacing w:line="360" w:lineRule="auto"/>
        <w:ind w:firstLineChars="0"/>
        <w:contextualSpacing/>
        <w:jc w:val="left"/>
        <w:rPr>
          <w:b/>
          <w:color w:val="auto"/>
          <w:szCs w:val="21"/>
          <w:highlight w:val="none"/>
        </w:rPr>
      </w:pPr>
      <w:r>
        <w:rPr>
          <w:rFonts w:hint="eastAsia"/>
          <w:b/>
          <w:color w:val="auto"/>
          <w:szCs w:val="21"/>
          <w:highlight w:val="none"/>
        </w:rPr>
        <w:t>有机排气</w:t>
      </w:r>
      <w:r>
        <w:rPr>
          <w:b/>
          <w:color w:val="auto"/>
          <w:szCs w:val="21"/>
          <w:highlight w:val="none"/>
        </w:rPr>
        <w:t>系统</w:t>
      </w:r>
    </w:p>
    <w:p w14:paraId="37410B61">
      <w:pPr>
        <w:snapToGrid w:val="0"/>
        <w:spacing w:line="360" w:lineRule="auto"/>
        <w:ind w:firstLine="480" w:firstLineChars="200"/>
        <w:contextualSpacing/>
        <w:rPr>
          <w:color w:val="auto"/>
          <w:szCs w:val="21"/>
          <w:highlight w:val="none"/>
        </w:rPr>
      </w:pPr>
      <w:r>
        <w:rPr>
          <w:rFonts w:hint="eastAsia"/>
          <w:color w:val="auto"/>
          <w:szCs w:val="21"/>
          <w:highlight w:val="none"/>
        </w:rPr>
        <w:t>新增有机排气系统设备T</w:t>
      </w:r>
      <w:r>
        <w:rPr>
          <w:color w:val="auto"/>
          <w:szCs w:val="21"/>
          <w:highlight w:val="none"/>
        </w:rPr>
        <w:t>O</w:t>
      </w:r>
      <w:r>
        <w:rPr>
          <w:rFonts w:hint="eastAsia"/>
          <w:color w:val="auto"/>
          <w:szCs w:val="21"/>
          <w:highlight w:val="none"/>
        </w:rPr>
        <w:t>炉，安装于F</w:t>
      </w:r>
      <w:r>
        <w:rPr>
          <w:color w:val="auto"/>
          <w:szCs w:val="21"/>
          <w:highlight w:val="none"/>
        </w:rPr>
        <w:t>1</w:t>
      </w:r>
      <w:r>
        <w:rPr>
          <w:rFonts w:hint="eastAsia"/>
          <w:color w:val="auto"/>
          <w:szCs w:val="21"/>
          <w:highlight w:val="none"/>
        </w:rPr>
        <w:t>屋面，与现有活性炭设备互为备用，管道从F1屋面接到A1洁净室；</w:t>
      </w:r>
    </w:p>
    <w:p w14:paraId="555E4BBF">
      <w:pPr>
        <w:snapToGrid w:val="0"/>
        <w:spacing w:line="360" w:lineRule="auto"/>
        <w:ind w:firstLine="480" w:firstLineChars="200"/>
        <w:contextualSpacing/>
        <w:rPr>
          <w:color w:val="auto"/>
          <w:highlight w:val="none"/>
        </w:rPr>
      </w:pPr>
      <w:r>
        <w:rPr>
          <w:color w:val="auto"/>
          <w:szCs w:val="21"/>
          <w:highlight w:val="none"/>
        </w:rPr>
        <w:t>TO</w:t>
      </w:r>
      <w:r>
        <w:rPr>
          <w:rFonts w:hint="eastAsia"/>
          <w:color w:val="auto"/>
          <w:szCs w:val="21"/>
          <w:highlight w:val="none"/>
        </w:rPr>
        <w:t>炉设备</w:t>
      </w:r>
      <w:r>
        <w:rPr>
          <w:color w:val="auto"/>
          <w:szCs w:val="21"/>
          <w:highlight w:val="none"/>
        </w:rPr>
        <w:t>包括</w:t>
      </w:r>
      <w:r>
        <w:rPr>
          <w:rFonts w:hint="eastAsia"/>
          <w:color w:val="auto"/>
          <w:szCs w:val="21"/>
          <w:highlight w:val="none"/>
        </w:rPr>
        <w:t>风机、脱附风机、燃烧炉、沸石转轮、燃烧组件</w:t>
      </w:r>
      <w:r>
        <w:rPr>
          <w:color w:val="auto"/>
          <w:szCs w:val="21"/>
          <w:highlight w:val="none"/>
        </w:rPr>
        <w:t>及控制系统等。</w:t>
      </w:r>
      <w:r>
        <w:rPr>
          <w:rFonts w:hint="eastAsia"/>
          <w:color w:val="auto"/>
          <w:szCs w:val="21"/>
          <w:highlight w:val="none"/>
        </w:rPr>
        <w:t>设备处理效率≥</w:t>
      </w:r>
      <w:r>
        <w:rPr>
          <w:color w:val="auto"/>
          <w:szCs w:val="21"/>
          <w:highlight w:val="none"/>
        </w:rPr>
        <w:t>95%</w:t>
      </w:r>
      <w:r>
        <w:rPr>
          <w:rFonts w:hint="eastAsia"/>
          <w:color w:val="auto"/>
          <w:szCs w:val="21"/>
          <w:highlight w:val="none"/>
        </w:rPr>
        <w:t>，</w:t>
      </w:r>
      <w:r>
        <w:rPr>
          <w:color w:val="auto"/>
          <w:highlight w:val="none"/>
        </w:rPr>
        <w:t>燃烧炉必须能够处理至少99%的VOC</w:t>
      </w:r>
      <w:r>
        <w:rPr>
          <w:rFonts w:hint="eastAsia"/>
          <w:color w:val="auto"/>
          <w:highlight w:val="none"/>
        </w:rPr>
        <w:t>，</w:t>
      </w:r>
      <w:r>
        <w:rPr>
          <w:color w:val="auto"/>
          <w:highlight w:val="none"/>
        </w:rPr>
        <w:t>设备控制系统采用UPS电源</w:t>
      </w:r>
      <w:r>
        <w:rPr>
          <w:rFonts w:hint="eastAsia"/>
          <w:color w:val="auto"/>
          <w:highlight w:val="none"/>
        </w:rPr>
        <w:t>，</w:t>
      </w:r>
      <w:r>
        <w:rPr>
          <w:color w:val="auto"/>
          <w:highlight w:val="none"/>
        </w:rPr>
        <w:t>风机为联轴器连接：风机材质</w:t>
      </w:r>
      <w:r>
        <w:rPr>
          <w:rFonts w:hint="eastAsia"/>
          <w:color w:val="auto"/>
          <w:highlight w:val="none"/>
        </w:rPr>
        <w:t>为</w:t>
      </w:r>
      <w:r>
        <w:rPr>
          <w:color w:val="auto"/>
          <w:highlight w:val="none"/>
        </w:rPr>
        <w:t>不锈钢，风机静压效率不得低于80%</w:t>
      </w:r>
      <w:r>
        <w:rPr>
          <w:rFonts w:hint="eastAsia"/>
          <w:color w:val="auto"/>
          <w:highlight w:val="none"/>
        </w:rPr>
        <w:t>；</w:t>
      </w:r>
    </w:p>
    <w:p w14:paraId="1D8CD17B">
      <w:pPr>
        <w:snapToGrid w:val="0"/>
        <w:spacing w:line="360" w:lineRule="auto"/>
        <w:ind w:firstLine="480" w:firstLineChars="200"/>
        <w:contextualSpacing/>
        <w:rPr>
          <w:color w:val="auto"/>
          <w:highlight w:val="none"/>
        </w:rPr>
      </w:pPr>
      <w:r>
        <w:rPr>
          <w:color w:val="auto"/>
          <w:highlight w:val="none"/>
        </w:rPr>
        <w:t>燃烧炉使用能源为天然气，天然气管道材质碳钢钢管，每台燃烧塔均需要配置天然气 减压及计量装置</w:t>
      </w:r>
      <w:r>
        <w:rPr>
          <w:rFonts w:hint="eastAsia"/>
          <w:color w:val="auto"/>
          <w:highlight w:val="none"/>
        </w:rPr>
        <w:t>；</w:t>
      </w:r>
    </w:p>
    <w:p w14:paraId="3E4D0F29">
      <w:pPr>
        <w:snapToGrid w:val="0"/>
        <w:spacing w:line="360" w:lineRule="auto"/>
        <w:ind w:firstLine="480" w:firstLineChars="200"/>
        <w:contextualSpacing/>
        <w:rPr>
          <w:color w:val="auto"/>
          <w:highlight w:val="none"/>
        </w:rPr>
      </w:pPr>
      <w:r>
        <w:rPr>
          <w:rFonts w:hint="eastAsia"/>
          <w:color w:val="auto"/>
          <w:highlight w:val="none"/>
        </w:rPr>
        <w:t>所有运行数据传输至厂务F</w:t>
      </w:r>
      <w:r>
        <w:rPr>
          <w:color w:val="auto"/>
          <w:highlight w:val="none"/>
        </w:rPr>
        <w:t>MCS</w:t>
      </w:r>
      <w:r>
        <w:rPr>
          <w:rFonts w:hint="eastAsia"/>
          <w:color w:val="auto"/>
          <w:highlight w:val="none"/>
        </w:rPr>
        <w:t>系统；</w:t>
      </w:r>
    </w:p>
    <w:p w14:paraId="2D4B6991">
      <w:pPr>
        <w:snapToGrid w:val="0"/>
        <w:spacing w:line="360" w:lineRule="auto"/>
        <w:ind w:firstLine="480" w:firstLineChars="200"/>
        <w:contextualSpacing/>
        <w:rPr>
          <w:color w:val="auto"/>
          <w:szCs w:val="21"/>
          <w:highlight w:val="none"/>
        </w:rPr>
      </w:pPr>
      <w:r>
        <w:rPr>
          <w:rFonts w:hint="eastAsia"/>
          <w:color w:val="auto"/>
          <w:szCs w:val="21"/>
          <w:highlight w:val="none"/>
        </w:rPr>
        <w:t>配套废气在线监测站房/监测设备及联网验收等属于工程范围</w:t>
      </w:r>
      <w:r>
        <w:rPr>
          <w:color w:val="auto"/>
          <w:szCs w:val="21"/>
          <w:highlight w:val="none"/>
        </w:rPr>
        <w:t>。</w:t>
      </w:r>
    </w:p>
    <w:p w14:paraId="411DB911">
      <w:pPr>
        <w:pStyle w:val="47"/>
        <w:numPr>
          <w:ilvl w:val="0"/>
          <w:numId w:val="28"/>
        </w:numPr>
        <w:snapToGrid w:val="0"/>
        <w:spacing w:line="360" w:lineRule="auto"/>
        <w:ind w:firstLineChars="0"/>
        <w:contextualSpacing/>
        <w:jc w:val="left"/>
        <w:rPr>
          <w:b/>
          <w:color w:val="auto"/>
          <w:szCs w:val="21"/>
          <w:highlight w:val="none"/>
        </w:rPr>
      </w:pPr>
      <w:r>
        <w:rPr>
          <w:b/>
          <w:color w:val="auto"/>
          <w:szCs w:val="21"/>
          <w:highlight w:val="none"/>
        </w:rPr>
        <w:t>清扫真空系统</w:t>
      </w:r>
    </w:p>
    <w:p w14:paraId="2C518F67">
      <w:pPr>
        <w:snapToGrid w:val="0"/>
        <w:spacing w:line="360" w:lineRule="auto"/>
        <w:ind w:firstLine="480" w:firstLineChars="200"/>
        <w:contextualSpacing/>
        <w:rPr>
          <w:color w:val="auto"/>
          <w:szCs w:val="21"/>
          <w:highlight w:val="none"/>
        </w:rPr>
      </w:pPr>
      <w:r>
        <w:rPr>
          <w:color w:val="auto"/>
          <w:szCs w:val="21"/>
          <w:highlight w:val="none"/>
        </w:rPr>
        <w:t>清</w:t>
      </w:r>
      <w:r>
        <w:rPr>
          <w:rFonts w:hint="eastAsia"/>
          <w:color w:val="auto"/>
          <w:szCs w:val="21"/>
          <w:highlight w:val="none"/>
        </w:rPr>
        <w:t>扫</w:t>
      </w:r>
      <w:r>
        <w:rPr>
          <w:color w:val="auto"/>
          <w:szCs w:val="21"/>
          <w:highlight w:val="none"/>
        </w:rPr>
        <w:t>真空</w:t>
      </w:r>
      <w:r>
        <w:rPr>
          <w:rFonts w:hint="eastAsia"/>
          <w:color w:val="auto"/>
          <w:szCs w:val="21"/>
          <w:highlight w:val="none"/>
        </w:rPr>
        <w:t>系统</w:t>
      </w:r>
      <w:r>
        <w:rPr>
          <w:color w:val="auto"/>
          <w:szCs w:val="21"/>
          <w:highlight w:val="none"/>
        </w:rPr>
        <w:t>放置在</w:t>
      </w:r>
      <w:r>
        <w:rPr>
          <w:rFonts w:hint="eastAsia"/>
          <w:color w:val="auto"/>
          <w:szCs w:val="21"/>
          <w:highlight w:val="none"/>
        </w:rPr>
        <w:t>A</w:t>
      </w:r>
      <w:r>
        <w:rPr>
          <w:color w:val="auto"/>
          <w:szCs w:val="21"/>
          <w:highlight w:val="none"/>
        </w:rPr>
        <w:t>1</w:t>
      </w:r>
      <w:r>
        <w:rPr>
          <w:rFonts w:hint="eastAsia"/>
          <w:color w:val="auto"/>
          <w:szCs w:val="21"/>
          <w:highlight w:val="none"/>
        </w:rPr>
        <w:t>-</w:t>
      </w:r>
      <w:r>
        <w:rPr>
          <w:color w:val="auto"/>
          <w:szCs w:val="21"/>
          <w:highlight w:val="none"/>
        </w:rPr>
        <w:t>1F用于洁净室区</w:t>
      </w:r>
      <w:r>
        <w:rPr>
          <w:rFonts w:hint="eastAsia"/>
          <w:color w:val="auto"/>
          <w:szCs w:val="21"/>
          <w:highlight w:val="none"/>
        </w:rPr>
        <w:t>设备</w:t>
      </w:r>
      <w:r>
        <w:rPr>
          <w:color w:val="auto"/>
          <w:szCs w:val="21"/>
          <w:highlight w:val="none"/>
        </w:rPr>
        <w:t>清扫</w:t>
      </w:r>
      <w:r>
        <w:rPr>
          <w:rFonts w:hint="eastAsia"/>
          <w:color w:val="auto"/>
          <w:szCs w:val="21"/>
          <w:highlight w:val="none"/>
        </w:rPr>
        <w:t>使</w:t>
      </w:r>
      <w:r>
        <w:rPr>
          <w:color w:val="auto"/>
          <w:szCs w:val="21"/>
          <w:highlight w:val="none"/>
        </w:rPr>
        <w:t>用。系统末端需求布置按照均匀布置，以保证在</w:t>
      </w:r>
      <w:r>
        <w:rPr>
          <w:rFonts w:hint="eastAsia"/>
          <w:color w:val="auto"/>
          <w:szCs w:val="21"/>
          <w:highlight w:val="none"/>
        </w:rPr>
        <w:t>生产</w:t>
      </w:r>
      <w:r>
        <w:rPr>
          <w:color w:val="auto"/>
          <w:szCs w:val="21"/>
          <w:highlight w:val="none"/>
        </w:rPr>
        <w:t>区域一定范围内均有清洁真空点可使用。</w:t>
      </w:r>
      <w:r>
        <w:rPr>
          <w:rFonts w:hint="eastAsia"/>
          <w:color w:val="auto"/>
          <w:szCs w:val="21"/>
          <w:highlight w:val="none"/>
        </w:rPr>
        <w:t>要求末端负压≤</w:t>
      </w:r>
      <w:r>
        <w:rPr>
          <w:color w:val="auto"/>
          <w:szCs w:val="21"/>
          <w:highlight w:val="none"/>
        </w:rPr>
        <w:t>-20kpa</w:t>
      </w:r>
      <w:r>
        <w:rPr>
          <w:rFonts w:hint="eastAsia"/>
          <w:color w:val="auto"/>
          <w:szCs w:val="21"/>
          <w:highlight w:val="none"/>
        </w:rPr>
        <w:t>。</w:t>
      </w:r>
    </w:p>
    <w:p w14:paraId="4FF72E2B">
      <w:pPr>
        <w:snapToGrid w:val="0"/>
        <w:spacing w:line="360" w:lineRule="auto"/>
        <w:ind w:firstLine="480" w:firstLineChars="200"/>
        <w:contextualSpacing/>
        <w:rPr>
          <w:color w:val="auto"/>
          <w:szCs w:val="21"/>
          <w:highlight w:val="none"/>
        </w:rPr>
      </w:pPr>
      <w:r>
        <w:rPr>
          <w:color w:val="auto"/>
          <w:szCs w:val="21"/>
          <w:highlight w:val="none"/>
        </w:rPr>
        <w:t>采用N+1 的设计概念。</w:t>
      </w:r>
    </w:p>
    <w:p w14:paraId="58B319F6">
      <w:pPr>
        <w:snapToGrid w:val="0"/>
        <w:spacing w:line="360" w:lineRule="auto"/>
        <w:ind w:firstLine="482" w:firstLineChars="200"/>
        <w:contextualSpacing/>
        <w:rPr>
          <w:b/>
          <w:color w:val="auto"/>
          <w:szCs w:val="21"/>
          <w:highlight w:val="none"/>
        </w:rPr>
      </w:pPr>
      <w:r>
        <w:rPr>
          <w:b/>
          <w:color w:val="auto"/>
          <w:szCs w:val="21"/>
          <w:highlight w:val="none"/>
        </w:rPr>
        <w:t>纯水、生产废水处理系统及回收系统</w:t>
      </w:r>
    </w:p>
    <w:p w14:paraId="69F7D33F">
      <w:pPr>
        <w:pStyle w:val="47"/>
        <w:numPr>
          <w:ilvl w:val="0"/>
          <w:numId w:val="29"/>
        </w:numPr>
        <w:snapToGrid w:val="0"/>
        <w:spacing w:line="360" w:lineRule="auto"/>
        <w:ind w:firstLineChars="0"/>
        <w:contextualSpacing/>
        <w:jc w:val="left"/>
        <w:rPr>
          <w:color w:val="auto"/>
          <w:szCs w:val="21"/>
          <w:highlight w:val="none"/>
        </w:rPr>
      </w:pPr>
      <w:r>
        <w:rPr>
          <w:color w:val="auto"/>
          <w:szCs w:val="21"/>
          <w:highlight w:val="none"/>
        </w:rPr>
        <w:t>纯水及回收系统</w:t>
      </w:r>
    </w:p>
    <w:p w14:paraId="637012C4">
      <w:pPr>
        <w:snapToGrid w:val="0"/>
        <w:spacing w:line="360" w:lineRule="auto"/>
        <w:ind w:firstLine="480" w:firstLineChars="200"/>
        <w:contextualSpacing/>
        <w:rPr>
          <w:color w:val="auto"/>
          <w:szCs w:val="21"/>
          <w:highlight w:val="none"/>
        </w:rPr>
      </w:pPr>
      <w:r>
        <w:rPr>
          <w:color w:val="auto"/>
          <w:szCs w:val="21"/>
          <w:highlight w:val="none"/>
        </w:rPr>
        <w:t>主要包括</w:t>
      </w:r>
      <w:r>
        <w:rPr>
          <w:rFonts w:hint="eastAsia"/>
          <w:color w:val="auto"/>
          <w:szCs w:val="21"/>
          <w:highlight w:val="none"/>
        </w:rPr>
        <w:t>增加EDI及后续设备（供应生产及集中供液区）。</w:t>
      </w:r>
    </w:p>
    <w:tbl>
      <w:tblPr>
        <w:tblStyle w:val="23"/>
        <w:tblW w:w="8350" w:type="dxa"/>
        <w:jc w:val="center"/>
        <w:shd w:val="clear" w:color="auto" w:fill="FFFFFF"/>
        <w:tblLayout w:type="fixed"/>
        <w:tblCellMar>
          <w:top w:w="0" w:type="dxa"/>
          <w:left w:w="0" w:type="dxa"/>
          <w:bottom w:w="0" w:type="dxa"/>
          <w:right w:w="0" w:type="dxa"/>
        </w:tblCellMar>
      </w:tblPr>
      <w:tblGrid>
        <w:gridCol w:w="2873"/>
        <w:gridCol w:w="2554"/>
        <w:gridCol w:w="2923"/>
      </w:tblGrid>
      <w:tr w14:paraId="484D7F47">
        <w:tblPrEx>
          <w:tblCellMar>
            <w:top w:w="0" w:type="dxa"/>
            <w:left w:w="0" w:type="dxa"/>
            <w:bottom w:w="0" w:type="dxa"/>
            <w:right w:w="0" w:type="dxa"/>
          </w:tblCellMar>
        </w:tblPrEx>
        <w:trPr>
          <w:trHeight w:val="333" w:hRule="atLeast"/>
          <w:jc w:val="center"/>
        </w:trPr>
        <w:tc>
          <w:tcPr>
            <w:tcW w:w="287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D8CE535">
            <w:pPr>
              <w:widowControl/>
              <w:snapToGrid w:val="0"/>
              <w:contextualSpacing/>
              <w:jc w:val="center"/>
              <w:rPr>
                <w:color w:val="auto"/>
                <w:szCs w:val="21"/>
                <w:highlight w:val="none"/>
              </w:rPr>
            </w:pPr>
            <w:r>
              <w:rPr>
                <w:b/>
                <w:bCs/>
                <w:color w:val="auto"/>
                <w:szCs w:val="21"/>
                <w:highlight w:val="none"/>
              </w:rPr>
              <w:t>内容</w:t>
            </w:r>
          </w:p>
        </w:tc>
        <w:tc>
          <w:tcPr>
            <w:tcW w:w="255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14213B3">
            <w:pPr>
              <w:widowControl/>
              <w:snapToGrid w:val="0"/>
              <w:contextualSpacing/>
              <w:jc w:val="center"/>
              <w:rPr>
                <w:color w:val="auto"/>
                <w:szCs w:val="21"/>
                <w:highlight w:val="none"/>
              </w:rPr>
            </w:pPr>
            <w:r>
              <w:rPr>
                <w:b/>
                <w:bCs/>
                <w:color w:val="auto"/>
                <w:szCs w:val="21"/>
                <w:highlight w:val="none"/>
              </w:rPr>
              <w:t>单位</w:t>
            </w:r>
          </w:p>
        </w:tc>
        <w:tc>
          <w:tcPr>
            <w:tcW w:w="292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EFA6DA7">
            <w:pPr>
              <w:widowControl/>
              <w:snapToGrid w:val="0"/>
              <w:contextualSpacing/>
              <w:jc w:val="center"/>
              <w:rPr>
                <w:color w:val="auto"/>
                <w:szCs w:val="21"/>
                <w:highlight w:val="none"/>
              </w:rPr>
            </w:pPr>
            <w:r>
              <w:rPr>
                <w:b/>
                <w:bCs/>
                <w:color w:val="auto"/>
                <w:szCs w:val="21"/>
                <w:highlight w:val="none"/>
              </w:rPr>
              <w:t>规格</w:t>
            </w:r>
          </w:p>
        </w:tc>
      </w:tr>
      <w:tr w14:paraId="6BB48644">
        <w:tblPrEx>
          <w:tblCellMar>
            <w:top w:w="0" w:type="dxa"/>
            <w:left w:w="0" w:type="dxa"/>
            <w:bottom w:w="0" w:type="dxa"/>
            <w:right w:w="0" w:type="dxa"/>
          </w:tblCellMar>
        </w:tblPrEx>
        <w:trPr>
          <w:trHeight w:val="695" w:hRule="atLeast"/>
          <w:jc w:val="center"/>
        </w:trPr>
        <w:tc>
          <w:tcPr>
            <w:tcW w:w="287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018A367">
            <w:pPr>
              <w:widowControl/>
              <w:snapToGrid w:val="0"/>
              <w:contextualSpacing/>
              <w:jc w:val="center"/>
              <w:rPr>
                <w:color w:val="auto"/>
                <w:szCs w:val="21"/>
                <w:highlight w:val="none"/>
              </w:rPr>
            </w:pPr>
            <w:r>
              <w:rPr>
                <w:color w:val="auto"/>
                <w:szCs w:val="21"/>
                <w:highlight w:val="none"/>
              </w:rPr>
              <w:t>装设容量</w:t>
            </w:r>
          </w:p>
        </w:tc>
        <w:tc>
          <w:tcPr>
            <w:tcW w:w="255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C4193BD">
            <w:pPr>
              <w:widowControl/>
              <w:snapToGrid w:val="0"/>
              <w:contextualSpacing/>
              <w:jc w:val="center"/>
              <w:rPr>
                <w:color w:val="auto"/>
                <w:szCs w:val="21"/>
                <w:highlight w:val="none"/>
              </w:rPr>
            </w:pPr>
            <w:r>
              <w:rPr>
                <w:color w:val="auto"/>
                <w:szCs w:val="21"/>
                <w:highlight w:val="none"/>
              </w:rPr>
              <w:t>m</w:t>
            </w:r>
            <w:r>
              <w:rPr>
                <w:color w:val="auto"/>
                <w:szCs w:val="21"/>
                <w:highlight w:val="none"/>
                <w:vertAlign w:val="superscript"/>
              </w:rPr>
              <w:t>3</w:t>
            </w:r>
            <w:r>
              <w:rPr>
                <w:color w:val="auto"/>
                <w:szCs w:val="21"/>
                <w:highlight w:val="none"/>
              </w:rPr>
              <w:t>/h</w:t>
            </w:r>
          </w:p>
        </w:tc>
        <w:tc>
          <w:tcPr>
            <w:tcW w:w="292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ACD9405">
            <w:pPr>
              <w:widowControl/>
              <w:snapToGrid w:val="0"/>
              <w:contextualSpacing/>
              <w:jc w:val="center"/>
              <w:rPr>
                <w:color w:val="auto"/>
                <w:szCs w:val="21"/>
                <w:highlight w:val="none"/>
              </w:rPr>
            </w:pPr>
            <w:r>
              <w:rPr>
                <w:rFonts w:hint="eastAsia"/>
                <w:color w:val="auto"/>
                <w:szCs w:val="21"/>
                <w:highlight w:val="none"/>
              </w:rPr>
              <w:t>1</w:t>
            </w:r>
            <w:r>
              <w:rPr>
                <w:color w:val="auto"/>
                <w:szCs w:val="21"/>
                <w:highlight w:val="none"/>
              </w:rPr>
              <w:t>40</w:t>
            </w:r>
          </w:p>
        </w:tc>
      </w:tr>
      <w:tr w14:paraId="635E10F1">
        <w:tblPrEx>
          <w:tblCellMar>
            <w:top w:w="0" w:type="dxa"/>
            <w:left w:w="0" w:type="dxa"/>
            <w:bottom w:w="0" w:type="dxa"/>
            <w:right w:w="0" w:type="dxa"/>
          </w:tblCellMar>
        </w:tblPrEx>
        <w:trPr>
          <w:trHeight w:val="333" w:hRule="atLeast"/>
          <w:jc w:val="center"/>
        </w:trPr>
        <w:tc>
          <w:tcPr>
            <w:tcW w:w="287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78FC1B0">
            <w:pPr>
              <w:widowControl/>
              <w:snapToGrid w:val="0"/>
              <w:contextualSpacing/>
              <w:jc w:val="center"/>
              <w:rPr>
                <w:color w:val="auto"/>
                <w:szCs w:val="21"/>
                <w:highlight w:val="none"/>
              </w:rPr>
            </w:pPr>
            <w:r>
              <w:rPr>
                <w:color w:val="auto"/>
                <w:szCs w:val="21"/>
                <w:highlight w:val="none"/>
              </w:rPr>
              <w:t>电阻率(@25</w:t>
            </w:r>
            <w:r>
              <w:rPr>
                <w:rFonts w:hint="eastAsia" w:ascii="宋体" w:hAnsi="宋体" w:cs="宋体"/>
                <w:color w:val="auto"/>
                <w:szCs w:val="21"/>
                <w:highlight w:val="none"/>
              </w:rPr>
              <w:t>℃</w:t>
            </w:r>
            <w:r>
              <w:rPr>
                <w:color w:val="auto"/>
                <w:szCs w:val="21"/>
                <w:highlight w:val="none"/>
              </w:rPr>
              <w:t>)</w:t>
            </w:r>
          </w:p>
        </w:tc>
        <w:tc>
          <w:tcPr>
            <w:tcW w:w="255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1062E77">
            <w:pPr>
              <w:widowControl/>
              <w:snapToGrid w:val="0"/>
              <w:contextualSpacing/>
              <w:jc w:val="center"/>
              <w:rPr>
                <w:color w:val="auto"/>
                <w:szCs w:val="21"/>
                <w:highlight w:val="none"/>
              </w:rPr>
            </w:pPr>
            <w:r>
              <w:rPr>
                <w:color w:val="auto"/>
                <w:szCs w:val="21"/>
                <w:highlight w:val="none"/>
              </w:rPr>
              <w:t>MΩ</w:t>
            </w:r>
            <w:r>
              <w:rPr>
                <w:rFonts w:eastAsia="MS Mincho"/>
                <w:color w:val="auto"/>
                <w:szCs w:val="21"/>
                <w:highlight w:val="none"/>
              </w:rPr>
              <w:t>･</w:t>
            </w:r>
            <w:r>
              <w:rPr>
                <w:color w:val="auto"/>
                <w:szCs w:val="21"/>
                <w:highlight w:val="none"/>
              </w:rPr>
              <w:t>cm</w:t>
            </w:r>
          </w:p>
        </w:tc>
        <w:tc>
          <w:tcPr>
            <w:tcW w:w="292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531678B">
            <w:pPr>
              <w:widowControl/>
              <w:snapToGrid w:val="0"/>
              <w:contextualSpacing/>
              <w:jc w:val="center"/>
              <w:rPr>
                <w:color w:val="auto"/>
                <w:szCs w:val="21"/>
                <w:highlight w:val="none"/>
              </w:rPr>
            </w:pPr>
            <w:r>
              <w:rPr>
                <w:color w:val="auto"/>
                <w:szCs w:val="21"/>
                <w:highlight w:val="none"/>
              </w:rPr>
              <w:t>&gt;=18</w:t>
            </w:r>
          </w:p>
        </w:tc>
      </w:tr>
      <w:tr w14:paraId="1BBA5E95">
        <w:tblPrEx>
          <w:tblCellMar>
            <w:top w:w="0" w:type="dxa"/>
            <w:left w:w="0" w:type="dxa"/>
            <w:bottom w:w="0" w:type="dxa"/>
            <w:right w:w="0" w:type="dxa"/>
          </w:tblCellMar>
        </w:tblPrEx>
        <w:trPr>
          <w:trHeight w:val="348" w:hRule="atLeast"/>
          <w:jc w:val="center"/>
        </w:trPr>
        <w:tc>
          <w:tcPr>
            <w:tcW w:w="287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ABCD866">
            <w:pPr>
              <w:widowControl/>
              <w:snapToGrid w:val="0"/>
              <w:contextualSpacing/>
              <w:jc w:val="center"/>
              <w:rPr>
                <w:color w:val="auto"/>
                <w:szCs w:val="21"/>
                <w:highlight w:val="none"/>
              </w:rPr>
            </w:pPr>
            <w:r>
              <w:rPr>
                <w:color w:val="auto"/>
                <w:szCs w:val="21"/>
                <w:highlight w:val="none"/>
              </w:rPr>
              <w:t>温度</w:t>
            </w:r>
          </w:p>
        </w:tc>
        <w:tc>
          <w:tcPr>
            <w:tcW w:w="255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9C69BA5">
            <w:pPr>
              <w:widowControl/>
              <w:snapToGrid w:val="0"/>
              <w:contextualSpacing/>
              <w:jc w:val="center"/>
              <w:rPr>
                <w:color w:val="auto"/>
                <w:szCs w:val="21"/>
                <w:highlight w:val="none"/>
              </w:rPr>
            </w:pPr>
            <w:r>
              <w:rPr>
                <w:rFonts w:hint="eastAsia" w:ascii="宋体" w:hAnsi="宋体" w:cs="宋体"/>
                <w:color w:val="auto"/>
                <w:szCs w:val="21"/>
                <w:highlight w:val="none"/>
              </w:rPr>
              <w:t>℃</w:t>
            </w:r>
          </w:p>
        </w:tc>
        <w:tc>
          <w:tcPr>
            <w:tcW w:w="292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34DD392">
            <w:pPr>
              <w:widowControl/>
              <w:snapToGrid w:val="0"/>
              <w:contextualSpacing/>
              <w:jc w:val="center"/>
              <w:rPr>
                <w:color w:val="auto"/>
                <w:szCs w:val="21"/>
                <w:highlight w:val="none"/>
              </w:rPr>
            </w:pPr>
            <w:r>
              <w:rPr>
                <w:color w:val="auto"/>
                <w:szCs w:val="21"/>
                <w:highlight w:val="none"/>
              </w:rPr>
              <w:t>21±2</w:t>
            </w:r>
          </w:p>
        </w:tc>
      </w:tr>
      <w:tr w14:paraId="61DABA27">
        <w:tblPrEx>
          <w:tblCellMar>
            <w:top w:w="0" w:type="dxa"/>
            <w:left w:w="0" w:type="dxa"/>
            <w:bottom w:w="0" w:type="dxa"/>
            <w:right w:w="0" w:type="dxa"/>
          </w:tblCellMar>
        </w:tblPrEx>
        <w:trPr>
          <w:trHeight w:val="597" w:hRule="atLeast"/>
          <w:jc w:val="center"/>
        </w:trPr>
        <w:tc>
          <w:tcPr>
            <w:tcW w:w="287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7CB4C19">
            <w:pPr>
              <w:widowControl/>
              <w:snapToGrid w:val="0"/>
              <w:contextualSpacing/>
              <w:jc w:val="center"/>
              <w:rPr>
                <w:color w:val="auto"/>
                <w:szCs w:val="21"/>
                <w:highlight w:val="none"/>
              </w:rPr>
            </w:pPr>
            <w:r>
              <w:rPr>
                <w:color w:val="auto"/>
                <w:szCs w:val="21"/>
                <w:highlight w:val="none"/>
              </w:rPr>
              <w:t>使用点压力</w:t>
            </w:r>
          </w:p>
        </w:tc>
        <w:tc>
          <w:tcPr>
            <w:tcW w:w="255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D335059">
            <w:pPr>
              <w:widowControl/>
              <w:snapToGrid w:val="0"/>
              <w:contextualSpacing/>
              <w:jc w:val="center"/>
              <w:rPr>
                <w:color w:val="auto"/>
                <w:szCs w:val="21"/>
                <w:highlight w:val="none"/>
              </w:rPr>
            </w:pPr>
            <w:r>
              <w:rPr>
                <w:color w:val="auto"/>
                <w:szCs w:val="21"/>
                <w:highlight w:val="none"/>
              </w:rPr>
              <w:t>MPa</w:t>
            </w:r>
          </w:p>
        </w:tc>
        <w:tc>
          <w:tcPr>
            <w:tcW w:w="292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49E2413">
            <w:pPr>
              <w:widowControl/>
              <w:snapToGrid w:val="0"/>
              <w:contextualSpacing/>
              <w:jc w:val="center"/>
              <w:rPr>
                <w:color w:val="auto"/>
                <w:szCs w:val="21"/>
                <w:highlight w:val="none"/>
              </w:rPr>
            </w:pPr>
            <w:r>
              <w:rPr>
                <w:color w:val="auto"/>
                <w:szCs w:val="21"/>
                <w:highlight w:val="none"/>
              </w:rPr>
              <w:t>0.5±0.1</w:t>
            </w:r>
          </w:p>
        </w:tc>
      </w:tr>
      <w:tr w14:paraId="3719ABD3">
        <w:tblPrEx>
          <w:tblCellMar>
            <w:top w:w="0" w:type="dxa"/>
            <w:left w:w="0" w:type="dxa"/>
            <w:bottom w:w="0" w:type="dxa"/>
            <w:right w:w="0" w:type="dxa"/>
          </w:tblCellMar>
        </w:tblPrEx>
        <w:trPr>
          <w:trHeight w:val="597" w:hRule="atLeast"/>
          <w:jc w:val="center"/>
        </w:trPr>
        <w:tc>
          <w:tcPr>
            <w:tcW w:w="287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F244E6D">
            <w:pPr>
              <w:widowControl/>
              <w:snapToGrid w:val="0"/>
              <w:contextualSpacing/>
              <w:jc w:val="center"/>
              <w:rPr>
                <w:color w:val="auto"/>
                <w:szCs w:val="21"/>
                <w:highlight w:val="none"/>
              </w:rPr>
            </w:pPr>
            <w:r>
              <w:rPr>
                <w:rFonts w:hint="eastAsia"/>
                <w:color w:val="auto"/>
                <w:szCs w:val="21"/>
                <w:highlight w:val="none"/>
              </w:rPr>
              <w:t>T</w:t>
            </w:r>
            <w:r>
              <w:rPr>
                <w:color w:val="auto"/>
                <w:szCs w:val="21"/>
                <w:highlight w:val="none"/>
              </w:rPr>
              <w:t>OC</w:t>
            </w:r>
          </w:p>
        </w:tc>
        <w:tc>
          <w:tcPr>
            <w:tcW w:w="255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EE1606C">
            <w:pPr>
              <w:widowControl/>
              <w:snapToGrid w:val="0"/>
              <w:contextualSpacing/>
              <w:jc w:val="center"/>
              <w:rPr>
                <w:color w:val="auto"/>
                <w:szCs w:val="21"/>
                <w:highlight w:val="none"/>
              </w:rPr>
            </w:pPr>
            <w:r>
              <w:rPr>
                <w:rFonts w:hint="eastAsia"/>
                <w:color w:val="auto"/>
                <w:szCs w:val="21"/>
                <w:highlight w:val="none"/>
              </w:rPr>
              <w:t>p</w:t>
            </w:r>
            <w:r>
              <w:rPr>
                <w:color w:val="auto"/>
                <w:szCs w:val="21"/>
                <w:highlight w:val="none"/>
              </w:rPr>
              <w:t>pb</w:t>
            </w:r>
          </w:p>
        </w:tc>
        <w:tc>
          <w:tcPr>
            <w:tcW w:w="292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73CEB3F">
            <w:pPr>
              <w:widowControl/>
              <w:snapToGrid w:val="0"/>
              <w:contextualSpacing/>
              <w:jc w:val="center"/>
              <w:rPr>
                <w:color w:val="auto"/>
                <w:szCs w:val="21"/>
                <w:highlight w:val="none"/>
              </w:rPr>
            </w:pPr>
            <w:r>
              <w:rPr>
                <w:rFonts w:hint="eastAsia"/>
                <w:color w:val="auto"/>
                <w:szCs w:val="21"/>
                <w:highlight w:val="none"/>
              </w:rPr>
              <w:t>＜2</w:t>
            </w:r>
            <w:r>
              <w:rPr>
                <w:color w:val="auto"/>
                <w:szCs w:val="21"/>
                <w:highlight w:val="none"/>
              </w:rPr>
              <w:t>0</w:t>
            </w:r>
          </w:p>
        </w:tc>
      </w:tr>
      <w:tr w14:paraId="2D6C23C1">
        <w:tblPrEx>
          <w:tblCellMar>
            <w:top w:w="0" w:type="dxa"/>
            <w:left w:w="0" w:type="dxa"/>
            <w:bottom w:w="0" w:type="dxa"/>
            <w:right w:w="0" w:type="dxa"/>
          </w:tblCellMar>
        </w:tblPrEx>
        <w:trPr>
          <w:trHeight w:val="597" w:hRule="atLeast"/>
          <w:jc w:val="center"/>
        </w:trPr>
        <w:tc>
          <w:tcPr>
            <w:tcW w:w="287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EE1929E">
            <w:pPr>
              <w:widowControl/>
              <w:snapToGrid w:val="0"/>
              <w:contextualSpacing/>
              <w:jc w:val="center"/>
              <w:rPr>
                <w:color w:val="auto"/>
                <w:szCs w:val="21"/>
                <w:highlight w:val="none"/>
              </w:rPr>
            </w:pPr>
            <w:r>
              <w:rPr>
                <w:rFonts w:hint="eastAsia" w:eastAsia="等线"/>
                <w:color w:val="auto"/>
                <w:highlight w:val="none"/>
              </w:rPr>
              <w:t>Pa</w:t>
            </w:r>
            <w:r>
              <w:rPr>
                <w:rFonts w:eastAsia="等线"/>
                <w:color w:val="auto"/>
                <w:highlight w:val="none"/>
              </w:rPr>
              <w:t>rticle</w:t>
            </w:r>
          </w:p>
        </w:tc>
        <w:tc>
          <w:tcPr>
            <w:tcW w:w="255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EC2B6DA">
            <w:pPr>
              <w:widowControl/>
              <w:snapToGrid w:val="0"/>
              <w:contextualSpacing/>
              <w:jc w:val="center"/>
              <w:rPr>
                <w:color w:val="auto"/>
                <w:szCs w:val="21"/>
                <w:highlight w:val="none"/>
              </w:rPr>
            </w:pPr>
            <w:r>
              <w:rPr>
                <w:rFonts w:hint="eastAsia" w:eastAsia="等线"/>
                <w:color w:val="auto"/>
                <w:highlight w:val="none"/>
              </w:rPr>
              <w:t>个/</w:t>
            </w:r>
            <w:r>
              <w:rPr>
                <w:rFonts w:eastAsia="等线"/>
                <w:color w:val="auto"/>
                <w:highlight w:val="none"/>
              </w:rPr>
              <w:t>L</w:t>
            </w:r>
          </w:p>
        </w:tc>
        <w:tc>
          <w:tcPr>
            <w:tcW w:w="2923"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6EEDA1FC">
            <w:pPr>
              <w:spacing w:line="259" w:lineRule="auto"/>
              <w:ind w:left="108"/>
              <w:jc w:val="center"/>
              <w:rPr>
                <w:rFonts w:eastAsia="等线"/>
                <w:color w:val="auto"/>
                <w:highlight w:val="none"/>
              </w:rPr>
            </w:pPr>
            <w:r>
              <w:rPr>
                <w:rFonts w:hint="eastAsia" w:eastAsia="等线"/>
                <w:color w:val="auto"/>
                <w:highlight w:val="none"/>
              </w:rPr>
              <w:t>0</w:t>
            </w:r>
            <w:r>
              <w:rPr>
                <w:rFonts w:eastAsia="等线"/>
                <w:color w:val="auto"/>
                <w:highlight w:val="none"/>
              </w:rPr>
              <w:t>.1</w:t>
            </w:r>
            <w:r>
              <w:rPr>
                <w:rFonts w:hint="eastAsia" w:eastAsia="等线"/>
                <w:color w:val="auto"/>
                <w:highlight w:val="none"/>
              </w:rPr>
              <w:t>微米＜1</w:t>
            </w:r>
            <w:r>
              <w:rPr>
                <w:rFonts w:eastAsia="等线"/>
                <w:color w:val="auto"/>
                <w:highlight w:val="none"/>
              </w:rPr>
              <w:t>0</w:t>
            </w:r>
            <w:r>
              <w:rPr>
                <w:rFonts w:hint="eastAsia" w:eastAsia="等线"/>
                <w:color w:val="auto"/>
                <w:highlight w:val="none"/>
              </w:rPr>
              <w:t>颗</w:t>
            </w:r>
          </w:p>
        </w:tc>
      </w:tr>
    </w:tbl>
    <w:p w14:paraId="28A46979">
      <w:pPr>
        <w:snapToGrid w:val="0"/>
        <w:spacing w:line="360" w:lineRule="auto"/>
        <w:ind w:firstLine="480" w:firstLineChars="200"/>
        <w:contextualSpacing/>
        <w:rPr>
          <w:color w:val="auto"/>
          <w:szCs w:val="21"/>
          <w:highlight w:val="none"/>
        </w:rPr>
      </w:pPr>
    </w:p>
    <w:p w14:paraId="466F0FF0">
      <w:pPr>
        <w:pStyle w:val="47"/>
        <w:numPr>
          <w:ilvl w:val="0"/>
          <w:numId w:val="29"/>
        </w:numPr>
        <w:snapToGrid w:val="0"/>
        <w:spacing w:line="360" w:lineRule="auto"/>
        <w:ind w:firstLineChars="0"/>
        <w:contextualSpacing/>
        <w:jc w:val="left"/>
        <w:rPr>
          <w:color w:val="auto"/>
          <w:szCs w:val="21"/>
          <w:highlight w:val="none"/>
        </w:rPr>
      </w:pPr>
      <w:r>
        <w:rPr>
          <w:color w:val="auto"/>
          <w:szCs w:val="21"/>
          <w:highlight w:val="none"/>
        </w:rPr>
        <w:t>生产废水处理系统</w:t>
      </w:r>
    </w:p>
    <w:p w14:paraId="2DC340E2">
      <w:pPr>
        <w:snapToGrid w:val="0"/>
        <w:spacing w:line="360" w:lineRule="auto"/>
        <w:ind w:firstLine="480" w:firstLineChars="200"/>
        <w:contextualSpacing/>
        <w:rPr>
          <w:color w:val="auto"/>
          <w:szCs w:val="21"/>
          <w:highlight w:val="none"/>
        </w:rPr>
      </w:pPr>
      <w:r>
        <w:rPr>
          <w:color w:val="auto"/>
          <w:szCs w:val="21"/>
          <w:highlight w:val="none"/>
        </w:rPr>
        <w:t>主要包括但不限于酸碱废水处理系统、</w:t>
      </w:r>
      <w:r>
        <w:rPr>
          <w:rFonts w:hint="eastAsia"/>
          <w:color w:val="auto"/>
          <w:szCs w:val="21"/>
          <w:highlight w:val="none"/>
        </w:rPr>
        <w:t>有机</w:t>
      </w:r>
      <w:r>
        <w:rPr>
          <w:color w:val="auto"/>
          <w:szCs w:val="21"/>
          <w:highlight w:val="none"/>
        </w:rPr>
        <w:t>废水处理系统</w:t>
      </w:r>
      <w:r>
        <w:rPr>
          <w:rFonts w:hint="eastAsia"/>
          <w:color w:val="auto"/>
          <w:szCs w:val="21"/>
          <w:highlight w:val="none"/>
        </w:rPr>
        <w:t>（含高级氧化处理1m³</w:t>
      </w:r>
      <w:r>
        <w:rPr>
          <w:color w:val="auto"/>
          <w:szCs w:val="21"/>
          <w:highlight w:val="none"/>
        </w:rPr>
        <w:t>/d TMAH</w:t>
      </w:r>
      <w:r>
        <w:rPr>
          <w:rFonts w:hint="eastAsia"/>
          <w:color w:val="auto"/>
          <w:szCs w:val="21"/>
          <w:highlight w:val="none"/>
        </w:rPr>
        <w:t>废液）</w:t>
      </w:r>
      <w:r>
        <w:rPr>
          <w:color w:val="auto"/>
          <w:szCs w:val="21"/>
          <w:highlight w:val="none"/>
        </w:rPr>
        <w:t>、研磨废水处理系统</w:t>
      </w:r>
      <w:r>
        <w:rPr>
          <w:rFonts w:hint="eastAsia"/>
          <w:color w:val="auto"/>
          <w:szCs w:val="21"/>
          <w:highlight w:val="none"/>
        </w:rPr>
        <w:t>（回用）</w:t>
      </w:r>
      <w:r>
        <w:rPr>
          <w:color w:val="auto"/>
          <w:szCs w:val="21"/>
          <w:highlight w:val="none"/>
        </w:rPr>
        <w:t>、含铜废水处理系统、</w:t>
      </w:r>
      <w:r>
        <w:rPr>
          <w:rFonts w:hint="eastAsia"/>
          <w:color w:val="auto"/>
          <w:szCs w:val="21"/>
          <w:highlight w:val="none"/>
        </w:rPr>
        <w:t>生活废水处理系统、</w:t>
      </w:r>
      <w:r>
        <w:rPr>
          <w:color w:val="auto"/>
          <w:szCs w:val="21"/>
          <w:highlight w:val="none"/>
        </w:rPr>
        <w:t>各类污泥处理系统、废水收集系统、废液收集</w:t>
      </w:r>
      <w:r>
        <w:rPr>
          <w:rFonts w:hint="eastAsia"/>
          <w:color w:val="auto"/>
          <w:szCs w:val="21"/>
          <w:highlight w:val="none"/>
        </w:rPr>
        <w:t>转移</w:t>
      </w:r>
      <w:r>
        <w:rPr>
          <w:color w:val="auto"/>
          <w:szCs w:val="21"/>
          <w:highlight w:val="none"/>
        </w:rPr>
        <w:t>系统及相应的电气和控制系统等。</w:t>
      </w:r>
    </w:p>
    <w:p w14:paraId="369CD7A6">
      <w:pPr>
        <w:snapToGrid w:val="0"/>
        <w:spacing w:line="360" w:lineRule="auto"/>
        <w:ind w:firstLine="480" w:firstLineChars="200"/>
        <w:contextualSpacing/>
        <w:rPr>
          <w:color w:val="auto"/>
          <w:szCs w:val="21"/>
          <w:highlight w:val="none"/>
        </w:rPr>
      </w:pPr>
      <w:r>
        <w:rPr>
          <w:color w:val="auto"/>
          <w:szCs w:val="21"/>
          <w:highlight w:val="none"/>
        </w:rPr>
        <w:t>废水处理系统依据生产工艺的排水分类进行分类处理，满足国家相关规范要求。</w:t>
      </w:r>
      <w:r>
        <w:rPr>
          <w:rFonts w:hint="eastAsia"/>
          <w:color w:val="auto"/>
          <w:szCs w:val="21"/>
          <w:highlight w:val="none"/>
        </w:rPr>
        <w:t>对应于纯水规划用量，废水处理系统布置及总管一次规划设计完成。</w:t>
      </w:r>
    </w:p>
    <w:p w14:paraId="3A09C1F6">
      <w:pPr>
        <w:pStyle w:val="47"/>
        <w:numPr>
          <w:ilvl w:val="0"/>
          <w:numId w:val="28"/>
        </w:numPr>
        <w:snapToGrid w:val="0"/>
        <w:spacing w:line="360" w:lineRule="auto"/>
        <w:ind w:firstLineChars="0"/>
        <w:contextualSpacing/>
        <w:jc w:val="left"/>
        <w:rPr>
          <w:b/>
          <w:color w:val="auto"/>
          <w:szCs w:val="21"/>
          <w:highlight w:val="none"/>
        </w:rPr>
      </w:pPr>
      <w:r>
        <w:rPr>
          <w:b/>
          <w:color w:val="auto"/>
          <w:szCs w:val="21"/>
          <w:highlight w:val="none"/>
        </w:rPr>
        <w:t>大宗气体系统</w:t>
      </w:r>
      <w:r>
        <w:rPr>
          <w:rFonts w:hint="eastAsia"/>
          <w:b/>
          <w:color w:val="auto"/>
          <w:szCs w:val="21"/>
          <w:highlight w:val="none"/>
        </w:rPr>
        <w:t>（含惰性气体）</w:t>
      </w:r>
    </w:p>
    <w:p w14:paraId="2362DF39">
      <w:pPr>
        <w:snapToGrid w:val="0"/>
        <w:spacing w:line="360" w:lineRule="auto"/>
        <w:ind w:firstLine="480" w:firstLineChars="200"/>
        <w:contextualSpacing/>
        <w:rPr>
          <w:color w:val="auto"/>
          <w:szCs w:val="21"/>
          <w:highlight w:val="none"/>
        </w:rPr>
      </w:pPr>
      <w:r>
        <w:rPr>
          <w:rFonts w:hint="eastAsia"/>
          <w:color w:val="auto"/>
          <w:szCs w:val="21"/>
          <w:highlight w:val="none"/>
        </w:rPr>
        <w:t>惰性气体放置于生产厂房一的惰性气体间内，通过气瓶架GR供应给生产机台用，本次通过管道扩充给</w:t>
      </w:r>
      <w:r>
        <w:rPr>
          <w:color w:val="auto"/>
          <w:szCs w:val="21"/>
          <w:highlight w:val="none"/>
        </w:rPr>
        <w:t>供工艺设备的使用点阀。</w:t>
      </w:r>
      <w:r>
        <w:rPr>
          <w:rFonts w:hint="eastAsia"/>
          <w:color w:val="auto"/>
          <w:szCs w:val="21"/>
          <w:highlight w:val="none"/>
        </w:rPr>
        <w:t>氮气由室外氮气站储罐/制氮机充填提供，。</w:t>
      </w:r>
    </w:p>
    <w:p w14:paraId="231A53EB">
      <w:pPr>
        <w:snapToGrid w:val="0"/>
        <w:spacing w:line="360" w:lineRule="auto"/>
        <w:ind w:firstLine="482" w:firstLineChars="200"/>
        <w:contextualSpacing/>
        <w:jc w:val="center"/>
        <w:rPr>
          <w:b/>
          <w:color w:val="auto"/>
          <w:szCs w:val="21"/>
          <w:highlight w:val="none"/>
        </w:rPr>
      </w:pPr>
      <w:r>
        <w:rPr>
          <w:b/>
          <w:color w:val="auto"/>
          <w:szCs w:val="21"/>
          <w:highlight w:val="none"/>
        </w:rPr>
        <w:t>大宗气体及压缩空气品质要求</w:t>
      </w:r>
    </w:p>
    <w:tbl>
      <w:tblPr>
        <w:tblStyle w:val="23"/>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0"/>
        <w:gridCol w:w="1126"/>
        <w:gridCol w:w="1112"/>
        <w:gridCol w:w="1068"/>
        <w:gridCol w:w="1134"/>
        <w:gridCol w:w="1134"/>
      </w:tblGrid>
      <w:tr w14:paraId="4103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230"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4412196A">
            <w:pPr>
              <w:snapToGrid w:val="0"/>
              <w:contextualSpacing/>
              <w:jc w:val="center"/>
              <w:rPr>
                <w:color w:val="auto"/>
                <w:szCs w:val="21"/>
                <w:highlight w:val="none"/>
              </w:rPr>
            </w:pPr>
            <w:r>
              <w:rPr>
                <w:b/>
                <w:bCs/>
                <w:color w:val="auto"/>
                <w:szCs w:val="21"/>
                <w:highlight w:val="none"/>
              </w:rPr>
              <w:t>Gas</w:t>
            </w:r>
          </w:p>
        </w:tc>
        <w:tc>
          <w:tcPr>
            <w:tcW w:w="1126"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0565D672">
            <w:pPr>
              <w:snapToGrid w:val="0"/>
              <w:contextualSpacing/>
              <w:jc w:val="center"/>
              <w:rPr>
                <w:color w:val="auto"/>
                <w:szCs w:val="21"/>
                <w:highlight w:val="none"/>
              </w:rPr>
            </w:pPr>
            <w:r>
              <w:rPr>
                <w:b/>
                <w:bCs/>
                <w:color w:val="auto"/>
                <w:szCs w:val="21"/>
                <w:highlight w:val="none"/>
              </w:rPr>
              <w:t>GN</w:t>
            </w:r>
            <w:r>
              <w:rPr>
                <w:b/>
                <w:bCs/>
                <w:color w:val="auto"/>
                <w:szCs w:val="21"/>
                <w:highlight w:val="none"/>
                <w:vertAlign w:val="subscript"/>
              </w:rPr>
              <w:t>2</w:t>
            </w:r>
          </w:p>
        </w:tc>
        <w:tc>
          <w:tcPr>
            <w:tcW w:w="1112"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2EE08C36">
            <w:pPr>
              <w:snapToGrid w:val="0"/>
              <w:contextualSpacing/>
              <w:jc w:val="center"/>
              <w:rPr>
                <w:color w:val="auto"/>
                <w:szCs w:val="21"/>
                <w:highlight w:val="none"/>
              </w:rPr>
            </w:pPr>
            <w:r>
              <w:rPr>
                <w:b/>
                <w:bCs/>
                <w:color w:val="auto"/>
                <w:szCs w:val="21"/>
                <w:highlight w:val="none"/>
              </w:rPr>
              <w:t>PO</w:t>
            </w:r>
            <w:r>
              <w:rPr>
                <w:b/>
                <w:bCs/>
                <w:color w:val="auto"/>
                <w:szCs w:val="21"/>
                <w:highlight w:val="none"/>
                <w:vertAlign w:val="subscript"/>
              </w:rPr>
              <w:t>2</w:t>
            </w:r>
          </w:p>
        </w:tc>
        <w:tc>
          <w:tcPr>
            <w:tcW w:w="1068"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776FC151">
            <w:pPr>
              <w:snapToGrid w:val="0"/>
              <w:contextualSpacing/>
              <w:jc w:val="center"/>
              <w:rPr>
                <w:color w:val="auto"/>
                <w:szCs w:val="21"/>
                <w:highlight w:val="none"/>
              </w:rPr>
            </w:pPr>
            <w:r>
              <w:rPr>
                <w:b/>
                <w:bCs/>
                <w:color w:val="auto"/>
                <w:szCs w:val="21"/>
                <w:highlight w:val="none"/>
              </w:rPr>
              <w:t>PAr</w:t>
            </w:r>
          </w:p>
        </w:tc>
        <w:tc>
          <w:tcPr>
            <w:tcW w:w="1134"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15582821">
            <w:pPr>
              <w:snapToGrid w:val="0"/>
              <w:contextualSpacing/>
              <w:jc w:val="center"/>
              <w:rPr>
                <w:color w:val="auto"/>
                <w:szCs w:val="21"/>
                <w:highlight w:val="none"/>
              </w:rPr>
            </w:pPr>
            <w:r>
              <w:rPr>
                <w:color w:val="auto"/>
                <w:szCs w:val="21"/>
                <w:highlight w:val="none"/>
              </w:rPr>
              <w:t>PCO2</w:t>
            </w:r>
          </w:p>
        </w:tc>
        <w:tc>
          <w:tcPr>
            <w:tcW w:w="1134"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72083C72">
            <w:pPr>
              <w:snapToGrid w:val="0"/>
              <w:contextualSpacing/>
              <w:jc w:val="center"/>
              <w:rPr>
                <w:color w:val="auto"/>
                <w:szCs w:val="21"/>
                <w:highlight w:val="none"/>
              </w:rPr>
            </w:pPr>
            <w:r>
              <w:rPr>
                <w:color w:val="auto"/>
                <w:szCs w:val="21"/>
                <w:highlight w:val="none"/>
              </w:rPr>
              <w:t>CDA</w:t>
            </w:r>
          </w:p>
        </w:tc>
      </w:tr>
      <w:tr w14:paraId="41A7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230"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4D9CD497">
            <w:pPr>
              <w:snapToGrid w:val="0"/>
              <w:contextualSpacing/>
              <w:jc w:val="center"/>
              <w:rPr>
                <w:color w:val="auto"/>
                <w:szCs w:val="21"/>
                <w:highlight w:val="none"/>
              </w:rPr>
            </w:pPr>
            <w:r>
              <w:rPr>
                <w:color w:val="auto"/>
                <w:szCs w:val="21"/>
                <w:highlight w:val="none"/>
              </w:rPr>
              <w:t>Purity纯度</w:t>
            </w:r>
          </w:p>
        </w:tc>
        <w:tc>
          <w:tcPr>
            <w:tcW w:w="1126"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14947F39">
            <w:pPr>
              <w:snapToGrid w:val="0"/>
              <w:contextualSpacing/>
              <w:jc w:val="center"/>
              <w:rPr>
                <w:color w:val="auto"/>
                <w:szCs w:val="21"/>
                <w:highlight w:val="none"/>
              </w:rPr>
            </w:pPr>
            <w:r>
              <w:rPr>
                <w:color w:val="auto"/>
                <w:szCs w:val="21"/>
                <w:highlight w:val="none"/>
              </w:rPr>
              <w:t>99.999%</w:t>
            </w:r>
          </w:p>
        </w:tc>
        <w:tc>
          <w:tcPr>
            <w:tcW w:w="1112"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1FE1636F">
            <w:pPr>
              <w:snapToGrid w:val="0"/>
              <w:contextualSpacing/>
              <w:jc w:val="center"/>
              <w:rPr>
                <w:color w:val="auto"/>
                <w:szCs w:val="21"/>
                <w:highlight w:val="none"/>
              </w:rPr>
            </w:pPr>
            <w:r>
              <w:rPr>
                <w:color w:val="auto"/>
                <w:szCs w:val="21"/>
                <w:highlight w:val="none"/>
              </w:rPr>
              <w:t>99.9999%</w:t>
            </w:r>
          </w:p>
        </w:tc>
        <w:tc>
          <w:tcPr>
            <w:tcW w:w="1068"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24B055DE">
            <w:pPr>
              <w:snapToGrid w:val="0"/>
              <w:contextualSpacing/>
              <w:jc w:val="center"/>
              <w:rPr>
                <w:color w:val="auto"/>
                <w:szCs w:val="21"/>
                <w:highlight w:val="none"/>
              </w:rPr>
            </w:pPr>
            <w:r>
              <w:rPr>
                <w:color w:val="auto"/>
                <w:szCs w:val="21"/>
                <w:highlight w:val="none"/>
              </w:rPr>
              <w:t>99.999</w:t>
            </w:r>
            <w:r>
              <w:rPr>
                <w:rFonts w:hint="eastAsia"/>
                <w:color w:val="auto"/>
                <w:szCs w:val="21"/>
                <w:highlight w:val="none"/>
              </w:rPr>
              <w:t>9</w:t>
            </w:r>
            <w:r>
              <w:rPr>
                <w:color w:val="auto"/>
                <w:szCs w:val="21"/>
                <w:highlight w:val="none"/>
              </w:rPr>
              <w:t>%</w:t>
            </w:r>
          </w:p>
        </w:tc>
        <w:tc>
          <w:tcPr>
            <w:tcW w:w="1134"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1BDAF680">
            <w:pPr>
              <w:snapToGrid w:val="0"/>
              <w:contextualSpacing/>
              <w:jc w:val="center"/>
              <w:rPr>
                <w:color w:val="auto"/>
                <w:szCs w:val="21"/>
                <w:highlight w:val="none"/>
              </w:rPr>
            </w:pPr>
            <w:r>
              <w:rPr>
                <w:color w:val="auto"/>
                <w:szCs w:val="21"/>
                <w:highlight w:val="none"/>
              </w:rPr>
              <w:t>99.99%</w:t>
            </w:r>
          </w:p>
        </w:tc>
        <w:tc>
          <w:tcPr>
            <w:tcW w:w="1134" w:type="dxa"/>
            <w:tcBorders>
              <w:top w:val="single" w:color="auto" w:sz="4" w:space="0"/>
              <w:left w:val="single" w:color="auto" w:sz="4" w:space="0"/>
              <w:bottom w:val="single" w:color="auto" w:sz="4" w:space="0"/>
              <w:right w:val="single" w:color="auto" w:sz="4" w:space="0"/>
            </w:tcBorders>
            <w:tcMar>
              <w:top w:w="13" w:type="dxa"/>
              <w:left w:w="13" w:type="dxa"/>
              <w:bottom w:w="0" w:type="dxa"/>
              <w:right w:w="13" w:type="dxa"/>
            </w:tcMar>
            <w:vAlign w:val="center"/>
          </w:tcPr>
          <w:p w14:paraId="3A2F3F9A">
            <w:pPr>
              <w:snapToGrid w:val="0"/>
              <w:contextualSpacing/>
              <w:jc w:val="center"/>
              <w:rPr>
                <w:color w:val="auto"/>
                <w:szCs w:val="21"/>
                <w:highlight w:val="none"/>
              </w:rPr>
            </w:pPr>
            <w:r>
              <w:rPr>
                <w:color w:val="auto"/>
                <w:szCs w:val="21"/>
                <w:highlight w:val="none"/>
              </w:rPr>
              <w:t>-70°</w:t>
            </w:r>
            <w:r>
              <w:rPr>
                <w:rFonts w:hint="eastAsia"/>
                <w:color w:val="auto"/>
                <w:szCs w:val="21"/>
                <w:highlight w:val="none"/>
              </w:rPr>
              <w:t>C</w:t>
            </w:r>
          </w:p>
        </w:tc>
      </w:tr>
    </w:tbl>
    <w:p w14:paraId="5D4F48B5">
      <w:pPr>
        <w:snapToGrid w:val="0"/>
        <w:spacing w:line="360" w:lineRule="auto"/>
        <w:contextualSpacing/>
        <w:rPr>
          <w:b/>
          <w:color w:val="auto"/>
          <w:szCs w:val="21"/>
          <w:highlight w:val="none"/>
        </w:rPr>
      </w:pPr>
    </w:p>
    <w:p w14:paraId="45A53A78">
      <w:pPr>
        <w:pStyle w:val="47"/>
        <w:numPr>
          <w:ilvl w:val="0"/>
          <w:numId w:val="28"/>
        </w:numPr>
        <w:snapToGrid w:val="0"/>
        <w:spacing w:line="360" w:lineRule="auto"/>
        <w:ind w:firstLineChars="0"/>
        <w:contextualSpacing/>
        <w:jc w:val="left"/>
        <w:rPr>
          <w:b/>
          <w:color w:val="auto"/>
          <w:szCs w:val="21"/>
          <w:highlight w:val="none"/>
        </w:rPr>
      </w:pPr>
      <w:r>
        <w:rPr>
          <w:b/>
          <w:color w:val="auto"/>
          <w:szCs w:val="21"/>
          <w:highlight w:val="none"/>
        </w:rPr>
        <w:t>化学品系统</w:t>
      </w:r>
    </w:p>
    <w:p w14:paraId="6EC0EAF4">
      <w:pPr>
        <w:snapToGrid w:val="0"/>
        <w:spacing w:line="360" w:lineRule="auto"/>
        <w:ind w:firstLine="480" w:firstLineChars="200"/>
        <w:contextualSpacing/>
        <w:rPr>
          <w:color w:val="auto"/>
          <w:szCs w:val="21"/>
          <w:highlight w:val="none"/>
        </w:rPr>
      </w:pPr>
      <w:r>
        <w:rPr>
          <w:color w:val="auto"/>
          <w:szCs w:val="21"/>
          <w:highlight w:val="none"/>
        </w:rPr>
        <w:t>设置化学品充填及供给系统、化学品现场分配箱、输送管道系统、FMCS监控系统，漏液检测等包括但不限于下列内容：</w:t>
      </w:r>
    </w:p>
    <w:p w14:paraId="7A0278EA">
      <w:pPr>
        <w:shd w:val="clear" w:color="auto" w:fill="FFFFFF"/>
        <w:snapToGrid w:val="0"/>
        <w:spacing w:before="120" w:after="120" w:line="360" w:lineRule="auto"/>
        <w:contextualSpacing/>
        <w:jc w:val="center"/>
        <w:textAlignment w:val="baseline"/>
        <w:rPr>
          <w:b/>
          <w:color w:val="auto"/>
          <w:szCs w:val="21"/>
          <w:highlight w:val="none"/>
        </w:rPr>
      </w:pPr>
      <w:r>
        <w:rPr>
          <w:b/>
          <w:color w:val="auto"/>
          <w:szCs w:val="21"/>
          <w:highlight w:val="none"/>
        </w:rPr>
        <w:t>生产厂房一化学品供应表</w:t>
      </w:r>
    </w:p>
    <w:tbl>
      <w:tblPr>
        <w:tblStyle w:val="23"/>
        <w:tblW w:w="7864" w:type="dxa"/>
        <w:tblInd w:w="103" w:type="dxa"/>
        <w:tblLayout w:type="fixed"/>
        <w:tblCellMar>
          <w:top w:w="0" w:type="dxa"/>
          <w:left w:w="108" w:type="dxa"/>
          <w:bottom w:w="0" w:type="dxa"/>
          <w:right w:w="108" w:type="dxa"/>
        </w:tblCellMar>
      </w:tblPr>
      <w:tblGrid>
        <w:gridCol w:w="500"/>
        <w:gridCol w:w="1348"/>
        <w:gridCol w:w="1196"/>
        <w:gridCol w:w="789"/>
        <w:gridCol w:w="1196"/>
        <w:gridCol w:w="2835"/>
      </w:tblGrid>
      <w:tr w14:paraId="633D354C">
        <w:tblPrEx>
          <w:tblCellMar>
            <w:top w:w="0" w:type="dxa"/>
            <w:left w:w="108" w:type="dxa"/>
            <w:bottom w:w="0" w:type="dxa"/>
            <w:right w:w="108" w:type="dxa"/>
          </w:tblCellMar>
        </w:tblPrEx>
        <w:trPr>
          <w:trHeight w:val="222" w:hRule="atLeast"/>
        </w:trPr>
        <w:tc>
          <w:tcPr>
            <w:tcW w:w="500" w:type="dxa"/>
            <w:tcBorders>
              <w:top w:val="single" w:color="auto" w:sz="4" w:space="0"/>
              <w:left w:val="single" w:color="auto" w:sz="4" w:space="0"/>
              <w:bottom w:val="single" w:color="auto" w:sz="4" w:space="0"/>
              <w:right w:val="single" w:color="auto" w:sz="4" w:space="0"/>
            </w:tcBorders>
            <w:vAlign w:val="center"/>
          </w:tcPr>
          <w:p w14:paraId="4BE5A6F6">
            <w:pPr>
              <w:widowControl/>
              <w:snapToGrid w:val="0"/>
              <w:contextualSpacing/>
              <w:jc w:val="center"/>
              <w:rPr>
                <w:color w:val="auto"/>
                <w:szCs w:val="21"/>
                <w:highlight w:val="none"/>
              </w:rPr>
            </w:pPr>
            <w:r>
              <w:rPr>
                <w:color w:val="auto"/>
                <w:szCs w:val="21"/>
                <w:highlight w:val="none"/>
              </w:rPr>
              <w:t>序号</w:t>
            </w:r>
          </w:p>
        </w:tc>
        <w:tc>
          <w:tcPr>
            <w:tcW w:w="1348" w:type="dxa"/>
            <w:tcBorders>
              <w:top w:val="single" w:color="auto" w:sz="4" w:space="0"/>
              <w:left w:val="nil"/>
              <w:bottom w:val="single" w:color="auto" w:sz="4" w:space="0"/>
              <w:right w:val="single" w:color="auto" w:sz="4" w:space="0"/>
            </w:tcBorders>
            <w:vAlign w:val="center"/>
          </w:tcPr>
          <w:p w14:paraId="4443123E">
            <w:pPr>
              <w:widowControl/>
              <w:snapToGrid w:val="0"/>
              <w:contextualSpacing/>
              <w:jc w:val="center"/>
              <w:rPr>
                <w:color w:val="auto"/>
                <w:szCs w:val="21"/>
                <w:highlight w:val="none"/>
              </w:rPr>
            </w:pPr>
            <w:r>
              <w:rPr>
                <w:color w:val="auto"/>
                <w:szCs w:val="21"/>
                <w:highlight w:val="none"/>
              </w:rPr>
              <w:t>原料名称</w:t>
            </w:r>
          </w:p>
        </w:tc>
        <w:tc>
          <w:tcPr>
            <w:tcW w:w="1196" w:type="dxa"/>
            <w:tcBorders>
              <w:top w:val="single" w:color="auto" w:sz="4" w:space="0"/>
              <w:left w:val="nil"/>
              <w:bottom w:val="single" w:color="auto" w:sz="4" w:space="0"/>
              <w:right w:val="single" w:color="auto" w:sz="4" w:space="0"/>
            </w:tcBorders>
            <w:vAlign w:val="center"/>
          </w:tcPr>
          <w:p w14:paraId="5C1FBD6C">
            <w:pPr>
              <w:widowControl/>
              <w:snapToGrid w:val="0"/>
              <w:contextualSpacing/>
              <w:jc w:val="center"/>
              <w:rPr>
                <w:color w:val="auto"/>
                <w:szCs w:val="21"/>
                <w:highlight w:val="none"/>
              </w:rPr>
            </w:pPr>
            <w:r>
              <w:rPr>
                <w:color w:val="auto"/>
                <w:szCs w:val="21"/>
                <w:highlight w:val="none"/>
              </w:rPr>
              <w:t>量</w:t>
            </w:r>
          </w:p>
          <w:p w14:paraId="48B2BD76">
            <w:pPr>
              <w:widowControl/>
              <w:snapToGrid w:val="0"/>
              <w:contextualSpacing/>
              <w:jc w:val="center"/>
              <w:rPr>
                <w:color w:val="auto"/>
                <w:szCs w:val="21"/>
                <w:highlight w:val="none"/>
              </w:rPr>
            </w:pPr>
            <w:r>
              <w:rPr>
                <w:color w:val="auto"/>
                <w:szCs w:val="21"/>
                <w:highlight w:val="none"/>
              </w:rPr>
              <w:t>（</w:t>
            </w:r>
            <w:r>
              <w:rPr>
                <w:rFonts w:hint="eastAsia"/>
                <w:color w:val="auto"/>
                <w:szCs w:val="21"/>
                <w:highlight w:val="none"/>
              </w:rPr>
              <w:t>L</w:t>
            </w:r>
            <w:r>
              <w:rPr>
                <w:color w:val="auto"/>
                <w:szCs w:val="21"/>
                <w:highlight w:val="none"/>
              </w:rPr>
              <w:t>/</w:t>
            </w:r>
            <w:r>
              <w:rPr>
                <w:rFonts w:hint="eastAsia"/>
                <w:color w:val="auto"/>
                <w:szCs w:val="21"/>
                <w:highlight w:val="none"/>
              </w:rPr>
              <w:t>月</w:t>
            </w:r>
            <w:r>
              <w:rPr>
                <w:color w:val="auto"/>
                <w:szCs w:val="21"/>
                <w:highlight w:val="none"/>
              </w:rPr>
              <w:t>）</w:t>
            </w:r>
          </w:p>
        </w:tc>
        <w:tc>
          <w:tcPr>
            <w:tcW w:w="789" w:type="dxa"/>
            <w:tcBorders>
              <w:top w:val="single" w:color="auto" w:sz="4" w:space="0"/>
              <w:left w:val="nil"/>
              <w:bottom w:val="single" w:color="auto" w:sz="4" w:space="0"/>
              <w:right w:val="single" w:color="auto" w:sz="4" w:space="0"/>
            </w:tcBorders>
            <w:vAlign w:val="center"/>
          </w:tcPr>
          <w:p w14:paraId="0C1B40EC">
            <w:pPr>
              <w:widowControl/>
              <w:snapToGrid w:val="0"/>
              <w:contextualSpacing/>
              <w:jc w:val="center"/>
              <w:rPr>
                <w:color w:val="auto"/>
                <w:szCs w:val="21"/>
                <w:highlight w:val="none"/>
              </w:rPr>
            </w:pPr>
            <w:r>
              <w:rPr>
                <w:color w:val="auto"/>
                <w:szCs w:val="21"/>
                <w:highlight w:val="none"/>
              </w:rPr>
              <w:t>混合与否</w:t>
            </w:r>
          </w:p>
        </w:tc>
        <w:tc>
          <w:tcPr>
            <w:tcW w:w="1196" w:type="dxa"/>
            <w:tcBorders>
              <w:top w:val="single" w:color="auto" w:sz="4" w:space="0"/>
              <w:left w:val="nil"/>
              <w:bottom w:val="single" w:color="auto" w:sz="4" w:space="0"/>
              <w:right w:val="single" w:color="auto" w:sz="4" w:space="0"/>
            </w:tcBorders>
            <w:vAlign w:val="center"/>
          </w:tcPr>
          <w:p w14:paraId="0C96442D">
            <w:pPr>
              <w:widowControl/>
              <w:snapToGrid w:val="0"/>
              <w:contextualSpacing/>
              <w:jc w:val="center"/>
              <w:rPr>
                <w:color w:val="auto"/>
                <w:szCs w:val="21"/>
                <w:highlight w:val="none"/>
              </w:rPr>
            </w:pPr>
            <w:r>
              <w:rPr>
                <w:color w:val="auto"/>
                <w:szCs w:val="21"/>
                <w:highlight w:val="none"/>
              </w:rPr>
              <w:t>来料方式</w:t>
            </w:r>
          </w:p>
        </w:tc>
        <w:tc>
          <w:tcPr>
            <w:tcW w:w="2835" w:type="dxa"/>
            <w:tcBorders>
              <w:top w:val="single" w:color="auto" w:sz="4" w:space="0"/>
              <w:left w:val="nil"/>
              <w:bottom w:val="single" w:color="auto" w:sz="4" w:space="0"/>
              <w:right w:val="single" w:color="auto" w:sz="4" w:space="0"/>
            </w:tcBorders>
            <w:vAlign w:val="center"/>
          </w:tcPr>
          <w:p w14:paraId="7BC22CCA">
            <w:pPr>
              <w:widowControl/>
              <w:snapToGrid w:val="0"/>
              <w:contextualSpacing/>
              <w:jc w:val="center"/>
              <w:rPr>
                <w:color w:val="auto"/>
                <w:szCs w:val="21"/>
                <w:highlight w:val="none"/>
              </w:rPr>
            </w:pPr>
            <w:r>
              <w:rPr>
                <w:color w:val="auto"/>
                <w:szCs w:val="21"/>
                <w:highlight w:val="none"/>
              </w:rPr>
              <w:t>供应方式</w:t>
            </w:r>
          </w:p>
        </w:tc>
      </w:tr>
      <w:tr w14:paraId="1B3DD17B">
        <w:tblPrEx>
          <w:tblCellMar>
            <w:top w:w="0" w:type="dxa"/>
            <w:left w:w="108" w:type="dxa"/>
            <w:bottom w:w="0" w:type="dxa"/>
            <w:right w:w="108" w:type="dxa"/>
          </w:tblCellMar>
        </w:tblPrEx>
        <w:trPr>
          <w:trHeight w:val="222" w:hRule="atLeast"/>
        </w:trPr>
        <w:tc>
          <w:tcPr>
            <w:tcW w:w="500" w:type="dxa"/>
            <w:tcBorders>
              <w:top w:val="nil"/>
              <w:left w:val="single" w:color="auto" w:sz="4" w:space="0"/>
              <w:bottom w:val="single" w:color="auto" w:sz="4" w:space="0"/>
              <w:right w:val="single" w:color="auto" w:sz="4" w:space="0"/>
            </w:tcBorders>
            <w:vAlign w:val="center"/>
          </w:tcPr>
          <w:p w14:paraId="3E327E73">
            <w:pPr>
              <w:widowControl/>
              <w:snapToGrid w:val="0"/>
              <w:contextualSpacing/>
              <w:jc w:val="center"/>
              <w:rPr>
                <w:color w:val="auto"/>
                <w:szCs w:val="21"/>
                <w:highlight w:val="none"/>
              </w:rPr>
            </w:pPr>
            <w:r>
              <w:rPr>
                <w:color w:val="auto"/>
                <w:szCs w:val="21"/>
                <w:highlight w:val="none"/>
              </w:rPr>
              <w:t>1</w:t>
            </w:r>
          </w:p>
        </w:tc>
        <w:tc>
          <w:tcPr>
            <w:tcW w:w="1348" w:type="dxa"/>
            <w:tcBorders>
              <w:top w:val="nil"/>
              <w:left w:val="nil"/>
              <w:bottom w:val="single" w:color="auto" w:sz="4" w:space="0"/>
              <w:right w:val="single" w:color="auto" w:sz="4" w:space="0"/>
            </w:tcBorders>
            <w:vAlign w:val="center"/>
          </w:tcPr>
          <w:p w14:paraId="3229D373">
            <w:pPr>
              <w:widowControl/>
              <w:snapToGrid w:val="0"/>
              <w:contextualSpacing/>
              <w:jc w:val="center"/>
              <w:rPr>
                <w:color w:val="auto"/>
                <w:szCs w:val="21"/>
                <w:highlight w:val="none"/>
              </w:rPr>
            </w:pPr>
            <w:r>
              <w:rPr>
                <w:rFonts w:hint="eastAsia"/>
                <w:color w:val="auto"/>
                <w:szCs w:val="21"/>
                <w:highlight w:val="none"/>
              </w:rPr>
              <w:t>皂化剂</w:t>
            </w:r>
          </w:p>
        </w:tc>
        <w:tc>
          <w:tcPr>
            <w:tcW w:w="1196" w:type="dxa"/>
            <w:tcBorders>
              <w:top w:val="nil"/>
              <w:left w:val="nil"/>
              <w:bottom w:val="single" w:color="auto" w:sz="4" w:space="0"/>
              <w:right w:val="single" w:color="auto" w:sz="4" w:space="0"/>
            </w:tcBorders>
            <w:vAlign w:val="center"/>
          </w:tcPr>
          <w:p w14:paraId="09A1BC2C">
            <w:pPr>
              <w:jc w:val="center"/>
              <w:rPr>
                <w:color w:val="auto"/>
                <w:highlight w:val="none"/>
              </w:rPr>
            </w:pPr>
            <w:r>
              <w:rPr>
                <w:color w:val="auto"/>
                <w:highlight w:val="none"/>
              </w:rPr>
              <w:t>4000</w:t>
            </w:r>
          </w:p>
        </w:tc>
        <w:tc>
          <w:tcPr>
            <w:tcW w:w="789" w:type="dxa"/>
            <w:tcBorders>
              <w:top w:val="nil"/>
              <w:left w:val="nil"/>
              <w:bottom w:val="single" w:color="auto" w:sz="4" w:space="0"/>
              <w:right w:val="single" w:color="auto" w:sz="4" w:space="0"/>
            </w:tcBorders>
            <w:vAlign w:val="center"/>
          </w:tcPr>
          <w:p w14:paraId="1CBC8BD9">
            <w:pPr>
              <w:widowControl/>
              <w:snapToGrid w:val="0"/>
              <w:contextualSpacing/>
              <w:jc w:val="center"/>
              <w:rPr>
                <w:color w:val="auto"/>
                <w:szCs w:val="21"/>
                <w:highlight w:val="none"/>
              </w:rPr>
            </w:pPr>
            <w:r>
              <w:rPr>
                <w:rFonts w:hint="eastAsia"/>
                <w:color w:val="auto"/>
                <w:szCs w:val="21"/>
                <w:highlight w:val="none"/>
              </w:rPr>
              <w:t>混配</w:t>
            </w:r>
          </w:p>
        </w:tc>
        <w:tc>
          <w:tcPr>
            <w:tcW w:w="1196" w:type="dxa"/>
            <w:tcBorders>
              <w:top w:val="nil"/>
              <w:left w:val="nil"/>
              <w:bottom w:val="single" w:color="auto" w:sz="4" w:space="0"/>
              <w:right w:val="single" w:color="auto" w:sz="4" w:space="0"/>
            </w:tcBorders>
            <w:vAlign w:val="center"/>
          </w:tcPr>
          <w:p w14:paraId="084DCF97">
            <w:pPr>
              <w:widowControl/>
              <w:snapToGrid w:val="0"/>
              <w:contextualSpacing/>
              <w:jc w:val="center"/>
              <w:rPr>
                <w:color w:val="auto"/>
                <w:szCs w:val="21"/>
                <w:highlight w:val="none"/>
              </w:rPr>
            </w:pPr>
            <w:r>
              <w:rPr>
                <w:color w:val="auto"/>
                <w:szCs w:val="21"/>
                <w:highlight w:val="none"/>
              </w:rPr>
              <w:t>桶供应</w:t>
            </w:r>
          </w:p>
        </w:tc>
        <w:tc>
          <w:tcPr>
            <w:tcW w:w="2835" w:type="dxa"/>
            <w:tcBorders>
              <w:top w:val="nil"/>
              <w:left w:val="nil"/>
              <w:bottom w:val="single" w:color="auto" w:sz="4" w:space="0"/>
              <w:right w:val="single" w:color="auto" w:sz="4" w:space="0"/>
            </w:tcBorders>
            <w:vAlign w:val="center"/>
          </w:tcPr>
          <w:p w14:paraId="2C217979">
            <w:pPr>
              <w:widowControl/>
              <w:snapToGrid w:val="0"/>
              <w:contextualSpacing/>
              <w:jc w:val="center"/>
              <w:rPr>
                <w:color w:val="auto"/>
                <w:szCs w:val="21"/>
                <w:highlight w:val="none"/>
              </w:rPr>
            </w:pPr>
            <w:r>
              <w:rPr>
                <w:color w:val="auto"/>
                <w:szCs w:val="21"/>
                <w:highlight w:val="none"/>
              </w:rPr>
              <w:t>桶-&gt;供应槽罐-&gt;车间使用点</w:t>
            </w:r>
          </w:p>
        </w:tc>
      </w:tr>
    </w:tbl>
    <w:p w14:paraId="2D9A09D7">
      <w:pPr>
        <w:snapToGrid w:val="0"/>
        <w:spacing w:before="120" w:after="60" w:line="360" w:lineRule="auto"/>
        <w:ind w:left="1296" w:leftChars="540"/>
        <w:contextualSpacing/>
        <w:textAlignment w:val="baseline"/>
        <w:rPr>
          <w:b/>
          <w:color w:val="auto"/>
          <w:szCs w:val="21"/>
          <w:highlight w:val="none"/>
        </w:rPr>
      </w:pPr>
    </w:p>
    <w:p w14:paraId="097852C1">
      <w:pPr>
        <w:pStyle w:val="47"/>
        <w:numPr>
          <w:ilvl w:val="0"/>
          <w:numId w:val="28"/>
        </w:numPr>
        <w:snapToGrid w:val="0"/>
        <w:spacing w:line="360" w:lineRule="auto"/>
        <w:ind w:firstLineChars="0"/>
        <w:contextualSpacing/>
        <w:jc w:val="left"/>
        <w:rPr>
          <w:b/>
          <w:color w:val="auto"/>
          <w:szCs w:val="21"/>
          <w:highlight w:val="none"/>
        </w:rPr>
      </w:pPr>
      <w:r>
        <w:rPr>
          <w:rFonts w:hint="eastAsia"/>
          <w:b/>
          <w:color w:val="auto"/>
          <w:szCs w:val="21"/>
          <w:highlight w:val="none"/>
        </w:rPr>
        <w:t>一般机电</w:t>
      </w:r>
      <w:r>
        <w:rPr>
          <w:b/>
          <w:color w:val="auto"/>
          <w:szCs w:val="21"/>
          <w:highlight w:val="none"/>
        </w:rPr>
        <w:t xml:space="preserve">系统 </w:t>
      </w:r>
    </w:p>
    <w:p w14:paraId="680B5AD3">
      <w:pPr>
        <w:snapToGrid w:val="0"/>
        <w:spacing w:line="360" w:lineRule="auto"/>
        <w:ind w:firstLine="480" w:firstLineChars="200"/>
        <w:contextualSpacing/>
        <w:rPr>
          <w:color w:val="auto"/>
          <w:szCs w:val="21"/>
          <w:highlight w:val="none"/>
        </w:rPr>
      </w:pPr>
      <w:r>
        <w:rPr>
          <w:color w:val="auto"/>
          <w:szCs w:val="21"/>
          <w:highlight w:val="none"/>
        </w:rPr>
        <w:t>主要包括但不限于动力厂房的冰机</w:t>
      </w:r>
      <w:r>
        <w:rPr>
          <w:rFonts w:hint="eastAsia"/>
          <w:color w:val="auto"/>
          <w:szCs w:val="21"/>
          <w:highlight w:val="none"/>
        </w:rPr>
        <w:t>（含配套水泵）</w:t>
      </w:r>
      <w:r>
        <w:rPr>
          <w:color w:val="auto"/>
          <w:szCs w:val="21"/>
          <w:highlight w:val="none"/>
        </w:rPr>
        <w:t>、冷却塔等配套的冷冻水系统、中温热回收系统</w:t>
      </w:r>
      <w:r>
        <w:rPr>
          <w:rFonts w:hint="eastAsia"/>
          <w:color w:val="auto"/>
          <w:szCs w:val="21"/>
          <w:highlight w:val="none"/>
        </w:rPr>
        <w:t>、生活上水系统、生产生活排水。</w:t>
      </w:r>
    </w:p>
    <w:p w14:paraId="16A85102">
      <w:pPr>
        <w:snapToGrid w:val="0"/>
        <w:spacing w:line="360" w:lineRule="auto"/>
        <w:ind w:firstLine="480" w:firstLineChars="200"/>
        <w:contextualSpacing/>
        <w:rPr>
          <w:color w:val="auto"/>
          <w:szCs w:val="21"/>
          <w:highlight w:val="none"/>
        </w:rPr>
      </w:pPr>
      <w:r>
        <w:rPr>
          <w:rFonts w:hint="eastAsia"/>
          <w:color w:val="auto"/>
          <w:szCs w:val="21"/>
          <w:highlight w:val="none"/>
        </w:rPr>
        <w:t>动力厂房的一般机电系统（含一般空调及通风系统、照明插座系统、设备和管道的接地及避雷系统、动力系统配电盘、紧急冲淋和洗眼系统等），含配电间的一般机电，暖通系统采用智慧高效机房，达到节能效果。</w:t>
      </w:r>
    </w:p>
    <w:p w14:paraId="523872F9">
      <w:pPr>
        <w:snapToGrid w:val="0"/>
        <w:spacing w:line="360" w:lineRule="auto"/>
        <w:ind w:firstLine="480" w:firstLineChars="200"/>
        <w:contextualSpacing/>
        <w:rPr>
          <w:color w:val="auto"/>
          <w:szCs w:val="21"/>
          <w:highlight w:val="none"/>
        </w:rPr>
      </w:pPr>
    </w:p>
    <w:p w14:paraId="5A9F8B9A">
      <w:pPr>
        <w:pStyle w:val="47"/>
        <w:numPr>
          <w:ilvl w:val="0"/>
          <w:numId w:val="28"/>
        </w:numPr>
        <w:snapToGrid w:val="0"/>
        <w:spacing w:line="360" w:lineRule="auto"/>
        <w:ind w:firstLineChars="0"/>
        <w:contextualSpacing/>
        <w:jc w:val="left"/>
        <w:rPr>
          <w:b/>
          <w:color w:val="auto"/>
          <w:szCs w:val="21"/>
          <w:highlight w:val="none"/>
        </w:rPr>
      </w:pPr>
      <w:r>
        <w:rPr>
          <w:rFonts w:hint="eastAsia"/>
          <w:b/>
          <w:color w:val="auto"/>
          <w:szCs w:val="21"/>
          <w:highlight w:val="none"/>
        </w:rPr>
        <w:t>中</w:t>
      </w:r>
      <w:r>
        <w:rPr>
          <w:b/>
          <w:color w:val="auto"/>
          <w:szCs w:val="21"/>
          <w:highlight w:val="none"/>
        </w:rPr>
        <w:t>低压变配电系统</w:t>
      </w:r>
    </w:p>
    <w:p w14:paraId="35BB8849">
      <w:pPr>
        <w:snapToGrid w:val="0"/>
        <w:spacing w:line="360" w:lineRule="auto"/>
        <w:ind w:firstLine="480" w:firstLineChars="200"/>
        <w:contextualSpacing/>
        <w:rPr>
          <w:color w:val="auto"/>
          <w:szCs w:val="21"/>
          <w:highlight w:val="none"/>
        </w:rPr>
      </w:pPr>
      <w:r>
        <w:rPr>
          <w:color w:val="auto"/>
          <w:szCs w:val="21"/>
          <w:highlight w:val="none"/>
        </w:rPr>
        <w:t>主要包括</w:t>
      </w:r>
      <w:r>
        <w:rPr>
          <w:rFonts w:hint="eastAsia"/>
          <w:color w:val="auto"/>
          <w:szCs w:val="21"/>
          <w:highlight w:val="none"/>
        </w:rPr>
        <w:t>A</w:t>
      </w:r>
      <w:r>
        <w:rPr>
          <w:color w:val="auto"/>
          <w:szCs w:val="21"/>
          <w:highlight w:val="none"/>
        </w:rPr>
        <w:t>1厂房</w:t>
      </w:r>
      <w:r>
        <w:rPr>
          <w:rFonts w:hint="eastAsia"/>
          <w:color w:val="auto"/>
          <w:szCs w:val="21"/>
          <w:highlight w:val="none"/>
        </w:rPr>
        <w:t>生产和动力设备中低压配电系统。</w:t>
      </w:r>
      <w:r>
        <w:rPr>
          <w:color w:val="auto"/>
          <w:szCs w:val="21"/>
          <w:highlight w:val="none"/>
        </w:rPr>
        <w:t>电力配电系统采用三相</w:t>
      </w:r>
      <w:r>
        <w:rPr>
          <w:rFonts w:hint="eastAsia"/>
          <w:color w:val="auto"/>
          <w:szCs w:val="21"/>
          <w:highlight w:val="none"/>
        </w:rPr>
        <w:t>四</w:t>
      </w:r>
      <w:r>
        <w:rPr>
          <w:color w:val="auto"/>
          <w:szCs w:val="21"/>
          <w:highlight w:val="none"/>
        </w:rPr>
        <w:t>线制或单相</w:t>
      </w:r>
      <w:r>
        <w:rPr>
          <w:rFonts w:hint="eastAsia"/>
          <w:color w:val="auto"/>
          <w:szCs w:val="21"/>
          <w:highlight w:val="none"/>
        </w:rPr>
        <w:t>两</w:t>
      </w:r>
      <w:r>
        <w:rPr>
          <w:color w:val="auto"/>
          <w:szCs w:val="21"/>
          <w:highlight w:val="none"/>
        </w:rPr>
        <w:t>线制。</w:t>
      </w:r>
      <w:r>
        <w:rPr>
          <w:rFonts w:hint="eastAsia"/>
          <w:color w:val="auto"/>
          <w:szCs w:val="21"/>
          <w:highlight w:val="none"/>
        </w:rPr>
        <w:t>各</w:t>
      </w:r>
      <w:r>
        <w:rPr>
          <w:color w:val="auto"/>
          <w:szCs w:val="21"/>
          <w:highlight w:val="none"/>
        </w:rPr>
        <w:t>终端变电站</w:t>
      </w:r>
      <w:r>
        <w:rPr>
          <w:rFonts w:hint="eastAsia"/>
          <w:color w:val="auto"/>
          <w:szCs w:val="21"/>
          <w:highlight w:val="none"/>
        </w:rPr>
        <w:t>和FMCS间</w:t>
      </w:r>
      <w:r>
        <w:rPr>
          <w:color w:val="auto"/>
          <w:szCs w:val="21"/>
          <w:highlight w:val="none"/>
        </w:rPr>
        <w:t>设综合电力监控系统，系统汇集了数据采集、监测、处理和存储，实时数据和图形显示功能。</w:t>
      </w:r>
      <w:r>
        <w:rPr>
          <w:rFonts w:hint="eastAsia"/>
          <w:color w:val="auto"/>
          <w:szCs w:val="21"/>
          <w:highlight w:val="none"/>
        </w:rPr>
        <w:t>另需于110KV变电站电力连接，洁净室母线槽安装等。</w:t>
      </w:r>
    </w:p>
    <w:p w14:paraId="76681D3A">
      <w:pPr>
        <w:snapToGrid w:val="0"/>
        <w:spacing w:line="360" w:lineRule="auto"/>
        <w:ind w:firstLine="482" w:firstLineChars="200"/>
        <w:contextualSpacing/>
        <w:rPr>
          <w:b/>
          <w:color w:val="auto"/>
          <w:szCs w:val="21"/>
          <w:highlight w:val="none"/>
        </w:rPr>
      </w:pPr>
    </w:p>
    <w:p w14:paraId="13362991">
      <w:pPr>
        <w:pStyle w:val="47"/>
        <w:numPr>
          <w:ilvl w:val="0"/>
          <w:numId w:val="28"/>
        </w:numPr>
        <w:snapToGrid w:val="0"/>
        <w:spacing w:line="360" w:lineRule="auto"/>
        <w:ind w:firstLineChars="0"/>
        <w:contextualSpacing/>
        <w:jc w:val="left"/>
        <w:rPr>
          <w:b/>
          <w:color w:val="auto"/>
          <w:szCs w:val="21"/>
          <w:highlight w:val="none"/>
        </w:rPr>
      </w:pPr>
      <w:r>
        <w:rPr>
          <w:b/>
          <w:color w:val="auto"/>
          <w:szCs w:val="21"/>
          <w:highlight w:val="none"/>
        </w:rPr>
        <w:t>消防系统</w:t>
      </w:r>
    </w:p>
    <w:p w14:paraId="1FE55DF2">
      <w:pPr>
        <w:snapToGrid w:val="0"/>
        <w:spacing w:line="360" w:lineRule="auto"/>
        <w:ind w:firstLine="480" w:firstLineChars="200"/>
        <w:contextualSpacing/>
        <w:rPr>
          <w:color w:val="auto"/>
          <w:szCs w:val="21"/>
          <w:highlight w:val="none"/>
        </w:rPr>
      </w:pPr>
      <w:r>
        <w:rPr>
          <w:color w:val="auto"/>
          <w:szCs w:val="21"/>
          <w:highlight w:val="none"/>
        </w:rPr>
        <w:t>主要包括但不限于室内外消火栓系统、自动喷水灭火系统、气体灭火系统、手提式/推车式灭火器系统、火灾报警系统、应急广播系统、防火门监控系统、消防电源监控系统、氧浓度及可燃气体报警系统</w:t>
      </w:r>
      <w:r>
        <w:rPr>
          <w:rFonts w:hint="eastAsia"/>
          <w:color w:val="auto"/>
          <w:szCs w:val="21"/>
          <w:highlight w:val="none"/>
        </w:rPr>
        <w:t>、</w:t>
      </w:r>
      <w:r>
        <w:rPr>
          <w:color w:val="auto"/>
          <w:highlight w:val="none"/>
        </w:rPr>
        <w:t>防排烟系统跟应急照明系统</w:t>
      </w:r>
      <w:r>
        <w:rPr>
          <w:color w:val="auto"/>
          <w:szCs w:val="21"/>
          <w:highlight w:val="none"/>
        </w:rPr>
        <w:t>等。</w:t>
      </w:r>
    </w:p>
    <w:p w14:paraId="3D51BE38">
      <w:pPr>
        <w:snapToGrid w:val="0"/>
        <w:spacing w:line="360" w:lineRule="auto"/>
        <w:ind w:firstLine="480" w:firstLineChars="200"/>
        <w:contextualSpacing/>
        <w:rPr>
          <w:color w:val="auto"/>
          <w:szCs w:val="21"/>
          <w:highlight w:val="none"/>
        </w:rPr>
      </w:pPr>
      <w:r>
        <w:rPr>
          <w:color w:val="auto"/>
          <w:szCs w:val="21"/>
          <w:highlight w:val="none"/>
        </w:rPr>
        <w:t>室内消火栓系统和室内自动喷水灭火系统采用高压系统分别供水</w:t>
      </w:r>
      <w:r>
        <w:rPr>
          <w:rFonts w:hint="eastAsia"/>
          <w:color w:val="auto"/>
          <w:szCs w:val="21"/>
          <w:highlight w:val="none"/>
        </w:rPr>
        <w:t>，室外消火栓采用低压消防给水系统（利用市政余压）。</w:t>
      </w:r>
      <w:r>
        <w:rPr>
          <w:color w:val="auto"/>
          <w:szCs w:val="21"/>
          <w:highlight w:val="none"/>
        </w:rPr>
        <w:t>消防供水系统主要由室内消火栓泵、消火栓稳压系统、室内喷淋泵、喷淋稳压系统、消防水箱、室内外消防管网等组成。发生火灾时，消防泵由</w:t>
      </w:r>
      <w:r>
        <w:rPr>
          <w:rFonts w:hint="eastAsia"/>
          <w:color w:val="auto"/>
          <w:szCs w:val="21"/>
          <w:highlight w:val="none"/>
        </w:rPr>
        <w:t>生产消防水罐</w:t>
      </w:r>
      <w:r>
        <w:rPr>
          <w:color w:val="auto"/>
          <w:szCs w:val="21"/>
          <w:highlight w:val="none"/>
        </w:rPr>
        <w:t>吸水加压后输送至各用水点，平时消防系统由稳压泵加压保持一定的管网压力。</w:t>
      </w:r>
      <w:r>
        <w:rPr>
          <w:rFonts w:hint="eastAsia"/>
          <w:color w:val="auto"/>
          <w:szCs w:val="21"/>
          <w:highlight w:val="none"/>
        </w:rPr>
        <w:t>建议可考虑</w:t>
      </w:r>
      <w:r>
        <w:rPr>
          <w:color w:val="auto"/>
          <w:szCs w:val="21"/>
          <w:highlight w:val="none"/>
        </w:rPr>
        <w:t>在</w:t>
      </w:r>
      <w:r>
        <w:rPr>
          <w:rFonts w:hint="eastAsia"/>
          <w:color w:val="auto"/>
          <w:szCs w:val="21"/>
          <w:highlight w:val="none"/>
        </w:rPr>
        <w:t>测试车间</w:t>
      </w:r>
      <w:r>
        <w:rPr>
          <w:color w:val="auto"/>
          <w:szCs w:val="21"/>
          <w:highlight w:val="none"/>
        </w:rPr>
        <w:t>屋面设置高位消防水箱保证初期消防用水。室内</w:t>
      </w:r>
      <w:r>
        <w:rPr>
          <w:rFonts w:hint="eastAsia"/>
          <w:color w:val="auto"/>
          <w:szCs w:val="21"/>
          <w:highlight w:val="none"/>
        </w:rPr>
        <w:t>、</w:t>
      </w:r>
      <w:r>
        <w:rPr>
          <w:color w:val="auto"/>
          <w:szCs w:val="21"/>
          <w:highlight w:val="none"/>
        </w:rPr>
        <w:t>外消防管网均为环状管网。</w:t>
      </w:r>
    </w:p>
    <w:p w14:paraId="03FB31C1">
      <w:pPr>
        <w:snapToGrid w:val="0"/>
        <w:spacing w:line="360" w:lineRule="auto"/>
        <w:ind w:firstLine="480" w:firstLineChars="200"/>
        <w:contextualSpacing/>
        <w:rPr>
          <w:color w:val="auto"/>
          <w:szCs w:val="21"/>
          <w:highlight w:val="none"/>
        </w:rPr>
      </w:pPr>
      <w:r>
        <w:rPr>
          <w:color w:val="auto"/>
          <w:szCs w:val="21"/>
          <w:highlight w:val="none"/>
        </w:rPr>
        <w:t xml:space="preserve">自动喷水灭火系统包括湿式自动喷水灭火系统、泡沫-湿式喷淋联用自动灭火系统、水喷雾防护冷却/灭火系统等。储存有机化学品、有机废液等区域采用泡沫-湿式喷淋联用自动灭火系统；储存可燃气体区域采用水喷雾防护冷却系统； </w:t>
      </w:r>
    </w:p>
    <w:p w14:paraId="56B0708F">
      <w:pPr>
        <w:snapToGrid w:val="0"/>
        <w:spacing w:line="360" w:lineRule="auto"/>
        <w:ind w:firstLine="480" w:firstLineChars="200"/>
        <w:contextualSpacing/>
        <w:rPr>
          <w:color w:val="auto"/>
          <w:szCs w:val="21"/>
          <w:highlight w:val="none"/>
        </w:rPr>
      </w:pPr>
      <w:r>
        <w:rPr>
          <w:color w:val="auto"/>
          <w:szCs w:val="21"/>
          <w:highlight w:val="none"/>
        </w:rPr>
        <w:t>在建筑内</w:t>
      </w:r>
      <w:r>
        <w:rPr>
          <w:rFonts w:hint="eastAsia"/>
          <w:color w:val="auto"/>
          <w:szCs w:val="21"/>
          <w:highlight w:val="none"/>
        </w:rPr>
        <w:t>配电间</w:t>
      </w:r>
      <w:r>
        <w:rPr>
          <w:color w:val="auto"/>
          <w:szCs w:val="21"/>
          <w:highlight w:val="none"/>
        </w:rPr>
        <w:t>安装气体自动灭火系统，系统具备喷放前的预警及语音提醒功能，同时室内装设氧气浓度侦测器，供灾后恢复时人员进入前的参考之用。</w:t>
      </w:r>
    </w:p>
    <w:p w14:paraId="49DB07AC">
      <w:pPr>
        <w:snapToGrid w:val="0"/>
        <w:spacing w:line="360" w:lineRule="auto"/>
        <w:ind w:firstLine="480" w:firstLineChars="200"/>
        <w:contextualSpacing/>
        <w:rPr>
          <w:color w:val="auto"/>
          <w:szCs w:val="21"/>
          <w:highlight w:val="none"/>
        </w:rPr>
      </w:pPr>
      <w:r>
        <w:rPr>
          <w:color w:val="auto"/>
          <w:szCs w:val="21"/>
          <w:highlight w:val="none"/>
        </w:rPr>
        <w:t>火灾报警系统包括温感、烟感火灾报警探测器，</w:t>
      </w:r>
      <w:r>
        <w:rPr>
          <w:rFonts w:hint="eastAsia"/>
          <w:color w:val="auto"/>
          <w:szCs w:val="21"/>
          <w:highlight w:val="none"/>
        </w:rPr>
        <w:t>厂房区域</w:t>
      </w:r>
      <w:r>
        <w:rPr>
          <w:color w:val="auto"/>
          <w:szCs w:val="21"/>
          <w:highlight w:val="none"/>
        </w:rPr>
        <w:t>另加设极早期火灾报警采样系统等及其消防联动控制系统等系统组成。</w:t>
      </w:r>
    </w:p>
    <w:p w14:paraId="72C236A3">
      <w:pPr>
        <w:snapToGrid w:val="0"/>
        <w:spacing w:line="360" w:lineRule="auto"/>
        <w:ind w:firstLine="480" w:firstLineChars="200"/>
        <w:contextualSpacing/>
        <w:rPr>
          <w:color w:val="auto"/>
          <w:szCs w:val="21"/>
          <w:highlight w:val="none"/>
        </w:rPr>
      </w:pPr>
      <w:r>
        <w:rPr>
          <w:color w:val="auto"/>
          <w:szCs w:val="21"/>
          <w:highlight w:val="none"/>
        </w:rPr>
        <w:t>为配合火灾、危害气体泄漏事故发生时人员及时疏散及实施紧急应变处理，依消防法规于全厂设置应急广播系统，系统主机设置于消防监控中心</w:t>
      </w:r>
      <w:r>
        <w:rPr>
          <w:rFonts w:hint="eastAsia"/>
          <w:color w:val="auto"/>
          <w:szCs w:val="21"/>
          <w:highlight w:val="none"/>
        </w:rPr>
        <w:t>（A</w:t>
      </w:r>
      <w:r>
        <w:rPr>
          <w:color w:val="auto"/>
          <w:szCs w:val="21"/>
          <w:highlight w:val="none"/>
        </w:rPr>
        <w:t>1</w:t>
      </w:r>
      <w:r>
        <w:rPr>
          <w:rFonts w:hint="eastAsia"/>
          <w:color w:val="auto"/>
          <w:szCs w:val="21"/>
          <w:highlight w:val="none"/>
        </w:rPr>
        <w:t>消防相关监控设施接入消防主控系统）</w:t>
      </w:r>
      <w:r>
        <w:rPr>
          <w:color w:val="auto"/>
          <w:szCs w:val="21"/>
          <w:highlight w:val="none"/>
        </w:rPr>
        <w:t>、动力控制中心、紧急应变中心及其余适当区域配置应急广播站，以便迅速通报可能发生的状况。</w:t>
      </w:r>
    </w:p>
    <w:p w14:paraId="1FB6ED4C">
      <w:pPr>
        <w:snapToGrid w:val="0"/>
        <w:spacing w:line="360" w:lineRule="auto"/>
        <w:ind w:firstLine="480" w:firstLineChars="200"/>
        <w:contextualSpacing/>
        <w:rPr>
          <w:color w:val="auto"/>
          <w:szCs w:val="21"/>
          <w:highlight w:val="none"/>
        </w:rPr>
      </w:pPr>
    </w:p>
    <w:p w14:paraId="47BA4D9B">
      <w:pPr>
        <w:pStyle w:val="47"/>
        <w:numPr>
          <w:ilvl w:val="0"/>
          <w:numId w:val="28"/>
        </w:numPr>
        <w:snapToGrid w:val="0"/>
        <w:spacing w:line="360" w:lineRule="auto"/>
        <w:ind w:firstLineChars="0"/>
        <w:contextualSpacing/>
        <w:jc w:val="left"/>
        <w:rPr>
          <w:b/>
          <w:color w:val="auto"/>
          <w:szCs w:val="21"/>
          <w:highlight w:val="none"/>
        </w:rPr>
      </w:pPr>
      <w:r>
        <w:rPr>
          <w:b/>
          <w:color w:val="auto"/>
          <w:szCs w:val="21"/>
          <w:highlight w:val="none"/>
        </w:rPr>
        <w:t>安</w:t>
      </w:r>
      <w:r>
        <w:rPr>
          <w:rFonts w:hint="eastAsia"/>
          <w:b/>
          <w:color w:val="auto"/>
          <w:szCs w:val="21"/>
          <w:highlight w:val="none"/>
        </w:rPr>
        <w:t>防</w:t>
      </w:r>
      <w:r>
        <w:rPr>
          <w:b/>
          <w:color w:val="auto"/>
          <w:szCs w:val="21"/>
          <w:highlight w:val="none"/>
        </w:rPr>
        <w:t xml:space="preserve">系统 </w:t>
      </w:r>
    </w:p>
    <w:p w14:paraId="51401AB5">
      <w:pPr>
        <w:snapToGrid w:val="0"/>
        <w:spacing w:line="360" w:lineRule="auto"/>
        <w:ind w:firstLine="480" w:firstLineChars="200"/>
        <w:contextualSpacing/>
        <w:rPr>
          <w:color w:val="auto"/>
          <w:szCs w:val="21"/>
          <w:highlight w:val="none"/>
        </w:rPr>
      </w:pPr>
      <w:r>
        <w:rPr>
          <w:color w:val="auto"/>
          <w:szCs w:val="21"/>
          <w:highlight w:val="none"/>
        </w:rPr>
        <w:t>主要包括但不限于设置CCTV系统、门禁控制系统。</w:t>
      </w:r>
      <w:r>
        <w:rPr>
          <w:rFonts w:hint="eastAsia"/>
          <w:color w:val="auto"/>
          <w:szCs w:val="21"/>
          <w:highlight w:val="none"/>
        </w:rPr>
        <w:t>并考虑IT（电话</w:t>
      </w:r>
      <w:r>
        <w:rPr>
          <w:color w:val="auto"/>
          <w:szCs w:val="21"/>
          <w:highlight w:val="none"/>
        </w:rPr>
        <w:t>网络</w:t>
      </w:r>
      <w:r>
        <w:rPr>
          <w:rFonts w:hint="eastAsia"/>
          <w:color w:val="auto"/>
          <w:szCs w:val="21"/>
          <w:highlight w:val="none"/>
        </w:rPr>
        <w:t>）用的</w:t>
      </w:r>
      <w:r>
        <w:rPr>
          <w:color w:val="auto"/>
          <w:szCs w:val="21"/>
          <w:highlight w:val="none"/>
        </w:rPr>
        <w:t>主干桥架及室外预埋管</w:t>
      </w:r>
      <w:r>
        <w:rPr>
          <w:rFonts w:hint="eastAsia"/>
          <w:color w:val="auto"/>
          <w:szCs w:val="21"/>
          <w:highlight w:val="none"/>
        </w:rPr>
        <w:t>，监控网络具体参数要求见下表。</w:t>
      </w:r>
    </w:p>
    <w:p w14:paraId="234D8512">
      <w:pPr>
        <w:snapToGrid w:val="0"/>
        <w:spacing w:line="360" w:lineRule="auto"/>
        <w:contextualSpacing/>
        <w:rPr>
          <w:color w:val="auto"/>
          <w:szCs w:val="21"/>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INCLUDEPICTURE  "C:\\Users\\xufengfeng\\AppData\\Local\\Temp\\企业微信截图_17671483213283.png" \* MERGEFORMATINET</w:instrText>
      </w:r>
      <w:r>
        <w:rPr>
          <w:color w:val="auto"/>
          <w:highlight w:val="none"/>
        </w:rPr>
        <w:instrText xml:space="preserve"> </w:instrText>
      </w:r>
      <w:r>
        <w:rPr>
          <w:color w:val="auto"/>
          <w:highlight w:val="none"/>
        </w:rPr>
        <w:fldChar w:fldCharType="separate"/>
      </w:r>
      <w:r>
        <w:rPr>
          <w:color w:val="auto"/>
          <w:highlight w:val="none"/>
        </w:rPr>
        <w:pict>
          <v:shape id="_x0000_i1025" o:spt="75" type="#_x0000_t75" style="height:373.05pt;width:483.6pt;" filled="f" o:preferrelative="t" stroked="f" coordsize="21600,21600">
            <v:path/>
            <v:fill on="f" focussize="0,0"/>
            <v:stroke on="f" joinstyle="miter"/>
            <v:imagedata r:id="rId10" r:href="rId11" o:title=""/>
            <o:lock v:ext="edit" aspectratio="t"/>
            <w10:wrap type="none"/>
            <w10:anchorlock/>
          </v:shape>
        </w:pict>
      </w:r>
      <w:r>
        <w:rPr>
          <w:color w:val="auto"/>
          <w:highlight w:val="none"/>
        </w:rPr>
        <w:fldChar w:fldCharType="end"/>
      </w:r>
    </w:p>
    <w:p w14:paraId="6FF6CBEB">
      <w:pPr>
        <w:pStyle w:val="47"/>
        <w:numPr>
          <w:ilvl w:val="0"/>
          <w:numId w:val="28"/>
        </w:numPr>
        <w:snapToGrid w:val="0"/>
        <w:spacing w:line="360" w:lineRule="auto"/>
        <w:ind w:firstLineChars="0"/>
        <w:contextualSpacing/>
        <w:jc w:val="left"/>
        <w:rPr>
          <w:b/>
          <w:color w:val="auto"/>
          <w:szCs w:val="21"/>
          <w:highlight w:val="none"/>
        </w:rPr>
      </w:pPr>
      <w:r>
        <w:rPr>
          <w:rFonts w:hint="eastAsia"/>
          <w:b/>
          <w:color w:val="auto"/>
          <w:szCs w:val="21"/>
          <w:highlight w:val="none"/>
        </w:rPr>
        <w:t>ESD系统</w:t>
      </w:r>
    </w:p>
    <w:p w14:paraId="69F9E20A">
      <w:pPr>
        <w:pStyle w:val="47"/>
        <w:snapToGrid w:val="0"/>
        <w:spacing w:line="360" w:lineRule="auto"/>
        <w:ind w:left="161" w:leftChars="67" w:firstLine="480"/>
        <w:contextualSpacing/>
        <w:jc w:val="left"/>
        <w:rPr>
          <w:color w:val="auto"/>
          <w:kern w:val="0"/>
          <w:sz w:val="24"/>
          <w:szCs w:val="21"/>
          <w:highlight w:val="none"/>
        </w:rPr>
      </w:pPr>
      <w:r>
        <w:rPr>
          <w:rFonts w:hint="eastAsia"/>
          <w:color w:val="auto"/>
          <w:kern w:val="0"/>
          <w:sz w:val="24"/>
          <w:szCs w:val="21"/>
          <w:highlight w:val="none"/>
        </w:rPr>
        <w:t>设置接地系统（接地桩、防静电接地系统、AC接地系统）和高架地板需采用防静电地板，具体参数要求见下表：</w:t>
      </w:r>
    </w:p>
    <w:p w14:paraId="32619A96">
      <w:pPr>
        <w:pStyle w:val="47"/>
        <w:snapToGrid w:val="0"/>
        <w:spacing w:line="360" w:lineRule="auto"/>
        <w:ind w:left="561" w:firstLine="0" w:firstLineChars="0"/>
        <w:contextualSpacing/>
        <w:jc w:val="left"/>
        <w:rPr>
          <w:b/>
          <w:color w:val="auto"/>
          <w:szCs w:val="21"/>
          <w:highlight w:val="none"/>
        </w:rPr>
      </w:pPr>
      <w:r>
        <w:rPr>
          <w:color w:val="auto"/>
          <w:highlight w:val="none"/>
        </w:rPr>
        <w:drawing>
          <wp:inline distT="0" distB="0" distL="0" distR="0">
            <wp:extent cx="5806440" cy="2132330"/>
            <wp:effectExtent l="0" t="0" r="0" b="0"/>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2">
                      <a:extLst>
                        <a:ext uri="{28A0092B-C50C-407E-A947-70E740481C1C}">
                          <a14:useLocalDpi xmlns:a14="http://schemas.microsoft.com/office/drawing/2010/main" val="0"/>
                        </a:ext>
                      </a:extLst>
                    </a:blip>
                    <a:srcRect/>
                    <a:stretch>
                      <a:fillRect/>
                    </a:stretch>
                  </pic:blipFill>
                  <pic:spPr>
                    <a:xfrm>
                      <a:off x="0" y="0"/>
                      <a:ext cx="5806440" cy="2132330"/>
                    </a:xfrm>
                    <a:prstGeom prst="rect">
                      <a:avLst/>
                    </a:prstGeom>
                    <a:noFill/>
                    <a:ln>
                      <a:noFill/>
                    </a:ln>
                  </pic:spPr>
                </pic:pic>
              </a:graphicData>
            </a:graphic>
          </wp:inline>
        </w:drawing>
      </w:r>
    </w:p>
    <w:p w14:paraId="6574371E">
      <w:pPr>
        <w:pStyle w:val="4"/>
        <w:spacing w:before="120" w:after="120"/>
        <w:rPr>
          <w:b w:val="0"/>
          <w:color w:val="auto"/>
          <w:highlight w:val="none"/>
        </w:rPr>
      </w:pPr>
      <w:r>
        <w:rPr>
          <w:color w:val="auto"/>
          <w:highlight w:val="none"/>
        </w:rPr>
        <w:t>2.3 项目总体布局</w:t>
      </w:r>
    </w:p>
    <w:p w14:paraId="367376CE">
      <w:pPr>
        <w:snapToGrid w:val="0"/>
        <w:spacing w:line="360" w:lineRule="auto"/>
        <w:contextualSpacing/>
        <w:rPr>
          <w:rFonts w:hint="eastAsia" w:ascii="宋体" w:hAnsi="宋体"/>
          <w:color w:val="auto"/>
          <w:szCs w:val="21"/>
          <w:highlight w:val="none"/>
        </w:rPr>
      </w:pPr>
      <w:r>
        <w:rPr>
          <w:rFonts w:ascii="Times New Roman" w:hAnsi="Times New Roman"/>
          <w:color w:val="auto"/>
          <w:szCs w:val="21"/>
          <w:highlight w:val="none"/>
        </w:rPr>
        <w:t>2.3.1</w:t>
      </w:r>
      <w:r>
        <w:rPr>
          <w:rFonts w:ascii="Times New Roman" w:hAnsi="Times New Roman"/>
          <w:b/>
          <w:bCs/>
          <w:color w:val="auto"/>
          <w:szCs w:val="21"/>
          <w:highlight w:val="none"/>
        </w:rPr>
        <w:t xml:space="preserve"> </w:t>
      </w:r>
      <w:r>
        <w:rPr>
          <w:rFonts w:hint="eastAsia" w:ascii="宋体" w:hAnsi="宋体"/>
          <w:color w:val="auto"/>
          <w:szCs w:val="21"/>
          <w:highlight w:val="none"/>
        </w:rPr>
        <w:t>项目总体布局以及</w:t>
      </w:r>
      <w:r>
        <w:rPr>
          <w:rFonts w:ascii="宋体" w:hAnsi="宋体"/>
          <w:color w:val="auto"/>
          <w:szCs w:val="21"/>
          <w:highlight w:val="none"/>
        </w:rPr>
        <w:t>建</w:t>
      </w:r>
      <w:r>
        <w:rPr>
          <w:rFonts w:hint="eastAsia" w:ascii="宋体" w:hAnsi="宋体"/>
          <w:color w:val="auto"/>
          <w:szCs w:val="21"/>
          <w:highlight w:val="none"/>
        </w:rPr>
        <w:t>构筑</w:t>
      </w:r>
      <w:r>
        <w:rPr>
          <w:rFonts w:ascii="宋体" w:hAnsi="宋体"/>
          <w:color w:val="auto"/>
          <w:szCs w:val="21"/>
          <w:highlight w:val="none"/>
        </w:rPr>
        <w:t>物</w:t>
      </w:r>
      <w:r>
        <w:rPr>
          <w:rFonts w:hint="eastAsia" w:ascii="宋体" w:hAnsi="宋体"/>
          <w:color w:val="auto"/>
          <w:szCs w:val="21"/>
          <w:highlight w:val="none"/>
        </w:rPr>
        <w:t>需满足规建局的相关规划设计要点技术要求。</w:t>
      </w:r>
    </w:p>
    <w:p w14:paraId="06A18ED0">
      <w:pPr>
        <w:snapToGrid w:val="0"/>
        <w:spacing w:line="360" w:lineRule="auto"/>
        <w:contextualSpacing/>
        <w:rPr>
          <w:rFonts w:hint="eastAsia" w:ascii="宋体" w:hAnsi="宋体"/>
          <w:color w:val="auto"/>
          <w:szCs w:val="21"/>
          <w:highlight w:val="none"/>
        </w:rPr>
      </w:pPr>
      <w:r>
        <w:rPr>
          <w:rFonts w:ascii="Times New Roman" w:hAnsi="Times New Roman"/>
          <w:color w:val="auto"/>
          <w:szCs w:val="21"/>
          <w:highlight w:val="none"/>
        </w:rPr>
        <w:t>2.3.2</w:t>
      </w:r>
      <w:r>
        <w:rPr>
          <w:rFonts w:ascii="Times New Roman" w:hAnsi="Times New Roman"/>
          <w:b/>
          <w:bCs/>
          <w:color w:val="auto"/>
          <w:szCs w:val="21"/>
          <w:highlight w:val="none"/>
        </w:rPr>
        <w:t xml:space="preserve"> </w:t>
      </w:r>
      <w:r>
        <w:rPr>
          <w:rFonts w:hint="eastAsia" w:ascii="宋体" w:hAnsi="宋体"/>
          <w:color w:val="auto"/>
          <w:szCs w:val="21"/>
          <w:highlight w:val="none"/>
        </w:rPr>
        <w:t>项目总体布局以及建构筑物需要满足建设单位的相关工艺技术和使用需求。</w:t>
      </w:r>
    </w:p>
    <w:p w14:paraId="7EF06A18">
      <w:pPr>
        <w:snapToGrid w:val="0"/>
        <w:spacing w:line="360" w:lineRule="auto"/>
        <w:contextualSpacing/>
        <w:rPr>
          <w:rFonts w:hint="eastAsia" w:ascii="宋体" w:hAnsi="宋体"/>
          <w:color w:val="auto"/>
          <w:szCs w:val="21"/>
          <w:highlight w:val="none"/>
        </w:rPr>
      </w:pPr>
      <w:r>
        <w:rPr>
          <w:rFonts w:ascii="Times New Roman" w:hAnsi="Times New Roman"/>
          <w:color w:val="auto"/>
          <w:szCs w:val="21"/>
          <w:highlight w:val="none"/>
        </w:rPr>
        <w:t>2.3.3</w:t>
      </w:r>
      <w:r>
        <w:rPr>
          <w:rFonts w:ascii="Times New Roman" w:hAnsi="Times New Roman"/>
          <w:b/>
          <w:bCs/>
          <w:color w:val="auto"/>
          <w:szCs w:val="21"/>
          <w:highlight w:val="none"/>
        </w:rPr>
        <w:t xml:space="preserve"> </w:t>
      </w:r>
      <w:r>
        <w:rPr>
          <w:rFonts w:hint="eastAsia" w:ascii="宋体" w:hAnsi="宋体"/>
          <w:color w:val="auto"/>
          <w:szCs w:val="21"/>
          <w:highlight w:val="none"/>
        </w:rPr>
        <w:t>项目总体布局以及建构筑物以及各动力系统需满足国家以及地方的相关规范法规标准的技术和使用需求。</w:t>
      </w:r>
    </w:p>
    <w:p w14:paraId="6823252F">
      <w:pPr>
        <w:pStyle w:val="4"/>
        <w:spacing w:before="120" w:after="120"/>
        <w:rPr>
          <w:color w:val="auto"/>
          <w:highlight w:val="none"/>
        </w:rPr>
      </w:pPr>
      <w:bookmarkStart w:id="167" w:name="_Toc515702254"/>
      <w:bookmarkStart w:id="168" w:name="_Toc516582105"/>
      <w:r>
        <w:rPr>
          <w:color w:val="auto"/>
          <w:highlight w:val="none"/>
        </w:rPr>
        <w:t>2.4 项目实施进度里程碑要求</w:t>
      </w:r>
      <w:bookmarkEnd w:id="167"/>
      <w:bookmarkEnd w:id="168"/>
    </w:p>
    <w:tbl>
      <w:tblPr>
        <w:tblStyle w:val="23"/>
        <w:tblW w:w="928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58"/>
        <w:gridCol w:w="2232"/>
        <w:gridCol w:w="6094"/>
      </w:tblGrid>
      <w:tr w14:paraId="44657E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958" w:type="dxa"/>
            <w:vAlign w:val="center"/>
          </w:tcPr>
          <w:p w14:paraId="27566FB1">
            <w:pPr>
              <w:snapToGrid w:val="0"/>
              <w:ind w:left="-107" w:right="-108" w:rightChars="-45"/>
              <w:contextualSpacing/>
              <w:jc w:val="center"/>
              <w:textAlignment w:val="bottom"/>
              <w:rPr>
                <w:b/>
                <w:color w:val="auto"/>
                <w:szCs w:val="21"/>
                <w:highlight w:val="none"/>
              </w:rPr>
            </w:pPr>
            <w:r>
              <w:rPr>
                <w:b/>
                <w:color w:val="auto"/>
                <w:szCs w:val="21"/>
                <w:highlight w:val="none"/>
              </w:rPr>
              <w:t>序号</w:t>
            </w:r>
          </w:p>
        </w:tc>
        <w:tc>
          <w:tcPr>
            <w:tcW w:w="2232" w:type="dxa"/>
            <w:vAlign w:val="center"/>
          </w:tcPr>
          <w:p w14:paraId="3A079731">
            <w:pPr>
              <w:snapToGrid w:val="0"/>
              <w:ind w:left="-107" w:right="-108" w:rightChars="-45"/>
              <w:contextualSpacing/>
              <w:jc w:val="center"/>
              <w:textAlignment w:val="bottom"/>
              <w:rPr>
                <w:b/>
                <w:color w:val="auto"/>
                <w:szCs w:val="21"/>
                <w:highlight w:val="none"/>
              </w:rPr>
            </w:pPr>
            <w:r>
              <w:rPr>
                <w:b/>
                <w:color w:val="auto"/>
                <w:szCs w:val="21"/>
                <w:highlight w:val="none"/>
              </w:rPr>
              <w:t>时间</w:t>
            </w:r>
          </w:p>
        </w:tc>
        <w:tc>
          <w:tcPr>
            <w:tcW w:w="6094" w:type="dxa"/>
            <w:vAlign w:val="center"/>
          </w:tcPr>
          <w:p w14:paraId="50400DFD">
            <w:pPr>
              <w:snapToGrid w:val="0"/>
              <w:ind w:left="-108" w:leftChars="-45" w:right="-38" w:rightChars="-16" w:firstLine="106" w:firstLineChars="44"/>
              <w:contextualSpacing/>
              <w:jc w:val="center"/>
              <w:textAlignment w:val="bottom"/>
              <w:rPr>
                <w:b/>
                <w:color w:val="auto"/>
                <w:szCs w:val="21"/>
                <w:highlight w:val="none"/>
              </w:rPr>
            </w:pPr>
            <w:r>
              <w:rPr>
                <w:b/>
                <w:color w:val="auto"/>
                <w:szCs w:val="21"/>
                <w:highlight w:val="none"/>
              </w:rPr>
              <w:t>进度事项</w:t>
            </w:r>
          </w:p>
        </w:tc>
      </w:tr>
      <w:tr w14:paraId="0498CD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958" w:type="dxa"/>
            <w:vAlign w:val="center"/>
          </w:tcPr>
          <w:p w14:paraId="04C2FFAD">
            <w:pPr>
              <w:snapToGrid w:val="0"/>
              <w:ind w:left="-107"/>
              <w:contextualSpacing/>
              <w:jc w:val="center"/>
              <w:textAlignment w:val="bottom"/>
              <w:rPr>
                <w:color w:val="auto"/>
                <w:szCs w:val="21"/>
                <w:highlight w:val="none"/>
              </w:rPr>
            </w:pPr>
            <w:r>
              <w:rPr>
                <w:color w:val="auto"/>
                <w:szCs w:val="21"/>
                <w:highlight w:val="none"/>
              </w:rPr>
              <w:t>1</w:t>
            </w:r>
          </w:p>
        </w:tc>
        <w:tc>
          <w:tcPr>
            <w:tcW w:w="2232" w:type="dxa"/>
            <w:vAlign w:val="center"/>
          </w:tcPr>
          <w:p w14:paraId="47D73E74">
            <w:pPr>
              <w:snapToGrid w:val="0"/>
              <w:ind w:left="-106" w:leftChars="-45" w:right="-108" w:rightChars="-45" w:hanging="2"/>
              <w:contextualSpacing/>
              <w:jc w:val="center"/>
              <w:textAlignment w:val="bottom"/>
              <w:rPr>
                <w:color w:val="auto"/>
                <w:szCs w:val="21"/>
                <w:highlight w:val="none"/>
              </w:rPr>
            </w:pPr>
            <w:r>
              <w:rPr>
                <w:color w:val="auto"/>
                <w:szCs w:val="21"/>
                <w:highlight w:val="none"/>
              </w:rPr>
              <w:t>2026/5</w:t>
            </w:r>
            <w:r>
              <w:rPr>
                <w:rFonts w:hint="eastAsia"/>
                <w:color w:val="auto"/>
                <w:szCs w:val="21"/>
                <w:highlight w:val="none"/>
              </w:rPr>
              <w:t>/</w:t>
            </w:r>
            <w:r>
              <w:rPr>
                <w:color w:val="auto"/>
                <w:szCs w:val="21"/>
                <w:highlight w:val="none"/>
              </w:rPr>
              <w:t>3</w:t>
            </w:r>
            <w:r>
              <w:rPr>
                <w:rFonts w:hint="eastAsia"/>
                <w:color w:val="auto"/>
                <w:szCs w:val="21"/>
                <w:highlight w:val="none"/>
              </w:rPr>
              <w:t>0</w:t>
            </w:r>
          </w:p>
        </w:tc>
        <w:tc>
          <w:tcPr>
            <w:tcW w:w="6094" w:type="dxa"/>
            <w:vAlign w:val="center"/>
          </w:tcPr>
          <w:p w14:paraId="2783C13B">
            <w:pPr>
              <w:tabs>
                <w:tab w:val="left" w:pos="3737"/>
              </w:tabs>
              <w:snapToGrid w:val="0"/>
              <w:ind w:left="-108" w:leftChars="-45" w:right="-38" w:rightChars="-16" w:firstLine="105" w:firstLineChars="44"/>
              <w:contextualSpacing/>
              <w:jc w:val="center"/>
              <w:textAlignment w:val="bottom"/>
              <w:rPr>
                <w:color w:val="auto"/>
                <w:szCs w:val="21"/>
                <w:highlight w:val="none"/>
              </w:rPr>
            </w:pPr>
            <w:r>
              <w:rPr>
                <w:rFonts w:hint="eastAsia"/>
                <w:color w:val="auto"/>
                <w:szCs w:val="21"/>
                <w:highlight w:val="none"/>
              </w:rPr>
              <w:t>项目完工</w:t>
            </w:r>
          </w:p>
        </w:tc>
      </w:tr>
    </w:tbl>
    <w:p w14:paraId="7503070A">
      <w:pPr>
        <w:snapToGrid w:val="0"/>
        <w:spacing w:line="360" w:lineRule="auto"/>
        <w:ind w:left="720"/>
        <w:contextualSpacing/>
        <w:rPr>
          <w:rFonts w:eastAsia="黑体"/>
          <w:b/>
          <w:color w:val="auto"/>
          <w:sz w:val="28"/>
          <w:szCs w:val="28"/>
          <w:highlight w:val="none"/>
        </w:rPr>
      </w:pPr>
    </w:p>
    <w:p w14:paraId="1031FB7A">
      <w:pPr>
        <w:snapToGrid w:val="0"/>
        <w:spacing w:line="360" w:lineRule="auto"/>
        <w:ind w:firstLine="480" w:firstLineChars="200"/>
        <w:contextualSpacing/>
        <w:rPr>
          <w:color w:val="auto"/>
          <w:szCs w:val="21"/>
          <w:highlight w:val="none"/>
        </w:rPr>
      </w:pPr>
    </w:p>
    <w:p w14:paraId="68894013">
      <w:pPr>
        <w:numPr>
          <w:ilvl w:val="0"/>
          <w:numId w:val="23"/>
        </w:numPr>
        <w:autoSpaceDE/>
        <w:autoSpaceDN/>
        <w:adjustRightInd/>
        <w:snapToGrid w:val="0"/>
        <w:spacing w:line="360" w:lineRule="auto"/>
        <w:contextualSpacing/>
        <w:jc w:val="center"/>
        <w:rPr>
          <w:rFonts w:eastAsia="黑体"/>
          <w:b/>
          <w:color w:val="auto"/>
          <w:sz w:val="28"/>
          <w:szCs w:val="28"/>
          <w:highlight w:val="none"/>
        </w:rPr>
      </w:pPr>
      <w:bookmarkStart w:id="169" w:name="_Toc516582107"/>
      <w:bookmarkStart w:id="170" w:name="_Toc515702256"/>
      <w:r>
        <w:rPr>
          <w:rFonts w:eastAsia="黑体"/>
          <w:b/>
          <w:color w:val="auto"/>
          <w:sz w:val="28"/>
          <w:szCs w:val="28"/>
          <w:highlight w:val="none"/>
        </w:rPr>
        <w:t>BIM的管理制度和工作流程要求</w:t>
      </w:r>
      <w:bookmarkEnd w:id="169"/>
      <w:bookmarkEnd w:id="170"/>
      <w:r>
        <w:rPr>
          <w:rFonts w:hint="eastAsia" w:eastAsia="黑体"/>
          <w:b/>
          <w:color w:val="auto"/>
          <w:sz w:val="28"/>
          <w:szCs w:val="28"/>
          <w:highlight w:val="none"/>
        </w:rPr>
        <w:t>(初步设计不涉及)</w:t>
      </w:r>
    </w:p>
    <w:p w14:paraId="746C010D">
      <w:pPr>
        <w:pStyle w:val="47"/>
        <w:numPr>
          <w:ilvl w:val="0"/>
          <w:numId w:val="30"/>
        </w:numPr>
        <w:adjustRightInd w:val="0"/>
        <w:snapToGrid w:val="0"/>
        <w:spacing w:before="120" w:beforeLines="50" w:after="120" w:afterLines="50" w:line="360" w:lineRule="auto"/>
        <w:ind w:firstLineChars="0"/>
        <w:contextualSpacing/>
        <w:jc w:val="left"/>
        <w:textAlignment w:val="baseline"/>
        <w:outlineLvl w:val="2"/>
        <w:rPr>
          <w:rFonts w:ascii="Times New Roman" w:hAnsi="Times New Roman" w:eastAsia="黑体"/>
          <w:b/>
          <w:bCs/>
          <w:vanish/>
          <w:color w:val="auto"/>
          <w:kern w:val="0"/>
          <w:sz w:val="28"/>
          <w:szCs w:val="21"/>
          <w:highlight w:val="none"/>
        </w:rPr>
      </w:pPr>
      <w:bookmarkStart w:id="171" w:name="_Toc515702257"/>
    </w:p>
    <w:p w14:paraId="6E713BFE">
      <w:pPr>
        <w:pStyle w:val="4"/>
        <w:spacing w:before="120" w:after="120"/>
        <w:rPr>
          <w:color w:val="auto"/>
          <w:highlight w:val="none"/>
        </w:rPr>
      </w:pPr>
      <w:r>
        <w:rPr>
          <w:rFonts w:hint="eastAsia"/>
          <w:color w:val="auto"/>
          <w:highlight w:val="none"/>
        </w:rPr>
        <w:t xml:space="preserve"> 3.1  </w:t>
      </w:r>
      <w:r>
        <w:rPr>
          <w:color w:val="auto"/>
          <w:highlight w:val="none"/>
        </w:rPr>
        <w:t>BIM工作总体管理制度</w:t>
      </w:r>
      <w:bookmarkEnd w:id="171"/>
    </w:p>
    <w:p w14:paraId="09176B40">
      <w:pPr>
        <w:pStyle w:val="47"/>
        <w:numPr>
          <w:ilvl w:val="2"/>
          <w:numId w:val="30"/>
        </w:numPr>
        <w:snapToGrid w:val="0"/>
        <w:spacing w:line="360" w:lineRule="auto"/>
        <w:ind w:firstLineChars="0"/>
        <w:contextualSpacing/>
        <w:jc w:val="left"/>
        <w:rPr>
          <w:color w:val="auto"/>
          <w:szCs w:val="21"/>
          <w:highlight w:val="none"/>
        </w:rPr>
      </w:pPr>
      <w:r>
        <w:rPr>
          <w:color w:val="auto"/>
          <w:szCs w:val="21"/>
          <w:highlight w:val="none"/>
        </w:rPr>
        <w:t>设立相关的BIM网络应用环境，搭设BIM网络应用平台，购置相关软硬件。</w:t>
      </w:r>
    </w:p>
    <w:p w14:paraId="627A1FFC">
      <w:pPr>
        <w:pStyle w:val="47"/>
        <w:numPr>
          <w:ilvl w:val="2"/>
          <w:numId w:val="30"/>
        </w:numPr>
        <w:snapToGrid w:val="0"/>
        <w:spacing w:line="360" w:lineRule="auto"/>
        <w:ind w:firstLineChars="0"/>
        <w:contextualSpacing/>
        <w:jc w:val="left"/>
        <w:rPr>
          <w:color w:val="auto"/>
          <w:szCs w:val="21"/>
          <w:highlight w:val="none"/>
        </w:rPr>
      </w:pPr>
      <w:r>
        <w:rPr>
          <w:rFonts w:hint="eastAsia"/>
          <w:color w:val="auto"/>
          <w:szCs w:val="21"/>
          <w:highlight w:val="none"/>
        </w:rPr>
        <w:t>负</w:t>
      </w:r>
      <w:r>
        <w:rPr>
          <w:color w:val="auto"/>
          <w:szCs w:val="21"/>
          <w:highlight w:val="none"/>
        </w:rPr>
        <w:t>责编制完善的BIM模型应用计划，并确保其实施；</w:t>
      </w:r>
    </w:p>
    <w:p w14:paraId="0229E70F">
      <w:pPr>
        <w:pStyle w:val="47"/>
        <w:numPr>
          <w:ilvl w:val="2"/>
          <w:numId w:val="30"/>
        </w:numPr>
        <w:snapToGrid w:val="0"/>
        <w:spacing w:line="360" w:lineRule="auto"/>
        <w:ind w:firstLineChars="0"/>
        <w:contextualSpacing/>
        <w:jc w:val="left"/>
        <w:rPr>
          <w:color w:val="auto"/>
          <w:szCs w:val="21"/>
          <w:highlight w:val="none"/>
        </w:rPr>
      </w:pPr>
      <w:r>
        <w:rPr>
          <w:color w:val="auto"/>
          <w:szCs w:val="21"/>
          <w:highlight w:val="none"/>
        </w:rPr>
        <w:t>应在中标后，编制相关的实施方案，并获得招标人的审批。</w:t>
      </w:r>
    </w:p>
    <w:p w14:paraId="1C91DC21">
      <w:pPr>
        <w:pStyle w:val="47"/>
        <w:numPr>
          <w:ilvl w:val="2"/>
          <w:numId w:val="30"/>
        </w:numPr>
        <w:snapToGrid w:val="0"/>
        <w:spacing w:line="360" w:lineRule="auto"/>
        <w:ind w:firstLineChars="0"/>
        <w:contextualSpacing/>
        <w:jc w:val="left"/>
        <w:rPr>
          <w:color w:val="auto"/>
          <w:szCs w:val="21"/>
          <w:highlight w:val="none"/>
        </w:rPr>
      </w:pPr>
      <w:r>
        <w:rPr>
          <w:color w:val="auto"/>
          <w:szCs w:val="21"/>
          <w:highlight w:val="none"/>
        </w:rPr>
        <w:t>负责对设计模型进行建立、整合、完善和维护；</w:t>
      </w:r>
    </w:p>
    <w:p w14:paraId="22B6A1E1">
      <w:pPr>
        <w:pStyle w:val="47"/>
        <w:numPr>
          <w:ilvl w:val="2"/>
          <w:numId w:val="30"/>
        </w:numPr>
        <w:snapToGrid w:val="0"/>
        <w:spacing w:line="360" w:lineRule="auto"/>
        <w:ind w:firstLineChars="0"/>
        <w:contextualSpacing/>
        <w:jc w:val="left"/>
        <w:rPr>
          <w:color w:val="auto"/>
          <w:szCs w:val="21"/>
          <w:highlight w:val="none"/>
        </w:rPr>
      </w:pPr>
      <w:r>
        <w:rPr>
          <w:rFonts w:hint="eastAsia"/>
          <w:color w:val="auto"/>
          <w:szCs w:val="21"/>
          <w:highlight w:val="none"/>
        </w:rPr>
        <w:t>总包</w:t>
      </w:r>
      <w:r>
        <w:rPr>
          <w:color w:val="auto"/>
          <w:szCs w:val="21"/>
          <w:highlight w:val="none"/>
        </w:rPr>
        <w:t>督促分包完成相应的模型；</w:t>
      </w:r>
    </w:p>
    <w:p w14:paraId="536CEE95">
      <w:pPr>
        <w:pStyle w:val="47"/>
        <w:numPr>
          <w:ilvl w:val="2"/>
          <w:numId w:val="30"/>
        </w:numPr>
        <w:snapToGrid w:val="0"/>
        <w:spacing w:line="360" w:lineRule="auto"/>
        <w:ind w:firstLineChars="0"/>
        <w:contextualSpacing/>
        <w:jc w:val="left"/>
        <w:rPr>
          <w:color w:val="auto"/>
          <w:szCs w:val="21"/>
          <w:highlight w:val="none"/>
        </w:rPr>
      </w:pPr>
      <w:r>
        <w:rPr>
          <w:rFonts w:hint="eastAsia"/>
          <w:color w:val="auto"/>
          <w:szCs w:val="21"/>
          <w:highlight w:val="none"/>
        </w:rPr>
        <w:t>总包</w:t>
      </w:r>
      <w:r>
        <w:rPr>
          <w:color w:val="auto"/>
          <w:szCs w:val="21"/>
          <w:highlight w:val="none"/>
        </w:rPr>
        <w:t>应该起到总协调和总集成的作用，对各家分包应起到引领作用，并协调督促各家分包完成自身的模型及相关应用；</w:t>
      </w:r>
    </w:p>
    <w:p w14:paraId="1509ACAA">
      <w:pPr>
        <w:pStyle w:val="47"/>
        <w:numPr>
          <w:ilvl w:val="2"/>
          <w:numId w:val="30"/>
        </w:numPr>
        <w:snapToGrid w:val="0"/>
        <w:spacing w:line="360" w:lineRule="auto"/>
        <w:ind w:firstLineChars="0"/>
        <w:contextualSpacing/>
        <w:jc w:val="left"/>
        <w:rPr>
          <w:color w:val="auto"/>
          <w:szCs w:val="21"/>
          <w:highlight w:val="none"/>
        </w:rPr>
      </w:pPr>
      <w:r>
        <w:rPr>
          <w:color w:val="auto"/>
          <w:szCs w:val="21"/>
          <w:highlight w:val="none"/>
        </w:rPr>
        <w:t>负责</w:t>
      </w:r>
      <w:r>
        <w:rPr>
          <w:rFonts w:hint="eastAsia"/>
          <w:color w:val="auto"/>
          <w:szCs w:val="21"/>
          <w:highlight w:val="none"/>
        </w:rPr>
        <w:t>协调</w:t>
      </w:r>
      <w:r>
        <w:rPr>
          <w:color w:val="auto"/>
          <w:szCs w:val="21"/>
          <w:highlight w:val="none"/>
        </w:rPr>
        <w:t>相关分包商</w:t>
      </w:r>
      <w:r>
        <w:rPr>
          <w:rFonts w:hint="eastAsia"/>
          <w:color w:val="auto"/>
          <w:szCs w:val="21"/>
          <w:highlight w:val="none"/>
        </w:rPr>
        <w:t>间的</w:t>
      </w:r>
      <w:r>
        <w:rPr>
          <w:color w:val="auto"/>
          <w:szCs w:val="21"/>
          <w:highlight w:val="none"/>
        </w:rPr>
        <w:t>协同工作，使得BIM技术能有效的为工程服务；</w:t>
      </w:r>
    </w:p>
    <w:p w14:paraId="2F31A3C4">
      <w:pPr>
        <w:pStyle w:val="47"/>
        <w:numPr>
          <w:ilvl w:val="2"/>
          <w:numId w:val="30"/>
        </w:numPr>
        <w:snapToGrid w:val="0"/>
        <w:spacing w:line="360" w:lineRule="auto"/>
        <w:ind w:firstLineChars="0"/>
        <w:contextualSpacing/>
        <w:jc w:val="left"/>
        <w:rPr>
          <w:color w:val="auto"/>
          <w:szCs w:val="21"/>
          <w:highlight w:val="none"/>
        </w:rPr>
      </w:pPr>
      <w:r>
        <w:rPr>
          <w:color w:val="auto"/>
          <w:szCs w:val="21"/>
          <w:highlight w:val="none"/>
        </w:rPr>
        <w:t>在</w:t>
      </w:r>
      <w:r>
        <w:rPr>
          <w:rFonts w:hint="eastAsia"/>
          <w:color w:val="auto"/>
          <w:szCs w:val="21"/>
          <w:highlight w:val="none"/>
        </w:rPr>
        <w:t>总包</w:t>
      </w:r>
      <w:r>
        <w:rPr>
          <w:color w:val="auto"/>
          <w:szCs w:val="21"/>
          <w:highlight w:val="none"/>
        </w:rPr>
        <w:t>内部，必须协调各个部门的关系，让BIM成为其核心工具，在外部要负责协调各个分包，以及各相关方的关系；</w:t>
      </w:r>
    </w:p>
    <w:p w14:paraId="1E645DE9">
      <w:pPr>
        <w:pStyle w:val="47"/>
        <w:numPr>
          <w:ilvl w:val="2"/>
          <w:numId w:val="30"/>
        </w:numPr>
        <w:snapToGrid w:val="0"/>
        <w:spacing w:line="360" w:lineRule="auto"/>
        <w:ind w:firstLineChars="0"/>
        <w:contextualSpacing/>
        <w:jc w:val="left"/>
        <w:rPr>
          <w:color w:val="auto"/>
          <w:szCs w:val="21"/>
          <w:highlight w:val="none"/>
        </w:rPr>
      </w:pPr>
      <w:r>
        <w:rPr>
          <w:rFonts w:hint="eastAsia"/>
          <w:color w:val="auto"/>
          <w:szCs w:val="21"/>
          <w:highlight w:val="none"/>
        </w:rPr>
        <w:t>负责建立相关的</w:t>
      </w:r>
      <w:r>
        <w:rPr>
          <w:color w:val="auto"/>
          <w:szCs w:val="21"/>
          <w:highlight w:val="none"/>
        </w:rPr>
        <w:t>BIM</w:t>
      </w:r>
      <w:r>
        <w:rPr>
          <w:rFonts w:hint="eastAsia"/>
          <w:color w:val="auto"/>
          <w:szCs w:val="21"/>
          <w:highlight w:val="none"/>
        </w:rPr>
        <w:t>会议制度</w:t>
      </w:r>
      <w:r>
        <w:rPr>
          <w:color w:val="auto"/>
          <w:szCs w:val="21"/>
          <w:highlight w:val="none"/>
        </w:rPr>
        <w:t>。</w:t>
      </w:r>
    </w:p>
    <w:p w14:paraId="0B7386F8">
      <w:pPr>
        <w:snapToGrid w:val="0"/>
        <w:spacing w:line="360" w:lineRule="auto"/>
        <w:ind w:firstLine="480" w:firstLineChars="200"/>
        <w:contextualSpacing/>
        <w:rPr>
          <w:color w:val="auto"/>
          <w:szCs w:val="21"/>
          <w:highlight w:val="none"/>
        </w:rPr>
      </w:pPr>
    </w:p>
    <w:p w14:paraId="6A0D8AF8">
      <w:pPr>
        <w:pStyle w:val="4"/>
        <w:numPr>
          <w:ilvl w:val="1"/>
          <w:numId w:val="30"/>
        </w:numPr>
        <w:spacing w:before="120" w:after="120"/>
        <w:rPr>
          <w:color w:val="auto"/>
          <w:highlight w:val="none"/>
        </w:rPr>
      </w:pPr>
      <w:bookmarkStart w:id="172" w:name="_Toc515702258"/>
      <w:r>
        <w:rPr>
          <w:rFonts w:hint="eastAsia"/>
          <w:color w:val="auto"/>
          <w:highlight w:val="none"/>
        </w:rPr>
        <w:t xml:space="preserve"> </w:t>
      </w:r>
      <w:r>
        <w:rPr>
          <w:color w:val="auto"/>
          <w:highlight w:val="none"/>
        </w:rPr>
        <w:t>BIM模型运用范围和服务要求</w:t>
      </w:r>
      <w:bookmarkEnd w:id="172"/>
    </w:p>
    <w:p w14:paraId="249932BF">
      <w:pPr>
        <w:pStyle w:val="47"/>
        <w:numPr>
          <w:ilvl w:val="2"/>
          <w:numId w:val="30"/>
        </w:numPr>
        <w:adjustRightInd w:val="0"/>
        <w:snapToGrid w:val="0"/>
        <w:spacing w:before="120" w:beforeLines="50" w:after="60" w:line="360" w:lineRule="auto"/>
        <w:ind w:firstLineChars="0"/>
        <w:contextualSpacing/>
        <w:jc w:val="left"/>
        <w:textAlignment w:val="baseline"/>
        <w:rPr>
          <w:color w:val="auto"/>
          <w:szCs w:val="21"/>
          <w:highlight w:val="none"/>
        </w:rPr>
      </w:pPr>
      <w:r>
        <w:rPr>
          <w:color w:val="auto"/>
          <w:szCs w:val="21"/>
          <w:highlight w:val="none"/>
        </w:rPr>
        <w:t>BIM模型的运用贯穿工程设计、施工和运行阶段；</w:t>
      </w:r>
    </w:p>
    <w:p w14:paraId="243C9D62">
      <w:pPr>
        <w:pStyle w:val="47"/>
        <w:adjustRightInd w:val="0"/>
        <w:snapToGrid w:val="0"/>
        <w:spacing w:before="120" w:beforeLines="50" w:after="60" w:line="360" w:lineRule="auto"/>
        <w:ind w:firstLine="0" w:firstLineChars="0"/>
        <w:contextualSpacing/>
        <w:jc w:val="left"/>
        <w:textAlignment w:val="baseline"/>
        <w:rPr>
          <w:color w:val="auto"/>
          <w:szCs w:val="21"/>
          <w:highlight w:val="none"/>
        </w:rPr>
      </w:pPr>
      <w:r>
        <w:rPr>
          <w:rFonts w:hint="eastAsia"/>
          <w:color w:val="auto"/>
          <w:szCs w:val="21"/>
          <w:highlight w:val="none"/>
        </w:rPr>
        <w:t xml:space="preserve">3.2.2  </w:t>
      </w:r>
      <w:r>
        <w:rPr>
          <w:color w:val="auto"/>
          <w:szCs w:val="21"/>
          <w:highlight w:val="none"/>
        </w:rPr>
        <w:t>本项目整体深度要求为竣工运维模型达到含有运维信息的LOD500，在深化设计和施工阶段，达到LOD400深度；</w:t>
      </w:r>
    </w:p>
    <w:p w14:paraId="446E83D4">
      <w:pPr>
        <w:pStyle w:val="47"/>
        <w:numPr>
          <w:ilvl w:val="2"/>
          <w:numId w:val="31"/>
        </w:numPr>
        <w:adjustRightInd w:val="0"/>
        <w:snapToGrid w:val="0"/>
        <w:spacing w:before="120" w:beforeLines="50" w:after="60" w:line="360" w:lineRule="auto"/>
        <w:ind w:firstLineChars="0"/>
        <w:contextualSpacing/>
        <w:jc w:val="left"/>
        <w:textAlignment w:val="baseline"/>
        <w:rPr>
          <w:color w:val="auto"/>
          <w:szCs w:val="21"/>
          <w:highlight w:val="none"/>
        </w:rPr>
      </w:pPr>
      <w:r>
        <w:rPr>
          <w:color w:val="auto"/>
          <w:szCs w:val="21"/>
          <w:highlight w:val="none"/>
        </w:rPr>
        <w:t>分阶段提交成果要求见下表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128"/>
        <w:gridCol w:w="5155"/>
      </w:tblGrid>
      <w:tr w14:paraId="0DA1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5EC443F1">
            <w:pPr>
              <w:snapToGrid w:val="0"/>
              <w:contextualSpacing/>
              <w:jc w:val="center"/>
              <w:rPr>
                <w:color w:val="auto"/>
                <w:szCs w:val="21"/>
                <w:highlight w:val="none"/>
              </w:rPr>
            </w:pPr>
            <w:r>
              <w:rPr>
                <w:color w:val="auto"/>
                <w:szCs w:val="21"/>
                <w:highlight w:val="none"/>
              </w:rPr>
              <w:t>阶段</w:t>
            </w:r>
          </w:p>
        </w:tc>
        <w:tc>
          <w:tcPr>
            <w:tcW w:w="2128" w:type="dxa"/>
            <w:tcBorders>
              <w:top w:val="single" w:color="auto" w:sz="4" w:space="0"/>
              <w:left w:val="single" w:color="auto" w:sz="4" w:space="0"/>
              <w:bottom w:val="single" w:color="auto" w:sz="4" w:space="0"/>
              <w:right w:val="single" w:color="auto" w:sz="4" w:space="0"/>
            </w:tcBorders>
            <w:vAlign w:val="center"/>
          </w:tcPr>
          <w:p w14:paraId="2A6F4BEB">
            <w:pPr>
              <w:snapToGrid w:val="0"/>
              <w:contextualSpacing/>
              <w:jc w:val="center"/>
              <w:rPr>
                <w:color w:val="auto"/>
                <w:szCs w:val="21"/>
                <w:highlight w:val="none"/>
              </w:rPr>
            </w:pPr>
            <w:r>
              <w:rPr>
                <w:color w:val="auto"/>
                <w:szCs w:val="21"/>
                <w:highlight w:val="none"/>
              </w:rPr>
              <w:t>成果</w:t>
            </w:r>
          </w:p>
        </w:tc>
        <w:tc>
          <w:tcPr>
            <w:tcW w:w="5155" w:type="dxa"/>
            <w:tcBorders>
              <w:top w:val="single" w:color="auto" w:sz="4" w:space="0"/>
              <w:left w:val="single" w:color="auto" w:sz="4" w:space="0"/>
              <w:bottom w:val="single" w:color="auto" w:sz="4" w:space="0"/>
              <w:right w:val="single" w:color="auto" w:sz="4" w:space="0"/>
            </w:tcBorders>
            <w:vAlign w:val="center"/>
          </w:tcPr>
          <w:p w14:paraId="0AC04845">
            <w:pPr>
              <w:snapToGrid w:val="0"/>
              <w:ind w:firstLine="480" w:firstLineChars="200"/>
              <w:contextualSpacing/>
              <w:jc w:val="center"/>
              <w:rPr>
                <w:color w:val="auto"/>
                <w:szCs w:val="21"/>
                <w:highlight w:val="none"/>
              </w:rPr>
            </w:pPr>
            <w:r>
              <w:rPr>
                <w:color w:val="auto"/>
                <w:szCs w:val="21"/>
                <w:highlight w:val="none"/>
              </w:rPr>
              <w:t>备注</w:t>
            </w:r>
          </w:p>
        </w:tc>
      </w:tr>
      <w:tr w14:paraId="13CA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vMerge w:val="restart"/>
            <w:tcBorders>
              <w:top w:val="single" w:color="auto" w:sz="4" w:space="0"/>
              <w:left w:val="single" w:color="auto" w:sz="4" w:space="0"/>
              <w:right w:val="single" w:color="auto" w:sz="4" w:space="0"/>
            </w:tcBorders>
            <w:vAlign w:val="center"/>
          </w:tcPr>
          <w:p w14:paraId="7F2D8CDC">
            <w:pPr>
              <w:snapToGrid w:val="0"/>
              <w:contextualSpacing/>
              <w:jc w:val="center"/>
              <w:rPr>
                <w:color w:val="auto"/>
                <w:szCs w:val="21"/>
                <w:highlight w:val="none"/>
              </w:rPr>
            </w:pPr>
            <w:r>
              <w:rPr>
                <w:color w:val="auto"/>
                <w:szCs w:val="21"/>
                <w:highlight w:val="none"/>
              </w:rPr>
              <w:t>设计</w:t>
            </w:r>
          </w:p>
          <w:p w14:paraId="1181C72A">
            <w:pPr>
              <w:snapToGrid w:val="0"/>
              <w:contextualSpacing/>
              <w:jc w:val="center"/>
              <w:rPr>
                <w:color w:val="auto"/>
                <w:szCs w:val="21"/>
                <w:highlight w:val="none"/>
              </w:rPr>
            </w:pPr>
            <w:r>
              <w:rPr>
                <w:color w:val="auto"/>
                <w:szCs w:val="21"/>
                <w:highlight w:val="none"/>
              </w:rPr>
              <w:t>阶段</w:t>
            </w:r>
          </w:p>
        </w:tc>
        <w:tc>
          <w:tcPr>
            <w:tcW w:w="2128" w:type="dxa"/>
            <w:tcBorders>
              <w:top w:val="single" w:color="auto" w:sz="4" w:space="0"/>
              <w:left w:val="single" w:color="auto" w:sz="4" w:space="0"/>
              <w:bottom w:val="single" w:color="auto" w:sz="4" w:space="0"/>
              <w:right w:val="single" w:color="auto" w:sz="4" w:space="0"/>
            </w:tcBorders>
            <w:vAlign w:val="center"/>
          </w:tcPr>
          <w:p w14:paraId="3AC257D2">
            <w:pPr>
              <w:snapToGrid w:val="0"/>
              <w:contextualSpacing/>
              <w:jc w:val="center"/>
              <w:rPr>
                <w:color w:val="auto"/>
                <w:szCs w:val="21"/>
                <w:highlight w:val="none"/>
              </w:rPr>
            </w:pPr>
            <w:r>
              <w:rPr>
                <w:color w:val="auto"/>
                <w:szCs w:val="21"/>
                <w:highlight w:val="none"/>
              </w:rPr>
              <w:t>BIM实施细则</w:t>
            </w:r>
          </w:p>
        </w:tc>
        <w:tc>
          <w:tcPr>
            <w:tcW w:w="5155" w:type="dxa"/>
            <w:tcBorders>
              <w:top w:val="single" w:color="auto" w:sz="4" w:space="0"/>
              <w:left w:val="single" w:color="auto" w:sz="4" w:space="0"/>
              <w:bottom w:val="single" w:color="auto" w:sz="4" w:space="0"/>
              <w:right w:val="single" w:color="auto" w:sz="4" w:space="0"/>
            </w:tcBorders>
            <w:vAlign w:val="center"/>
          </w:tcPr>
          <w:p w14:paraId="4CAFEAA8">
            <w:pPr>
              <w:snapToGrid w:val="0"/>
              <w:contextualSpacing/>
              <w:jc w:val="center"/>
              <w:rPr>
                <w:color w:val="auto"/>
                <w:szCs w:val="21"/>
                <w:highlight w:val="none"/>
              </w:rPr>
            </w:pPr>
            <w:r>
              <w:rPr>
                <w:color w:val="auto"/>
                <w:szCs w:val="21"/>
                <w:highlight w:val="none"/>
              </w:rPr>
              <w:t>BIM整体策划；需求分析；BIM应用的组织体系；项目总体BIM实施流程；技术环境和软件平台；各阶段BIM模型精度标准</w:t>
            </w:r>
          </w:p>
        </w:tc>
      </w:tr>
      <w:tr w14:paraId="469E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vMerge w:val="continue"/>
            <w:tcBorders>
              <w:left w:val="single" w:color="auto" w:sz="4" w:space="0"/>
              <w:right w:val="single" w:color="auto" w:sz="4" w:space="0"/>
            </w:tcBorders>
            <w:vAlign w:val="center"/>
          </w:tcPr>
          <w:p w14:paraId="47927264">
            <w:pPr>
              <w:snapToGrid w:val="0"/>
              <w:contextualSpacing/>
              <w:jc w:val="center"/>
              <w:rPr>
                <w:color w:val="auto"/>
                <w:szCs w:val="21"/>
                <w:highlight w:val="none"/>
              </w:rPr>
            </w:pPr>
          </w:p>
        </w:tc>
        <w:tc>
          <w:tcPr>
            <w:tcW w:w="2128" w:type="dxa"/>
            <w:tcBorders>
              <w:top w:val="single" w:color="auto" w:sz="4" w:space="0"/>
              <w:left w:val="single" w:color="auto" w:sz="4" w:space="0"/>
              <w:bottom w:val="single" w:color="auto" w:sz="4" w:space="0"/>
              <w:right w:val="single" w:color="auto" w:sz="4" w:space="0"/>
            </w:tcBorders>
            <w:vAlign w:val="center"/>
          </w:tcPr>
          <w:p w14:paraId="583B4E8D">
            <w:pPr>
              <w:snapToGrid w:val="0"/>
              <w:contextualSpacing/>
              <w:jc w:val="center"/>
              <w:rPr>
                <w:color w:val="auto"/>
                <w:szCs w:val="21"/>
                <w:highlight w:val="none"/>
              </w:rPr>
            </w:pPr>
            <w:r>
              <w:rPr>
                <w:color w:val="auto"/>
                <w:szCs w:val="21"/>
                <w:highlight w:val="none"/>
              </w:rPr>
              <w:t>BIM施工图模型</w:t>
            </w:r>
          </w:p>
        </w:tc>
        <w:tc>
          <w:tcPr>
            <w:tcW w:w="5155" w:type="dxa"/>
            <w:tcBorders>
              <w:top w:val="single" w:color="auto" w:sz="4" w:space="0"/>
              <w:left w:val="single" w:color="auto" w:sz="4" w:space="0"/>
              <w:bottom w:val="single" w:color="auto" w:sz="4" w:space="0"/>
              <w:right w:val="single" w:color="auto" w:sz="4" w:space="0"/>
            </w:tcBorders>
            <w:vAlign w:val="center"/>
          </w:tcPr>
          <w:p w14:paraId="76416A76">
            <w:pPr>
              <w:snapToGrid w:val="0"/>
              <w:contextualSpacing/>
              <w:jc w:val="center"/>
              <w:rPr>
                <w:color w:val="auto"/>
                <w:szCs w:val="21"/>
                <w:highlight w:val="none"/>
              </w:rPr>
            </w:pPr>
            <w:r>
              <w:rPr>
                <w:color w:val="auto"/>
                <w:szCs w:val="21"/>
                <w:highlight w:val="none"/>
              </w:rPr>
              <w:t>建立正向设计施工图模型，需要解决大部分碰撞问题</w:t>
            </w:r>
          </w:p>
        </w:tc>
      </w:tr>
      <w:tr w14:paraId="5AF2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vMerge w:val="continue"/>
            <w:tcBorders>
              <w:left w:val="single" w:color="auto" w:sz="4" w:space="0"/>
              <w:bottom w:val="single" w:color="auto" w:sz="4" w:space="0"/>
              <w:right w:val="single" w:color="auto" w:sz="4" w:space="0"/>
            </w:tcBorders>
            <w:vAlign w:val="center"/>
          </w:tcPr>
          <w:p w14:paraId="3A243B72">
            <w:pPr>
              <w:snapToGrid w:val="0"/>
              <w:contextualSpacing/>
              <w:jc w:val="center"/>
              <w:rPr>
                <w:color w:val="auto"/>
                <w:szCs w:val="21"/>
                <w:highlight w:val="none"/>
              </w:rPr>
            </w:pPr>
          </w:p>
        </w:tc>
        <w:tc>
          <w:tcPr>
            <w:tcW w:w="2128" w:type="dxa"/>
            <w:tcBorders>
              <w:top w:val="single" w:color="auto" w:sz="4" w:space="0"/>
              <w:left w:val="single" w:color="auto" w:sz="4" w:space="0"/>
              <w:bottom w:val="single" w:color="auto" w:sz="4" w:space="0"/>
              <w:right w:val="single" w:color="auto" w:sz="4" w:space="0"/>
            </w:tcBorders>
            <w:vAlign w:val="center"/>
          </w:tcPr>
          <w:p w14:paraId="1B096586">
            <w:pPr>
              <w:snapToGrid w:val="0"/>
              <w:contextualSpacing/>
              <w:jc w:val="center"/>
              <w:rPr>
                <w:color w:val="auto"/>
                <w:szCs w:val="21"/>
                <w:highlight w:val="none"/>
              </w:rPr>
            </w:pPr>
            <w:r>
              <w:rPr>
                <w:color w:val="auto"/>
                <w:szCs w:val="21"/>
                <w:highlight w:val="none"/>
              </w:rPr>
              <w:t>BIM施工图</w:t>
            </w:r>
          </w:p>
        </w:tc>
        <w:tc>
          <w:tcPr>
            <w:tcW w:w="5155" w:type="dxa"/>
            <w:tcBorders>
              <w:top w:val="single" w:color="auto" w:sz="4" w:space="0"/>
              <w:left w:val="single" w:color="auto" w:sz="4" w:space="0"/>
              <w:bottom w:val="single" w:color="auto" w:sz="4" w:space="0"/>
              <w:right w:val="single" w:color="auto" w:sz="4" w:space="0"/>
            </w:tcBorders>
            <w:vAlign w:val="center"/>
          </w:tcPr>
          <w:p w14:paraId="528888BD">
            <w:pPr>
              <w:snapToGrid w:val="0"/>
              <w:contextualSpacing/>
              <w:jc w:val="center"/>
              <w:rPr>
                <w:color w:val="auto"/>
                <w:szCs w:val="21"/>
                <w:highlight w:val="none"/>
              </w:rPr>
            </w:pPr>
            <w:r>
              <w:rPr>
                <w:color w:val="auto"/>
                <w:szCs w:val="21"/>
                <w:highlight w:val="none"/>
              </w:rPr>
              <w:t>由模型出利于施工的施工图</w:t>
            </w:r>
          </w:p>
        </w:tc>
      </w:tr>
      <w:tr w14:paraId="703E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vMerge w:val="restart"/>
            <w:tcBorders>
              <w:top w:val="single" w:color="auto" w:sz="4" w:space="0"/>
              <w:left w:val="single" w:color="auto" w:sz="4" w:space="0"/>
              <w:right w:val="single" w:color="auto" w:sz="4" w:space="0"/>
            </w:tcBorders>
            <w:vAlign w:val="center"/>
          </w:tcPr>
          <w:p w14:paraId="2A7C3E8A">
            <w:pPr>
              <w:snapToGrid w:val="0"/>
              <w:contextualSpacing/>
              <w:jc w:val="center"/>
              <w:rPr>
                <w:color w:val="auto"/>
                <w:szCs w:val="21"/>
                <w:highlight w:val="none"/>
              </w:rPr>
            </w:pPr>
            <w:r>
              <w:rPr>
                <w:color w:val="auto"/>
                <w:szCs w:val="21"/>
                <w:highlight w:val="none"/>
              </w:rPr>
              <w:t>施工</w:t>
            </w:r>
          </w:p>
          <w:p w14:paraId="7B78038E">
            <w:pPr>
              <w:snapToGrid w:val="0"/>
              <w:contextualSpacing/>
              <w:jc w:val="center"/>
              <w:rPr>
                <w:color w:val="auto"/>
                <w:szCs w:val="21"/>
                <w:highlight w:val="none"/>
              </w:rPr>
            </w:pPr>
            <w:r>
              <w:rPr>
                <w:color w:val="auto"/>
                <w:szCs w:val="21"/>
                <w:highlight w:val="none"/>
              </w:rPr>
              <w:t>阶段</w:t>
            </w:r>
          </w:p>
        </w:tc>
        <w:tc>
          <w:tcPr>
            <w:tcW w:w="2128" w:type="dxa"/>
            <w:tcBorders>
              <w:top w:val="single" w:color="auto" w:sz="4" w:space="0"/>
              <w:left w:val="single" w:color="auto" w:sz="4" w:space="0"/>
              <w:bottom w:val="single" w:color="auto" w:sz="4" w:space="0"/>
              <w:right w:val="single" w:color="auto" w:sz="4" w:space="0"/>
            </w:tcBorders>
            <w:vAlign w:val="center"/>
          </w:tcPr>
          <w:p w14:paraId="462D4D1B">
            <w:pPr>
              <w:snapToGrid w:val="0"/>
              <w:contextualSpacing/>
              <w:jc w:val="center"/>
              <w:rPr>
                <w:color w:val="auto"/>
                <w:szCs w:val="21"/>
                <w:highlight w:val="none"/>
              </w:rPr>
            </w:pPr>
            <w:r>
              <w:rPr>
                <w:color w:val="auto"/>
                <w:szCs w:val="21"/>
                <w:highlight w:val="none"/>
              </w:rPr>
              <w:t>BIM深化图模型</w:t>
            </w:r>
          </w:p>
        </w:tc>
        <w:tc>
          <w:tcPr>
            <w:tcW w:w="5155" w:type="dxa"/>
            <w:tcBorders>
              <w:top w:val="single" w:color="auto" w:sz="4" w:space="0"/>
              <w:left w:val="single" w:color="auto" w:sz="4" w:space="0"/>
              <w:bottom w:val="single" w:color="auto" w:sz="4" w:space="0"/>
              <w:right w:val="single" w:color="auto" w:sz="4" w:space="0"/>
            </w:tcBorders>
            <w:vAlign w:val="center"/>
          </w:tcPr>
          <w:p w14:paraId="52F3DBA6">
            <w:pPr>
              <w:snapToGrid w:val="0"/>
              <w:contextualSpacing/>
              <w:jc w:val="center"/>
              <w:rPr>
                <w:color w:val="auto"/>
                <w:szCs w:val="21"/>
                <w:highlight w:val="none"/>
              </w:rPr>
            </w:pPr>
            <w:r>
              <w:rPr>
                <w:color w:val="auto"/>
                <w:szCs w:val="21"/>
                <w:highlight w:val="none"/>
              </w:rPr>
              <w:t>根据深化设计要求对施工图模型进行修正</w:t>
            </w:r>
          </w:p>
        </w:tc>
      </w:tr>
      <w:tr w14:paraId="59C2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vMerge w:val="continue"/>
            <w:tcBorders>
              <w:left w:val="single" w:color="auto" w:sz="4" w:space="0"/>
              <w:right w:val="single" w:color="auto" w:sz="4" w:space="0"/>
            </w:tcBorders>
            <w:vAlign w:val="center"/>
          </w:tcPr>
          <w:p w14:paraId="23885F96">
            <w:pPr>
              <w:snapToGrid w:val="0"/>
              <w:contextualSpacing/>
              <w:jc w:val="center"/>
              <w:rPr>
                <w:color w:val="auto"/>
                <w:szCs w:val="21"/>
                <w:highlight w:val="none"/>
              </w:rPr>
            </w:pPr>
          </w:p>
        </w:tc>
        <w:tc>
          <w:tcPr>
            <w:tcW w:w="2128" w:type="dxa"/>
            <w:tcBorders>
              <w:top w:val="single" w:color="auto" w:sz="4" w:space="0"/>
              <w:left w:val="single" w:color="auto" w:sz="4" w:space="0"/>
              <w:bottom w:val="single" w:color="auto" w:sz="4" w:space="0"/>
              <w:right w:val="single" w:color="auto" w:sz="4" w:space="0"/>
            </w:tcBorders>
            <w:vAlign w:val="center"/>
          </w:tcPr>
          <w:p w14:paraId="41C7BCCF">
            <w:pPr>
              <w:snapToGrid w:val="0"/>
              <w:contextualSpacing/>
              <w:jc w:val="center"/>
              <w:rPr>
                <w:color w:val="auto"/>
                <w:szCs w:val="21"/>
                <w:highlight w:val="none"/>
              </w:rPr>
            </w:pPr>
            <w:r>
              <w:rPr>
                <w:color w:val="auto"/>
                <w:szCs w:val="21"/>
                <w:highlight w:val="none"/>
              </w:rPr>
              <w:t>各专业碰撞检测</w:t>
            </w:r>
          </w:p>
        </w:tc>
        <w:tc>
          <w:tcPr>
            <w:tcW w:w="5155" w:type="dxa"/>
            <w:tcBorders>
              <w:top w:val="single" w:color="auto" w:sz="4" w:space="0"/>
              <w:left w:val="single" w:color="auto" w:sz="4" w:space="0"/>
              <w:bottom w:val="single" w:color="auto" w:sz="4" w:space="0"/>
              <w:right w:val="single" w:color="auto" w:sz="4" w:space="0"/>
            </w:tcBorders>
            <w:vAlign w:val="center"/>
          </w:tcPr>
          <w:p w14:paraId="26A31755">
            <w:pPr>
              <w:snapToGrid w:val="0"/>
              <w:contextualSpacing/>
              <w:jc w:val="center"/>
              <w:rPr>
                <w:color w:val="auto"/>
                <w:szCs w:val="21"/>
                <w:highlight w:val="none"/>
              </w:rPr>
            </w:pPr>
            <w:r>
              <w:rPr>
                <w:color w:val="auto"/>
                <w:szCs w:val="21"/>
                <w:highlight w:val="none"/>
              </w:rPr>
              <w:t>基于深化设计程度的BIM模型，开展专业间碰撞检查</w:t>
            </w:r>
          </w:p>
        </w:tc>
      </w:tr>
      <w:tr w14:paraId="5FC3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vMerge w:val="continue"/>
            <w:tcBorders>
              <w:left w:val="single" w:color="auto" w:sz="4" w:space="0"/>
              <w:right w:val="single" w:color="auto" w:sz="4" w:space="0"/>
            </w:tcBorders>
            <w:vAlign w:val="center"/>
          </w:tcPr>
          <w:p w14:paraId="26D6F07C">
            <w:pPr>
              <w:snapToGrid w:val="0"/>
              <w:contextualSpacing/>
              <w:jc w:val="center"/>
              <w:rPr>
                <w:color w:val="auto"/>
                <w:szCs w:val="21"/>
                <w:highlight w:val="none"/>
              </w:rPr>
            </w:pPr>
          </w:p>
        </w:tc>
        <w:tc>
          <w:tcPr>
            <w:tcW w:w="2128" w:type="dxa"/>
            <w:tcBorders>
              <w:top w:val="single" w:color="auto" w:sz="4" w:space="0"/>
              <w:left w:val="single" w:color="auto" w:sz="4" w:space="0"/>
              <w:bottom w:val="single" w:color="auto" w:sz="4" w:space="0"/>
              <w:right w:val="single" w:color="auto" w:sz="4" w:space="0"/>
            </w:tcBorders>
            <w:vAlign w:val="center"/>
          </w:tcPr>
          <w:p w14:paraId="1ED47D78">
            <w:pPr>
              <w:snapToGrid w:val="0"/>
              <w:contextualSpacing/>
              <w:jc w:val="center"/>
              <w:rPr>
                <w:color w:val="auto"/>
                <w:szCs w:val="21"/>
                <w:highlight w:val="none"/>
              </w:rPr>
            </w:pPr>
            <w:r>
              <w:rPr>
                <w:color w:val="auto"/>
                <w:szCs w:val="21"/>
                <w:highlight w:val="none"/>
              </w:rPr>
              <w:t>施工深化设计图</w:t>
            </w:r>
          </w:p>
        </w:tc>
        <w:tc>
          <w:tcPr>
            <w:tcW w:w="5155" w:type="dxa"/>
            <w:tcBorders>
              <w:top w:val="single" w:color="auto" w:sz="4" w:space="0"/>
              <w:left w:val="single" w:color="auto" w:sz="4" w:space="0"/>
              <w:bottom w:val="single" w:color="auto" w:sz="4" w:space="0"/>
              <w:right w:val="single" w:color="auto" w:sz="4" w:space="0"/>
            </w:tcBorders>
            <w:vAlign w:val="center"/>
          </w:tcPr>
          <w:p w14:paraId="58DE35D1">
            <w:pPr>
              <w:snapToGrid w:val="0"/>
              <w:contextualSpacing/>
              <w:jc w:val="center"/>
              <w:rPr>
                <w:color w:val="auto"/>
                <w:szCs w:val="21"/>
                <w:highlight w:val="none"/>
              </w:rPr>
            </w:pPr>
            <w:r>
              <w:rPr>
                <w:color w:val="auto"/>
                <w:szCs w:val="21"/>
                <w:highlight w:val="none"/>
              </w:rPr>
              <w:t>通过BIM模型，出具施工深化图纸</w:t>
            </w:r>
          </w:p>
        </w:tc>
      </w:tr>
      <w:tr w14:paraId="7177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vMerge w:val="continue"/>
            <w:tcBorders>
              <w:left w:val="single" w:color="auto" w:sz="4" w:space="0"/>
              <w:right w:val="single" w:color="auto" w:sz="4" w:space="0"/>
            </w:tcBorders>
            <w:vAlign w:val="center"/>
          </w:tcPr>
          <w:p w14:paraId="669AF399">
            <w:pPr>
              <w:snapToGrid w:val="0"/>
              <w:contextualSpacing/>
              <w:jc w:val="center"/>
              <w:rPr>
                <w:color w:val="auto"/>
                <w:szCs w:val="21"/>
                <w:highlight w:val="none"/>
              </w:rPr>
            </w:pPr>
          </w:p>
        </w:tc>
        <w:tc>
          <w:tcPr>
            <w:tcW w:w="2128" w:type="dxa"/>
            <w:tcBorders>
              <w:top w:val="single" w:color="auto" w:sz="4" w:space="0"/>
              <w:left w:val="single" w:color="auto" w:sz="4" w:space="0"/>
              <w:bottom w:val="single" w:color="auto" w:sz="4" w:space="0"/>
              <w:right w:val="single" w:color="auto" w:sz="4" w:space="0"/>
            </w:tcBorders>
            <w:vAlign w:val="center"/>
          </w:tcPr>
          <w:p w14:paraId="61802473">
            <w:pPr>
              <w:snapToGrid w:val="0"/>
              <w:contextualSpacing/>
              <w:jc w:val="center"/>
              <w:rPr>
                <w:color w:val="auto"/>
                <w:szCs w:val="21"/>
                <w:highlight w:val="none"/>
              </w:rPr>
            </w:pPr>
            <w:r>
              <w:rPr>
                <w:color w:val="auto"/>
                <w:szCs w:val="21"/>
                <w:highlight w:val="none"/>
              </w:rPr>
              <w:t>施工方案可视化交底</w:t>
            </w:r>
          </w:p>
        </w:tc>
        <w:tc>
          <w:tcPr>
            <w:tcW w:w="5155" w:type="dxa"/>
            <w:tcBorders>
              <w:top w:val="single" w:color="auto" w:sz="4" w:space="0"/>
              <w:left w:val="single" w:color="auto" w:sz="4" w:space="0"/>
              <w:bottom w:val="single" w:color="auto" w:sz="4" w:space="0"/>
              <w:right w:val="single" w:color="auto" w:sz="4" w:space="0"/>
            </w:tcBorders>
            <w:vAlign w:val="center"/>
          </w:tcPr>
          <w:p w14:paraId="0C0330E3">
            <w:pPr>
              <w:snapToGrid w:val="0"/>
              <w:contextualSpacing/>
              <w:jc w:val="center"/>
              <w:rPr>
                <w:color w:val="auto"/>
                <w:szCs w:val="21"/>
                <w:highlight w:val="none"/>
              </w:rPr>
            </w:pPr>
            <w:r>
              <w:rPr>
                <w:color w:val="auto"/>
                <w:szCs w:val="21"/>
                <w:highlight w:val="none"/>
              </w:rPr>
              <w:t>根据施工方案，制作的BIM虚拟施工</w:t>
            </w:r>
          </w:p>
        </w:tc>
      </w:tr>
      <w:tr w14:paraId="47C9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vMerge w:val="restart"/>
            <w:tcBorders>
              <w:top w:val="single" w:color="auto" w:sz="4" w:space="0"/>
              <w:left w:val="single" w:color="auto" w:sz="4" w:space="0"/>
              <w:right w:val="single" w:color="auto" w:sz="4" w:space="0"/>
            </w:tcBorders>
            <w:vAlign w:val="center"/>
          </w:tcPr>
          <w:p w14:paraId="0599FF54">
            <w:pPr>
              <w:snapToGrid w:val="0"/>
              <w:contextualSpacing/>
              <w:jc w:val="center"/>
              <w:rPr>
                <w:color w:val="auto"/>
                <w:szCs w:val="21"/>
                <w:highlight w:val="none"/>
              </w:rPr>
            </w:pPr>
            <w:r>
              <w:rPr>
                <w:color w:val="auto"/>
                <w:szCs w:val="21"/>
                <w:highlight w:val="none"/>
              </w:rPr>
              <w:t>竣工</w:t>
            </w:r>
          </w:p>
          <w:p w14:paraId="7FE4DF80">
            <w:pPr>
              <w:snapToGrid w:val="0"/>
              <w:contextualSpacing/>
              <w:jc w:val="center"/>
              <w:rPr>
                <w:color w:val="auto"/>
                <w:szCs w:val="21"/>
                <w:highlight w:val="none"/>
              </w:rPr>
            </w:pPr>
            <w:r>
              <w:rPr>
                <w:color w:val="auto"/>
                <w:szCs w:val="21"/>
                <w:highlight w:val="none"/>
              </w:rPr>
              <w:t>验收</w:t>
            </w:r>
          </w:p>
          <w:p w14:paraId="0A5F353A">
            <w:pPr>
              <w:snapToGrid w:val="0"/>
              <w:contextualSpacing/>
              <w:jc w:val="center"/>
              <w:rPr>
                <w:color w:val="auto"/>
                <w:szCs w:val="21"/>
                <w:highlight w:val="none"/>
              </w:rPr>
            </w:pPr>
            <w:r>
              <w:rPr>
                <w:color w:val="auto"/>
                <w:szCs w:val="21"/>
                <w:highlight w:val="none"/>
              </w:rPr>
              <w:t>阶段</w:t>
            </w:r>
          </w:p>
        </w:tc>
        <w:tc>
          <w:tcPr>
            <w:tcW w:w="2128" w:type="dxa"/>
            <w:tcBorders>
              <w:top w:val="single" w:color="auto" w:sz="4" w:space="0"/>
              <w:left w:val="single" w:color="auto" w:sz="4" w:space="0"/>
              <w:bottom w:val="single" w:color="auto" w:sz="4" w:space="0"/>
              <w:right w:val="single" w:color="auto" w:sz="4" w:space="0"/>
            </w:tcBorders>
            <w:vAlign w:val="center"/>
          </w:tcPr>
          <w:p w14:paraId="0189B223">
            <w:pPr>
              <w:snapToGrid w:val="0"/>
              <w:contextualSpacing/>
              <w:jc w:val="center"/>
              <w:rPr>
                <w:color w:val="auto"/>
                <w:szCs w:val="21"/>
                <w:highlight w:val="none"/>
              </w:rPr>
            </w:pPr>
            <w:r>
              <w:rPr>
                <w:color w:val="auto"/>
                <w:szCs w:val="21"/>
                <w:highlight w:val="none"/>
              </w:rPr>
              <w:t>BIM竣工阶段建模</w:t>
            </w:r>
          </w:p>
        </w:tc>
        <w:tc>
          <w:tcPr>
            <w:tcW w:w="5155" w:type="dxa"/>
            <w:tcBorders>
              <w:top w:val="single" w:color="auto" w:sz="4" w:space="0"/>
              <w:left w:val="single" w:color="auto" w:sz="4" w:space="0"/>
              <w:bottom w:val="single" w:color="auto" w:sz="4" w:space="0"/>
              <w:right w:val="single" w:color="auto" w:sz="4" w:space="0"/>
            </w:tcBorders>
            <w:vAlign w:val="center"/>
          </w:tcPr>
          <w:p w14:paraId="1A83A7CF">
            <w:pPr>
              <w:snapToGrid w:val="0"/>
              <w:contextualSpacing/>
              <w:jc w:val="center"/>
              <w:rPr>
                <w:color w:val="auto"/>
                <w:szCs w:val="21"/>
                <w:highlight w:val="none"/>
              </w:rPr>
            </w:pPr>
            <w:r>
              <w:rPr>
                <w:color w:val="auto"/>
                <w:szCs w:val="21"/>
                <w:highlight w:val="none"/>
              </w:rPr>
              <w:t>依据现场施工情况创建BIM模型</w:t>
            </w:r>
          </w:p>
        </w:tc>
      </w:tr>
      <w:tr w14:paraId="033E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7" w:type="dxa"/>
            <w:vMerge w:val="continue"/>
            <w:tcBorders>
              <w:left w:val="single" w:color="auto" w:sz="4" w:space="0"/>
              <w:bottom w:val="single" w:color="auto" w:sz="4" w:space="0"/>
              <w:right w:val="single" w:color="auto" w:sz="4" w:space="0"/>
            </w:tcBorders>
            <w:vAlign w:val="center"/>
          </w:tcPr>
          <w:p w14:paraId="13AB84E7">
            <w:pPr>
              <w:snapToGrid w:val="0"/>
              <w:contextualSpacing/>
              <w:jc w:val="center"/>
              <w:rPr>
                <w:b/>
                <w:color w:val="auto"/>
                <w:szCs w:val="21"/>
                <w:highlight w:val="none"/>
              </w:rPr>
            </w:pPr>
          </w:p>
        </w:tc>
        <w:tc>
          <w:tcPr>
            <w:tcW w:w="2128" w:type="dxa"/>
            <w:tcBorders>
              <w:top w:val="single" w:color="auto" w:sz="4" w:space="0"/>
              <w:left w:val="single" w:color="auto" w:sz="4" w:space="0"/>
              <w:bottom w:val="single" w:color="auto" w:sz="4" w:space="0"/>
              <w:right w:val="single" w:color="auto" w:sz="4" w:space="0"/>
            </w:tcBorders>
            <w:vAlign w:val="center"/>
          </w:tcPr>
          <w:p w14:paraId="36165C19">
            <w:pPr>
              <w:snapToGrid w:val="0"/>
              <w:contextualSpacing/>
              <w:jc w:val="center"/>
              <w:rPr>
                <w:color w:val="auto"/>
                <w:szCs w:val="21"/>
                <w:highlight w:val="none"/>
              </w:rPr>
            </w:pPr>
            <w:r>
              <w:rPr>
                <w:color w:val="auto"/>
                <w:szCs w:val="21"/>
                <w:highlight w:val="none"/>
              </w:rPr>
              <w:t>添加运维</w:t>
            </w:r>
            <w:r>
              <w:rPr>
                <w:rFonts w:hint="eastAsia"/>
                <w:color w:val="auto"/>
                <w:szCs w:val="21"/>
                <w:highlight w:val="none"/>
              </w:rPr>
              <w:t>信息数据</w:t>
            </w:r>
          </w:p>
        </w:tc>
        <w:tc>
          <w:tcPr>
            <w:tcW w:w="5155" w:type="dxa"/>
            <w:tcBorders>
              <w:top w:val="single" w:color="auto" w:sz="4" w:space="0"/>
              <w:left w:val="single" w:color="auto" w:sz="4" w:space="0"/>
              <w:bottom w:val="single" w:color="auto" w:sz="4" w:space="0"/>
              <w:right w:val="single" w:color="auto" w:sz="4" w:space="0"/>
            </w:tcBorders>
            <w:vAlign w:val="center"/>
          </w:tcPr>
          <w:p w14:paraId="12D7FE2E">
            <w:pPr>
              <w:snapToGrid w:val="0"/>
              <w:contextualSpacing/>
              <w:jc w:val="center"/>
              <w:rPr>
                <w:color w:val="auto"/>
                <w:szCs w:val="21"/>
                <w:highlight w:val="none"/>
              </w:rPr>
            </w:pPr>
            <w:r>
              <w:rPr>
                <w:color w:val="auto"/>
                <w:szCs w:val="21"/>
                <w:highlight w:val="none"/>
              </w:rPr>
              <w:t>添加更新设备信息至竣工模型，完成运维</w:t>
            </w:r>
            <w:r>
              <w:rPr>
                <w:rFonts w:hint="eastAsia"/>
                <w:color w:val="auto"/>
                <w:szCs w:val="21"/>
                <w:highlight w:val="none"/>
              </w:rPr>
              <w:t>数据的添加</w:t>
            </w:r>
          </w:p>
        </w:tc>
      </w:tr>
    </w:tbl>
    <w:p w14:paraId="20656C03">
      <w:pPr>
        <w:pStyle w:val="4"/>
        <w:spacing w:before="120" w:after="120"/>
        <w:ind w:left="360"/>
        <w:rPr>
          <w:b w:val="0"/>
          <w:color w:val="auto"/>
          <w:highlight w:val="none"/>
        </w:rPr>
      </w:pPr>
    </w:p>
    <w:p w14:paraId="6DED81F6">
      <w:pPr>
        <w:pStyle w:val="4"/>
        <w:numPr>
          <w:ilvl w:val="1"/>
          <w:numId w:val="31"/>
        </w:numPr>
        <w:spacing w:before="120" w:after="120"/>
        <w:rPr>
          <w:b w:val="0"/>
          <w:color w:val="auto"/>
          <w:highlight w:val="none"/>
        </w:rPr>
      </w:pPr>
      <w:r>
        <w:rPr>
          <w:color w:val="auto"/>
          <w:highlight w:val="none"/>
        </w:rPr>
        <w:t xml:space="preserve"> BIM模型的修改与维护</w:t>
      </w:r>
    </w:p>
    <w:p w14:paraId="4B9FA72A">
      <w:pPr>
        <w:pStyle w:val="47"/>
        <w:numPr>
          <w:ilvl w:val="2"/>
          <w:numId w:val="32"/>
        </w:numPr>
        <w:adjustRightInd w:val="0"/>
        <w:snapToGrid w:val="0"/>
        <w:spacing w:before="120" w:beforeLines="50" w:after="60" w:line="360" w:lineRule="auto"/>
        <w:ind w:firstLineChars="0"/>
        <w:contextualSpacing/>
        <w:jc w:val="left"/>
        <w:textAlignment w:val="baseline"/>
        <w:rPr>
          <w:color w:val="auto"/>
          <w:szCs w:val="21"/>
          <w:highlight w:val="none"/>
        </w:rPr>
      </w:pPr>
      <w:r>
        <w:rPr>
          <w:color w:val="auto"/>
          <w:szCs w:val="21"/>
          <w:highlight w:val="none"/>
        </w:rPr>
        <w:t>督促各分包在施工工程中运用BIM模型并提交相应成果；</w:t>
      </w:r>
    </w:p>
    <w:p w14:paraId="46DCC635">
      <w:pPr>
        <w:pStyle w:val="47"/>
        <w:numPr>
          <w:ilvl w:val="2"/>
          <w:numId w:val="32"/>
        </w:numPr>
        <w:adjustRightInd w:val="0"/>
        <w:snapToGrid w:val="0"/>
        <w:spacing w:before="120" w:beforeLines="50" w:after="60" w:line="360" w:lineRule="auto"/>
        <w:ind w:firstLineChars="0"/>
        <w:contextualSpacing/>
        <w:jc w:val="left"/>
        <w:textAlignment w:val="baseline"/>
        <w:rPr>
          <w:color w:val="auto"/>
          <w:szCs w:val="21"/>
          <w:highlight w:val="none"/>
        </w:rPr>
      </w:pPr>
      <w:r>
        <w:rPr>
          <w:rFonts w:hint="eastAsia"/>
          <w:color w:val="auto"/>
          <w:szCs w:val="21"/>
          <w:highlight w:val="none"/>
        </w:rPr>
        <w:t>原则上</w:t>
      </w:r>
      <w:r>
        <w:rPr>
          <w:color w:val="auto"/>
          <w:szCs w:val="21"/>
          <w:highlight w:val="none"/>
        </w:rPr>
        <w:t>在相应部位施工前一个月内，根据施工进度及时更新和集成BIM模型，进行碰撞试验，直至</w:t>
      </w:r>
      <w:r>
        <w:rPr>
          <w:rFonts w:hint="eastAsia"/>
          <w:color w:val="auto"/>
          <w:szCs w:val="21"/>
          <w:highlight w:val="none"/>
        </w:rPr>
        <w:t>基本无碰撞</w:t>
      </w:r>
      <w:r>
        <w:rPr>
          <w:color w:val="auto"/>
          <w:szCs w:val="21"/>
          <w:highlight w:val="none"/>
        </w:rPr>
        <w:t>；</w:t>
      </w:r>
    </w:p>
    <w:p w14:paraId="1EACB1D4">
      <w:pPr>
        <w:pStyle w:val="47"/>
        <w:numPr>
          <w:ilvl w:val="2"/>
          <w:numId w:val="32"/>
        </w:numPr>
        <w:adjustRightInd w:val="0"/>
        <w:snapToGrid w:val="0"/>
        <w:spacing w:before="120" w:beforeLines="50" w:after="60" w:line="360" w:lineRule="auto"/>
        <w:ind w:firstLineChars="0"/>
        <w:contextualSpacing/>
        <w:jc w:val="left"/>
        <w:textAlignment w:val="baseline"/>
        <w:rPr>
          <w:color w:val="auto"/>
          <w:szCs w:val="21"/>
          <w:highlight w:val="none"/>
        </w:rPr>
      </w:pPr>
      <w:r>
        <w:rPr>
          <w:color w:val="auto"/>
          <w:szCs w:val="21"/>
          <w:highlight w:val="none"/>
        </w:rPr>
        <w:t>对因施工变更而引起的模型修改，在收到各方确认变更单后14天内完成；</w:t>
      </w:r>
    </w:p>
    <w:p w14:paraId="622ECBEF">
      <w:pPr>
        <w:pStyle w:val="47"/>
        <w:numPr>
          <w:ilvl w:val="2"/>
          <w:numId w:val="32"/>
        </w:numPr>
        <w:adjustRightInd w:val="0"/>
        <w:snapToGrid w:val="0"/>
        <w:spacing w:before="120" w:beforeLines="50" w:after="60" w:line="360" w:lineRule="auto"/>
        <w:ind w:firstLineChars="0"/>
        <w:contextualSpacing/>
        <w:jc w:val="left"/>
        <w:textAlignment w:val="baseline"/>
        <w:rPr>
          <w:color w:val="auto"/>
          <w:szCs w:val="21"/>
          <w:highlight w:val="none"/>
        </w:rPr>
      </w:pPr>
      <w:r>
        <w:rPr>
          <w:color w:val="auto"/>
          <w:szCs w:val="21"/>
          <w:highlight w:val="none"/>
        </w:rPr>
        <w:t>集成和验证最终的BIM模型，按要求提供招标人。</w:t>
      </w:r>
    </w:p>
    <w:p w14:paraId="38527953">
      <w:pPr>
        <w:pStyle w:val="4"/>
        <w:numPr>
          <w:ilvl w:val="1"/>
          <w:numId w:val="32"/>
        </w:numPr>
        <w:spacing w:before="120" w:after="120"/>
        <w:rPr>
          <w:b w:val="0"/>
          <w:color w:val="auto"/>
          <w:highlight w:val="none"/>
        </w:rPr>
      </w:pPr>
      <w:bookmarkStart w:id="173" w:name="_Toc515702260"/>
      <w:r>
        <w:rPr>
          <w:color w:val="auto"/>
          <w:highlight w:val="none"/>
        </w:rPr>
        <w:t>建立系统运行例会制度</w:t>
      </w:r>
      <w:bookmarkEnd w:id="173"/>
    </w:p>
    <w:p w14:paraId="4F053566">
      <w:pPr>
        <w:pStyle w:val="47"/>
        <w:numPr>
          <w:ilvl w:val="2"/>
          <w:numId w:val="32"/>
        </w:numPr>
        <w:snapToGrid w:val="0"/>
        <w:spacing w:line="360" w:lineRule="auto"/>
        <w:ind w:firstLineChars="0"/>
        <w:contextualSpacing/>
        <w:jc w:val="left"/>
        <w:rPr>
          <w:color w:val="auto"/>
          <w:szCs w:val="21"/>
          <w:highlight w:val="none"/>
        </w:rPr>
      </w:pPr>
      <w:r>
        <w:rPr>
          <w:color w:val="auto"/>
          <w:szCs w:val="21"/>
          <w:highlight w:val="none"/>
        </w:rPr>
        <w:t>BIM系统团队，暂定每周召开一次专题会；汇总进展情况及需要协调的问题</w:t>
      </w:r>
      <w:r>
        <w:rPr>
          <w:rFonts w:hint="eastAsia"/>
          <w:color w:val="auto"/>
          <w:szCs w:val="21"/>
          <w:highlight w:val="none"/>
        </w:rPr>
        <w:t>；</w:t>
      </w:r>
    </w:p>
    <w:p w14:paraId="15DE7880">
      <w:pPr>
        <w:pStyle w:val="47"/>
        <w:numPr>
          <w:ilvl w:val="2"/>
          <w:numId w:val="32"/>
        </w:numPr>
        <w:snapToGrid w:val="0"/>
        <w:spacing w:line="360" w:lineRule="auto"/>
        <w:ind w:firstLineChars="0"/>
        <w:contextualSpacing/>
        <w:jc w:val="left"/>
        <w:rPr>
          <w:color w:val="auto"/>
          <w:szCs w:val="21"/>
          <w:highlight w:val="none"/>
        </w:rPr>
      </w:pPr>
      <w:r>
        <w:rPr>
          <w:color w:val="auto"/>
          <w:szCs w:val="21"/>
          <w:highlight w:val="none"/>
        </w:rPr>
        <w:t>BIM系统执行小组暂定每周一次碰头会；汇总本周情况，制定下周目标。</w:t>
      </w:r>
    </w:p>
    <w:p w14:paraId="12C1964D">
      <w:pPr>
        <w:pStyle w:val="4"/>
        <w:numPr>
          <w:ilvl w:val="1"/>
          <w:numId w:val="32"/>
        </w:numPr>
        <w:spacing w:before="120" w:after="120"/>
        <w:rPr>
          <w:b w:val="0"/>
          <w:color w:val="auto"/>
          <w:highlight w:val="none"/>
        </w:rPr>
      </w:pPr>
      <w:bookmarkStart w:id="174" w:name="_Toc515702261"/>
      <w:r>
        <w:rPr>
          <w:color w:val="auto"/>
          <w:highlight w:val="none"/>
        </w:rPr>
        <w:t>建立系统运行检查机制</w:t>
      </w:r>
      <w:bookmarkEnd w:id="174"/>
    </w:p>
    <w:p w14:paraId="27AFCC9C">
      <w:pPr>
        <w:pStyle w:val="47"/>
        <w:numPr>
          <w:ilvl w:val="2"/>
          <w:numId w:val="32"/>
        </w:numPr>
        <w:snapToGrid w:val="0"/>
        <w:spacing w:line="360" w:lineRule="auto"/>
        <w:ind w:firstLineChars="0"/>
        <w:contextualSpacing/>
        <w:jc w:val="left"/>
        <w:rPr>
          <w:color w:val="auto"/>
          <w:szCs w:val="21"/>
          <w:highlight w:val="none"/>
        </w:rPr>
      </w:pPr>
      <w:r>
        <w:rPr>
          <w:color w:val="auto"/>
          <w:szCs w:val="21"/>
          <w:highlight w:val="none"/>
        </w:rPr>
        <w:t>对各分包暂定每2周检查一次系统执行情况，了解过程控制和变更、修改情况；</w:t>
      </w:r>
    </w:p>
    <w:p w14:paraId="1E493ED6">
      <w:pPr>
        <w:pStyle w:val="47"/>
        <w:snapToGrid w:val="0"/>
        <w:spacing w:line="360" w:lineRule="auto"/>
        <w:ind w:firstLine="0" w:firstLineChars="0"/>
        <w:contextualSpacing/>
        <w:jc w:val="left"/>
        <w:rPr>
          <w:color w:val="auto"/>
          <w:szCs w:val="21"/>
          <w:highlight w:val="none"/>
        </w:rPr>
      </w:pPr>
      <w:r>
        <w:rPr>
          <w:rFonts w:hint="eastAsia"/>
          <w:color w:val="auto"/>
          <w:szCs w:val="21"/>
          <w:highlight w:val="none"/>
        </w:rPr>
        <w:t xml:space="preserve">3.5.2   </w:t>
      </w:r>
      <w:r>
        <w:rPr>
          <w:color w:val="auto"/>
          <w:szCs w:val="21"/>
          <w:highlight w:val="none"/>
        </w:rPr>
        <w:t>检查各分包使用的模型和软件有效性，确保模型和工作同步进行。</w:t>
      </w:r>
      <w:bookmarkStart w:id="175" w:name="_Toc515702263"/>
      <w:bookmarkStart w:id="176" w:name="_Toc516582109"/>
    </w:p>
    <w:p w14:paraId="7AFC5A20">
      <w:pPr>
        <w:snapToGrid w:val="0"/>
        <w:spacing w:line="360" w:lineRule="auto"/>
        <w:contextualSpacing/>
        <w:rPr>
          <w:rFonts w:eastAsia="黑体"/>
          <w:b/>
          <w:color w:val="auto"/>
          <w:sz w:val="28"/>
          <w:szCs w:val="28"/>
          <w:highlight w:val="none"/>
        </w:rPr>
      </w:pPr>
    </w:p>
    <w:p w14:paraId="3E1A7B48">
      <w:pPr>
        <w:numPr>
          <w:ilvl w:val="0"/>
          <w:numId w:val="23"/>
        </w:numPr>
        <w:snapToGrid w:val="0"/>
        <w:spacing w:line="360" w:lineRule="auto"/>
        <w:contextualSpacing/>
        <w:jc w:val="center"/>
        <w:rPr>
          <w:rFonts w:eastAsia="黑体"/>
          <w:b/>
          <w:color w:val="auto"/>
          <w:sz w:val="28"/>
          <w:szCs w:val="28"/>
          <w:highlight w:val="none"/>
        </w:rPr>
      </w:pPr>
      <w:r>
        <w:rPr>
          <w:rFonts w:eastAsia="黑体"/>
          <w:b/>
          <w:color w:val="auto"/>
          <w:sz w:val="28"/>
          <w:szCs w:val="28"/>
          <w:highlight w:val="none"/>
        </w:rPr>
        <w:t>设计工作要求</w:t>
      </w:r>
      <w:bookmarkEnd w:id="175"/>
      <w:bookmarkEnd w:id="176"/>
    </w:p>
    <w:p w14:paraId="18F8442A">
      <w:pPr>
        <w:pStyle w:val="47"/>
        <w:numPr>
          <w:ilvl w:val="0"/>
          <w:numId w:val="33"/>
        </w:numPr>
        <w:adjustRightInd w:val="0"/>
        <w:snapToGrid w:val="0"/>
        <w:spacing w:before="120" w:beforeLines="50" w:after="120" w:afterLines="50" w:line="360" w:lineRule="auto"/>
        <w:ind w:firstLineChars="0"/>
        <w:contextualSpacing/>
        <w:jc w:val="left"/>
        <w:textAlignment w:val="baseline"/>
        <w:outlineLvl w:val="2"/>
        <w:rPr>
          <w:rFonts w:ascii="Times New Roman" w:hAnsi="Times New Roman" w:eastAsia="黑体"/>
          <w:b/>
          <w:bCs/>
          <w:vanish/>
          <w:color w:val="auto"/>
          <w:kern w:val="0"/>
          <w:sz w:val="28"/>
          <w:szCs w:val="21"/>
          <w:highlight w:val="none"/>
        </w:rPr>
      </w:pPr>
      <w:bookmarkStart w:id="177" w:name="_Toc515702264"/>
    </w:p>
    <w:p w14:paraId="075BABEB">
      <w:pPr>
        <w:pStyle w:val="4"/>
        <w:spacing w:before="120" w:after="120"/>
        <w:rPr>
          <w:color w:val="auto"/>
          <w:highlight w:val="none"/>
        </w:rPr>
      </w:pPr>
      <w:r>
        <w:rPr>
          <w:rFonts w:hint="eastAsia"/>
          <w:color w:val="auto"/>
          <w:highlight w:val="none"/>
        </w:rPr>
        <w:t xml:space="preserve">4.1 </w:t>
      </w:r>
      <w:r>
        <w:rPr>
          <w:color w:val="auto"/>
          <w:highlight w:val="none"/>
        </w:rPr>
        <w:t>总体设计工作的要求</w:t>
      </w:r>
      <w:bookmarkEnd w:id="177"/>
    </w:p>
    <w:p w14:paraId="62DF13BC">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w:t>
      </w:r>
      <w:r>
        <w:rPr>
          <w:rFonts w:hint="eastAsia"/>
          <w:color w:val="auto"/>
          <w:szCs w:val="21"/>
          <w:highlight w:val="none"/>
        </w:rPr>
        <w:t>动力设施</w:t>
      </w:r>
      <w:r>
        <w:rPr>
          <w:color w:val="auto"/>
          <w:szCs w:val="21"/>
          <w:highlight w:val="none"/>
        </w:rPr>
        <w:t>、厂房净化装修、工艺服务系统、电气系统、环保与安全设施、消防设施、生产服务与管理设施等配置说明。</w:t>
      </w:r>
    </w:p>
    <w:p w14:paraId="23050A6F">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提供项目建设实施计划进度表，明确关键路线和里程碑节点。</w:t>
      </w:r>
    </w:p>
    <w:p w14:paraId="136E16D3">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提供工程方案设计和工厂动力系统的技术规格标准。</w:t>
      </w:r>
    </w:p>
    <w:p w14:paraId="016E4F9C">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提供动力设备清单及技术规格标准。</w:t>
      </w:r>
    </w:p>
    <w:p w14:paraId="7FF0B490">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提供动力系统的文字叙述、技术标准、系统原理图及主要平面布置。</w:t>
      </w:r>
    </w:p>
    <w:p w14:paraId="504BEE8D">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提供生产及支持</w:t>
      </w:r>
      <w:r>
        <w:rPr>
          <w:rFonts w:hint="eastAsia"/>
          <w:color w:val="auto"/>
          <w:szCs w:val="21"/>
          <w:highlight w:val="none"/>
        </w:rPr>
        <w:t>区域</w:t>
      </w:r>
      <w:r>
        <w:rPr>
          <w:color w:val="auto"/>
          <w:szCs w:val="21"/>
          <w:highlight w:val="none"/>
        </w:rPr>
        <w:t>、动力</w:t>
      </w:r>
      <w:r>
        <w:rPr>
          <w:rFonts w:hint="eastAsia"/>
          <w:color w:val="auto"/>
          <w:szCs w:val="21"/>
          <w:highlight w:val="none"/>
        </w:rPr>
        <w:t>厂房</w:t>
      </w:r>
      <w:r>
        <w:rPr>
          <w:color w:val="auto"/>
          <w:szCs w:val="21"/>
          <w:highlight w:val="none"/>
        </w:rPr>
        <w:t>的空间规划、空间管理及协调。</w:t>
      </w:r>
    </w:p>
    <w:p w14:paraId="0C0B6E5E">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提供总体设计文件编制，包括消防、环保、节能、安全</w:t>
      </w:r>
      <w:r>
        <w:rPr>
          <w:rFonts w:hint="eastAsia"/>
          <w:color w:val="auto"/>
          <w:szCs w:val="21"/>
          <w:highlight w:val="none"/>
        </w:rPr>
        <w:t>、职业</w:t>
      </w:r>
      <w:r>
        <w:rPr>
          <w:color w:val="auto"/>
          <w:szCs w:val="21"/>
          <w:highlight w:val="none"/>
        </w:rPr>
        <w:t>卫生等专篇。</w:t>
      </w:r>
    </w:p>
    <w:p w14:paraId="2D95C924">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提供总体设计文件报政府有关部门审查，并获得批准。</w:t>
      </w:r>
    </w:p>
    <w:p w14:paraId="66523E5F">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提供文件复制、印刷、装订，除政府部门审核所必须的数量以外，必须提交业主4套文件存档。</w:t>
      </w:r>
    </w:p>
    <w:p w14:paraId="7C2FA99C">
      <w:pPr>
        <w:pStyle w:val="4"/>
        <w:numPr>
          <w:ilvl w:val="1"/>
          <w:numId w:val="34"/>
        </w:numPr>
        <w:spacing w:before="120" w:after="120"/>
        <w:ind w:left="2684" w:hanging="601"/>
        <w:rPr>
          <w:b w:val="0"/>
          <w:color w:val="auto"/>
          <w:highlight w:val="none"/>
        </w:rPr>
      </w:pPr>
      <w:bookmarkStart w:id="178" w:name="_Toc515702265"/>
      <w:r>
        <w:rPr>
          <w:color w:val="auto"/>
          <w:highlight w:val="none"/>
        </w:rPr>
        <w:t>施工图深化设计工作的要求</w:t>
      </w:r>
      <w:bookmarkEnd w:id="178"/>
    </w:p>
    <w:p w14:paraId="4B8AC37A">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提供满足工艺需求厂房净化装修、电气系统、环保与安全设施、消防设施、技术规格标准的细化、详细施工图设计</w:t>
      </w:r>
      <w:r>
        <w:rPr>
          <w:rFonts w:hint="eastAsia"/>
          <w:color w:val="auto"/>
          <w:szCs w:val="21"/>
          <w:highlight w:val="none"/>
        </w:rPr>
        <w:t>等</w:t>
      </w:r>
      <w:r>
        <w:rPr>
          <w:color w:val="auto"/>
          <w:szCs w:val="21"/>
          <w:highlight w:val="none"/>
        </w:rPr>
        <w:t>。</w:t>
      </w:r>
    </w:p>
    <w:p w14:paraId="2579F843">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提供总图设计。</w:t>
      </w:r>
    </w:p>
    <w:p w14:paraId="5335ED1E">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提供供电/电气/电照/弱电详细施工图设计，含大样图、引用的图集等。</w:t>
      </w:r>
    </w:p>
    <w:p w14:paraId="56D67C60">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提供动力系统详细施工图设计，含大样图、引用的图集等。</w:t>
      </w:r>
    </w:p>
    <w:p w14:paraId="7D6E5EF7">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提供给排水详细施工图设计，含大样图、引用的图集等。</w:t>
      </w:r>
    </w:p>
    <w:p w14:paraId="0E3E1FBF">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提供消防系统详细施工图设计，含大样图、引用的图集等。</w:t>
      </w:r>
    </w:p>
    <w:p w14:paraId="0054992A">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配合施工图设计审图公司提供相关施工图纸，完成审图。</w:t>
      </w:r>
    </w:p>
    <w:p w14:paraId="48848B44">
      <w:pPr>
        <w:pStyle w:val="47"/>
        <w:numPr>
          <w:ilvl w:val="2"/>
          <w:numId w:val="34"/>
        </w:numPr>
        <w:snapToGrid w:val="0"/>
        <w:spacing w:line="360" w:lineRule="auto"/>
        <w:ind w:firstLineChars="0"/>
        <w:contextualSpacing/>
        <w:jc w:val="left"/>
        <w:rPr>
          <w:color w:val="auto"/>
          <w:szCs w:val="21"/>
          <w:highlight w:val="none"/>
        </w:rPr>
      </w:pPr>
      <w:r>
        <w:rPr>
          <w:color w:val="auto"/>
          <w:szCs w:val="21"/>
          <w:highlight w:val="none"/>
        </w:rPr>
        <w:t>文件复制、印刷、装订，除政府部门审核、归档所必须的数量以外，必须提交业主6套施工文件、6套竣工图、2张记录施工文件和竣工图的</w:t>
      </w:r>
      <w:r>
        <w:rPr>
          <w:rFonts w:hint="eastAsia"/>
          <w:color w:val="auto"/>
          <w:szCs w:val="21"/>
          <w:highlight w:val="none"/>
        </w:rPr>
        <w:t>电子</w:t>
      </w:r>
      <w:r>
        <w:rPr>
          <w:color w:val="auto"/>
          <w:szCs w:val="21"/>
          <w:highlight w:val="none"/>
        </w:rPr>
        <w:t>存档。竣工图必须是按照现场实际竣工验收后更新的正式蓝图。</w:t>
      </w:r>
    </w:p>
    <w:p w14:paraId="1FDF9396">
      <w:pPr>
        <w:snapToGrid w:val="0"/>
        <w:spacing w:line="360" w:lineRule="auto"/>
        <w:contextualSpacing/>
        <w:rPr>
          <w:rFonts w:eastAsia="黑体"/>
          <w:b/>
          <w:color w:val="auto"/>
          <w:sz w:val="28"/>
          <w:szCs w:val="28"/>
          <w:highlight w:val="none"/>
        </w:rPr>
      </w:pPr>
      <w:bookmarkStart w:id="179" w:name="_Toc516582110"/>
    </w:p>
    <w:p w14:paraId="5F2DA839">
      <w:pPr>
        <w:snapToGrid w:val="0"/>
        <w:spacing w:line="360" w:lineRule="auto"/>
        <w:contextualSpacing/>
        <w:jc w:val="center"/>
        <w:rPr>
          <w:rFonts w:eastAsia="黑体"/>
          <w:b/>
          <w:color w:val="auto"/>
          <w:sz w:val="28"/>
          <w:szCs w:val="28"/>
          <w:highlight w:val="none"/>
        </w:rPr>
      </w:pPr>
      <w:r>
        <w:rPr>
          <w:rFonts w:hint="eastAsia" w:eastAsia="黑体"/>
          <w:b/>
          <w:color w:val="auto"/>
          <w:sz w:val="28"/>
          <w:szCs w:val="28"/>
          <w:highlight w:val="none"/>
        </w:rPr>
        <w:t>五、建设工程总承包要求</w:t>
      </w:r>
    </w:p>
    <w:p w14:paraId="759B7E87">
      <w:pPr>
        <w:rPr>
          <w:color w:val="auto"/>
          <w:highlight w:val="none"/>
        </w:rPr>
      </w:pPr>
    </w:p>
    <w:p w14:paraId="6951E97E">
      <w:pPr>
        <w:pStyle w:val="47"/>
        <w:numPr>
          <w:ilvl w:val="0"/>
          <w:numId w:val="35"/>
        </w:numPr>
        <w:snapToGrid w:val="0"/>
        <w:spacing w:line="360" w:lineRule="auto"/>
        <w:ind w:firstLineChars="0"/>
        <w:contextualSpacing/>
        <w:jc w:val="left"/>
        <w:rPr>
          <w:color w:val="auto"/>
          <w:szCs w:val="21"/>
          <w:highlight w:val="none"/>
        </w:rPr>
      </w:pPr>
      <w:r>
        <w:rPr>
          <w:color w:val="auto"/>
          <w:szCs w:val="21"/>
          <w:highlight w:val="none"/>
        </w:rPr>
        <w:t>建设工程设计、施工一体化的服务范围包括方案设计、</w:t>
      </w:r>
      <w:r>
        <w:rPr>
          <w:rFonts w:hint="eastAsia"/>
          <w:color w:val="auto"/>
          <w:szCs w:val="21"/>
          <w:highlight w:val="none"/>
        </w:rPr>
        <w:t>总体设计、</w:t>
      </w:r>
      <w:r>
        <w:rPr>
          <w:color w:val="auto"/>
          <w:szCs w:val="21"/>
          <w:highlight w:val="none"/>
        </w:rPr>
        <w:t>详细施工图设计、施工建设</w:t>
      </w:r>
      <w:r>
        <w:rPr>
          <w:rFonts w:hint="eastAsia"/>
          <w:color w:val="auto"/>
          <w:szCs w:val="21"/>
          <w:highlight w:val="none"/>
        </w:rPr>
        <w:t>及项目管理</w:t>
      </w:r>
      <w:r>
        <w:rPr>
          <w:color w:val="auto"/>
          <w:szCs w:val="21"/>
          <w:highlight w:val="none"/>
        </w:rPr>
        <w:t>、安装调试、收尾整改、单项验收、竣工验收、竣工备案直至规划综合验收的全过程，其地块满足施工条件、项目管理、总包协调等内容均包含在工程勘察、工程设计、工程建设、工程验收等全过程中。</w:t>
      </w:r>
    </w:p>
    <w:p w14:paraId="067768B5">
      <w:pPr>
        <w:pStyle w:val="47"/>
        <w:numPr>
          <w:ilvl w:val="0"/>
          <w:numId w:val="35"/>
        </w:numPr>
        <w:snapToGrid w:val="0"/>
        <w:spacing w:line="360" w:lineRule="auto"/>
        <w:ind w:firstLineChars="0"/>
        <w:contextualSpacing/>
        <w:jc w:val="left"/>
        <w:rPr>
          <w:color w:val="auto"/>
          <w:szCs w:val="21"/>
          <w:highlight w:val="none"/>
        </w:rPr>
      </w:pPr>
      <w:r>
        <w:rPr>
          <w:rFonts w:hint="eastAsia"/>
          <w:color w:val="auto"/>
          <w:szCs w:val="21"/>
          <w:highlight w:val="none"/>
        </w:rPr>
        <w:t>鉴于本项目紧急性，要求中标单位收到中标通知书后一周内安排设计团队（水、电、气、空调等专业）到场并在整个设计深化过程中全程驻场。</w:t>
      </w:r>
    </w:p>
    <w:p w14:paraId="2DF8AABE">
      <w:pPr>
        <w:pStyle w:val="47"/>
        <w:numPr>
          <w:ilvl w:val="0"/>
          <w:numId w:val="35"/>
        </w:numPr>
        <w:snapToGrid w:val="0"/>
        <w:spacing w:line="360" w:lineRule="auto"/>
        <w:ind w:firstLineChars="0"/>
        <w:contextualSpacing/>
        <w:jc w:val="left"/>
        <w:rPr>
          <w:color w:val="auto"/>
          <w:szCs w:val="21"/>
          <w:highlight w:val="none"/>
        </w:rPr>
      </w:pPr>
      <w:r>
        <w:rPr>
          <w:color w:val="auto"/>
          <w:szCs w:val="21"/>
          <w:highlight w:val="none"/>
        </w:rPr>
        <w:t>项目</w:t>
      </w:r>
      <w:r>
        <w:rPr>
          <w:rFonts w:hint="eastAsia"/>
          <w:color w:val="auto"/>
          <w:szCs w:val="21"/>
          <w:highlight w:val="none"/>
        </w:rPr>
        <w:t>包含环评（可能所需</w:t>
      </w:r>
      <w:r>
        <w:rPr>
          <w:color w:val="auto"/>
          <w:szCs w:val="21"/>
          <w:highlight w:val="none"/>
        </w:rPr>
        <w:t>环境现状监测</w:t>
      </w:r>
      <w:r>
        <w:rPr>
          <w:rFonts w:hint="eastAsia"/>
          <w:color w:val="auto"/>
          <w:szCs w:val="21"/>
          <w:highlight w:val="none"/>
        </w:rPr>
        <w:t>）</w:t>
      </w:r>
      <w:r>
        <w:rPr>
          <w:color w:val="auto"/>
          <w:szCs w:val="21"/>
          <w:highlight w:val="none"/>
        </w:rPr>
        <w:t>、安</w:t>
      </w:r>
      <w:r>
        <w:rPr>
          <w:rFonts w:hint="eastAsia"/>
          <w:color w:val="auto"/>
          <w:szCs w:val="21"/>
          <w:highlight w:val="none"/>
        </w:rPr>
        <w:t>全预</w:t>
      </w:r>
      <w:r>
        <w:rPr>
          <w:color w:val="auto"/>
          <w:szCs w:val="21"/>
          <w:highlight w:val="none"/>
        </w:rPr>
        <w:t>评</w:t>
      </w:r>
      <w:r>
        <w:rPr>
          <w:rFonts w:hint="eastAsia"/>
          <w:color w:val="auto"/>
          <w:szCs w:val="21"/>
          <w:highlight w:val="none"/>
        </w:rPr>
        <w:t>价</w:t>
      </w:r>
      <w:r>
        <w:rPr>
          <w:color w:val="auto"/>
          <w:szCs w:val="21"/>
          <w:highlight w:val="none"/>
        </w:rPr>
        <w:t>、社会维稳评价、排污许可证</w:t>
      </w:r>
      <w:r>
        <w:rPr>
          <w:rFonts w:hint="eastAsia"/>
          <w:color w:val="auto"/>
          <w:szCs w:val="21"/>
          <w:highlight w:val="none"/>
        </w:rPr>
        <w:t>（更新）</w:t>
      </w:r>
      <w:r>
        <w:rPr>
          <w:color w:val="auto"/>
          <w:szCs w:val="21"/>
          <w:highlight w:val="none"/>
        </w:rPr>
        <w:t>、环保验收、安全验收等均在招标范围内。利用BIM技术的直观、信息量进行现场施工状况监控、协调与分析及早期发现进度碰撞、解决进度碰撞、创建更合理的计划、提升团队合作。包含辅助施工方案的确定、质量、进度、安全、成本控制与管理。利用BIM平台做好深化设计、进度管理、分包管理和场地布置管理的整合等。根据机台摆放位置利用BIM合理对take off点等后期hook up进行布局设计。</w:t>
      </w:r>
    </w:p>
    <w:p w14:paraId="37BAFD56">
      <w:pPr>
        <w:snapToGrid w:val="0"/>
        <w:spacing w:line="360" w:lineRule="auto"/>
        <w:ind w:firstLine="480" w:firstLineChars="200"/>
        <w:contextualSpacing/>
        <w:rPr>
          <w:color w:val="auto"/>
          <w:szCs w:val="21"/>
          <w:highlight w:val="none"/>
        </w:rPr>
      </w:pPr>
    </w:p>
    <w:p w14:paraId="1B959C91">
      <w:pPr>
        <w:snapToGrid w:val="0"/>
        <w:spacing w:line="360" w:lineRule="auto"/>
        <w:contextualSpacing/>
        <w:jc w:val="center"/>
        <w:rPr>
          <w:rFonts w:eastAsia="黑体"/>
          <w:b/>
          <w:color w:val="auto"/>
          <w:sz w:val="28"/>
          <w:szCs w:val="28"/>
          <w:highlight w:val="none"/>
        </w:rPr>
      </w:pPr>
      <w:r>
        <w:rPr>
          <w:rFonts w:hint="eastAsia" w:eastAsia="黑体"/>
          <w:b/>
          <w:color w:val="auto"/>
          <w:sz w:val="28"/>
          <w:szCs w:val="28"/>
          <w:highlight w:val="none"/>
        </w:rPr>
        <w:t>六、 总承包管理要求</w:t>
      </w:r>
      <w:bookmarkEnd w:id="179"/>
    </w:p>
    <w:p w14:paraId="55A435B9">
      <w:pPr>
        <w:pStyle w:val="47"/>
        <w:numPr>
          <w:ilvl w:val="0"/>
          <w:numId w:val="36"/>
        </w:numPr>
        <w:snapToGrid w:val="0"/>
        <w:spacing w:line="360" w:lineRule="auto"/>
        <w:ind w:firstLineChars="0"/>
        <w:rPr>
          <w:rFonts w:eastAsia="黑体"/>
          <w:b/>
          <w:bCs/>
          <w:color w:val="auto"/>
          <w:kern w:val="0"/>
          <w:sz w:val="28"/>
          <w:szCs w:val="21"/>
          <w:highlight w:val="none"/>
        </w:rPr>
      </w:pPr>
      <w:r>
        <w:rPr>
          <w:rFonts w:hint="eastAsia" w:eastAsia="黑体"/>
          <w:b/>
          <w:bCs/>
          <w:color w:val="auto"/>
          <w:kern w:val="0"/>
          <w:sz w:val="28"/>
          <w:szCs w:val="21"/>
          <w:highlight w:val="none"/>
        </w:rPr>
        <w:t>总承包管理职责范围</w:t>
      </w:r>
    </w:p>
    <w:p w14:paraId="17ADEC40">
      <w:pPr>
        <w:snapToGrid w:val="0"/>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总承包商承担本项目的总承包管理责任，对本项目</w:t>
      </w:r>
      <w:r>
        <w:rPr>
          <w:rFonts w:hint="eastAsia" w:ascii="宋体" w:hAnsi="宋体"/>
          <w:bCs/>
          <w:color w:val="auto"/>
          <w:szCs w:val="21"/>
          <w:highlight w:val="none"/>
        </w:rPr>
        <w:t>设计</w:t>
      </w:r>
      <w:r>
        <w:rPr>
          <w:rFonts w:ascii="宋体" w:hAnsi="宋体"/>
          <w:bCs/>
          <w:color w:val="auto"/>
          <w:szCs w:val="21"/>
          <w:highlight w:val="none"/>
        </w:rPr>
        <w:t>、施工一体化直至完成建设安装</w:t>
      </w:r>
      <w:r>
        <w:rPr>
          <w:rFonts w:hint="eastAsia" w:ascii="宋体" w:hAnsi="宋体"/>
          <w:color w:val="auto"/>
          <w:szCs w:val="21"/>
          <w:highlight w:val="none"/>
        </w:rPr>
        <w:t>，管理、配合和负责协调各分包商的工作，确保所进行的工程（包括各类分包工程）符合工程规范、技术要求及政府部门的要求，并采用符合相关标准的施工工艺以满足发包人与政府部门的验收要求，且保证发包人指令和工期不受影响，全面负责本项目（包括各类分包工程、与工程有关的配套工程、设备等）的施工方案、施工计划的组织、落实，施工质量、工程进度的控制，汇总分包商的竣工资料，管理项目现场，监督和管理所有进入项目现场的人员、材料、设备的安全生产、文明施工、职业健康、消防防火、环保、卫生防疫、综合治理等方面工作，全面协调涉及本项目周边或有关部门、单位的工作（包括治安、环保、街道、市政、消防、交通等一切有关部门）。</w:t>
      </w:r>
    </w:p>
    <w:p w14:paraId="064D1843">
      <w:pPr>
        <w:snapToGrid w:val="0"/>
        <w:spacing w:line="360" w:lineRule="auto"/>
        <w:ind w:firstLine="480" w:firstLineChars="200"/>
        <w:rPr>
          <w:rFonts w:hint="eastAsia" w:ascii="宋体" w:hAnsi="宋体"/>
          <w:color w:val="auto"/>
          <w:szCs w:val="21"/>
          <w:highlight w:val="none"/>
        </w:rPr>
      </w:pPr>
    </w:p>
    <w:p w14:paraId="56A880FB">
      <w:pPr>
        <w:pStyle w:val="47"/>
        <w:numPr>
          <w:ilvl w:val="0"/>
          <w:numId w:val="36"/>
        </w:numPr>
        <w:snapToGrid w:val="0"/>
        <w:spacing w:line="360" w:lineRule="auto"/>
        <w:ind w:firstLineChars="0"/>
        <w:rPr>
          <w:rFonts w:eastAsia="黑体"/>
          <w:b/>
          <w:bCs/>
          <w:color w:val="auto"/>
          <w:kern w:val="0"/>
          <w:sz w:val="28"/>
          <w:szCs w:val="21"/>
          <w:highlight w:val="none"/>
        </w:rPr>
      </w:pPr>
      <w:r>
        <w:rPr>
          <w:rFonts w:hint="eastAsia" w:eastAsia="黑体"/>
          <w:b/>
          <w:bCs/>
          <w:color w:val="auto"/>
          <w:kern w:val="0"/>
          <w:sz w:val="28"/>
          <w:szCs w:val="21"/>
          <w:highlight w:val="none"/>
        </w:rPr>
        <w:t>工程施工总体要求</w:t>
      </w:r>
    </w:p>
    <w:p w14:paraId="1968F155">
      <w:pPr>
        <w:pStyle w:val="47"/>
        <w:numPr>
          <w:ilvl w:val="0"/>
          <w:numId w:val="37"/>
        </w:numPr>
        <w:snapToGrid w:val="0"/>
        <w:spacing w:line="360" w:lineRule="auto"/>
        <w:ind w:firstLineChars="0"/>
        <w:rPr>
          <w:rFonts w:ascii="Times New Roman" w:hAnsi="Times New Roman"/>
          <w:vanish/>
          <w:color w:val="auto"/>
          <w:szCs w:val="21"/>
          <w:highlight w:val="none"/>
        </w:rPr>
      </w:pPr>
    </w:p>
    <w:p w14:paraId="69FEFCAE">
      <w:pPr>
        <w:pStyle w:val="47"/>
        <w:numPr>
          <w:ilvl w:val="0"/>
          <w:numId w:val="37"/>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总承包商须保持组织架构有效性，使发包人发出的所有指示能立刻传送到现场并严格执行发包人对本工程的所有指示。总承包商须把发包人代表的所有现场指示，在专门的日记簿内作出记录，说明该等指示工作的详细资料，并在发出指示当天，每项登记项取得发包人代表或其授权人员的签署核实。</w:t>
      </w:r>
    </w:p>
    <w:p w14:paraId="76307EE4">
      <w:pPr>
        <w:pStyle w:val="47"/>
        <w:numPr>
          <w:ilvl w:val="0"/>
          <w:numId w:val="38"/>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在发包人向总承包商移交本项目场地后，总承包商应负责本项目现场管理的全部工作，并对所有进入现场的材料、设备、人员及其他财物负责，直到本项目全部移交给发包人，并由发包人签发接收证书之日。</w:t>
      </w:r>
    </w:p>
    <w:p w14:paraId="3D80EF4F">
      <w:pPr>
        <w:pStyle w:val="47"/>
        <w:numPr>
          <w:ilvl w:val="0"/>
          <w:numId w:val="38"/>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 xml:space="preserve">项目全面移交发包人前，总承包商为整个工地的唯一安全责任人。总承包商应遵守国家及项目所在地各级政府有关安全及防火的规定及规范。总承包商须承担一切因其责任或在其控制及管理的范围内而造成或发生的任何意外事故的全部后果包括法律责任、索赔、赔款及罚款。总承包商、其分包商及其在现场之雇员需按适用法律和法规的规定，采用严格的安全防护措施，承担由于自身安全措施不足造成事故的责任和因此发生的费用。 </w:t>
      </w:r>
    </w:p>
    <w:p w14:paraId="1669748E">
      <w:pPr>
        <w:pStyle w:val="47"/>
        <w:numPr>
          <w:ilvl w:val="0"/>
          <w:numId w:val="38"/>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工程质量应达到国家、地方及行业规定的质量检验评定合格标准，并满足发包人的使用要求。</w:t>
      </w:r>
    </w:p>
    <w:p w14:paraId="66A930AB">
      <w:pPr>
        <w:pStyle w:val="47"/>
        <w:numPr>
          <w:ilvl w:val="0"/>
          <w:numId w:val="38"/>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总承包商应负责和保障发包人免于承担来自因本项目的缺陷和设计错误引致主体结构及周边邻近的建筑物于施工期间或日后发生沉降所引致的责任、损失、费用、索赔或诉讼。</w:t>
      </w:r>
    </w:p>
    <w:p w14:paraId="03BCFC19">
      <w:pPr>
        <w:pStyle w:val="47"/>
        <w:numPr>
          <w:ilvl w:val="0"/>
          <w:numId w:val="38"/>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本项目的施工必须遵守任何适用的国家及地方的规范、标准和要求。发包人有权自行或聘请独立的第三方对总承包商实施的工程进行监督、检查。任何被发包人或其代表或政府主管部门提出的不符合要求的工程，均应遵守规定进行返工、重作或更换，因此发生的所有损失由总承包商自行承担。如果总承包商未能遵守相关指令完成改正的，发包人有权另行聘请第三方代为实施相关的工作，因此发生的所有费用和支出（不以总承包商的报价为限），发包人有权从任一期应付总承包商款项中扣除。</w:t>
      </w:r>
    </w:p>
    <w:p w14:paraId="041FF4BF">
      <w:pPr>
        <w:pStyle w:val="47"/>
        <w:numPr>
          <w:ilvl w:val="0"/>
          <w:numId w:val="38"/>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发包人对工程施工的具体要求，详见合同相关条款及附件要求。发包人有权根据项目建设进展情况、当地政府的要求、过程中新出现的政策和法规，对相关要求予以调整和增补，总承包商应予实施，涉及的调整合同价款按合同约定处理。</w:t>
      </w:r>
    </w:p>
    <w:p w14:paraId="58FCF690">
      <w:pPr>
        <w:pStyle w:val="47"/>
        <w:numPr>
          <w:ilvl w:val="0"/>
          <w:numId w:val="38"/>
        </w:numPr>
        <w:spacing w:line="365" w:lineRule="auto"/>
        <w:ind w:firstLineChars="0"/>
        <w:rPr>
          <w:rFonts w:hint="eastAsia" w:ascii="宋体" w:hAnsi="宋体"/>
          <w:color w:val="auto"/>
          <w:szCs w:val="21"/>
          <w:highlight w:val="none"/>
        </w:rPr>
      </w:pPr>
      <w:r>
        <w:rPr>
          <w:rFonts w:hint="eastAsia"/>
          <w:color w:val="auto"/>
          <w:highlight w:val="none"/>
        </w:rPr>
        <w:t>项目未移交前</w:t>
      </w:r>
      <w:r>
        <w:rPr>
          <w:color w:val="auto"/>
          <w:highlight w:val="none"/>
        </w:rPr>
        <w:t>承包商必须在日、夜班进行操作和维护系统，直到系统经过业主方验收。如果在合同规定的验收日期之前整个系统或者系统的某部分没有安装完成。承包商负责提供设备和人员以及所需</w:t>
      </w:r>
      <w:r>
        <w:rPr>
          <w:rFonts w:hint="eastAsia"/>
          <w:color w:val="auto"/>
          <w:highlight w:val="none"/>
        </w:rPr>
        <w:t>的</w:t>
      </w:r>
      <w:r>
        <w:rPr>
          <w:color w:val="auto"/>
          <w:highlight w:val="none"/>
        </w:rPr>
        <w:t>耗材（如</w:t>
      </w:r>
      <w:r>
        <w:rPr>
          <w:rFonts w:hint="eastAsia"/>
          <w:color w:val="auto"/>
          <w:highlight w:val="none"/>
        </w:rPr>
        <w:t>药剂、</w:t>
      </w:r>
      <w:r>
        <w:rPr>
          <w:color w:val="auto"/>
          <w:highlight w:val="none"/>
        </w:rPr>
        <w:t>滤芯等）来运行整个系统，支持生产厂房试运行，直到整个系统完成并经过业主验收</w:t>
      </w:r>
      <w:r>
        <w:rPr>
          <w:rFonts w:hint="eastAsia"/>
          <w:color w:val="auto"/>
          <w:highlight w:val="none"/>
        </w:rPr>
        <w:t>。</w:t>
      </w:r>
    </w:p>
    <w:p w14:paraId="7B8BCE79">
      <w:pPr>
        <w:pStyle w:val="47"/>
        <w:numPr>
          <w:ilvl w:val="0"/>
          <w:numId w:val="38"/>
        </w:numPr>
        <w:spacing w:line="365" w:lineRule="auto"/>
        <w:ind w:firstLineChars="0"/>
        <w:rPr>
          <w:rFonts w:hint="eastAsia" w:ascii="宋体" w:hAnsi="宋体"/>
          <w:color w:val="auto"/>
          <w:szCs w:val="21"/>
          <w:highlight w:val="none"/>
        </w:rPr>
      </w:pPr>
      <w:r>
        <w:rPr>
          <w:rFonts w:hint="eastAsia" w:ascii="宋体" w:hAnsi="宋体"/>
          <w:color w:val="auto"/>
          <w:szCs w:val="21"/>
          <w:highlight w:val="none"/>
        </w:rPr>
        <w:t>本项目</w:t>
      </w:r>
      <w:r>
        <w:rPr>
          <w:rFonts w:hint="eastAsia"/>
          <w:color w:val="auto"/>
          <w:highlight w:val="none"/>
        </w:rPr>
        <w:t>需提供气体</w:t>
      </w:r>
      <w:r>
        <w:rPr>
          <w:color w:val="auto"/>
          <w:highlight w:val="none"/>
        </w:rPr>
        <w:t>管道焊接记录、管道</w:t>
      </w:r>
      <w:r>
        <w:rPr>
          <w:rFonts w:hint="eastAsia"/>
          <w:color w:val="auto"/>
          <w:highlight w:val="none"/>
        </w:rPr>
        <w:t>各项</w:t>
      </w:r>
      <w:r>
        <w:rPr>
          <w:color w:val="auto"/>
          <w:highlight w:val="none"/>
        </w:rPr>
        <w:t>测试报告</w:t>
      </w:r>
      <w:r>
        <w:rPr>
          <w:rFonts w:hint="eastAsia"/>
          <w:color w:val="auto"/>
          <w:highlight w:val="none"/>
        </w:rPr>
        <w:t>以及特检院出具压力管道（容器）检验合格证明</w:t>
      </w:r>
      <w:r>
        <w:rPr>
          <w:color w:val="auto"/>
          <w:highlight w:val="none"/>
        </w:rPr>
        <w:t>。 </w:t>
      </w:r>
    </w:p>
    <w:p w14:paraId="3D7CE1D5">
      <w:pPr>
        <w:pStyle w:val="47"/>
        <w:spacing w:line="365" w:lineRule="auto"/>
        <w:ind w:firstLineChars="0"/>
        <w:rPr>
          <w:rFonts w:hint="eastAsia" w:ascii="宋体" w:hAnsi="宋体"/>
          <w:color w:val="auto"/>
          <w:szCs w:val="21"/>
          <w:highlight w:val="none"/>
        </w:rPr>
      </w:pPr>
    </w:p>
    <w:p w14:paraId="7AF0752D">
      <w:pPr>
        <w:pStyle w:val="47"/>
        <w:snapToGrid w:val="0"/>
        <w:spacing w:line="360" w:lineRule="auto"/>
        <w:ind w:left="567" w:firstLine="0" w:firstLineChars="0"/>
        <w:contextualSpacing/>
        <w:jc w:val="center"/>
        <w:rPr>
          <w:rFonts w:eastAsia="黑体"/>
          <w:b/>
          <w:color w:val="auto"/>
          <w:sz w:val="28"/>
          <w:szCs w:val="28"/>
          <w:highlight w:val="none"/>
        </w:rPr>
      </w:pPr>
      <w:r>
        <w:rPr>
          <w:rFonts w:hint="eastAsia" w:eastAsia="黑体"/>
          <w:b/>
          <w:color w:val="auto"/>
          <w:sz w:val="28"/>
          <w:szCs w:val="28"/>
          <w:highlight w:val="none"/>
        </w:rPr>
        <w:t>七、 培训工作范围</w:t>
      </w:r>
    </w:p>
    <w:p w14:paraId="75CC4684">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7.1  总则</w:t>
      </w:r>
    </w:p>
    <w:p w14:paraId="38BA29DE">
      <w:pPr>
        <w:snapToGrid w:val="0"/>
        <w:spacing w:line="360" w:lineRule="auto"/>
        <w:rPr>
          <w:rFonts w:hint="eastAsia" w:ascii="宋体" w:hAnsi="宋体"/>
          <w:color w:val="auto"/>
          <w:szCs w:val="21"/>
          <w:highlight w:val="none"/>
        </w:rPr>
      </w:pPr>
      <w:r>
        <w:rPr>
          <w:color w:val="auto"/>
          <w:szCs w:val="21"/>
          <w:highlight w:val="none"/>
        </w:rPr>
        <w:t>7.1.1</w:t>
      </w:r>
      <w:r>
        <w:rPr>
          <w:rFonts w:hint="eastAsia" w:ascii="宋体" w:hAnsi="宋体"/>
          <w:color w:val="auto"/>
          <w:szCs w:val="21"/>
          <w:highlight w:val="none"/>
        </w:rPr>
        <w:t xml:space="preserve">  乙方应按照本合同约定，免费为甲方提供机电系统及设备的操作、维护、故障处理专项培训，确保甲方相关人员独立完成系统日常运行、维护保养及常见故障处置工作。</w:t>
      </w:r>
    </w:p>
    <w:p w14:paraId="58E5037C">
      <w:pPr>
        <w:snapToGrid w:val="0"/>
        <w:spacing w:line="360" w:lineRule="auto"/>
        <w:rPr>
          <w:rFonts w:hint="eastAsia" w:ascii="宋体" w:hAnsi="宋体"/>
          <w:color w:val="auto"/>
          <w:szCs w:val="21"/>
          <w:highlight w:val="none"/>
        </w:rPr>
      </w:pPr>
      <w:r>
        <w:rPr>
          <w:color w:val="auto"/>
          <w:szCs w:val="21"/>
          <w:highlight w:val="none"/>
        </w:rPr>
        <w:t>7.1.2</w:t>
      </w:r>
      <w:r>
        <w:rPr>
          <w:rFonts w:hint="eastAsia" w:ascii="宋体" w:hAnsi="宋体"/>
          <w:color w:val="auto"/>
          <w:szCs w:val="21"/>
          <w:highlight w:val="none"/>
        </w:rPr>
        <w:t xml:space="preserve">  培训工作需与机电工程安装、调试、试运行进度同步开展，不得影响工程整体竣工验收节点，培训方案需经甲方书面审核确认后方可实施。</w:t>
      </w:r>
    </w:p>
    <w:p w14:paraId="64C3A414">
      <w:pPr>
        <w:snapToGrid w:val="0"/>
        <w:spacing w:line="360" w:lineRule="auto"/>
        <w:rPr>
          <w:rFonts w:hint="eastAsia" w:ascii="宋体" w:hAnsi="宋体"/>
          <w:color w:val="auto"/>
          <w:szCs w:val="21"/>
          <w:highlight w:val="none"/>
        </w:rPr>
      </w:pPr>
    </w:p>
    <w:p w14:paraId="407A9305">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7.2  培训对象</w:t>
      </w:r>
    </w:p>
    <w:p w14:paraId="3966F50B">
      <w:pPr>
        <w:snapToGrid w:val="0"/>
        <w:spacing w:line="360" w:lineRule="auto"/>
        <w:rPr>
          <w:rFonts w:hint="eastAsia" w:ascii="宋体" w:hAnsi="宋体"/>
          <w:color w:val="auto"/>
          <w:szCs w:val="21"/>
          <w:highlight w:val="none"/>
        </w:rPr>
      </w:pPr>
      <w:r>
        <w:rPr>
          <w:color w:val="auto"/>
          <w:szCs w:val="21"/>
          <w:highlight w:val="none"/>
        </w:rPr>
        <w:t xml:space="preserve">7.2.1 </w:t>
      </w:r>
      <w:r>
        <w:rPr>
          <w:rFonts w:hint="eastAsia" w:ascii="宋体" w:hAnsi="宋体"/>
          <w:color w:val="auto"/>
          <w:szCs w:val="21"/>
          <w:highlight w:val="none"/>
        </w:rPr>
        <w:t xml:space="preserve"> 操作岗人员：甲方指定的设备操作人员，需掌握设备启停、参数监控、日常巡检流程。</w:t>
      </w:r>
    </w:p>
    <w:p w14:paraId="3DD372C0">
      <w:pPr>
        <w:snapToGrid w:val="0"/>
        <w:spacing w:line="360" w:lineRule="auto"/>
        <w:rPr>
          <w:rFonts w:hint="eastAsia" w:ascii="宋体" w:hAnsi="宋体"/>
          <w:color w:val="auto"/>
          <w:szCs w:val="21"/>
          <w:highlight w:val="none"/>
        </w:rPr>
      </w:pPr>
      <w:r>
        <w:rPr>
          <w:rFonts w:hint="eastAsia"/>
          <w:color w:val="auto"/>
          <w:szCs w:val="21"/>
          <w:highlight w:val="none"/>
        </w:rPr>
        <w:t xml:space="preserve">7.2.2 </w:t>
      </w:r>
      <w:r>
        <w:rPr>
          <w:rFonts w:hint="eastAsia" w:ascii="宋体" w:hAnsi="宋体"/>
          <w:color w:val="auto"/>
          <w:szCs w:val="21"/>
          <w:highlight w:val="none"/>
        </w:rPr>
        <w:t xml:space="preserve"> 维护岗人员：甲方指定的运维技术人员，需掌握设备拆解、部件更换、精度校准、系统调试技能。</w:t>
      </w:r>
    </w:p>
    <w:p w14:paraId="73E5FBB9">
      <w:pPr>
        <w:snapToGrid w:val="0"/>
        <w:spacing w:line="360" w:lineRule="auto"/>
        <w:rPr>
          <w:rFonts w:hint="eastAsia" w:ascii="宋体" w:hAnsi="宋体"/>
          <w:color w:val="auto"/>
          <w:szCs w:val="21"/>
          <w:highlight w:val="none"/>
        </w:rPr>
      </w:pPr>
      <w:r>
        <w:rPr>
          <w:rFonts w:hint="eastAsia"/>
          <w:color w:val="auto"/>
          <w:szCs w:val="21"/>
          <w:highlight w:val="none"/>
        </w:rPr>
        <w:t>7.2.3</w:t>
      </w:r>
      <w:r>
        <w:rPr>
          <w:rFonts w:hint="eastAsia" w:ascii="宋体" w:hAnsi="宋体"/>
          <w:color w:val="auto"/>
          <w:szCs w:val="21"/>
          <w:highlight w:val="none"/>
        </w:rPr>
        <w:t xml:space="preserve">  管理岗人员：甲方指定的工程/运维管理人员，需掌握系统整体架构、技术标准、安全规范及应急处置流程。</w:t>
      </w:r>
    </w:p>
    <w:p w14:paraId="58F6EF74">
      <w:pPr>
        <w:snapToGrid w:val="0"/>
        <w:spacing w:line="360" w:lineRule="auto"/>
        <w:rPr>
          <w:rFonts w:hint="eastAsia" w:ascii="宋体" w:hAnsi="宋体"/>
          <w:color w:val="auto"/>
          <w:szCs w:val="21"/>
          <w:highlight w:val="none"/>
        </w:rPr>
      </w:pPr>
      <w:r>
        <w:rPr>
          <w:rFonts w:hint="eastAsia"/>
          <w:color w:val="auto"/>
          <w:szCs w:val="21"/>
          <w:highlight w:val="none"/>
        </w:rPr>
        <w:t xml:space="preserve">7.2.4 </w:t>
      </w:r>
      <w:r>
        <w:rPr>
          <w:rFonts w:hint="eastAsia" w:ascii="宋体" w:hAnsi="宋体"/>
          <w:color w:val="auto"/>
          <w:szCs w:val="21"/>
          <w:highlight w:val="none"/>
        </w:rPr>
        <w:t xml:space="preserve"> 甲方可根据实际需求调整参训人员，乙方应无条件配合。</w:t>
      </w:r>
    </w:p>
    <w:p w14:paraId="144D09BD">
      <w:pPr>
        <w:snapToGrid w:val="0"/>
        <w:spacing w:line="360" w:lineRule="auto"/>
        <w:rPr>
          <w:rFonts w:hint="eastAsia" w:ascii="宋体" w:hAnsi="宋体"/>
          <w:color w:val="auto"/>
          <w:szCs w:val="21"/>
          <w:highlight w:val="none"/>
        </w:rPr>
      </w:pPr>
    </w:p>
    <w:p w14:paraId="6A7B4DE8">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7.3  培训内容及深度要求</w:t>
      </w:r>
    </w:p>
    <w:p w14:paraId="1768AA9B">
      <w:pPr>
        <w:snapToGrid w:val="0"/>
        <w:spacing w:line="360" w:lineRule="auto"/>
        <w:rPr>
          <w:rFonts w:hint="eastAsia" w:ascii="宋体" w:hAnsi="宋体"/>
          <w:color w:val="auto"/>
          <w:szCs w:val="21"/>
          <w:highlight w:val="none"/>
        </w:rPr>
      </w:pPr>
      <w:r>
        <w:rPr>
          <w:rFonts w:hint="eastAsia"/>
          <w:color w:val="auto"/>
          <w:szCs w:val="21"/>
          <w:highlight w:val="none"/>
        </w:rPr>
        <w:t xml:space="preserve">7.3.1 </w:t>
      </w:r>
      <w:r>
        <w:rPr>
          <w:rFonts w:hint="eastAsia" w:ascii="宋体" w:hAnsi="宋体"/>
          <w:color w:val="auto"/>
          <w:szCs w:val="21"/>
          <w:highlight w:val="none"/>
        </w:rPr>
        <w:t xml:space="preserve"> 理论知识培训</w:t>
      </w:r>
    </w:p>
    <w:p w14:paraId="2565B050">
      <w:pPr>
        <w:pStyle w:val="47"/>
        <w:numPr>
          <w:ilvl w:val="0"/>
          <w:numId w:val="39"/>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机电系统整体设计方案、技术参数、工艺流程及与其他系统的联动逻辑。</w:t>
      </w:r>
    </w:p>
    <w:p w14:paraId="4929A2C9">
      <w:pPr>
        <w:pStyle w:val="47"/>
        <w:numPr>
          <w:ilvl w:val="0"/>
          <w:numId w:val="39"/>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核心设备（如[列举泵组、配电柜、空调机组等关键设备]）的工作原理、技术规范、安全运行限值。</w:t>
      </w:r>
    </w:p>
    <w:p w14:paraId="5D56DBEC">
      <w:pPr>
        <w:pStyle w:val="47"/>
        <w:numPr>
          <w:ilvl w:val="0"/>
          <w:numId w:val="39"/>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相关法律法规、行业标准（如《建筑电气工程施工质量验收规范》GB 50303、《通风与空调工程施工质量验收规范》GB 50243等）及甲方内部管理规定。</w:t>
      </w:r>
    </w:p>
    <w:p w14:paraId="683FE3F1">
      <w:pPr>
        <w:pStyle w:val="47"/>
        <w:numPr>
          <w:ilvl w:val="0"/>
          <w:numId w:val="39"/>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系统常见故障类型、成因分析及预防措施。</w:t>
      </w:r>
    </w:p>
    <w:p w14:paraId="76189460">
      <w:pPr>
        <w:snapToGrid w:val="0"/>
        <w:spacing w:line="360" w:lineRule="auto"/>
        <w:rPr>
          <w:rFonts w:hint="eastAsia" w:ascii="宋体" w:hAnsi="宋体"/>
          <w:color w:val="auto"/>
          <w:szCs w:val="21"/>
          <w:highlight w:val="none"/>
        </w:rPr>
      </w:pPr>
    </w:p>
    <w:p w14:paraId="2801226F">
      <w:pPr>
        <w:snapToGrid w:val="0"/>
        <w:spacing w:line="360" w:lineRule="auto"/>
        <w:rPr>
          <w:rFonts w:hint="eastAsia" w:ascii="宋体" w:hAnsi="宋体"/>
          <w:color w:val="auto"/>
          <w:szCs w:val="21"/>
          <w:highlight w:val="none"/>
        </w:rPr>
      </w:pPr>
      <w:r>
        <w:rPr>
          <w:color w:val="auto"/>
          <w:szCs w:val="21"/>
          <w:highlight w:val="none"/>
        </w:rPr>
        <w:t xml:space="preserve">7.3.2 </w:t>
      </w:r>
      <w:r>
        <w:rPr>
          <w:rFonts w:hint="eastAsia" w:ascii="宋体" w:hAnsi="宋体"/>
          <w:color w:val="auto"/>
          <w:szCs w:val="21"/>
          <w:highlight w:val="none"/>
        </w:rPr>
        <w:t xml:space="preserve"> 实操技能培训</w:t>
      </w:r>
    </w:p>
    <w:p w14:paraId="4E92C408">
      <w:pPr>
        <w:pStyle w:val="47"/>
        <w:numPr>
          <w:ilvl w:val="0"/>
          <w:numId w:val="40"/>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设备及系统的启停操作、运行参数设定与调整、日常巡检内容及记录填写规范。</w:t>
      </w:r>
    </w:p>
    <w:p w14:paraId="6F773A39">
      <w:pPr>
        <w:pStyle w:val="47"/>
        <w:numPr>
          <w:ilvl w:val="0"/>
          <w:numId w:val="40"/>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设备维护保养流程，包括清洁、润滑、紧固、校准及易损件更换方法。</w:t>
      </w:r>
    </w:p>
    <w:p w14:paraId="4C019C4F">
      <w:pPr>
        <w:pStyle w:val="47"/>
        <w:numPr>
          <w:ilvl w:val="0"/>
          <w:numId w:val="40"/>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常见故障（如[列举电机过载、管路泄漏、控制系统死机等典型故障]）的排查、诊断及处置实操。</w:t>
      </w:r>
    </w:p>
    <w:p w14:paraId="74D6696C">
      <w:pPr>
        <w:pStyle w:val="47"/>
        <w:numPr>
          <w:ilvl w:val="0"/>
          <w:numId w:val="40"/>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应急处置演练，包括设备突发停机、火灾、泄漏等紧急情况的应急操作流程。</w:t>
      </w:r>
    </w:p>
    <w:p w14:paraId="6097558F">
      <w:pPr>
        <w:snapToGrid w:val="0"/>
        <w:spacing w:line="360" w:lineRule="auto"/>
        <w:rPr>
          <w:rFonts w:hint="eastAsia" w:ascii="宋体" w:hAnsi="宋体"/>
          <w:color w:val="auto"/>
          <w:szCs w:val="21"/>
          <w:highlight w:val="none"/>
        </w:rPr>
      </w:pPr>
    </w:p>
    <w:p w14:paraId="28BA3C92">
      <w:pPr>
        <w:snapToGrid w:val="0"/>
        <w:spacing w:line="360" w:lineRule="auto"/>
        <w:rPr>
          <w:rFonts w:hint="eastAsia" w:ascii="宋体" w:hAnsi="宋体"/>
          <w:color w:val="auto"/>
          <w:szCs w:val="21"/>
          <w:highlight w:val="none"/>
        </w:rPr>
      </w:pPr>
      <w:r>
        <w:rPr>
          <w:rFonts w:hint="eastAsia"/>
          <w:color w:val="auto"/>
          <w:szCs w:val="21"/>
          <w:highlight w:val="none"/>
        </w:rPr>
        <w:t xml:space="preserve">7.3.3 </w:t>
      </w:r>
      <w:r>
        <w:rPr>
          <w:rFonts w:hint="eastAsia" w:ascii="宋体" w:hAnsi="宋体"/>
          <w:color w:val="auto"/>
          <w:szCs w:val="21"/>
          <w:highlight w:val="none"/>
        </w:rPr>
        <w:t xml:space="preserve"> 技术文件使用培训</w:t>
      </w:r>
    </w:p>
    <w:p w14:paraId="0BB27CEB">
      <w:pPr>
        <w:pStyle w:val="47"/>
        <w:numPr>
          <w:ilvl w:val="0"/>
          <w:numId w:val="41"/>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设计图纸、设备说明书、维护手册、故障代码手册等技术文件的查阅方法。</w:t>
      </w:r>
    </w:p>
    <w:p w14:paraId="596EE89C">
      <w:pPr>
        <w:pStyle w:val="47"/>
        <w:numPr>
          <w:ilvl w:val="0"/>
          <w:numId w:val="41"/>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运行日志、维护记录、故障报告等文件的编制及归档要求。</w:t>
      </w:r>
    </w:p>
    <w:p w14:paraId="0EDE8D14">
      <w:pPr>
        <w:snapToGrid w:val="0"/>
        <w:spacing w:line="360" w:lineRule="auto"/>
        <w:rPr>
          <w:rFonts w:hint="eastAsia" w:ascii="宋体" w:hAnsi="宋体"/>
          <w:color w:val="auto"/>
          <w:szCs w:val="21"/>
          <w:highlight w:val="none"/>
        </w:rPr>
      </w:pPr>
    </w:p>
    <w:p w14:paraId="0AD6FB08">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7.4  培训方式及时间安排</w:t>
      </w:r>
    </w:p>
    <w:p w14:paraId="74690F4F">
      <w:pPr>
        <w:snapToGrid w:val="0"/>
        <w:spacing w:line="360" w:lineRule="auto"/>
        <w:rPr>
          <w:rFonts w:hint="eastAsia" w:ascii="宋体" w:hAnsi="宋体"/>
          <w:color w:val="auto"/>
          <w:szCs w:val="21"/>
          <w:highlight w:val="none"/>
        </w:rPr>
      </w:pPr>
      <w:r>
        <w:rPr>
          <w:rFonts w:hint="eastAsia"/>
          <w:color w:val="auto"/>
          <w:szCs w:val="21"/>
          <w:highlight w:val="none"/>
        </w:rPr>
        <w:t xml:space="preserve">7.4.1 </w:t>
      </w:r>
      <w:r>
        <w:rPr>
          <w:rFonts w:hint="eastAsia" w:ascii="宋体" w:hAnsi="宋体"/>
          <w:color w:val="auto"/>
          <w:szCs w:val="21"/>
          <w:highlight w:val="none"/>
        </w:rPr>
        <w:t xml:space="preserve"> 培训方式：采用理论授课+现场实操+案例分析相结合的方式，其中现场实操时长占比不低于总培训时长的60%。</w:t>
      </w:r>
    </w:p>
    <w:p w14:paraId="7D7D4CBF">
      <w:pPr>
        <w:snapToGrid w:val="0"/>
        <w:spacing w:line="360" w:lineRule="auto"/>
        <w:rPr>
          <w:rFonts w:hint="eastAsia" w:ascii="宋体" w:hAnsi="宋体"/>
          <w:color w:val="auto"/>
          <w:szCs w:val="21"/>
          <w:highlight w:val="none"/>
        </w:rPr>
      </w:pPr>
      <w:r>
        <w:rPr>
          <w:rFonts w:hint="eastAsia"/>
          <w:color w:val="auto"/>
          <w:szCs w:val="21"/>
          <w:highlight w:val="none"/>
        </w:rPr>
        <w:t xml:space="preserve">7.4.2 </w:t>
      </w:r>
      <w:r>
        <w:rPr>
          <w:rFonts w:hint="eastAsia" w:ascii="宋体" w:hAnsi="宋体"/>
          <w:color w:val="auto"/>
          <w:szCs w:val="21"/>
          <w:highlight w:val="none"/>
        </w:rPr>
        <w:t xml:space="preserve"> 时间安排</w:t>
      </w:r>
    </w:p>
    <w:p w14:paraId="4AF62FC0">
      <w:pPr>
        <w:pStyle w:val="47"/>
        <w:numPr>
          <w:ilvl w:val="0"/>
          <w:numId w:val="42"/>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第一阶段（安装调试前）：开展理论知识培训，完成系统架构、设备原理及安全规范的讲解。</w:t>
      </w:r>
    </w:p>
    <w:p w14:paraId="6192B609">
      <w:pPr>
        <w:pStyle w:val="47"/>
        <w:numPr>
          <w:ilvl w:val="0"/>
          <w:numId w:val="42"/>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第二阶段（试运行期间）：开展现场实操培训，结合系统试运行开展操作、维护及故障处置实操演练。</w:t>
      </w:r>
    </w:p>
    <w:p w14:paraId="545E5694">
      <w:pPr>
        <w:pStyle w:val="47"/>
        <w:numPr>
          <w:ilvl w:val="0"/>
          <w:numId w:val="42"/>
        </w:numPr>
        <w:snapToGrid w:val="0"/>
        <w:spacing w:line="360" w:lineRule="auto"/>
        <w:ind w:firstLineChars="0"/>
        <w:rPr>
          <w:rFonts w:hint="eastAsia" w:ascii="宋体" w:hAnsi="宋体"/>
          <w:color w:val="auto"/>
          <w:szCs w:val="21"/>
          <w:highlight w:val="none"/>
        </w:rPr>
      </w:pPr>
      <w:r>
        <w:rPr>
          <w:rFonts w:hint="eastAsia" w:ascii="宋体" w:hAnsi="宋体"/>
          <w:color w:val="auto"/>
          <w:szCs w:val="21"/>
          <w:highlight w:val="none"/>
        </w:rPr>
        <w:t>第三阶段（竣工验收后）：开展强化培训及答疑，针对试运行期间出现的问题进行专项讲解。</w:t>
      </w:r>
    </w:p>
    <w:p w14:paraId="422C4767">
      <w:pPr>
        <w:snapToGrid w:val="0"/>
        <w:spacing w:line="360" w:lineRule="auto"/>
        <w:rPr>
          <w:rFonts w:hint="eastAsia" w:ascii="宋体" w:hAnsi="宋体"/>
          <w:color w:val="auto"/>
          <w:szCs w:val="21"/>
          <w:highlight w:val="none"/>
        </w:rPr>
      </w:pPr>
      <w:r>
        <w:rPr>
          <w:rFonts w:hint="eastAsia"/>
          <w:color w:val="auto"/>
          <w:szCs w:val="21"/>
          <w:highlight w:val="none"/>
        </w:rPr>
        <w:t xml:space="preserve">7.4.3 </w:t>
      </w:r>
      <w:r>
        <w:rPr>
          <w:rFonts w:hint="eastAsia" w:ascii="宋体" w:hAnsi="宋体"/>
          <w:color w:val="auto"/>
          <w:szCs w:val="21"/>
          <w:highlight w:val="none"/>
        </w:rPr>
        <w:t xml:space="preserve"> 培训地点：优先在项目施工现场或甲方指定的运维场地开展。</w:t>
      </w:r>
    </w:p>
    <w:p w14:paraId="37BC19E1">
      <w:pPr>
        <w:snapToGrid w:val="0"/>
        <w:spacing w:line="360" w:lineRule="auto"/>
        <w:rPr>
          <w:rFonts w:hint="eastAsia" w:ascii="宋体" w:hAnsi="宋体"/>
          <w:color w:val="auto"/>
          <w:szCs w:val="21"/>
          <w:highlight w:val="none"/>
        </w:rPr>
      </w:pPr>
    </w:p>
    <w:p w14:paraId="46398FF3">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7.5  培训资料及师资要求</w:t>
      </w:r>
    </w:p>
    <w:p w14:paraId="2954347F">
      <w:pPr>
        <w:snapToGrid w:val="0"/>
        <w:spacing w:line="360" w:lineRule="auto"/>
        <w:rPr>
          <w:rFonts w:hint="eastAsia" w:ascii="宋体" w:hAnsi="宋体"/>
          <w:color w:val="auto"/>
          <w:szCs w:val="21"/>
          <w:highlight w:val="none"/>
        </w:rPr>
      </w:pPr>
      <w:r>
        <w:rPr>
          <w:rFonts w:hint="eastAsia"/>
          <w:color w:val="auto"/>
          <w:szCs w:val="21"/>
          <w:highlight w:val="none"/>
        </w:rPr>
        <w:t xml:space="preserve">7.5.1 </w:t>
      </w:r>
      <w:r>
        <w:rPr>
          <w:rFonts w:hint="eastAsia" w:ascii="宋体" w:hAnsi="宋体"/>
          <w:color w:val="auto"/>
          <w:szCs w:val="21"/>
          <w:highlight w:val="none"/>
        </w:rPr>
        <w:t xml:space="preserve"> 乙方应在培训前7个工作日，向甲方提供纸质版及电子版培训资料，包括培训教材、PPT课件、设备操作手册、故障诊断流程图、考核题库等，资料需采用中文编写，内容准确、易懂。</w:t>
      </w:r>
    </w:p>
    <w:p w14:paraId="1E6EB019">
      <w:pPr>
        <w:snapToGrid w:val="0"/>
        <w:spacing w:line="360" w:lineRule="auto"/>
        <w:rPr>
          <w:rFonts w:hint="eastAsia" w:ascii="宋体" w:hAnsi="宋体"/>
          <w:color w:val="auto"/>
          <w:szCs w:val="21"/>
          <w:highlight w:val="none"/>
        </w:rPr>
      </w:pPr>
      <w:r>
        <w:rPr>
          <w:rFonts w:hint="eastAsia"/>
          <w:color w:val="auto"/>
          <w:szCs w:val="21"/>
          <w:highlight w:val="none"/>
        </w:rPr>
        <w:t xml:space="preserve">7.5.2 </w:t>
      </w:r>
      <w:r>
        <w:rPr>
          <w:rFonts w:hint="eastAsia" w:ascii="宋体" w:hAnsi="宋体"/>
          <w:color w:val="auto"/>
          <w:szCs w:val="21"/>
          <w:highlight w:val="none"/>
        </w:rPr>
        <w:t xml:space="preserve"> 乙方培训讲师需具备10年以上机电系统设计/运维经验，持有相关专业资格证书（如注册电气工程师、特种设备操作证等），并经甲方审核确认。</w:t>
      </w:r>
    </w:p>
    <w:p w14:paraId="17667F42">
      <w:pPr>
        <w:snapToGrid w:val="0"/>
        <w:spacing w:line="360" w:lineRule="auto"/>
        <w:rPr>
          <w:rFonts w:hint="eastAsia" w:ascii="宋体" w:hAnsi="宋体"/>
          <w:color w:val="auto"/>
          <w:szCs w:val="21"/>
          <w:highlight w:val="none"/>
        </w:rPr>
      </w:pPr>
    </w:p>
    <w:p w14:paraId="522CC817">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7.6  后续技术支持</w:t>
      </w:r>
    </w:p>
    <w:p w14:paraId="1B04EE47">
      <w:pPr>
        <w:snapToGrid w:val="0"/>
        <w:spacing w:line="360" w:lineRule="auto"/>
        <w:rPr>
          <w:rFonts w:hint="eastAsia" w:ascii="宋体" w:hAnsi="宋体"/>
          <w:color w:val="auto"/>
          <w:szCs w:val="21"/>
          <w:highlight w:val="none"/>
        </w:rPr>
      </w:pPr>
      <w:r>
        <w:rPr>
          <w:rFonts w:hint="eastAsia"/>
          <w:color w:val="auto"/>
          <w:szCs w:val="21"/>
          <w:highlight w:val="none"/>
        </w:rPr>
        <w:t xml:space="preserve">7.6.1 </w:t>
      </w:r>
      <w:r>
        <w:rPr>
          <w:rFonts w:hint="eastAsia" w:ascii="宋体" w:hAnsi="宋体"/>
          <w:color w:val="auto"/>
          <w:szCs w:val="21"/>
          <w:highlight w:val="none"/>
        </w:rPr>
        <w:t xml:space="preserve"> 培训验收合格后2年内，乙方应为甲方提供免费技术咨询支持，解答甲方人员在设备运行、维护中遇到的问题。</w:t>
      </w:r>
    </w:p>
    <w:p w14:paraId="2735DE0E">
      <w:pPr>
        <w:snapToGrid w:val="0"/>
        <w:spacing w:line="360" w:lineRule="auto"/>
        <w:rPr>
          <w:rFonts w:hint="eastAsia" w:ascii="宋体" w:hAnsi="宋体"/>
          <w:color w:val="auto"/>
          <w:szCs w:val="21"/>
          <w:highlight w:val="none"/>
        </w:rPr>
      </w:pPr>
    </w:p>
    <w:p w14:paraId="589484C5">
      <w:pPr>
        <w:pStyle w:val="47"/>
        <w:snapToGrid w:val="0"/>
        <w:spacing w:line="360" w:lineRule="auto"/>
        <w:ind w:left="420" w:firstLine="281" w:firstLineChars="100"/>
        <w:contextualSpacing/>
        <w:jc w:val="center"/>
        <w:rPr>
          <w:rFonts w:ascii="Times New Roman" w:hAnsi="Times New Roman" w:eastAsia="黑体"/>
          <w:b/>
          <w:color w:val="auto"/>
          <w:sz w:val="28"/>
          <w:szCs w:val="28"/>
          <w:highlight w:val="none"/>
        </w:rPr>
      </w:pPr>
      <w:r>
        <w:rPr>
          <w:rFonts w:hint="eastAsia" w:ascii="Times New Roman" w:hAnsi="Times New Roman" w:eastAsia="黑体"/>
          <w:b/>
          <w:color w:val="auto"/>
          <w:sz w:val="28"/>
          <w:szCs w:val="28"/>
          <w:highlight w:val="none"/>
        </w:rPr>
        <w:t>八、 项目验收</w:t>
      </w:r>
    </w:p>
    <w:p w14:paraId="54B6508F">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8.1  总则</w:t>
      </w:r>
    </w:p>
    <w:p w14:paraId="713D535D">
      <w:pPr>
        <w:snapToGrid w:val="0"/>
        <w:spacing w:line="360" w:lineRule="auto"/>
        <w:rPr>
          <w:color w:val="auto"/>
          <w:szCs w:val="21"/>
          <w:highlight w:val="none"/>
        </w:rPr>
      </w:pPr>
      <w:r>
        <w:rPr>
          <w:rFonts w:hint="eastAsia"/>
          <w:color w:val="auto"/>
          <w:szCs w:val="21"/>
          <w:highlight w:val="none"/>
        </w:rPr>
        <w:t>8.1.1  洁净室装修应符合国家法律法规相应要求，同时需结合配套规范（如建筑装修等），还需满足对应的洁净度专项验收。</w:t>
      </w:r>
    </w:p>
    <w:p w14:paraId="58B419AF">
      <w:pPr>
        <w:snapToGrid w:val="0"/>
        <w:spacing w:line="360" w:lineRule="auto"/>
        <w:rPr>
          <w:color w:val="auto"/>
          <w:szCs w:val="21"/>
          <w:highlight w:val="none"/>
        </w:rPr>
      </w:pPr>
      <w:r>
        <w:rPr>
          <w:rFonts w:hint="eastAsia"/>
          <w:color w:val="auto"/>
          <w:szCs w:val="21"/>
          <w:highlight w:val="none"/>
        </w:rPr>
        <w:t>8.1.2  各机电分包验收需遵循相应国标规范，覆盖管道、电气、空调、给排水、弱电、消防及安全等。</w:t>
      </w:r>
    </w:p>
    <w:p w14:paraId="104A3501">
      <w:pPr>
        <w:snapToGrid w:val="0"/>
        <w:spacing w:line="360" w:lineRule="auto"/>
        <w:rPr>
          <w:color w:val="auto"/>
          <w:szCs w:val="21"/>
          <w:highlight w:val="none"/>
        </w:rPr>
      </w:pPr>
      <w:r>
        <w:rPr>
          <w:rFonts w:hint="eastAsia"/>
          <w:color w:val="auto"/>
          <w:szCs w:val="21"/>
          <w:highlight w:val="none"/>
        </w:rPr>
        <w:t>8.1.3  验收合格后，形成竣工验收报告，需发包人、承包人、监理方三方签字盖章，确认工程合格。</w:t>
      </w:r>
    </w:p>
    <w:p w14:paraId="09E02675">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8.2  项目验收</w:t>
      </w:r>
    </w:p>
    <w:p w14:paraId="773007BB">
      <w:pPr>
        <w:snapToGrid w:val="0"/>
        <w:spacing w:line="360" w:lineRule="auto"/>
        <w:ind w:firstLine="480" w:firstLineChars="200"/>
        <w:rPr>
          <w:color w:val="auto"/>
          <w:szCs w:val="21"/>
          <w:highlight w:val="none"/>
        </w:rPr>
      </w:pPr>
      <w:r>
        <w:rPr>
          <w:color w:val="auto"/>
          <w:szCs w:val="21"/>
          <w:highlight w:val="none"/>
        </w:rPr>
        <w:t>监理收到承包人提交的竣工验收申请报告后，应审查申请报告的各项内容，并按以下不同情况进行处理。</w:t>
      </w:r>
    </w:p>
    <w:p w14:paraId="08A577BD">
      <w:pPr>
        <w:snapToGrid w:val="0"/>
        <w:spacing w:line="360" w:lineRule="auto"/>
        <w:rPr>
          <w:color w:val="auto"/>
          <w:szCs w:val="21"/>
          <w:highlight w:val="none"/>
        </w:rPr>
      </w:pPr>
      <w:r>
        <w:rPr>
          <w:rFonts w:hint="eastAsia"/>
          <w:color w:val="auto"/>
          <w:szCs w:val="21"/>
          <w:highlight w:val="none"/>
        </w:rPr>
        <w:t xml:space="preserve">8.2.1  </w:t>
      </w:r>
      <w:r>
        <w:rPr>
          <w:color w:val="auto"/>
          <w:szCs w:val="21"/>
          <w:highlight w:val="none"/>
        </w:rPr>
        <w:t>监理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4EEF493A">
      <w:pPr>
        <w:snapToGrid w:val="0"/>
        <w:spacing w:line="360" w:lineRule="auto"/>
        <w:rPr>
          <w:color w:val="auto"/>
          <w:szCs w:val="21"/>
          <w:highlight w:val="none"/>
        </w:rPr>
      </w:pPr>
      <w:r>
        <w:rPr>
          <w:color w:val="auto"/>
          <w:szCs w:val="21"/>
          <w:highlight w:val="none"/>
        </w:rPr>
        <w:t>8.</w:t>
      </w:r>
      <w:r>
        <w:rPr>
          <w:rFonts w:hint="eastAsia"/>
          <w:color w:val="auto"/>
          <w:szCs w:val="21"/>
          <w:highlight w:val="none"/>
        </w:rPr>
        <w:t>2</w:t>
      </w:r>
      <w:r>
        <w:rPr>
          <w:color w:val="auto"/>
          <w:szCs w:val="21"/>
          <w:highlight w:val="none"/>
        </w:rPr>
        <w:t>.</w:t>
      </w:r>
      <w:r>
        <w:rPr>
          <w:rFonts w:hint="eastAsia"/>
          <w:color w:val="auto"/>
          <w:szCs w:val="21"/>
          <w:highlight w:val="none"/>
        </w:rPr>
        <w:t xml:space="preserve">2 </w:t>
      </w:r>
      <w:r>
        <w:rPr>
          <w:color w:val="auto"/>
          <w:szCs w:val="21"/>
          <w:highlight w:val="none"/>
        </w:rPr>
        <w:t> 监理人同意承包人提交的竣工验收申请报告的，应在收到竣工验收申请报告后的28天内提请发包人进行工程验收。</w:t>
      </w:r>
      <w:r>
        <w:rPr>
          <w:color w:val="auto"/>
          <w:szCs w:val="21"/>
          <w:highlight w:val="none"/>
        </w:rPr>
        <w:br w:type="textWrapping"/>
      </w:r>
      <w:r>
        <w:rPr>
          <w:color w:val="auto"/>
          <w:szCs w:val="21"/>
          <w:highlight w:val="none"/>
        </w:rPr>
        <w:t>8.</w:t>
      </w:r>
      <w:r>
        <w:rPr>
          <w:rFonts w:hint="eastAsia"/>
          <w:color w:val="auto"/>
          <w:szCs w:val="21"/>
          <w:highlight w:val="none"/>
        </w:rPr>
        <w:t>2</w:t>
      </w:r>
      <w:r>
        <w:rPr>
          <w:color w:val="auto"/>
          <w:szCs w:val="21"/>
          <w:highlight w:val="none"/>
        </w:rPr>
        <w:t>.</w:t>
      </w:r>
      <w:r>
        <w:rPr>
          <w:rFonts w:hint="eastAsia"/>
          <w:color w:val="auto"/>
          <w:szCs w:val="21"/>
          <w:highlight w:val="none"/>
        </w:rPr>
        <w:t xml:space="preserve">3 </w:t>
      </w:r>
      <w:r>
        <w:rPr>
          <w:color w:val="auto"/>
          <w:szCs w:val="21"/>
          <w:highlight w:val="none"/>
        </w:rPr>
        <w:t> 发包人经过验收后同意接受工程的，应在监理人收到竣工验收申请报告后的56天内，由监理人向承包人出具经发包人签认的工程接收证书。发包人验收后同意接收工程但提出整修和完善要求的，限期修好，并颁发工程接收证书。整修和完善工作完成后，监理人复查达到要求的，经发包人同意后，再向承包人出具工程接收证书。</w:t>
      </w:r>
      <w:r>
        <w:rPr>
          <w:color w:val="auto"/>
          <w:szCs w:val="21"/>
          <w:highlight w:val="none"/>
        </w:rPr>
        <w:br w:type="textWrapping"/>
      </w:r>
      <w:r>
        <w:rPr>
          <w:color w:val="auto"/>
          <w:szCs w:val="21"/>
          <w:highlight w:val="none"/>
        </w:rPr>
        <w:t>8.</w:t>
      </w:r>
      <w:r>
        <w:rPr>
          <w:rFonts w:hint="eastAsia"/>
          <w:color w:val="auto"/>
          <w:szCs w:val="21"/>
          <w:highlight w:val="none"/>
        </w:rPr>
        <w:t>2</w:t>
      </w:r>
      <w:r>
        <w:rPr>
          <w:color w:val="auto"/>
          <w:szCs w:val="21"/>
          <w:highlight w:val="none"/>
        </w:rPr>
        <w:t>.</w:t>
      </w:r>
      <w:r>
        <w:rPr>
          <w:rFonts w:hint="eastAsia"/>
          <w:color w:val="auto"/>
          <w:szCs w:val="21"/>
          <w:highlight w:val="none"/>
        </w:rPr>
        <w:t xml:space="preserve">4 </w:t>
      </w:r>
      <w:r>
        <w:rPr>
          <w:color w:val="auto"/>
          <w:szCs w:val="21"/>
          <w:highlight w:val="none"/>
        </w:rPr>
        <w:t> 发包人不同意</w:t>
      </w:r>
      <w:r>
        <w:rPr>
          <w:rFonts w:hint="eastAsia"/>
          <w:color w:val="auto"/>
          <w:szCs w:val="21"/>
          <w:highlight w:val="none"/>
        </w:rPr>
        <w:t>验收工程</w:t>
      </w:r>
      <w:r>
        <w:rPr>
          <w:color w:val="auto"/>
          <w:szCs w:val="21"/>
          <w:highlight w:val="none"/>
        </w:rPr>
        <w:t>的</w:t>
      </w:r>
      <w:r>
        <w:rPr>
          <w:rFonts w:hint="eastAsia"/>
          <w:color w:val="auto"/>
          <w:szCs w:val="21"/>
          <w:highlight w:val="none"/>
        </w:rPr>
        <w:t>项目</w:t>
      </w:r>
      <w:r>
        <w:rPr>
          <w:color w:val="auto"/>
          <w:szCs w:val="21"/>
          <w:highlight w:val="none"/>
        </w:rPr>
        <w:t>，监理人应按照发包人的验收意见发出指示，要求承包人对不合格工程认真返工或进行补救处理，并承担由此产生的费用。承包人在完成不合格工程的返工重作或补救工作后，应重新提交竣工验收申请报告，按第8.</w:t>
      </w:r>
      <w:r>
        <w:rPr>
          <w:rFonts w:hint="eastAsia"/>
          <w:color w:val="auto"/>
          <w:szCs w:val="21"/>
          <w:highlight w:val="none"/>
        </w:rPr>
        <w:t>2</w:t>
      </w:r>
      <w:r>
        <w:rPr>
          <w:color w:val="auto"/>
          <w:szCs w:val="21"/>
          <w:highlight w:val="none"/>
        </w:rPr>
        <w:t>.</w:t>
      </w:r>
      <w:r>
        <w:rPr>
          <w:rFonts w:hint="eastAsia"/>
          <w:color w:val="auto"/>
          <w:szCs w:val="21"/>
          <w:highlight w:val="none"/>
        </w:rPr>
        <w:t>1</w:t>
      </w:r>
      <w:r>
        <w:rPr>
          <w:color w:val="auto"/>
          <w:szCs w:val="21"/>
          <w:highlight w:val="none"/>
        </w:rPr>
        <w:t>项、第8.</w:t>
      </w:r>
      <w:r>
        <w:rPr>
          <w:rFonts w:hint="eastAsia"/>
          <w:color w:val="auto"/>
          <w:szCs w:val="21"/>
          <w:highlight w:val="none"/>
        </w:rPr>
        <w:t>2</w:t>
      </w:r>
      <w:r>
        <w:rPr>
          <w:color w:val="auto"/>
          <w:szCs w:val="21"/>
          <w:highlight w:val="none"/>
        </w:rPr>
        <w:t>.</w:t>
      </w:r>
      <w:r>
        <w:rPr>
          <w:rFonts w:hint="eastAsia"/>
          <w:color w:val="auto"/>
          <w:szCs w:val="21"/>
          <w:highlight w:val="none"/>
        </w:rPr>
        <w:t>2</w:t>
      </w:r>
      <w:r>
        <w:rPr>
          <w:color w:val="auto"/>
          <w:szCs w:val="21"/>
          <w:highlight w:val="none"/>
        </w:rPr>
        <w:t>项和第8.</w:t>
      </w:r>
      <w:r>
        <w:rPr>
          <w:rFonts w:hint="eastAsia"/>
          <w:color w:val="auto"/>
          <w:szCs w:val="21"/>
          <w:highlight w:val="none"/>
        </w:rPr>
        <w:t>2</w:t>
      </w:r>
      <w:r>
        <w:rPr>
          <w:color w:val="auto"/>
          <w:szCs w:val="21"/>
          <w:highlight w:val="none"/>
        </w:rPr>
        <w:t>.</w:t>
      </w:r>
      <w:r>
        <w:rPr>
          <w:rFonts w:hint="eastAsia"/>
          <w:color w:val="auto"/>
          <w:szCs w:val="21"/>
          <w:highlight w:val="none"/>
        </w:rPr>
        <w:t>3</w:t>
      </w:r>
      <w:r>
        <w:rPr>
          <w:color w:val="auto"/>
          <w:szCs w:val="21"/>
          <w:highlight w:val="none"/>
        </w:rPr>
        <w:t>项的约定进行。</w:t>
      </w:r>
      <w:r>
        <w:rPr>
          <w:color w:val="auto"/>
          <w:szCs w:val="21"/>
          <w:highlight w:val="none"/>
        </w:rPr>
        <w:br w:type="textWrapping"/>
      </w:r>
      <w:r>
        <w:rPr>
          <w:color w:val="auto"/>
          <w:szCs w:val="21"/>
          <w:highlight w:val="none"/>
        </w:rPr>
        <w:t>8.</w:t>
      </w:r>
      <w:r>
        <w:rPr>
          <w:rFonts w:hint="eastAsia"/>
          <w:color w:val="auto"/>
          <w:szCs w:val="21"/>
          <w:highlight w:val="none"/>
        </w:rPr>
        <w:t>2</w:t>
      </w:r>
      <w:r>
        <w:rPr>
          <w:color w:val="auto"/>
          <w:szCs w:val="21"/>
          <w:highlight w:val="none"/>
        </w:rPr>
        <w:t>.</w:t>
      </w:r>
      <w:r>
        <w:rPr>
          <w:rFonts w:hint="eastAsia"/>
          <w:color w:val="auto"/>
          <w:szCs w:val="21"/>
          <w:highlight w:val="none"/>
        </w:rPr>
        <w:t xml:space="preserve">5 </w:t>
      </w:r>
      <w:r>
        <w:rPr>
          <w:color w:val="auto"/>
          <w:szCs w:val="21"/>
          <w:highlight w:val="none"/>
        </w:rPr>
        <w:t> 除专用合同条款另有约定外，经验收合格工程的实际竣工日期，以提交竣工验收申请报告的日期为准，并在工程接收证书中写明。</w:t>
      </w:r>
    </w:p>
    <w:p w14:paraId="4CD91F6B">
      <w:pPr>
        <w:pStyle w:val="47"/>
        <w:snapToGrid w:val="0"/>
        <w:spacing w:line="360" w:lineRule="auto"/>
        <w:ind w:left="420" w:firstLine="281" w:firstLineChars="100"/>
        <w:contextualSpacing/>
        <w:jc w:val="center"/>
        <w:rPr>
          <w:rFonts w:ascii="Times New Roman" w:hAnsi="Times New Roman" w:eastAsia="黑体"/>
          <w:b/>
          <w:color w:val="auto"/>
          <w:sz w:val="28"/>
          <w:szCs w:val="28"/>
          <w:highlight w:val="none"/>
        </w:rPr>
      </w:pPr>
      <w:r>
        <w:rPr>
          <w:rFonts w:hint="eastAsia" w:ascii="Times New Roman" w:hAnsi="Times New Roman" w:eastAsia="黑体"/>
          <w:b/>
          <w:color w:val="auto"/>
          <w:sz w:val="28"/>
          <w:szCs w:val="28"/>
          <w:highlight w:val="none"/>
        </w:rPr>
        <w:t>九、 保修工作范围</w:t>
      </w:r>
    </w:p>
    <w:p w14:paraId="4097348C">
      <w:pPr>
        <w:pStyle w:val="47"/>
        <w:snapToGrid w:val="0"/>
        <w:spacing w:line="360" w:lineRule="auto"/>
        <w:ind w:left="420" w:firstLine="281" w:firstLineChars="100"/>
        <w:contextualSpacing/>
        <w:jc w:val="center"/>
        <w:rPr>
          <w:rFonts w:ascii="Times New Roman" w:hAnsi="Times New Roman" w:eastAsia="黑体"/>
          <w:b/>
          <w:color w:val="auto"/>
          <w:sz w:val="28"/>
          <w:szCs w:val="28"/>
          <w:highlight w:val="none"/>
        </w:rPr>
      </w:pPr>
    </w:p>
    <w:p w14:paraId="03C7AF30">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9.1  总则</w:t>
      </w:r>
    </w:p>
    <w:p w14:paraId="1E986D20">
      <w:pPr>
        <w:snapToGrid w:val="0"/>
        <w:spacing w:line="360" w:lineRule="auto"/>
        <w:contextualSpacing/>
        <w:rPr>
          <w:color w:val="auto"/>
          <w:szCs w:val="21"/>
          <w:highlight w:val="none"/>
        </w:rPr>
      </w:pPr>
      <w:r>
        <w:rPr>
          <w:rFonts w:hint="eastAsia"/>
          <w:color w:val="auto"/>
          <w:szCs w:val="21"/>
          <w:highlight w:val="none"/>
        </w:rPr>
        <w:t>9.1.1  乙方应按照本合同约定、国家现行法律法规及行业标准，对本机电工程承担免费保修责任，确保工程在保修期内正常运行。</w:t>
      </w:r>
    </w:p>
    <w:p w14:paraId="589F304D">
      <w:pPr>
        <w:snapToGrid w:val="0"/>
        <w:spacing w:line="360" w:lineRule="auto"/>
        <w:contextualSpacing/>
        <w:rPr>
          <w:color w:val="auto"/>
          <w:szCs w:val="21"/>
          <w:highlight w:val="none"/>
        </w:rPr>
      </w:pPr>
      <w:r>
        <w:rPr>
          <w:rFonts w:hint="eastAsia"/>
          <w:color w:val="auto"/>
          <w:szCs w:val="21"/>
          <w:highlight w:val="none"/>
        </w:rPr>
        <w:t>9.1.2  保修工作涵盖工程施工质量缺陷修复、设备故障处理、系统功能优化等内容，保修范围及期限需符合《建设工程质量管理条例》及相关规范要求，保修方案需经甲方书面确认后执行。</w:t>
      </w:r>
    </w:p>
    <w:p w14:paraId="6E0CE558">
      <w:pPr>
        <w:snapToGrid w:val="0"/>
        <w:spacing w:line="360" w:lineRule="auto"/>
        <w:contextualSpacing/>
        <w:rPr>
          <w:color w:val="auto"/>
          <w:szCs w:val="21"/>
          <w:highlight w:val="none"/>
        </w:rPr>
      </w:pPr>
      <w:r>
        <w:rPr>
          <w:rFonts w:hint="eastAsia"/>
          <w:color w:val="auto"/>
          <w:szCs w:val="21"/>
          <w:highlight w:val="none"/>
        </w:rPr>
        <w:t>9.1.3  保修期自本机电工程竣工验收合格并正式移交甲方之日起计算。</w:t>
      </w:r>
    </w:p>
    <w:p w14:paraId="7FC745F8">
      <w:pPr>
        <w:pStyle w:val="47"/>
        <w:snapToGrid w:val="0"/>
        <w:spacing w:line="360" w:lineRule="auto"/>
        <w:ind w:left="420" w:firstLine="210" w:firstLineChars="100"/>
        <w:contextualSpacing/>
        <w:jc w:val="center"/>
        <w:rPr>
          <w:rFonts w:ascii="Times New Roman" w:hAnsi="Times New Roman"/>
          <w:color w:val="auto"/>
          <w:szCs w:val="21"/>
          <w:highlight w:val="none"/>
        </w:rPr>
      </w:pPr>
    </w:p>
    <w:p w14:paraId="1AD4359B">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9.2  保修范围</w:t>
      </w:r>
    </w:p>
    <w:p w14:paraId="5A192E2F">
      <w:pPr>
        <w:snapToGrid w:val="0"/>
        <w:spacing w:line="360" w:lineRule="auto"/>
        <w:contextualSpacing/>
        <w:rPr>
          <w:color w:val="auto"/>
          <w:szCs w:val="21"/>
          <w:highlight w:val="none"/>
        </w:rPr>
      </w:pPr>
      <w:r>
        <w:rPr>
          <w:rFonts w:hint="eastAsia"/>
          <w:color w:val="auto"/>
          <w:szCs w:val="21"/>
          <w:highlight w:val="none"/>
        </w:rPr>
        <w:t>9.2.1  工程施工部分</w:t>
      </w:r>
    </w:p>
    <w:p w14:paraId="130DA7BB">
      <w:pPr>
        <w:pStyle w:val="47"/>
        <w:numPr>
          <w:ilvl w:val="0"/>
          <w:numId w:val="43"/>
        </w:numPr>
        <w:snapToGrid w:val="0"/>
        <w:spacing w:line="360" w:lineRule="auto"/>
        <w:ind w:firstLineChars="0"/>
        <w:contextualSpacing/>
        <w:rPr>
          <w:color w:val="auto"/>
          <w:szCs w:val="21"/>
          <w:highlight w:val="none"/>
        </w:rPr>
      </w:pPr>
      <w:r>
        <w:rPr>
          <w:rFonts w:hint="eastAsia"/>
          <w:color w:val="auto"/>
          <w:szCs w:val="21"/>
          <w:highlight w:val="none"/>
        </w:rPr>
        <w:t>给排水系统：管道接口渗漏、阀门启闭失灵、水泵运行故障、洁具排水不畅等由施工工艺或材料质量导致的缺陷。</w:t>
      </w:r>
    </w:p>
    <w:p w14:paraId="0DE85E91">
      <w:pPr>
        <w:pStyle w:val="47"/>
        <w:numPr>
          <w:ilvl w:val="0"/>
          <w:numId w:val="43"/>
        </w:numPr>
        <w:snapToGrid w:val="0"/>
        <w:spacing w:line="360" w:lineRule="auto"/>
        <w:ind w:firstLineChars="0"/>
        <w:contextualSpacing/>
        <w:rPr>
          <w:color w:val="auto"/>
          <w:szCs w:val="21"/>
          <w:highlight w:val="none"/>
        </w:rPr>
      </w:pPr>
      <w:r>
        <w:rPr>
          <w:rFonts w:hint="eastAsia"/>
          <w:color w:val="auto"/>
          <w:szCs w:val="21"/>
          <w:highlight w:val="none"/>
        </w:rPr>
        <w:t>电气工程：配电柜（箱）接触不良、线路短路或断路、照明灯具及开关插座故障、电机运行异常等施工质量问题。</w:t>
      </w:r>
    </w:p>
    <w:p w14:paraId="2680ABE8">
      <w:pPr>
        <w:pStyle w:val="47"/>
        <w:numPr>
          <w:ilvl w:val="0"/>
          <w:numId w:val="43"/>
        </w:numPr>
        <w:snapToGrid w:val="0"/>
        <w:spacing w:line="360" w:lineRule="auto"/>
        <w:ind w:firstLineChars="0"/>
        <w:contextualSpacing/>
        <w:rPr>
          <w:color w:val="auto"/>
          <w:szCs w:val="21"/>
          <w:highlight w:val="none"/>
        </w:rPr>
      </w:pPr>
      <w:r>
        <w:rPr>
          <w:rFonts w:hint="eastAsia"/>
          <w:color w:val="auto"/>
          <w:szCs w:val="21"/>
          <w:highlight w:val="none"/>
        </w:rPr>
        <w:t>暖通空调系统：风管漏风、空调机组制冷/制热效果不达标、风机盘管故障、阀门及仪表失灵等由安装或材料缺陷引发的问题。</w:t>
      </w:r>
    </w:p>
    <w:p w14:paraId="314FA4D8">
      <w:pPr>
        <w:pStyle w:val="47"/>
        <w:numPr>
          <w:ilvl w:val="0"/>
          <w:numId w:val="43"/>
        </w:numPr>
        <w:snapToGrid w:val="0"/>
        <w:spacing w:line="360" w:lineRule="auto"/>
        <w:ind w:firstLineChars="0"/>
        <w:contextualSpacing/>
        <w:rPr>
          <w:color w:val="auto"/>
          <w:szCs w:val="21"/>
          <w:highlight w:val="none"/>
        </w:rPr>
      </w:pPr>
      <w:r>
        <w:rPr>
          <w:rFonts w:hint="eastAsia"/>
          <w:color w:val="auto"/>
          <w:szCs w:val="21"/>
          <w:highlight w:val="none"/>
        </w:rPr>
        <w:t>废水系统：有机废水处理处理能力不达标、T</w:t>
      </w:r>
      <w:r>
        <w:rPr>
          <w:color w:val="auto"/>
          <w:szCs w:val="21"/>
          <w:highlight w:val="none"/>
        </w:rPr>
        <w:t>MAH</w:t>
      </w:r>
      <w:r>
        <w:rPr>
          <w:rFonts w:hint="eastAsia"/>
          <w:color w:val="auto"/>
          <w:szCs w:val="21"/>
          <w:highlight w:val="none"/>
        </w:rPr>
        <w:t>废液处理能力不达标。</w:t>
      </w:r>
    </w:p>
    <w:p w14:paraId="5773C9D6">
      <w:pPr>
        <w:pStyle w:val="47"/>
        <w:numPr>
          <w:ilvl w:val="0"/>
          <w:numId w:val="43"/>
        </w:numPr>
        <w:snapToGrid w:val="0"/>
        <w:spacing w:line="360" w:lineRule="auto"/>
        <w:ind w:firstLineChars="0"/>
        <w:contextualSpacing/>
        <w:rPr>
          <w:color w:val="auto"/>
          <w:szCs w:val="21"/>
          <w:highlight w:val="none"/>
        </w:rPr>
      </w:pPr>
      <w:r>
        <w:rPr>
          <w:rFonts w:hint="eastAsia"/>
          <w:color w:val="auto"/>
          <w:szCs w:val="21"/>
          <w:highlight w:val="none"/>
        </w:rPr>
        <w:t>其他机电附属设施：桥架安装松动、接地系统不达标、消防联动机电部分功能失效等施工相关缺陷。</w:t>
      </w:r>
    </w:p>
    <w:p w14:paraId="1012E8A4">
      <w:pPr>
        <w:pStyle w:val="47"/>
        <w:snapToGrid w:val="0"/>
        <w:spacing w:line="360" w:lineRule="auto"/>
        <w:ind w:left="420" w:firstLine="210" w:firstLineChars="100"/>
        <w:contextualSpacing/>
        <w:jc w:val="center"/>
        <w:rPr>
          <w:rFonts w:ascii="Times New Roman" w:hAnsi="Times New Roman"/>
          <w:color w:val="auto"/>
          <w:szCs w:val="21"/>
          <w:highlight w:val="none"/>
        </w:rPr>
      </w:pPr>
    </w:p>
    <w:p w14:paraId="4073A382">
      <w:pPr>
        <w:snapToGrid w:val="0"/>
        <w:spacing w:line="360" w:lineRule="auto"/>
        <w:contextualSpacing/>
        <w:rPr>
          <w:color w:val="auto"/>
          <w:szCs w:val="21"/>
          <w:highlight w:val="none"/>
        </w:rPr>
      </w:pPr>
      <w:r>
        <w:rPr>
          <w:rFonts w:hint="eastAsia"/>
          <w:color w:val="auto"/>
          <w:szCs w:val="21"/>
          <w:highlight w:val="none"/>
        </w:rPr>
        <w:t>9.2.2  设备及材料部分</w:t>
      </w:r>
    </w:p>
    <w:p w14:paraId="2F549A74">
      <w:pPr>
        <w:pStyle w:val="47"/>
        <w:numPr>
          <w:ilvl w:val="0"/>
          <w:numId w:val="44"/>
        </w:numPr>
        <w:snapToGrid w:val="0"/>
        <w:spacing w:line="360" w:lineRule="auto"/>
        <w:ind w:firstLineChars="0"/>
        <w:contextualSpacing/>
        <w:rPr>
          <w:color w:val="auto"/>
          <w:szCs w:val="21"/>
          <w:highlight w:val="none"/>
        </w:rPr>
      </w:pPr>
      <w:r>
        <w:rPr>
          <w:rFonts w:hint="eastAsia"/>
          <w:color w:val="auto"/>
          <w:szCs w:val="21"/>
          <w:highlight w:val="none"/>
        </w:rPr>
        <w:t>乙方采购的全部机电设备（如泵组、配电柜、空调机组、风机等），在保修期内因设备本身制造缺陷引发的故障及损坏。</w:t>
      </w:r>
    </w:p>
    <w:p w14:paraId="5BB62104">
      <w:pPr>
        <w:pStyle w:val="47"/>
        <w:numPr>
          <w:ilvl w:val="0"/>
          <w:numId w:val="44"/>
        </w:numPr>
        <w:snapToGrid w:val="0"/>
        <w:spacing w:line="360" w:lineRule="auto"/>
        <w:ind w:firstLineChars="0"/>
        <w:contextualSpacing/>
        <w:rPr>
          <w:color w:val="auto"/>
          <w:szCs w:val="21"/>
          <w:highlight w:val="none"/>
        </w:rPr>
      </w:pPr>
      <w:r>
        <w:rPr>
          <w:rFonts w:hint="eastAsia"/>
          <w:color w:val="auto"/>
          <w:szCs w:val="21"/>
          <w:highlight w:val="none"/>
        </w:rPr>
        <w:t>乙方采购的各类主材、辅材（如管材、线缆、阀门、保温材料等），因产品质量问题导致的工程功能异常。</w:t>
      </w:r>
    </w:p>
    <w:p w14:paraId="751D7E3A">
      <w:pPr>
        <w:pStyle w:val="47"/>
        <w:snapToGrid w:val="0"/>
        <w:spacing w:line="360" w:lineRule="auto"/>
        <w:ind w:left="420" w:firstLine="210" w:firstLineChars="100"/>
        <w:contextualSpacing/>
        <w:jc w:val="center"/>
        <w:rPr>
          <w:rFonts w:ascii="Times New Roman" w:hAnsi="Times New Roman"/>
          <w:color w:val="auto"/>
          <w:szCs w:val="21"/>
          <w:highlight w:val="none"/>
        </w:rPr>
      </w:pPr>
    </w:p>
    <w:p w14:paraId="078066DE">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9.3  保修期限</w:t>
      </w:r>
    </w:p>
    <w:p w14:paraId="63F7066C">
      <w:pPr>
        <w:snapToGrid w:val="0"/>
        <w:spacing w:line="360" w:lineRule="auto"/>
        <w:contextualSpacing/>
        <w:rPr>
          <w:color w:val="auto"/>
          <w:szCs w:val="21"/>
          <w:highlight w:val="none"/>
        </w:rPr>
      </w:pPr>
      <w:r>
        <w:rPr>
          <w:rFonts w:hint="eastAsia"/>
          <w:color w:val="auto"/>
          <w:szCs w:val="21"/>
          <w:highlight w:val="none"/>
        </w:rPr>
        <w:t>9.3.1 本工程的最低保修期限严格遵循《建设工程质量管理条例》要求，具体如下：</w:t>
      </w:r>
    </w:p>
    <w:p w14:paraId="16BE4AC8">
      <w:pPr>
        <w:pStyle w:val="47"/>
        <w:numPr>
          <w:ilvl w:val="2"/>
          <w:numId w:val="45"/>
        </w:numPr>
        <w:snapToGrid w:val="0"/>
        <w:spacing w:line="360" w:lineRule="auto"/>
        <w:ind w:firstLineChars="0"/>
        <w:contextualSpacing/>
        <w:rPr>
          <w:color w:val="auto"/>
          <w:szCs w:val="21"/>
          <w:highlight w:val="none"/>
        </w:rPr>
      </w:pPr>
      <w:r>
        <w:rPr>
          <w:rFonts w:hint="eastAsia"/>
          <w:color w:val="auto"/>
          <w:szCs w:val="21"/>
          <w:highlight w:val="none"/>
        </w:rPr>
        <w:t>电气管线、给排水管道、设备安装工程保修期为 2年。</w:t>
      </w:r>
    </w:p>
    <w:p w14:paraId="1D47A390">
      <w:pPr>
        <w:pStyle w:val="47"/>
        <w:numPr>
          <w:ilvl w:val="2"/>
          <w:numId w:val="45"/>
        </w:numPr>
        <w:snapToGrid w:val="0"/>
        <w:spacing w:line="360" w:lineRule="auto"/>
        <w:ind w:firstLineChars="0"/>
        <w:contextualSpacing/>
        <w:rPr>
          <w:color w:val="auto"/>
          <w:szCs w:val="21"/>
          <w:highlight w:val="none"/>
        </w:rPr>
      </w:pPr>
      <w:r>
        <w:rPr>
          <w:rFonts w:hint="eastAsia"/>
          <w:color w:val="auto"/>
          <w:szCs w:val="21"/>
          <w:highlight w:val="none"/>
        </w:rPr>
        <w:t>供热与供冷系统保修期为 2个采暖期、供冷期。</w:t>
      </w:r>
    </w:p>
    <w:p w14:paraId="605A9B09">
      <w:pPr>
        <w:pStyle w:val="47"/>
        <w:numPr>
          <w:ilvl w:val="2"/>
          <w:numId w:val="45"/>
        </w:numPr>
        <w:snapToGrid w:val="0"/>
        <w:spacing w:line="360" w:lineRule="auto"/>
        <w:ind w:firstLineChars="0"/>
        <w:contextualSpacing/>
        <w:rPr>
          <w:rFonts w:ascii="Times New Roman" w:hAnsi="Times New Roman"/>
          <w:color w:val="auto"/>
          <w:szCs w:val="21"/>
          <w:highlight w:val="none"/>
        </w:rPr>
      </w:pPr>
      <w:r>
        <w:rPr>
          <w:rFonts w:hint="eastAsia" w:ascii="Times New Roman" w:hAnsi="Times New Roman"/>
          <w:color w:val="auto"/>
          <w:szCs w:val="21"/>
          <w:highlight w:val="none"/>
        </w:rPr>
        <w:t>乙方采购的核心设备需提供厂家质保期（如冷水机组、配电柜等），并在厂家质保期基础上延长2年质保。</w:t>
      </w:r>
    </w:p>
    <w:p w14:paraId="0EFA8C4D">
      <w:pPr>
        <w:snapToGrid w:val="0"/>
        <w:spacing w:line="360" w:lineRule="auto"/>
        <w:contextualSpacing/>
        <w:rPr>
          <w:color w:val="auto"/>
          <w:szCs w:val="21"/>
          <w:highlight w:val="none"/>
        </w:rPr>
      </w:pPr>
      <w:r>
        <w:rPr>
          <w:rFonts w:hint="eastAsia"/>
          <w:color w:val="auto"/>
          <w:szCs w:val="21"/>
          <w:highlight w:val="none"/>
        </w:rPr>
        <w:t>9.3.2  保修期内，乙方对维修更换的部件/设备，重新计算保修期（自维修验收合格之日起算），期限不低于原部件/设备的剩余保修时长。</w:t>
      </w:r>
    </w:p>
    <w:p w14:paraId="3CE52C42">
      <w:pPr>
        <w:pStyle w:val="47"/>
        <w:snapToGrid w:val="0"/>
        <w:spacing w:line="360" w:lineRule="auto"/>
        <w:ind w:left="420" w:firstLine="210" w:firstLineChars="100"/>
        <w:contextualSpacing/>
        <w:jc w:val="center"/>
        <w:rPr>
          <w:rFonts w:ascii="Times New Roman" w:hAnsi="Times New Roman"/>
          <w:color w:val="auto"/>
          <w:szCs w:val="21"/>
          <w:highlight w:val="none"/>
        </w:rPr>
      </w:pPr>
    </w:p>
    <w:p w14:paraId="3EDFA1FD">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9.4  保修责任与响应要求</w:t>
      </w:r>
    </w:p>
    <w:p w14:paraId="245641BA">
      <w:pPr>
        <w:snapToGrid w:val="0"/>
        <w:spacing w:line="360" w:lineRule="auto"/>
        <w:contextualSpacing/>
        <w:rPr>
          <w:color w:val="auto"/>
          <w:szCs w:val="21"/>
          <w:highlight w:val="none"/>
        </w:rPr>
      </w:pPr>
      <w:r>
        <w:rPr>
          <w:rFonts w:hint="eastAsia"/>
          <w:color w:val="auto"/>
          <w:szCs w:val="21"/>
          <w:highlight w:val="none"/>
        </w:rPr>
        <w:t>9.4.1  保修响应时限</w:t>
      </w:r>
    </w:p>
    <w:p w14:paraId="1C2435BE">
      <w:pPr>
        <w:pStyle w:val="47"/>
        <w:numPr>
          <w:ilvl w:val="0"/>
          <w:numId w:val="46"/>
        </w:numPr>
        <w:snapToGrid w:val="0"/>
        <w:spacing w:line="360" w:lineRule="auto"/>
        <w:ind w:firstLineChars="0"/>
        <w:contextualSpacing/>
        <w:rPr>
          <w:color w:val="auto"/>
          <w:szCs w:val="21"/>
          <w:highlight w:val="none"/>
        </w:rPr>
      </w:pPr>
      <w:r>
        <w:rPr>
          <w:rFonts w:hint="eastAsia"/>
          <w:color w:val="auto"/>
          <w:szCs w:val="21"/>
          <w:highlight w:val="none"/>
        </w:rPr>
        <w:t>日常故障：甲方以书面、邮件或合同约定的其他方式通知乙方后，乙方应在 2小时内 响应，24小时内 派员到达现场处置。</w:t>
      </w:r>
    </w:p>
    <w:p w14:paraId="342E8434">
      <w:pPr>
        <w:pStyle w:val="47"/>
        <w:numPr>
          <w:ilvl w:val="0"/>
          <w:numId w:val="46"/>
        </w:numPr>
        <w:snapToGrid w:val="0"/>
        <w:spacing w:line="360" w:lineRule="auto"/>
        <w:ind w:firstLineChars="0"/>
        <w:contextualSpacing/>
        <w:rPr>
          <w:color w:val="auto"/>
          <w:szCs w:val="21"/>
          <w:highlight w:val="none"/>
        </w:rPr>
      </w:pPr>
      <w:r>
        <w:rPr>
          <w:rFonts w:hint="eastAsia"/>
          <w:color w:val="auto"/>
          <w:szCs w:val="21"/>
          <w:highlight w:val="none"/>
        </w:rPr>
        <w:t>紧急故障（如停水、停电、系统瘫痪等影响甲方正常运营的情况）：乙方需在 1小时内 响应，8小时内 到达现场并开展抢修。</w:t>
      </w:r>
    </w:p>
    <w:p w14:paraId="779291FC">
      <w:pPr>
        <w:pStyle w:val="47"/>
        <w:numPr>
          <w:ilvl w:val="0"/>
          <w:numId w:val="46"/>
        </w:numPr>
        <w:snapToGrid w:val="0"/>
        <w:spacing w:line="360" w:lineRule="auto"/>
        <w:ind w:firstLineChars="0"/>
        <w:contextualSpacing/>
        <w:rPr>
          <w:color w:val="auto"/>
          <w:szCs w:val="21"/>
          <w:highlight w:val="none"/>
        </w:rPr>
      </w:pPr>
      <w:r>
        <w:rPr>
          <w:rFonts w:hint="eastAsia"/>
          <w:color w:val="auto"/>
          <w:szCs w:val="21"/>
          <w:highlight w:val="none"/>
        </w:rPr>
        <w:t>特殊区域（如洁净车间、防爆区域）的故障处置，乙方需提前做好合规防护措施，响应时限不得延长。</w:t>
      </w:r>
    </w:p>
    <w:p w14:paraId="4CF75B3F">
      <w:pPr>
        <w:snapToGrid w:val="0"/>
        <w:spacing w:line="360" w:lineRule="auto"/>
        <w:contextualSpacing/>
        <w:rPr>
          <w:color w:val="auto"/>
          <w:szCs w:val="21"/>
          <w:highlight w:val="none"/>
        </w:rPr>
      </w:pPr>
      <w:r>
        <w:rPr>
          <w:rFonts w:hint="eastAsia"/>
          <w:color w:val="auto"/>
          <w:szCs w:val="21"/>
          <w:highlight w:val="none"/>
        </w:rPr>
        <w:t>9.4.2  故障处置责任</w:t>
      </w:r>
    </w:p>
    <w:p w14:paraId="48744C8A">
      <w:pPr>
        <w:pStyle w:val="47"/>
        <w:numPr>
          <w:ilvl w:val="0"/>
          <w:numId w:val="47"/>
        </w:numPr>
        <w:snapToGrid w:val="0"/>
        <w:spacing w:line="360" w:lineRule="auto"/>
        <w:ind w:firstLineChars="0"/>
        <w:contextualSpacing/>
        <w:rPr>
          <w:color w:val="auto"/>
          <w:szCs w:val="21"/>
          <w:highlight w:val="none"/>
        </w:rPr>
      </w:pPr>
      <w:r>
        <w:rPr>
          <w:rFonts w:hint="eastAsia"/>
          <w:color w:val="auto"/>
          <w:szCs w:val="21"/>
          <w:highlight w:val="none"/>
        </w:rPr>
        <w:t>乙方到达现场后，需在 24小时内 出具故障诊断报告，明确故障原因及处置方案，经甲方确认后实施维修。</w:t>
      </w:r>
    </w:p>
    <w:p w14:paraId="30A91D01">
      <w:pPr>
        <w:pStyle w:val="47"/>
        <w:numPr>
          <w:ilvl w:val="0"/>
          <w:numId w:val="47"/>
        </w:numPr>
        <w:snapToGrid w:val="0"/>
        <w:spacing w:line="360" w:lineRule="auto"/>
        <w:ind w:firstLineChars="0"/>
        <w:contextualSpacing/>
        <w:rPr>
          <w:color w:val="auto"/>
          <w:szCs w:val="21"/>
          <w:highlight w:val="none"/>
        </w:rPr>
      </w:pPr>
      <w:r>
        <w:rPr>
          <w:rFonts w:hint="eastAsia"/>
          <w:color w:val="auto"/>
          <w:szCs w:val="21"/>
          <w:highlight w:val="none"/>
        </w:rPr>
        <w:t>维修过程中所需的人工、材料、备件等费用均由乙方承担，不得向甲方收取任何费用。</w:t>
      </w:r>
    </w:p>
    <w:p w14:paraId="62CA8528">
      <w:pPr>
        <w:pStyle w:val="47"/>
        <w:numPr>
          <w:ilvl w:val="0"/>
          <w:numId w:val="47"/>
        </w:numPr>
        <w:snapToGrid w:val="0"/>
        <w:spacing w:line="360" w:lineRule="auto"/>
        <w:ind w:firstLineChars="0"/>
        <w:contextualSpacing/>
        <w:rPr>
          <w:color w:val="auto"/>
          <w:szCs w:val="21"/>
          <w:highlight w:val="none"/>
        </w:rPr>
      </w:pPr>
      <w:r>
        <w:rPr>
          <w:rFonts w:hint="eastAsia"/>
          <w:color w:val="auto"/>
          <w:szCs w:val="21"/>
          <w:highlight w:val="none"/>
        </w:rPr>
        <w:t>若乙方未按约定时限响应或维修后故障反复出现，甲方有权委托第三方进行维修，所产生的全部费用由乙方承担，甲方有权从质保金中直接扣除。</w:t>
      </w:r>
    </w:p>
    <w:p w14:paraId="0E63288D">
      <w:pPr>
        <w:pStyle w:val="47"/>
        <w:snapToGrid w:val="0"/>
        <w:spacing w:line="360" w:lineRule="auto"/>
        <w:ind w:left="420" w:firstLine="210" w:firstLineChars="100"/>
        <w:contextualSpacing/>
        <w:jc w:val="center"/>
        <w:rPr>
          <w:rFonts w:ascii="Times New Roman" w:hAnsi="Times New Roman"/>
          <w:color w:val="auto"/>
          <w:szCs w:val="21"/>
          <w:highlight w:val="none"/>
        </w:rPr>
      </w:pPr>
    </w:p>
    <w:p w14:paraId="0D17549C">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9.5  保修服务要求</w:t>
      </w:r>
    </w:p>
    <w:p w14:paraId="53159EAA">
      <w:pPr>
        <w:snapToGrid w:val="0"/>
        <w:spacing w:line="360" w:lineRule="auto"/>
        <w:contextualSpacing/>
        <w:rPr>
          <w:color w:val="auto"/>
          <w:szCs w:val="21"/>
          <w:highlight w:val="none"/>
        </w:rPr>
      </w:pPr>
      <w:r>
        <w:rPr>
          <w:rFonts w:hint="eastAsia"/>
          <w:color w:val="auto"/>
          <w:szCs w:val="21"/>
          <w:highlight w:val="none"/>
        </w:rPr>
        <w:t>9.5.1  定期巡检服务：保修期内，乙方应每</w:t>
      </w:r>
      <w:r>
        <w:rPr>
          <w:color w:val="auto"/>
          <w:szCs w:val="21"/>
          <w:highlight w:val="none"/>
        </w:rPr>
        <w:t>3</w:t>
      </w:r>
      <w:r>
        <w:rPr>
          <w:rFonts w:hint="eastAsia"/>
          <w:color w:val="auto"/>
          <w:szCs w:val="21"/>
          <w:highlight w:val="none"/>
        </w:rPr>
        <w:t>个月对机电系统进行一次全面巡检，内容包括设备运行参数监测、管路及线路检查、润滑保养等，并向甲方提交巡检报告，明确隐患问题及整改建议。</w:t>
      </w:r>
    </w:p>
    <w:p w14:paraId="7F74D039">
      <w:pPr>
        <w:snapToGrid w:val="0"/>
        <w:spacing w:line="360" w:lineRule="auto"/>
        <w:contextualSpacing/>
        <w:rPr>
          <w:color w:val="auto"/>
          <w:szCs w:val="21"/>
          <w:highlight w:val="none"/>
        </w:rPr>
      </w:pPr>
      <w:r>
        <w:rPr>
          <w:rFonts w:hint="eastAsia"/>
          <w:color w:val="auto"/>
          <w:szCs w:val="21"/>
          <w:highlight w:val="none"/>
        </w:rPr>
        <w:t>9.5.2  技术支持服务：乙方应为甲方提供7×24小时技术咨询服务，解答甲方在设备运行、维护过程中的疑问。</w:t>
      </w:r>
    </w:p>
    <w:p w14:paraId="3F650D33">
      <w:pPr>
        <w:snapToGrid w:val="0"/>
        <w:spacing w:line="360" w:lineRule="auto"/>
        <w:contextualSpacing/>
        <w:rPr>
          <w:color w:val="auto"/>
          <w:szCs w:val="21"/>
          <w:highlight w:val="none"/>
        </w:rPr>
      </w:pPr>
      <w:r>
        <w:rPr>
          <w:rFonts w:hint="eastAsia"/>
          <w:color w:val="auto"/>
          <w:szCs w:val="21"/>
          <w:highlight w:val="none"/>
        </w:rPr>
        <w:t>9.5.3  维修记录管理：每次维修完成后，乙方需填写保修维修记录单，详细记录故障情况、处置过程、更换部件等信息，经甲方签字确认后，双方各执一份存档。</w:t>
      </w:r>
    </w:p>
    <w:p w14:paraId="22B825FC">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9.6  保修验收与质保金返还</w:t>
      </w:r>
    </w:p>
    <w:p w14:paraId="0D9600D4">
      <w:pPr>
        <w:snapToGrid w:val="0"/>
        <w:spacing w:line="360" w:lineRule="auto"/>
        <w:contextualSpacing/>
        <w:rPr>
          <w:color w:val="auto"/>
          <w:szCs w:val="21"/>
          <w:highlight w:val="none"/>
        </w:rPr>
      </w:pPr>
      <w:r>
        <w:rPr>
          <w:rFonts w:hint="eastAsia"/>
          <w:color w:val="auto"/>
          <w:szCs w:val="21"/>
          <w:highlight w:val="none"/>
        </w:rPr>
        <w:t>9.6.1  单次维修完成后，甲方对维修部位/系统进行试运行验收，试运行合格且连续稳定运行 30天 无故障的，视为该次维修验收合格。</w:t>
      </w:r>
    </w:p>
    <w:p w14:paraId="4EAA750B">
      <w:pPr>
        <w:snapToGrid w:val="0"/>
        <w:spacing w:line="360" w:lineRule="auto"/>
        <w:contextualSpacing/>
        <w:rPr>
          <w:color w:val="auto"/>
          <w:szCs w:val="21"/>
          <w:highlight w:val="none"/>
        </w:rPr>
      </w:pPr>
      <w:r>
        <w:rPr>
          <w:rFonts w:hint="eastAsia"/>
          <w:color w:val="auto"/>
          <w:szCs w:val="21"/>
          <w:highlight w:val="none"/>
        </w:rPr>
        <w:t>9.6.2  整体保修期届满前 30天，乙方应向甲方提交保修期满验收申请，甲方组织对整个机电系统进行全面验收。</w:t>
      </w:r>
    </w:p>
    <w:p w14:paraId="7C591164">
      <w:pPr>
        <w:snapToGrid w:val="0"/>
        <w:spacing w:line="360" w:lineRule="auto"/>
        <w:contextualSpacing/>
        <w:rPr>
          <w:color w:val="auto"/>
          <w:szCs w:val="21"/>
          <w:highlight w:val="none"/>
        </w:rPr>
      </w:pPr>
      <w:r>
        <w:rPr>
          <w:rFonts w:hint="eastAsia"/>
          <w:color w:val="auto"/>
          <w:szCs w:val="21"/>
          <w:highlight w:val="none"/>
        </w:rPr>
        <w:t>9.6.3  验收合格后，甲方按合同约定返还乙方剩余质保金；若验收发现质量缺陷，乙方需在 10天内 完成整改，整改合格后再办理质保金返还手续。</w:t>
      </w:r>
    </w:p>
    <w:p w14:paraId="7FFD26D4">
      <w:pPr>
        <w:pStyle w:val="47"/>
        <w:snapToGrid w:val="0"/>
        <w:spacing w:line="360" w:lineRule="auto"/>
        <w:ind w:left="420" w:firstLine="210" w:firstLineChars="100"/>
        <w:contextualSpacing/>
        <w:jc w:val="center"/>
        <w:rPr>
          <w:rFonts w:ascii="Times New Roman" w:hAnsi="Times New Roman"/>
          <w:color w:val="auto"/>
          <w:szCs w:val="21"/>
          <w:highlight w:val="none"/>
        </w:rPr>
      </w:pPr>
    </w:p>
    <w:p w14:paraId="2DC79CCF">
      <w:pPr>
        <w:snapToGrid w:val="0"/>
        <w:spacing w:line="360" w:lineRule="auto"/>
        <w:rPr>
          <w:rFonts w:eastAsia="黑体"/>
          <w:b/>
          <w:bCs/>
          <w:color w:val="auto"/>
          <w:sz w:val="28"/>
          <w:szCs w:val="21"/>
          <w:highlight w:val="none"/>
        </w:rPr>
      </w:pPr>
      <w:r>
        <w:rPr>
          <w:rFonts w:hint="eastAsia" w:eastAsia="黑体"/>
          <w:b/>
          <w:bCs/>
          <w:color w:val="auto"/>
          <w:sz w:val="28"/>
          <w:szCs w:val="21"/>
          <w:highlight w:val="none"/>
        </w:rPr>
        <w:t>9.7  其他约定</w:t>
      </w:r>
    </w:p>
    <w:p w14:paraId="5DD78C89">
      <w:pPr>
        <w:snapToGrid w:val="0"/>
        <w:spacing w:line="360" w:lineRule="auto"/>
        <w:contextualSpacing/>
        <w:rPr>
          <w:color w:val="auto"/>
          <w:szCs w:val="21"/>
          <w:highlight w:val="none"/>
        </w:rPr>
      </w:pPr>
      <w:r>
        <w:rPr>
          <w:rFonts w:hint="eastAsia"/>
          <w:color w:val="auto"/>
          <w:szCs w:val="21"/>
          <w:highlight w:val="none"/>
        </w:rPr>
        <w:t>9.7.1  保修期届满后，乙方可为甲方提供有偿维保服务，具体服务范围、收费标准及期限由双方另行协商签订协议。</w:t>
      </w:r>
    </w:p>
    <w:p w14:paraId="31374DB8">
      <w:pPr>
        <w:snapToGrid w:val="0"/>
        <w:spacing w:line="360" w:lineRule="auto"/>
        <w:contextualSpacing/>
        <w:rPr>
          <w:rFonts w:eastAsia="黑体"/>
          <w:b/>
          <w:color w:val="auto"/>
          <w:sz w:val="28"/>
          <w:szCs w:val="28"/>
          <w:highlight w:val="none"/>
        </w:rPr>
      </w:pPr>
      <w:r>
        <w:rPr>
          <w:rFonts w:hint="eastAsia"/>
          <w:color w:val="auto"/>
          <w:szCs w:val="21"/>
          <w:highlight w:val="none"/>
        </w:rPr>
        <w:t>9.7.2  乙方不得因质保金未返还或其他纠纷，拒绝履行保修责任。</w:t>
      </w:r>
    </w:p>
    <w:p w14:paraId="31AD5F8A">
      <w:pPr>
        <w:snapToGrid w:val="0"/>
        <w:spacing w:line="360" w:lineRule="auto"/>
        <w:ind w:firstLine="480" w:firstLineChars="200"/>
        <w:rPr>
          <w:rFonts w:hint="eastAsia" w:ascii="宋体" w:hAnsi="宋体"/>
          <w:color w:val="auto"/>
          <w:szCs w:val="21"/>
          <w:highlight w:val="none"/>
        </w:rPr>
      </w:pPr>
    </w:p>
    <w:p w14:paraId="633706D9">
      <w:pPr>
        <w:pStyle w:val="47"/>
        <w:snapToGrid w:val="0"/>
        <w:spacing w:line="360" w:lineRule="auto"/>
        <w:ind w:firstLine="0" w:firstLineChars="0"/>
        <w:contextualSpacing/>
        <w:jc w:val="center"/>
        <w:rPr>
          <w:rFonts w:ascii="Times New Roman" w:hAnsi="Times New Roman" w:eastAsia="黑体"/>
          <w:b/>
          <w:color w:val="auto"/>
          <w:sz w:val="28"/>
          <w:szCs w:val="28"/>
          <w:highlight w:val="none"/>
        </w:rPr>
      </w:pPr>
      <w:r>
        <w:rPr>
          <w:rFonts w:hint="eastAsia" w:ascii="Times New Roman" w:hAnsi="Times New Roman" w:eastAsia="黑体"/>
          <w:b/>
          <w:color w:val="auto"/>
          <w:sz w:val="28"/>
          <w:szCs w:val="28"/>
          <w:highlight w:val="none"/>
        </w:rPr>
        <w:t>十、 主要设备品牌</w:t>
      </w:r>
    </w:p>
    <w:p w14:paraId="510EAB3E">
      <w:pPr>
        <w:pStyle w:val="47"/>
        <w:snapToGrid w:val="0"/>
        <w:spacing w:line="360" w:lineRule="auto"/>
        <w:ind w:firstLine="0" w:firstLineChars="0"/>
        <w:contextualSpacing/>
        <w:rPr>
          <w:color w:val="auto"/>
          <w:highlight w:val="none"/>
        </w:rPr>
      </w:pPr>
      <w:r>
        <w:rPr>
          <w:color w:val="auto"/>
          <w:highlight w:val="none"/>
        </w:rPr>
        <w:drawing>
          <wp:inline distT="0" distB="0" distL="0" distR="0">
            <wp:extent cx="5903595" cy="4154170"/>
            <wp:effectExtent l="0" t="0" r="1905" b="0"/>
            <wp:docPr id="1790442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42234" name="图片 1"/>
                    <pic:cNvPicPr>
                      <a:picLocks noChangeAspect="1"/>
                    </pic:cNvPicPr>
                  </pic:nvPicPr>
                  <pic:blipFill>
                    <a:blip r:embed="rId13"/>
                    <a:stretch>
                      <a:fillRect/>
                    </a:stretch>
                  </pic:blipFill>
                  <pic:spPr>
                    <a:xfrm>
                      <a:off x="0" y="0"/>
                      <a:ext cx="5911764" cy="4160157"/>
                    </a:xfrm>
                    <a:prstGeom prst="rect">
                      <a:avLst/>
                    </a:prstGeom>
                  </pic:spPr>
                </pic:pic>
              </a:graphicData>
            </a:graphic>
          </wp:inline>
        </w:drawing>
      </w:r>
    </w:p>
    <w:p w14:paraId="3ACC3F64">
      <w:pPr>
        <w:pStyle w:val="47"/>
        <w:snapToGrid w:val="0"/>
        <w:spacing w:line="360" w:lineRule="auto"/>
        <w:ind w:firstLine="0" w:firstLineChars="0"/>
        <w:contextualSpacing/>
        <w:rPr>
          <w:color w:val="auto"/>
          <w:highlight w:val="none"/>
        </w:rPr>
      </w:pPr>
      <w:r>
        <w:rPr>
          <w:color w:val="auto"/>
          <w:highlight w:val="none"/>
        </w:rPr>
        <w:drawing>
          <wp:inline distT="0" distB="0" distL="0" distR="0">
            <wp:extent cx="5853430" cy="8343900"/>
            <wp:effectExtent l="0" t="0" r="0" b="0"/>
            <wp:docPr id="670497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97321" name="图片 1"/>
                    <pic:cNvPicPr>
                      <a:picLocks noChangeAspect="1"/>
                    </pic:cNvPicPr>
                  </pic:nvPicPr>
                  <pic:blipFill>
                    <a:blip r:embed="rId14"/>
                    <a:stretch>
                      <a:fillRect/>
                    </a:stretch>
                  </pic:blipFill>
                  <pic:spPr>
                    <a:xfrm>
                      <a:off x="0" y="0"/>
                      <a:ext cx="5861521" cy="8355455"/>
                    </a:xfrm>
                    <a:prstGeom prst="rect">
                      <a:avLst/>
                    </a:prstGeom>
                  </pic:spPr>
                </pic:pic>
              </a:graphicData>
            </a:graphic>
          </wp:inline>
        </w:drawing>
      </w:r>
    </w:p>
    <w:p w14:paraId="48A8BF50">
      <w:pPr>
        <w:pStyle w:val="47"/>
        <w:snapToGrid w:val="0"/>
        <w:spacing w:line="360" w:lineRule="auto"/>
        <w:ind w:firstLine="0" w:firstLineChars="0"/>
        <w:contextualSpacing/>
        <w:rPr>
          <w:color w:val="auto"/>
          <w:highlight w:val="none"/>
        </w:rPr>
      </w:pPr>
    </w:p>
    <w:p w14:paraId="0CC02DB1">
      <w:pPr>
        <w:pStyle w:val="47"/>
        <w:snapToGrid w:val="0"/>
        <w:spacing w:line="360" w:lineRule="auto"/>
        <w:ind w:firstLine="0" w:firstLineChars="0"/>
        <w:contextualSpacing/>
        <w:rPr>
          <w:color w:val="auto"/>
          <w:highlight w:val="none"/>
        </w:rPr>
      </w:pPr>
      <w:r>
        <w:rPr>
          <w:color w:val="auto"/>
          <w:highlight w:val="none"/>
        </w:rPr>
        <w:drawing>
          <wp:inline distT="0" distB="0" distL="0" distR="0">
            <wp:extent cx="5838825" cy="6476365"/>
            <wp:effectExtent l="0" t="0" r="0" b="635"/>
            <wp:docPr id="986066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66714" name="图片 1"/>
                    <pic:cNvPicPr>
                      <a:picLocks noChangeAspect="1"/>
                    </pic:cNvPicPr>
                  </pic:nvPicPr>
                  <pic:blipFill>
                    <a:blip r:embed="rId15"/>
                    <a:stretch>
                      <a:fillRect/>
                    </a:stretch>
                  </pic:blipFill>
                  <pic:spPr>
                    <a:xfrm>
                      <a:off x="0" y="0"/>
                      <a:ext cx="5843476" cy="6481573"/>
                    </a:xfrm>
                    <a:prstGeom prst="rect">
                      <a:avLst/>
                    </a:prstGeom>
                  </pic:spPr>
                </pic:pic>
              </a:graphicData>
            </a:graphic>
          </wp:inline>
        </w:drawing>
      </w:r>
    </w:p>
    <w:p w14:paraId="43A599AC">
      <w:pPr>
        <w:pStyle w:val="47"/>
        <w:snapToGrid w:val="0"/>
        <w:spacing w:line="360" w:lineRule="auto"/>
        <w:ind w:firstLine="0" w:firstLineChars="0"/>
        <w:contextualSpacing/>
        <w:rPr>
          <w:rFonts w:ascii="Times New Roman" w:hAnsi="Times New Roman" w:eastAsia="黑体"/>
          <w:b/>
          <w:color w:val="auto"/>
          <w:sz w:val="28"/>
          <w:szCs w:val="28"/>
          <w:highlight w:val="none"/>
        </w:rPr>
      </w:pPr>
      <w:r>
        <w:rPr>
          <w:color w:val="auto"/>
          <w:highlight w:val="none"/>
        </w:rPr>
        <w:drawing>
          <wp:inline distT="0" distB="0" distL="0" distR="0">
            <wp:extent cx="5867400" cy="12841605"/>
            <wp:effectExtent l="0" t="0" r="0" b="0"/>
            <wp:docPr id="1416472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72045" name="图片 1"/>
                    <pic:cNvPicPr>
                      <a:picLocks noChangeAspect="1"/>
                    </pic:cNvPicPr>
                  </pic:nvPicPr>
                  <pic:blipFill>
                    <a:blip r:embed="rId16"/>
                    <a:stretch>
                      <a:fillRect/>
                    </a:stretch>
                  </pic:blipFill>
                  <pic:spPr>
                    <a:xfrm>
                      <a:off x="0" y="0"/>
                      <a:ext cx="5877044" cy="12861677"/>
                    </a:xfrm>
                    <a:prstGeom prst="rect">
                      <a:avLst/>
                    </a:prstGeom>
                  </pic:spPr>
                </pic:pic>
              </a:graphicData>
            </a:graphic>
          </wp:inline>
        </w:drawing>
      </w:r>
    </w:p>
    <w:p w14:paraId="43052211">
      <w:pPr>
        <w:pStyle w:val="47"/>
        <w:snapToGrid w:val="0"/>
        <w:spacing w:line="360" w:lineRule="auto"/>
        <w:ind w:firstLine="0" w:firstLineChars="0"/>
        <w:contextualSpacing/>
        <w:jc w:val="center"/>
        <w:rPr>
          <w:rFonts w:ascii="Times New Roman" w:hAnsi="Times New Roman" w:eastAsia="黑体"/>
          <w:b/>
          <w:color w:val="auto"/>
          <w:sz w:val="28"/>
          <w:szCs w:val="28"/>
          <w:highlight w:val="none"/>
        </w:rPr>
      </w:pPr>
      <w:r>
        <w:rPr>
          <w:rFonts w:hint="eastAsia" w:ascii="Times New Roman" w:hAnsi="Times New Roman" w:eastAsia="黑体"/>
          <w:b/>
          <w:color w:val="auto"/>
          <w:sz w:val="28"/>
          <w:szCs w:val="28"/>
          <w:highlight w:val="none"/>
        </w:rPr>
        <w:t>十一、 工程所涉及的国家及地方标准</w:t>
      </w:r>
    </w:p>
    <w:p w14:paraId="36F8C410">
      <w:pPr>
        <w:pStyle w:val="47"/>
        <w:snapToGrid w:val="0"/>
        <w:spacing w:line="360" w:lineRule="auto"/>
        <w:ind w:left="420" w:firstLine="281" w:firstLineChars="100"/>
        <w:contextualSpacing/>
        <w:jc w:val="center"/>
        <w:rPr>
          <w:rFonts w:ascii="Times New Roman" w:hAnsi="Times New Roman" w:eastAsia="黑体"/>
          <w:b/>
          <w:color w:val="auto"/>
          <w:sz w:val="28"/>
          <w:szCs w:val="28"/>
          <w:highlight w:val="none"/>
        </w:rPr>
      </w:pPr>
    </w:p>
    <w:p w14:paraId="00866425">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承包单位应遵守有关工程设计的国家及地方标准、规范。包括但不限于：</w:t>
      </w:r>
    </w:p>
    <w:p w14:paraId="3EBC9A1C">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《民用建筑供暖通风与空气调节设计规范》</w:t>
      </w:r>
      <w:r>
        <w:rPr>
          <w:rFonts w:hint="eastAsia" w:ascii="宋体" w:hAnsi="宋体"/>
          <w:color w:val="auto"/>
          <w:szCs w:val="21"/>
          <w:highlight w:val="none"/>
        </w:rPr>
        <w:tab/>
      </w:r>
      <w:r>
        <w:rPr>
          <w:rFonts w:hint="eastAsia" w:ascii="宋体" w:hAnsi="宋体"/>
          <w:color w:val="auto"/>
          <w:szCs w:val="21"/>
          <w:highlight w:val="none"/>
        </w:rPr>
        <w:t>GB</w:t>
      </w:r>
      <w:r>
        <w:rPr>
          <w:rFonts w:hint="eastAsia" w:ascii="宋体" w:hAnsi="宋体"/>
          <w:color w:val="auto"/>
          <w:szCs w:val="21"/>
          <w:highlight w:val="none"/>
        </w:rPr>
        <w:tab/>
      </w:r>
      <w:r>
        <w:rPr>
          <w:rFonts w:hint="eastAsia" w:ascii="宋体" w:hAnsi="宋体"/>
          <w:color w:val="auto"/>
          <w:szCs w:val="21"/>
          <w:highlight w:val="none"/>
        </w:rPr>
        <w:t>50736-2012</w:t>
      </w:r>
    </w:p>
    <w:p w14:paraId="647106A0">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《工业建筑供暖通风与空气调节设计规范》</w:t>
      </w:r>
      <w:r>
        <w:rPr>
          <w:rFonts w:hint="eastAsia" w:ascii="宋体" w:hAnsi="宋体"/>
          <w:color w:val="auto"/>
          <w:szCs w:val="21"/>
          <w:highlight w:val="none"/>
        </w:rPr>
        <w:tab/>
      </w:r>
      <w:r>
        <w:rPr>
          <w:rFonts w:hint="eastAsia" w:ascii="宋体" w:hAnsi="宋体"/>
          <w:color w:val="auto"/>
          <w:szCs w:val="21"/>
          <w:highlight w:val="none"/>
        </w:rPr>
        <w:t>GB</w:t>
      </w:r>
      <w:r>
        <w:rPr>
          <w:rFonts w:hint="eastAsia" w:ascii="宋体" w:hAnsi="宋体"/>
          <w:color w:val="auto"/>
          <w:szCs w:val="21"/>
          <w:highlight w:val="none"/>
        </w:rPr>
        <w:tab/>
      </w:r>
      <w:r>
        <w:rPr>
          <w:rFonts w:hint="eastAsia" w:ascii="宋体" w:hAnsi="宋体"/>
          <w:color w:val="auto"/>
          <w:szCs w:val="21"/>
          <w:highlight w:val="none"/>
        </w:rPr>
        <w:t>50019-2015</w:t>
      </w:r>
    </w:p>
    <w:p w14:paraId="5F18275A">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《电子工业洁净厂房设计规范》 GB 50472-2008</w:t>
      </w:r>
    </w:p>
    <w:p w14:paraId="3CAA91DF">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《洁净厂房设计规范》</w:t>
      </w:r>
      <w:r>
        <w:rPr>
          <w:rFonts w:hint="eastAsia" w:ascii="宋体" w:hAnsi="宋体"/>
          <w:color w:val="auto"/>
          <w:szCs w:val="21"/>
          <w:highlight w:val="none"/>
        </w:rPr>
        <w:tab/>
      </w:r>
      <w:r>
        <w:rPr>
          <w:rFonts w:hint="eastAsia" w:ascii="宋体" w:hAnsi="宋体"/>
          <w:color w:val="auto"/>
          <w:szCs w:val="21"/>
          <w:highlight w:val="none"/>
        </w:rPr>
        <w:t>GB</w:t>
      </w:r>
      <w:r>
        <w:rPr>
          <w:rFonts w:hint="eastAsia" w:ascii="宋体" w:hAnsi="宋体"/>
          <w:color w:val="auto"/>
          <w:szCs w:val="21"/>
          <w:highlight w:val="none"/>
        </w:rPr>
        <w:tab/>
      </w:r>
      <w:r>
        <w:rPr>
          <w:rFonts w:hint="eastAsia" w:ascii="宋体" w:hAnsi="宋体"/>
          <w:color w:val="auto"/>
          <w:szCs w:val="21"/>
          <w:highlight w:val="none"/>
        </w:rPr>
        <w:t>50073-2013</w:t>
      </w:r>
    </w:p>
    <w:p w14:paraId="76AADA3F">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《洁净室施工及验收规范》 GB</w:t>
      </w:r>
      <w:r>
        <w:rPr>
          <w:rFonts w:hint="eastAsia" w:ascii="宋体" w:hAnsi="宋体"/>
          <w:color w:val="auto"/>
          <w:szCs w:val="21"/>
          <w:highlight w:val="none"/>
        </w:rPr>
        <w:tab/>
      </w:r>
      <w:r>
        <w:rPr>
          <w:rFonts w:hint="eastAsia" w:ascii="宋体" w:hAnsi="宋体"/>
          <w:color w:val="auto"/>
          <w:szCs w:val="21"/>
          <w:highlight w:val="none"/>
        </w:rPr>
        <w:t>50591-2010</w:t>
      </w:r>
    </w:p>
    <w:p w14:paraId="1383929C">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《建筑设计防火规范》</w:t>
      </w:r>
      <w:r>
        <w:rPr>
          <w:rFonts w:hint="eastAsia" w:ascii="宋体" w:hAnsi="宋体"/>
          <w:color w:val="auto"/>
          <w:szCs w:val="21"/>
          <w:highlight w:val="none"/>
        </w:rPr>
        <w:tab/>
      </w:r>
      <w:r>
        <w:rPr>
          <w:rFonts w:hint="eastAsia" w:ascii="宋体" w:hAnsi="宋体"/>
          <w:color w:val="auto"/>
          <w:szCs w:val="21"/>
          <w:highlight w:val="none"/>
        </w:rPr>
        <w:t>GB</w:t>
      </w:r>
      <w:r>
        <w:rPr>
          <w:rFonts w:hint="eastAsia" w:ascii="宋体" w:hAnsi="宋体"/>
          <w:color w:val="auto"/>
          <w:szCs w:val="21"/>
          <w:highlight w:val="none"/>
        </w:rPr>
        <w:tab/>
      </w:r>
      <w:r>
        <w:rPr>
          <w:rFonts w:hint="eastAsia" w:ascii="宋体" w:hAnsi="宋体"/>
          <w:color w:val="auto"/>
          <w:szCs w:val="21"/>
          <w:highlight w:val="none"/>
        </w:rPr>
        <w:t>50016-2014</w:t>
      </w:r>
    </w:p>
    <w:p w14:paraId="399C178E">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《建筑防烟排烟系统技术标准》</w:t>
      </w:r>
      <w:r>
        <w:rPr>
          <w:rFonts w:hint="eastAsia" w:ascii="宋体" w:hAnsi="宋体"/>
          <w:color w:val="auto"/>
          <w:szCs w:val="21"/>
          <w:highlight w:val="none"/>
        </w:rPr>
        <w:tab/>
      </w:r>
      <w:r>
        <w:rPr>
          <w:rFonts w:hint="eastAsia" w:ascii="宋体" w:hAnsi="宋体"/>
          <w:color w:val="auto"/>
          <w:szCs w:val="21"/>
          <w:highlight w:val="none"/>
        </w:rPr>
        <w:t>GB</w:t>
      </w:r>
      <w:r>
        <w:rPr>
          <w:rFonts w:hint="eastAsia" w:ascii="宋体" w:hAnsi="宋体"/>
          <w:color w:val="auto"/>
          <w:szCs w:val="21"/>
          <w:highlight w:val="none"/>
        </w:rPr>
        <w:tab/>
      </w:r>
      <w:r>
        <w:rPr>
          <w:rFonts w:hint="eastAsia" w:ascii="宋体" w:hAnsi="宋体"/>
          <w:color w:val="auto"/>
          <w:szCs w:val="21"/>
          <w:highlight w:val="none"/>
        </w:rPr>
        <w:t>51251-2017</w:t>
      </w:r>
    </w:p>
    <w:p w14:paraId="344074DC">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《建筑机电工程抗震设计规范》</w:t>
      </w:r>
      <w:r>
        <w:rPr>
          <w:rFonts w:hint="eastAsia" w:ascii="宋体" w:hAnsi="宋体"/>
          <w:color w:val="auto"/>
          <w:szCs w:val="21"/>
          <w:highlight w:val="none"/>
        </w:rPr>
        <w:tab/>
      </w:r>
      <w:r>
        <w:rPr>
          <w:rFonts w:hint="eastAsia" w:ascii="宋体" w:hAnsi="宋体"/>
          <w:color w:val="auto"/>
          <w:szCs w:val="21"/>
          <w:highlight w:val="none"/>
        </w:rPr>
        <w:t>GB</w:t>
      </w:r>
      <w:r>
        <w:rPr>
          <w:rFonts w:hint="eastAsia" w:ascii="宋体" w:hAnsi="宋体"/>
          <w:color w:val="auto"/>
          <w:szCs w:val="21"/>
          <w:highlight w:val="none"/>
        </w:rPr>
        <w:tab/>
      </w:r>
      <w:r>
        <w:rPr>
          <w:rFonts w:hint="eastAsia" w:ascii="宋体" w:hAnsi="宋体"/>
          <w:color w:val="auto"/>
          <w:szCs w:val="21"/>
          <w:highlight w:val="none"/>
        </w:rPr>
        <w:t>50981-2014</w:t>
      </w:r>
    </w:p>
    <w:p w14:paraId="27CFE055">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《工业建筑节能设计统一标准》</w:t>
      </w:r>
      <w:r>
        <w:rPr>
          <w:rFonts w:hint="eastAsia" w:ascii="宋体" w:hAnsi="宋体"/>
          <w:color w:val="auto"/>
          <w:szCs w:val="21"/>
          <w:highlight w:val="none"/>
        </w:rPr>
        <w:tab/>
      </w:r>
      <w:r>
        <w:rPr>
          <w:rFonts w:hint="eastAsia" w:ascii="宋体" w:hAnsi="宋体"/>
          <w:color w:val="auto"/>
          <w:szCs w:val="21"/>
          <w:highlight w:val="none"/>
        </w:rPr>
        <w:t>GB</w:t>
      </w:r>
      <w:r>
        <w:rPr>
          <w:rFonts w:hint="eastAsia" w:ascii="宋体" w:hAnsi="宋体"/>
          <w:color w:val="auto"/>
          <w:szCs w:val="21"/>
          <w:highlight w:val="none"/>
        </w:rPr>
        <w:tab/>
      </w:r>
      <w:r>
        <w:rPr>
          <w:rFonts w:hint="eastAsia" w:ascii="宋体" w:hAnsi="宋体"/>
          <w:color w:val="auto"/>
          <w:szCs w:val="21"/>
          <w:highlight w:val="none"/>
        </w:rPr>
        <w:t>51245-2017</w:t>
      </w:r>
    </w:p>
    <w:p w14:paraId="6CDDF07F">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《建筑内部装修设计防火规范》</w:t>
      </w:r>
      <w:r>
        <w:rPr>
          <w:rFonts w:hint="eastAsia" w:ascii="宋体" w:hAnsi="宋体"/>
          <w:color w:val="auto"/>
          <w:szCs w:val="21"/>
          <w:highlight w:val="none"/>
        </w:rPr>
        <w:tab/>
      </w:r>
      <w:r>
        <w:rPr>
          <w:rFonts w:hint="eastAsia" w:ascii="宋体" w:hAnsi="宋体"/>
          <w:color w:val="auto"/>
          <w:szCs w:val="21"/>
          <w:highlight w:val="none"/>
        </w:rPr>
        <w:t>GB</w:t>
      </w:r>
      <w:r>
        <w:rPr>
          <w:rFonts w:hint="eastAsia" w:ascii="宋体" w:hAnsi="宋体"/>
          <w:color w:val="auto"/>
          <w:szCs w:val="21"/>
          <w:highlight w:val="none"/>
        </w:rPr>
        <w:tab/>
      </w:r>
      <w:r>
        <w:rPr>
          <w:rFonts w:hint="eastAsia" w:ascii="宋体" w:hAnsi="宋体"/>
          <w:color w:val="auto"/>
          <w:szCs w:val="21"/>
          <w:highlight w:val="none"/>
        </w:rPr>
        <w:t>50222-2015</w:t>
      </w:r>
    </w:p>
    <w:p w14:paraId="19602D41">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《电子工程防静电设计规范》</w:t>
      </w:r>
      <w:r>
        <w:rPr>
          <w:rFonts w:hint="eastAsia" w:ascii="宋体" w:hAnsi="宋体"/>
          <w:color w:val="auto"/>
          <w:szCs w:val="21"/>
          <w:highlight w:val="none"/>
        </w:rPr>
        <w:tab/>
      </w:r>
      <w:r>
        <w:rPr>
          <w:rFonts w:hint="eastAsia" w:ascii="宋体" w:hAnsi="宋体"/>
          <w:color w:val="auto"/>
          <w:szCs w:val="21"/>
          <w:highlight w:val="none"/>
        </w:rPr>
        <w:t>GB</w:t>
      </w:r>
      <w:r>
        <w:rPr>
          <w:rFonts w:hint="eastAsia" w:ascii="宋体" w:hAnsi="宋体"/>
          <w:color w:val="auto"/>
          <w:szCs w:val="21"/>
          <w:highlight w:val="none"/>
        </w:rPr>
        <w:tab/>
      </w:r>
      <w:r>
        <w:rPr>
          <w:rFonts w:hint="eastAsia" w:ascii="宋体" w:hAnsi="宋体"/>
          <w:color w:val="auto"/>
          <w:szCs w:val="21"/>
          <w:highlight w:val="none"/>
        </w:rPr>
        <w:t>50611-2010</w:t>
      </w:r>
    </w:p>
    <w:p w14:paraId="19B4C67F">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《通风与空调工程施工规范》</w:t>
      </w:r>
      <w:r>
        <w:rPr>
          <w:rFonts w:hint="eastAsia" w:ascii="宋体" w:hAnsi="宋体"/>
          <w:color w:val="auto"/>
          <w:szCs w:val="21"/>
          <w:highlight w:val="none"/>
        </w:rPr>
        <w:tab/>
      </w:r>
      <w:r>
        <w:rPr>
          <w:rFonts w:hint="eastAsia" w:ascii="宋体" w:hAnsi="宋体"/>
          <w:color w:val="auto"/>
          <w:szCs w:val="21"/>
          <w:highlight w:val="none"/>
        </w:rPr>
        <w:t>GB50738-2011</w:t>
      </w:r>
    </w:p>
    <w:p w14:paraId="472FAC3C">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《机械设备安装工程施工及验收通用规范》</w:t>
      </w:r>
      <w:r>
        <w:rPr>
          <w:rFonts w:hint="eastAsia" w:ascii="宋体" w:hAnsi="宋体"/>
          <w:color w:val="auto"/>
          <w:szCs w:val="21"/>
          <w:highlight w:val="none"/>
        </w:rPr>
        <w:tab/>
      </w:r>
      <w:r>
        <w:rPr>
          <w:rFonts w:hint="eastAsia" w:ascii="宋体" w:hAnsi="宋体"/>
          <w:color w:val="auto"/>
          <w:szCs w:val="21"/>
          <w:highlight w:val="none"/>
        </w:rPr>
        <w:t>GB 50231-2009</w:t>
      </w:r>
    </w:p>
    <w:p w14:paraId="0AEF592F">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《风机、压缩机、泵安装工程施工及验收规范》 GB 50275-2010</w:t>
      </w:r>
    </w:p>
    <w:p w14:paraId="1B3D1C52">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《工业设备及管道绝热工程施工规范》</w:t>
      </w:r>
      <w:r>
        <w:rPr>
          <w:rFonts w:hint="eastAsia" w:ascii="宋体" w:hAnsi="宋体"/>
          <w:color w:val="auto"/>
          <w:szCs w:val="21"/>
          <w:highlight w:val="none"/>
        </w:rPr>
        <w:tab/>
      </w:r>
      <w:r>
        <w:rPr>
          <w:rFonts w:hint="eastAsia" w:ascii="宋体" w:hAnsi="宋体"/>
          <w:color w:val="auto"/>
          <w:szCs w:val="21"/>
          <w:highlight w:val="none"/>
        </w:rPr>
        <w:t>GB 50126-2008</w:t>
      </w:r>
    </w:p>
    <w:p w14:paraId="12742AC4">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《工业金属管道工程施工规范》</w:t>
      </w:r>
      <w:r>
        <w:rPr>
          <w:rFonts w:hint="eastAsia" w:ascii="宋体" w:hAnsi="宋体"/>
          <w:color w:val="auto"/>
          <w:szCs w:val="21"/>
          <w:highlight w:val="none"/>
        </w:rPr>
        <w:tab/>
      </w:r>
      <w:r>
        <w:rPr>
          <w:rFonts w:hint="eastAsia" w:ascii="宋体" w:hAnsi="宋体"/>
          <w:color w:val="auto"/>
          <w:szCs w:val="21"/>
          <w:highlight w:val="none"/>
        </w:rPr>
        <w:t>GB 50235-2010</w:t>
      </w:r>
    </w:p>
    <w:p w14:paraId="0D9964CB">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《工业金属管道工程施工质量验收规范》</w:t>
      </w:r>
      <w:r>
        <w:rPr>
          <w:rFonts w:hint="eastAsia" w:ascii="宋体" w:hAnsi="宋体"/>
          <w:color w:val="auto"/>
          <w:szCs w:val="21"/>
          <w:highlight w:val="none"/>
        </w:rPr>
        <w:tab/>
      </w:r>
      <w:r>
        <w:rPr>
          <w:rFonts w:hint="eastAsia" w:ascii="宋体" w:hAnsi="宋体"/>
          <w:color w:val="auto"/>
          <w:szCs w:val="21"/>
          <w:highlight w:val="none"/>
        </w:rPr>
        <w:t>GB 50184-2011</w:t>
      </w:r>
    </w:p>
    <w:p w14:paraId="50BC6D14">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《现场设备、工业管道焊接工程施工规范》</w:t>
      </w:r>
      <w:r>
        <w:rPr>
          <w:rFonts w:hint="eastAsia" w:ascii="宋体" w:hAnsi="宋体"/>
          <w:color w:val="auto"/>
          <w:szCs w:val="21"/>
          <w:highlight w:val="none"/>
        </w:rPr>
        <w:tab/>
      </w:r>
      <w:r>
        <w:rPr>
          <w:rFonts w:hint="eastAsia" w:ascii="宋体" w:hAnsi="宋体"/>
          <w:color w:val="auto"/>
          <w:szCs w:val="21"/>
          <w:highlight w:val="none"/>
        </w:rPr>
        <w:t>GB 50236-2011</w:t>
      </w:r>
    </w:p>
    <w:p w14:paraId="67B16DFB">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《现场设备、工业管道焊接工程施工质量验收规范》GB50683-2011</w:t>
      </w:r>
    </w:p>
    <w:p w14:paraId="1CD52E99">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《工业管道的基本识别色、识别符号和安全标识》</w:t>
      </w:r>
      <w:r>
        <w:rPr>
          <w:rFonts w:hint="eastAsia" w:ascii="宋体" w:hAnsi="宋体"/>
          <w:color w:val="auto"/>
          <w:szCs w:val="21"/>
          <w:highlight w:val="none"/>
        </w:rPr>
        <w:tab/>
      </w:r>
      <w:r>
        <w:rPr>
          <w:rFonts w:hint="eastAsia" w:ascii="宋体" w:hAnsi="宋体"/>
          <w:color w:val="auto"/>
          <w:szCs w:val="21"/>
          <w:highlight w:val="none"/>
        </w:rPr>
        <w:t>GB 7231－2003</w:t>
      </w:r>
    </w:p>
    <w:p w14:paraId="39695316">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《电子工业废水废气处理工程施工及验收规范》</w:t>
      </w:r>
      <w:r>
        <w:rPr>
          <w:rFonts w:hint="eastAsia" w:ascii="宋体" w:hAnsi="宋体"/>
          <w:color w:val="auto"/>
          <w:szCs w:val="21"/>
          <w:highlight w:val="none"/>
        </w:rPr>
        <w:tab/>
      </w:r>
      <w:r>
        <w:rPr>
          <w:rFonts w:hint="eastAsia" w:ascii="宋体" w:hAnsi="宋体"/>
          <w:color w:val="auto"/>
          <w:szCs w:val="21"/>
          <w:highlight w:val="none"/>
        </w:rPr>
        <w:t>GB 51137-2015</w:t>
      </w:r>
    </w:p>
    <w:p w14:paraId="18A552FA">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《抗震支吊架安装及验收规范》</w:t>
      </w:r>
      <w:r>
        <w:rPr>
          <w:rFonts w:hint="eastAsia" w:ascii="宋体" w:hAnsi="宋体"/>
          <w:color w:val="auto"/>
          <w:szCs w:val="21"/>
          <w:highlight w:val="none"/>
        </w:rPr>
        <w:tab/>
      </w:r>
      <w:r>
        <w:rPr>
          <w:rFonts w:hint="eastAsia" w:ascii="宋体" w:hAnsi="宋体"/>
          <w:color w:val="auto"/>
          <w:szCs w:val="21"/>
          <w:highlight w:val="none"/>
        </w:rPr>
        <w:t>CECS 420-2015</w:t>
      </w:r>
    </w:p>
    <w:p w14:paraId="196D0E73">
      <w:pPr>
        <w:snapToGrid w:val="0"/>
        <w:spacing w:line="360" w:lineRule="auto"/>
        <w:contextualSpacing/>
        <w:rPr>
          <w:rFonts w:hint="eastAsia" w:ascii="宋体" w:hAnsi="宋体"/>
          <w:color w:val="auto"/>
          <w:szCs w:val="21"/>
          <w:highlight w:val="none"/>
        </w:rPr>
      </w:pPr>
      <w:r>
        <w:rPr>
          <w:rFonts w:hint="eastAsia" w:ascii="宋体" w:hAnsi="宋体"/>
          <w:color w:val="auto"/>
          <w:szCs w:val="21"/>
          <w:highlight w:val="none"/>
        </w:rPr>
        <w:t>《建筑设计防火规范》</w:t>
      </w:r>
      <w:r>
        <w:rPr>
          <w:rFonts w:hint="eastAsia" w:ascii="宋体" w:hAnsi="宋体"/>
          <w:color w:val="auto"/>
          <w:szCs w:val="21"/>
          <w:highlight w:val="none"/>
        </w:rPr>
        <w:tab/>
      </w:r>
      <w:r>
        <w:rPr>
          <w:rFonts w:hint="eastAsia" w:ascii="宋体" w:hAnsi="宋体"/>
          <w:color w:val="auto"/>
          <w:szCs w:val="21"/>
          <w:highlight w:val="none"/>
        </w:rPr>
        <w:t>GB 50016 -2014</w:t>
      </w:r>
    </w:p>
    <w:p w14:paraId="07D00C26">
      <w:pPr>
        <w:rPr>
          <w:color w:val="auto"/>
          <w:highlight w:val="none"/>
        </w:rPr>
      </w:pPr>
    </w:p>
    <w:bookmarkEnd w:id="161"/>
    <w:p w14:paraId="536ED463">
      <w:pPr>
        <w:rPr>
          <w:color w:val="auto"/>
          <w:highlight w:val="none"/>
        </w:rPr>
      </w:pPr>
    </w:p>
    <w:p w14:paraId="5DD6B7D9">
      <w:pPr>
        <w:rPr>
          <w:color w:val="auto"/>
          <w:highlight w:val="none"/>
        </w:rPr>
      </w:pPr>
    </w:p>
    <w:p w14:paraId="1157F087">
      <w:pPr>
        <w:pStyle w:val="41"/>
        <w:numPr>
          <w:ilvl w:val="0"/>
          <w:numId w:val="0"/>
        </w:numPr>
        <w:rPr>
          <w:rFonts w:hint="eastAsia"/>
          <w:color w:val="auto"/>
          <w:highlight w:val="none"/>
        </w:rPr>
      </w:pPr>
      <w:bookmarkStart w:id="180" w:name="_Toc54862353"/>
      <w:bookmarkStart w:id="181" w:name="_Toc20171894"/>
      <w:r>
        <w:rPr>
          <w:rFonts w:hint="eastAsia"/>
          <w:color w:val="auto"/>
          <w:highlight w:val="none"/>
        </w:rPr>
        <w:t>附件2</w:t>
      </w:r>
      <w:r>
        <w:rPr>
          <w:color w:val="auto"/>
          <w:highlight w:val="none"/>
        </w:rPr>
        <w:t xml:space="preserve"> 发包人供应材料设备一览表</w:t>
      </w:r>
      <w:bookmarkEnd w:id="180"/>
      <w:bookmarkEnd w:id="181"/>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1165"/>
        <w:gridCol w:w="1126"/>
        <w:gridCol w:w="567"/>
        <w:gridCol w:w="686"/>
        <w:gridCol w:w="992"/>
        <w:gridCol w:w="1134"/>
        <w:gridCol w:w="1134"/>
        <w:gridCol w:w="1134"/>
        <w:gridCol w:w="709"/>
      </w:tblGrid>
      <w:tr w14:paraId="0A15E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52" w:type="dxa"/>
            <w:tcBorders>
              <w:top w:val="single" w:color="auto" w:sz="12" w:space="0"/>
              <w:bottom w:val="double" w:color="auto" w:sz="6" w:space="0"/>
            </w:tcBorders>
            <w:vAlign w:val="center"/>
          </w:tcPr>
          <w:p w14:paraId="75B325B5">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序号</w:t>
            </w:r>
          </w:p>
        </w:tc>
        <w:tc>
          <w:tcPr>
            <w:tcW w:w="1165" w:type="dxa"/>
            <w:tcBorders>
              <w:top w:val="single" w:color="auto" w:sz="12" w:space="0"/>
              <w:bottom w:val="double" w:color="auto" w:sz="6" w:space="0"/>
            </w:tcBorders>
            <w:vAlign w:val="center"/>
          </w:tcPr>
          <w:p w14:paraId="74BA9992">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材料、设备品种</w:t>
            </w:r>
          </w:p>
        </w:tc>
        <w:tc>
          <w:tcPr>
            <w:tcW w:w="1126" w:type="dxa"/>
            <w:tcBorders>
              <w:top w:val="single" w:color="auto" w:sz="12" w:space="0"/>
              <w:bottom w:val="double" w:color="auto" w:sz="6" w:space="0"/>
            </w:tcBorders>
            <w:vAlign w:val="center"/>
          </w:tcPr>
          <w:p w14:paraId="35A269F4">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规格型号</w:t>
            </w:r>
          </w:p>
        </w:tc>
        <w:tc>
          <w:tcPr>
            <w:tcW w:w="567" w:type="dxa"/>
            <w:tcBorders>
              <w:top w:val="single" w:color="auto" w:sz="12" w:space="0"/>
              <w:bottom w:val="double" w:color="auto" w:sz="6" w:space="0"/>
            </w:tcBorders>
            <w:vAlign w:val="center"/>
          </w:tcPr>
          <w:p w14:paraId="32C78F7B">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单位</w:t>
            </w:r>
          </w:p>
        </w:tc>
        <w:tc>
          <w:tcPr>
            <w:tcW w:w="686" w:type="dxa"/>
            <w:tcBorders>
              <w:top w:val="single" w:color="auto" w:sz="12" w:space="0"/>
              <w:bottom w:val="double" w:color="auto" w:sz="6" w:space="0"/>
            </w:tcBorders>
            <w:vAlign w:val="center"/>
          </w:tcPr>
          <w:p w14:paraId="2CD8335B">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数量</w:t>
            </w:r>
          </w:p>
        </w:tc>
        <w:tc>
          <w:tcPr>
            <w:tcW w:w="992" w:type="dxa"/>
            <w:tcBorders>
              <w:top w:val="single" w:color="auto" w:sz="12" w:space="0"/>
              <w:bottom w:val="double" w:color="auto" w:sz="6" w:space="0"/>
            </w:tcBorders>
            <w:vAlign w:val="center"/>
          </w:tcPr>
          <w:p w14:paraId="7D370372">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单价（元）</w:t>
            </w:r>
          </w:p>
        </w:tc>
        <w:tc>
          <w:tcPr>
            <w:tcW w:w="1134" w:type="dxa"/>
            <w:tcBorders>
              <w:top w:val="single" w:color="auto" w:sz="12" w:space="0"/>
              <w:bottom w:val="double" w:color="auto" w:sz="6" w:space="0"/>
            </w:tcBorders>
            <w:vAlign w:val="center"/>
          </w:tcPr>
          <w:p w14:paraId="428C2101">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质量等级</w:t>
            </w:r>
          </w:p>
        </w:tc>
        <w:tc>
          <w:tcPr>
            <w:tcW w:w="1134" w:type="dxa"/>
            <w:tcBorders>
              <w:top w:val="single" w:color="auto" w:sz="12" w:space="0"/>
              <w:bottom w:val="double" w:color="auto" w:sz="6" w:space="0"/>
            </w:tcBorders>
            <w:vAlign w:val="center"/>
          </w:tcPr>
          <w:p w14:paraId="14DAEF1E">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供应时间</w:t>
            </w:r>
          </w:p>
        </w:tc>
        <w:tc>
          <w:tcPr>
            <w:tcW w:w="1134" w:type="dxa"/>
            <w:tcBorders>
              <w:top w:val="single" w:color="auto" w:sz="12" w:space="0"/>
              <w:bottom w:val="double" w:color="auto" w:sz="6" w:space="0"/>
            </w:tcBorders>
            <w:vAlign w:val="center"/>
          </w:tcPr>
          <w:p w14:paraId="2E141DE1">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送达地点</w:t>
            </w:r>
          </w:p>
        </w:tc>
        <w:tc>
          <w:tcPr>
            <w:tcW w:w="709" w:type="dxa"/>
            <w:tcBorders>
              <w:top w:val="single" w:color="auto" w:sz="12" w:space="0"/>
              <w:bottom w:val="double" w:color="auto" w:sz="6" w:space="0"/>
            </w:tcBorders>
            <w:vAlign w:val="center"/>
          </w:tcPr>
          <w:p w14:paraId="54CAFB42">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备注</w:t>
            </w:r>
          </w:p>
        </w:tc>
      </w:tr>
      <w:tr w14:paraId="3023E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double" w:color="auto" w:sz="6" w:space="0"/>
              <w:bottom w:val="single" w:color="auto" w:sz="6" w:space="0"/>
            </w:tcBorders>
            <w:vAlign w:val="center"/>
          </w:tcPr>
          <w:p w14:paraId="055EC8C9">
            <w:pPr>
              <w:pStyle w:val="9"/>
              <w:rPr>
                <w:rFonts w:ascii="仿宋_GB2312" w:eastAsia="仿宋_GB2312"/>
                <w:color w:val="auto"/>
                <w:highlight w:val="none"/>
              </w:rPr>
            </w:pPr>
          </w:p>
        </w:tc>
        <w:tc>
          <w:tcPr>
            <w:tcW w:w="1165" w:type="dxa"/>
            <w:tcBorders>
              <w:top w:val="double" w:color="auto" w:sz="6" w:space="0"/>
              <w:bottom w:val="single" w:color="auto" w:sz="6" w:space="0"/>
            </w:tcBorders>
            <w:vAlign w:val="center"/>
          </w:tcPr>
          <w:p w14:paraId="20496BBD">
            <w:pPr>
              <w:pStyle w:val="9"/>
              <w:rPr>
                <w:rFonts w:ascii="仿宋_GB2312" w:eastAsia="仿宋_GB2312"/>
                <w:color w:val="auto"/>
                <w:highlight w:val="none"/>
              </w:rPr>
            </w:pPr>
          </w:p>
        </w:tc>
        <w:tc>
          <w:tcPr>
            <w:tcW w:w="1126" w:type="dxa"/>
            <w:tcBorders>
              <w:top w:val="double" w:color="auto" w:sz="6" w:space="0"/>
              <w:bottom w:val="single" w:color="auto" w:sz="6" w:space="0"/>
            </w:tcBorders>
            <w:vAlign w:val="center"/>
          </w:tcPr>
          <w:p w14:paraId="3BB6E549">
            <w:pPr>
              <w:pStyle w:val="9"/>
              <w:rPr>
                <w:rFonts w:ascii="仿宋_GB2312" w:eastAsia="仿宋_GB2312"/>
                <w:color w:val="auto"/>
                <w:highlight w:val="none"/>
              </w:rPr>
            </w:pPr>
          </w:p>
        </w:tc>
        <w:tc>
          <w:tcPr>
            <w:tcW w:w="567" w:type="dxa"/>
            <w:tcBorders>
              <w:top w:val="double" w:color="auto" w:sz="6" w:space="0"/>
              <w:bottom w:val="single" w:color="auto" w:sz="6" w:space="0"/>
            </w:tcBorders>
            <w:vAlign w:val="center"/>
          </w:tcPr>
          <w:p w14:paraId="72870120">
            <w:pPr>
              <w:pStyle w:val="9"/>
              <w:rPr>
                <w:rFonts w:ascii="仿宋_GB2312" w:eastAsia="仿宋_GB2312"/>
                <w:color w:val="auto"/>
                <w:highlight w:val="none"/>
              </w:rPr>
            </w:pPr>
          </w:p>
        </w:tc>
        <w:tc>
          <w:tcPr>
            <w:tcW w:w="686" w:type="dxa"/>
            <w:tcBorders>
              <w:top w:val="double" w:color="auto" w:sz="6" w:space="0"/>
              <w:bottom w:val="single" w:color="auto" w:sz="6" w:space="0"/>
            </w:tcBorders>
            <w:vAlign w:val="center"/>
          </w:tcPr>
          <w:p w14:paraId="40432023">
            <w:pPr>
              <w:pStyle w:val="9"/>
              <w:rPr>
                <w:rFonts w:ascii="仿宋_GB2312" w:eastAsia="仿宋_GB2312"/>
                <w:color w:val="auto"/>
                <w:highlight w:val="none"/>
              </w:rPr>
            </w:pPr>
          </w:p>
        </w:tc>
        <w:tc>
          <w:tcPr>
            <w:tcW w:w="992" w:type="dxa"/>
            <w:tcBorders>
              <w:top w:val="double" w:color="auto" w:sz="6" w:space="0"/>
              <w:bottom w:val="single" w:color="auto" w:sz="6" w:space="0"/>
            </w:tcBorders>
          </w:tcPr>
          <w:p w14:paraId="6A34ADC3">
            <w:pPr>
              <w:pStyle w:val="9"/>
              <w:rPr>
                <w:rFonts w:ascii="仿宋_GB2312" w:eastAsia="仿宋_GB2312"/>
                <w:color w:val="auto"/>
                <w:highlight w:val="none"/>
              </w:rPr>
            </w:pPr>
          </w:p>
        </w:tc>
        <w:tc>
          <w:tcPr>
            <w:tcW w:w="1134" w:type="dxa"/>
            <w:tcBorders>
              <w:top w:val="double" w:color="auto" w:sz="6" w:space="0"/>
              <w:bottom w:val="single" w:color="auto" w:sz="6" w:space="0"/>
            </w:tcBorders>
            <w:vAlign w:val="center"/>
          </w:tcPr>
          <w:p w14:paraId="01FB03E3">
            <w:pPr>
              <w:pStyle w:val="9"/>
              <w:rPr>
                <w:rFonts w:ascii="仿宋_GB2312" w:eastAsia="仿宋_GB2312"/>
                <w:color w:val="auto"/>
                <w:highlight w:val="none"/>
              </w:rPr>
            </w:pPr>
          </w:p>
        </w:tc>
        <w:tc>
          <w:tcPr>
            <w:tcW w:w="1134" w:type="dxa"/>
            <w:tcBorders>
              <w:top w:val="double" w:color="auto" w:sz="6" w:space="0"/>
              <w:bottom w:val="single" w:color="auto" w:sz="6" w:space="0"/>
            </w:tcBorders>
            <w:vAlign w:val="center"/>
          </w:tcPr>
          <w:p w14:paraId="15D0BA1D">
            <w:pPr>
              <w:pStyle w:val="9"/>
              <w:rPr>
                <w:rFonts w:ascii="仿宋_GB2312" w:eastAsia="仿宋_GB2312"/>
                <w:color w:val="auto"/>
                <w:highlight w:val="none"/>
              </w:rPr>
            </w:pPr>
          </w:p>
        </w:tc>
        <w:tc>
          <w:tcPr>
            <w:tcW w:w="1134" w:type="dxa"/>
            <w:tcBorders>
              <w:top w:val="double" w:color="auto" w:sz="6" w:space="0"/>
              <w:bottom w:val="single" w:color="auto" w:sz="6" w:space="0"/>
            </w:tcBorders>
            <w:vAlign w:val="center"/>
          </w:tcPr>
          <w:p w14:paraId="0380A92E">
            <w:pPr>
              <w:pStyle w:val="9"/>
              <w:rPr>
                <w:rFonts w:ascii="仿宋_GB2312" w:eastAsia="仿宋_GB2312"/>
                <w:color w:val="auto"/>
                <w:highlight w:val="none"/>
              </w:rPr>
            </w:pPr>
          </w:p>
        </w:tc>
        <w:tc>
          <w:tcPr>
            <w:tcW w:w="709" w:type="dxa"/>
            <w:tcBorders>
              <w:top w:val="double" w:color="auto" w:sz="6" w:space="0"/>
              <w:bottom w:val="single" w:color="auto" w:sz="6" w:space="0"/>
            </w:tcBorders>
            <w:vAlign w:val="center"/>
          </w:tcPr>
          <w:p w14:paraId="79E70E7E">
            <w:pPr>
              <w:pStyle w:val="9"/>
              <w:rPr>
                <w:rFonts w:ascii="仿宋_GB2312" w:eastAsia="仿宋_GB2312"/>
                <w:color w:val="auto"/>
                <w:highlight w:val="none"/>
              </w:rPr>
            </w:pPr>
          </w:p>
        </w:tc>
      </w:tr>
      <w:tr w14:paraId="2F7F6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nil"/>
            </w:tcBorders>
            <w:vAlign w:val="center"/>
          </w:tcPr>
          <w:p w14:paraId="6D775461">
            <w:pPr>
              <w:pStyle w:val="9"/>
              <w:rPr>
                <w:rFonts w:ascii="仿宋_GB2312" w:eastAsia="仿宋_GB2312"/>
                <w:color w:val="auto"/>
                <w:highlight w:val="none"/>
              </w:rPr>
            </w:pPr>
          </w:p>
        </w:tc>
        <w:tc>
          <w:tcPr>
            <w:tcW w:w="1165" w:type="dxa"/>
            <w:tcBorders>
              <w:top w:val="nil"/>
            </w:tcBorders>
            <w:vAlign w:val="center"/>
          </w:tcPr>
          <w:p w14:paraId="15ECEC40">
            <w:pPr>
              <w:pStyle w:val="9"/>
              <w:rPr>
                <w:rFonts w:ascii="仿宋_GB2312" w:eastAsia="仿宋_GB2312"/>
                <w:color w:val="auto"/>
                <w:highlight w:val="none"/>
              </w:rPr>
            </w:pPr>
          </w:p>
        </w:tc>
        <w:tc>
          <w:tcPr>
            <w:tcW w:w="1126" w:type="dxa"/>
            <w:tcBorders>
              <w:top w:val="nil"/>
            </w:tcBorders>
            <w:vAlign w:val="center"/>
          </w:tcPr>
          <w:p w14:paraId="3D301304">
            <w:pPr>
              <w:pStyle w:val="9"/>
              <w:rPr>
                <w:rFonts w:ascii="仿宋_GB2312" w:eastAsia="仿宋_GB2312"/>
                <w:color w:val="auto"/>
                <w:highlight w:val="none"/>
              </w:rPr>
            </w:pPr>
          </w:p>
        </w:tc>
        <w:tc>
          <w:tcPr>
            <w:tcW w:w="567" w:type="dxa"/>
            <w:tcBorders>
              <w:top w:val="nil"/>
            </w:tcBorders>
            <w:vAlign w:val="center"/>
          </w:tcPr>
          <w:p w14:paraId="78564A08">
            <w:pPr>
              <w:pStyle w:val="9"/>
              <w:rPr>
                <w:rFonts w:ascii="仿宋_GB2312" w:eastAsia="仿宋_GB2312"/>
                <w:color w:val="auto"/>
                <w:highlight w:val="none"/>
              </w:rPr>
            </w:pPr>
          </w:p>
        </w:tc>
        <w:tc>
          <w:tcPr>
            <w:tcW w:w="686" w:type="dxa"/>
            <w:tcBorders>
              <w:top w:val="nil"/>
            </w:tcBorders>
            <w:vAlign w:val="center"/>
          </w:tcPr>
          <w:p w14:paraId="2162FCFC">
            <w:pPr>
              <w:pStyle w:val="9"/>
              <w:rPr>
                <w:rFonts w:ascii="仿宋_GB2312" w:eastAsia="仿宋_GB2312"/>
                <w:color w:val="auto"/>
                <w:highlight w:val="none"/>
              </w:rPr>
            </w:pPr>
          </w:p>
        </w:tc>
        <w:tc>
          <w:tcPr>
            <w:tcW w:w="992" w:type="dxa"/>
            <w:tcBorders>
              <w:top w:val="nil"/>
            </w:tcBorders>
          </w:tcPr>
          <w:p w14:paraId="6D900E8F">
            <w:pPr>
              <w:pStyle w:val="9"/>
              <w:rPr>
                <w:rFonts w:ascii="仿宋_GB2312" w:eastAsia="仿宋_GB2312"/>
                <w:color w:val="auto"/>
                <w:highlight w:val="none"/>
              </w:rPr>
            </w:pPr>
          </w:p>
        </w:tc>
        <w:tc>
          <w:tcPr>
            <w:tcW w:w="1134" w:type="dxa"/>
            <w:tcBorders>
              <w:top w:val="nil"/>
            </w:tcBorders>
            <w:vAlign w:val="center"/>
          </w:tcPr>
          <w:p w14:paraId="4A8B7AEF">
            <w:pPr>
              <w:pStyle w:val="9"/>
              <w:rPr>
                <w:rFonts w:ascii="仿宋_GB2312" w:eastAsia="仿宋_GB2312"/>
                <w:color w:val="auto"/>
                <w:highlight w:val="none"/>
              </w:rPr>
            </w:pPr>
          </w:p>
        </w:tc>
        <w:tc>
          <w:tcPr>
            <w:tcW w:w="1134" w:type="dxa"/>
            <w:tcBorders>
              <w:top w:val="nil"/>
            </w:tcBorders>
            <w:vAlign w:val="center"/>
          </w:tcPr>
          <w:p w14:paraId="63F80DBF">
            <w:pPr>
              <w:pStyle w:val="9"/>
              <w:rPr>
                <w:rFonts w:ascii="仿宋_GB2312" w:eastAsia="仿宋_GB2312"/>
                <w:color w:val="auto"/>
                <w:highlight w:val="none"/>
              </w:rPr>
            </w:pPr>
          </w:p>
        </w:tc>
        <w:tc>
          <w:tcPr>
            <w:tcW w:w="1134" w:type="dxa"/>
            <w:tcBorders>
              <w:top w:val="nil"/>
            </w:tcBorders>
            <w:vAlign w:val="center"/>
          </w:tcPr>
          <w:p w14:paraId="3E3439F2">
            <w:pPr>
              <w:pStyle w:val="9"/>
              <w:rPr>
                <w:rFonts w:ascii="仿宋_GB2312" w:eastAsia="仿宋_GB2312"/>
                <w:color w:val="auto"/>
                <w:highlight w:val="none"/>
              </w:rPr>
            </w:pPr>
          </w:p>
        </w:tc>
        <w:tc>
          <w:tcPr>
            <w:tcW w:w="709" w:type="dxa"/>
            <w:tcBorders>
              <w:top w:val="nil"/>
            </w:tcBorders>
            <w:vAlign w:val="center"/>
          </w:tcPr>
          <w:p w14:paraId="749FBF6B">
            <w:pPr>
              <w:pStyle w:val="9"/>
              <w:rPr>
                <w:rFonts w:ascii="仿宋_GB2312" w:eastAsia="仿宋_GB2312"/>
                <w:color w:val="auto"/>
                <w:highlight w:val="none"/>
              </w:rPr>
            </w:pPr>
          </w:p>
        </w:tc>
      </w:tr>
      <w:tr w14:paraId="3504CA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45F1CB9E">
            <w:pPr>
              <w:pStyle w:val="9"/>
              <w:rPr>
                <w:rFonts w:ascii="仿宋_GB2312" w:eastAsia="仿宋_GB2312"/>
                <w:color w:val="auto"/>
                <w:highlight w:val="none"/>
              </w:rPr>
            </w:pPr>
          </w:p>
        </w:tc>
        <w:tc>
          <w:tcPr>
            <w:tcW w:w="1165" w:type="dxa"/>
            <w:vAlign w:val="center"/>
          </w:tcPr>
          <w:p w14:paraId="681D4D0E">
            <w:pPr>
              <w:pStyle w:val="9"/>
              <w:rPr>
                <w:rFonts w:ascii="仿宋_GB2312" w:eastAsia="仿宋_GB2312"/>
                <w:color w:val="auto"/>
                <w:highlight w:val="none"/>
              </w:rPr>
            </w:pPr>
          </w:p>
        </w:tc>
        <w:tc>
          <w:tcPr>
            <w:tcW w:w="1126" w:type="dxa"/>
            <w:vAlign w:val="center"/>
          </w:tcPr>
          <w:p w14:paraId="4721F810">
            <w:pPr>
              <w:pStyle w:val="9"/>
              <w:rPr>
                <w:rFonts w:ascii="仿宋_GB2312" w:eastAsia="仿宋_GB2312"/>
                <w:color w:val="auto"/>
                <w:highlight w:val="none"/>
              </w:rPr>
            </w:pPr>
          </w:p>
        </w:tc>
        <w:tc>
          <w:tcPr>
            <w:tcW w:w="567" w:type="dxa"/>
            <w:vAlign w:val="center"/>
          </w:tcPr>
          <w:p w14:paraId="7D365FD1">
            <w:pPr>
              <w:pStyle w:val="9"/>
              <w:rPr>
                <w:rFonts w:ascii="仿宋_GB2312" w:eastAsia="仿宋_GB2312"/>
                <w:color w:val="auto"/>
                <w:highlight w:val="none"/>
              </w:rPr>
            </w:pPr>
          </w:p>
        </w:tc>
        <w:tc>
          <w:tcPr>
            <w:tcW w:w="686" w:type="dxa"/>
            <w:vAlign w:val="center"/>
          </w:tcPr>
          <w:p w14:paraId="2A06C53F">
            <w:pPr>
              <w:pStyle w:val="9"/>
              <w:rPr>
                <w:rFonts w:ascii="仿宋_GB2312" w:eastAsia="仿宋_GB2312"/>
                <w:color w:val="auto"/>
                <w:highlight w:val="none"/>
              </w:rPr>
            </w:pPr>
          </w:p>
        </w:tc>
        <w:tc>
          <w:tcPr>
            <w:tcW w:w="992" w:type="dxa"/>
          </w:tcPr>
          <w:p w14:paraId="60C9C027">
            <w:pPr>
              <w:pStyle w:val="9"/>
              <w:rPr>
                <w:rFonts w:ascii="仿宋_GB2312" w:eastAsia="仿宋_GB2312"/>
                <w:color w:val="auto"/>
                <w:highlight w:val="none"/>
              </w:rPr>
            </w:pPr>
          </w:p>
        </w:tc>
        <w:tc>
          <w:tcPr>
            <w:tcW w:w="1134" w:type="dxa"/>
            <w:vAlign w:val="center"/>
          </w:tcPr>
          <w:p w14:paraId="36DD6FD6">
            <w:pPr>
              <w:pStyle w:val="9"/>
              <w:rPr>
                <w:rFonts w:ascii="仿宋_GB2312" w:eastAsia="仿宋_GB2312"/>
                <w:color w:val="auto"/>
                <w:highlight w:val="none"/>
              </w:rPr>
            </w:pPr>
          </w:p>
        </w:tc>
        <w:tc>
          <w:tcPr>
            <w:tcW w:w="1134" w:type="dxa"/>
            <w:vAlign w:val="center"/>
          </w:tcPr>
          <w:p w14:paraId="68182C26">
            <w:pPr>
              <w:pStyle w:val="9"/>
              <w:rPr>
                <w:rFonts w:ascii="仿宋_GB2312" w:eastAsia="仿宋_GB2312"/>
                <w:color w:val="auto"/>
                <w:highlight w:val="none"/>
              </w:rPr>
            </w:pPr>
          </w:p>
        </w:tc>
        <w:tc>
          <w:tcPr>
            <w:tcW w:w="1134" w:type="dxa"/>
            <w:vAlign w:val="center"/>
          </w:tcPr>
          <w:p w14:paraId="02628B9E">
            <w:pPr>
              <w:pStyle w:val="9"/>
              <w:rPr>
                <w:rFonts w:ascii="仿宋_GB2312" w:eastAsia="仿宋_GB2312"/>
                <w:color w:val="auto"/>
                <w:highlight w:val="none"/>
              </w:rPr>
            </w:pPr>
          </w:p>
        </w:tc>
        <w:tc>
          <w:tcPr>
            <w:tcW w:w="709" w:type="dxa"/>
            <w:vAlign w:val="center"/>
          </w:tcPr>
          <w:p w14:paraId="1992EFC3">
            <w:pPr>
              <w:pStyle w:val="9"/>
              <w:rPr>
                <w:rFonts w:ascii="仿宋_GB2312" w:eastAsia="仿宋_GB2312"/>
                <w:color w:val="auto"/>
                <w:highlight w:val="none"/>
              </w:rPr>
            </w:pPr>
          </w:p>
        </w:tc>
      </w:tr>
      <w:tr w14:paraId="4CFEE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13DE7B93">
            <w:pPr>
              <w:pStyle w:val="9"/>
              <w:rPr>
                <w:rFonts w:ascii="仿宋_GB2312" w:eastAsia="仿宋_GB2312"/>
                <w:color w:val="auto"/>
                <w:highlight w:val="none"/>
              </w:rPr>
            </w:pPr>
          </w:p>
        </w:tc>
        <w:tc>
          <w:tcPr>
            <w:tcW w:w="1165" w:type="dxa"/>
            <w:vAlign w:val="center"/>
          </w:tcPr>
          <w:p w14:paraId="59377E42">
            <w:pPr>
              <w:pStyle w:val="9"/>
              <w:rPr>
                <w:rFonts w:ascii="仿宋_GB2312" w:eastAsia="仿宋_GB2312"/>
                <w:color w:val="auto"/>
                <w:highlight w:val="none"/>
              </w:rPr>
            </w:pPr>
          </w:p>
        </w:tc>
        <w:tc>
          <w:tcPr>
            <w:tcW w:w="1126" w:type="dxa"/>
            <w:vAlign w:val="center"/>
          </w:tcPr>
          <w:p w14:paraId="40F38B3C">
            <w:pPr>
              <w:pStyle w:val="9"/>
              <w:rPr>
                <w:rFonts w:ascii="仿宋_GB2312" w:eastAsia="仿宋_GB2312"/>
                <w:color w:val="auto"/>
                <w:highlight w:val="none"/>
              </w:rPr>
            </w:pPr>
          </w:p>
        </w:tc>
        <w:tc>
          <w:tcPr>
            <w:tcW w:w="567" w:type="dxa"/>
            <w:vAlign w:val="center"/>
          </w:tcPr>
          <w:p w14:paraId="5A314DCB">
            <w:pPr>
              <w:pStyle w:val="9"/>
              <w:rPr>
                <w:rFonts w:ascii="仿宋_GB2312" w:eastAsia="仿宋_GB2312"/>
                <w:color w:val="auto"/>
                <w:highlight w:val="none"/>
              </w:rPr>
            </w:pPr>
          </w:p>
        </w:tc>
        <w:tc>
          <w:tcPr>
            <w:tcW w:w="686" w:type="dxa"/>
            <w:vAlign w:val="center"/>
          </w:tcPr>
          <w:p w14:paraId="30824C26">
            <w:pPr>
              <w:pStyle w:val="9"/>
              <w:rPr>
                <w:rFonts w:ascii="仿宋_GB2312" w:eastAsia="仿宋_GB2312"/>
                <w:color w:val="auto"/>
                <w:highlight w:val="none"/>
              </w:rPr>
            </w:pPr>
          </w:p>
        </w:tc>
        <w:tc>
          <w:tcPr>
            <w:tcW w:w="992" w:type="dxa"/>
          </w:tcPr>
          <w:p w14:paraId="11B01AC2">
            <w:pPr>
              <w:pStyle w:val="9"/>
              <w:rPr>
                <w:rFonts w:ascii="仿宋_GB2312" w:eastAsia="仿宋_GB2312"/>
                <w:color w:val="auto"/>
                <w:highlight w:val="none"/>
              </w:rPr>
            </w:pPr>
          </w:p>
        </w:tc>
        <w:tc>
          <w:tcPr>
            <w:tcW w:w="1134" w:type="dxa"/>
            <w:vAlign w:val="center"/>
          </w:tcPr>
          <w:p w14:paraId="2BFF4CDC">
            <w:pPr>
              <w:pStyle w:val="9"/>
              <w:rPr>
                <w:rFonts w:ascii="仿宋_GB2312" w:eastAsia="仿宋_GB2312"/>
                <w:color w:val="auto"/>
                <w:highlight w:val="none"/>
              </w:rPr>
            </w:pPr>
          </w:p>
        </w:tc>
        <w:tc>
          <w:tcPr>
            <w:tcW w:w="1134" w:type="dxa"/>
            <w:vAlign w:val="center"/>
          </w:tcPr>
          <w:p w14:paraId="7C34593A">
            <w:pPr>
              <w:pStyle w:val="9"/>
              <w:rPr>
                <w:rFonts w:ascii="仿宋_GB2312" w:eastAsia="仿宋_GB2312"/>
                <w:color w:val="auto"/>
                <w:highlight w:val="none"/>
              </w:rPr>
            </w:pPr>
          </w:p>
        </w:tc>
        <w:tc>
          <w:tcPr>
            <w:tcW w:w="1134" w:type="dxa"/>
            <w:vAlign w:val="center"/>
          </w:tcPr>
          <w:p w14:paraId="7F5006F2">
            <w:pPr>
              <w:pStyle w:val="9"/>
              <w:rPr>
                <w:rFonts w:ascii="仿宋_GB2312" w:eastAsia="仿宋_GB2312"/>
                <w:color w:val="auto"/>
                <w:highlight w:val="none"/>
              </w:rPr>
            </w:pPr>
          </w:p>
        </w:tc>
        <w:tc>
          <w:tcPr>
            <w:tcW w:w="709" w:type="dxa"/>
            <w:vAlign w:val="center"/>
          </w:tcPr>
          <w:p w14:paraId="3C275BF0">
            <w:pPr>
              <w:pStyle w:val="9"/>
              <w:rPr>
                <w:rFonts w:ascii="仿宋_GB2312" w:eastAsia="仿宋_GB2312"/>
                <w:color w:val="auto"/>
                <w:highlight w:val="none"/>
              </w:rPr>
            </w:pPr>
          </w:p>
        </w:tc>
      </w:tr>
      <w:tr w14:paraId="74788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6907BCA9">
            <w:pPr>
              <w:pStyle w:val="9"/>
              <w:rPr>
                <w:rFonts w:ascii="仿宋_GB2312" w:eastAsia="仿宋_GB2312"/>
                <w:color w:val="auto"/>
                <w:highlight w:val="none"/>
              </w:rPr>
            </w:pPr>
          </w:p>
        </w:tc>
        <w:tc>
          <w:tcPr>
            <w:tcW w:w="1165" w:type="dxa"/>
            <w:vAlign w:val="center"/>
          </w:tcPr>
          <w:p w14:paraId="68DD940E">
            <w:pPr>
              <w:pStyle w:val="9"/>
              <w:rPr>
                <w:rFonts w:ascii="仿宋_GB2312" w:eastAsia="仿宋_GB2312"/>
                <w:color w:val="auto"/>
                <w:highlight w:val="none"/>
              </w:rPr>
            </w:pPr>
          </w:p>
        </w:tc>
        <w:tc>
          <w:tcPr>
            <w:tcW w:w="1126" w:type="dxa"/>
            <w:vAlign w:val="center"/>
          </w:tcPr>
          <w:p w14:paraId="1785D62C">
            <w:pPr>
              <w:pStyle w:val="9"/>
              <w:rPr>
                <w:rFonts w:ascii="仿宋_GB2312" w:eastAsia="仿宋_GB2312"/>
                <w:color w:val="auto"/>
                <w:highlight w:val="none"/>
              </w:rPr>
            </w:pPr>
          </w:p>
        </w:tc>
        <w:tc>
          <w:tcPr>
            <w:tcW w:w="567" w:type="dxa"/>
            <w:vAlign w:val="center"/>
          </w:tcPr>
          <w:p w14:paraId="04761DD8">
            <w:pPr>
              <w:pStyle w:val="9"/>
              <w:rPr>
                <w:rFonts w:ascii="仿宋_GB2312" w:eastAsia="仿宋_GB2312"/>
                <w:color w:val="auto"/>
                <w:highlight w:val="none"/>
              </w:rPr>
            </w:pPr>
          </w:p>
        </w:tc>
        <w:tc>
          <w:tcPr>
            <w:tcW w:w="686" w:type="dxa"/>
            <w:vAlign w:val="center"/>
          </w:tcPr>
          <w:p w14:paraId="4263A25D">
            <w:pPr>
              <w:pStyle w:val="9"/>
              <w:rPr>
                <w:rFonts w:ascii="仿宋_GB2312" w:eastAsia="仿宋_GB2312"/>
                <w:color w:val="auto"/>
                <w:highlight w:val="none"/>
              </w:rPr>
            </w:pPr>
          </w:p>
        </w:tc>
        <w:tc>
          <w:tcPr>
            <w:tcW w:w="992" w:type="dxa"/>
          </w:tcPr>
          <w:p w14:paraId="03589AC9">
            <w:pPr>
              <w:pStyle w:val="9"/>
              <w:rPr>
                <w:rFonts w:ascii="仿宋_GB2312" w:eastAsia="仿宋_GB2312"/>
                <w:color w:val="auto"/>
                <w:highlight w:val="none"/>
              </w:rPr>
            </w:pPr>
          </w:p>
        </w:tc>
        <w:tc>
          <w:tcPr>
            <w:tcW w:w="1134" w:type="dxa"/>
            <w:vAlign w:val="center"/>
          </w:tcPr>
          <w:p w14:paraId="7936D20E">
            <w:pPr>
              <w:pStyle w:val="9"/>
              <w:rPr>
                <w:rFonts w:ascii="仿宋_GB2312" w:eastAsia="仿宋_GB2312"/>
                <w:color w:val="auto"/>
                <w:highlight w:val="none"/>
              </w:rPr>
            </w:pPr>
          </w:p>
        </w:tc>
        <w:tc>
          <w:tcPr>
            <w:tcW w:w="1134" w:type="dxa"/>
            <w:vAlign w:val="center"/>
          </w:tcPr>
          <w:p w14:paraId="47255667">
            <w:pPr>
              <w:pStyle w:val="9"/>
              <w:rPr>
                <w:rFonts w:ascii="仿宋_GB2312" w:eastAsia="仿宋_GB2312"/>
                <w:color w:val="auto"/>
                <w:highlight w:val="none"/>
              </w:rPr>
            </w:pPr>
          </w:p>
        </w:tc>
        <w:tc>
          <w:tcPr>
            <w:tcW w:w="1134" w:type="dxa"/>
            <w:vAlign w:val="center"/>
          </w:tcPr>
          <w:p w14:paraId="7E7075DF">
            <w:pPr>
              <w:pStyle w:val="9"/>
              <w:rPr>
                <w:rFonts w:ascii="仿宋_GB2312" w:eastAsia="仿宋_GB2312"/>
                <w:color w:val="auto"/>
                <w:highlight w:val="none"/>
              </w:rPr>
            </w:pPr>
          </w:p>
        </w:tc>
        <w:tc>
          <w:tcPr>
            <w:tcW w:w="709" w:type="dxa"/>
            <w:vAlign w:val="center"/>
          </w:tcPr>
          <w:p w14:paraId="3B66DEA7">
            <w:pPr>
              <w:pStyle w:val="9"/>
              <w:rPr>
                <w:rFonts w:ascii="仿宋_GB2312" w:eastAsia="仿宋_GB2312"/>
                <w:color w:val="auto"/>
                <w:highlight w:val="none"/>
              </w:rPr>
            </w:pPr>
          </w:p>
        </w:tc>
      </w:tr>
      <w:tr w14:paraId="62806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4E4E8097">
            <w:pPr>
              <w:pStyle w:val="9"/>
              <w:rPr>
                <w:rFonts w:ascii="仿宋_GB2312" w:eastAsia="仿宋_GB2312"/>
                <w:color w:val="auto"/>
                <w:highlight w:val="none"/>
              </w:rPr>
            </w:pPr>
          </w:p>
        </w:tc>
        <w:tc>
          <w:tcPr>
            <w:tcW w:w="1165" w:type="dxa"/>
            <w:vAlign w:val="center"/>
          </w:tcPr>
          <w:p w14:paraId="34A7EFE8">
            <w:pPr>
              <w:pStyle w:val="9"/>
              <w:rPr>
                <w:rFonts w:ascii="仿宋_GB2312" w:eastAsia="仿宋_GB2312"/>
                <w:color w:val="auto"/>
                <w:highlight w:val="none"/>
              </w:rPr>
            </w:pPr>
          </w:p>
        </w:tc>
        <w:tc>
          <w:tcPr>
            <w:tcW w:w="1126" w:type="dxa"/>
            <w:vAlign w:val="center"/>
          </w:tcPr>
          <w:p w14:paraId="29AB62F6">
            <w:pPr>
              <w:pStyle w:val="9"/>
              <w:rPr>
                <w:rFonts w:ascii="仿宋_GB2312" w:eastAsia="仿宋_GB2312"/>
                <w:color w:val="auto"/>
                <w:highlight w:val="none"/>
              </w:rPr>
            </w:pPr>
          </w:p>
        </w:tc>
        <w:tc>
          <w:tcPr>
            <w:tcW w:w="567" w:type="dxa"/>
            <w:vAlign w:val="center"/>
          </w:tcPr>
          <w:p w14:paraId="2F003C61">
            <w:pPr>
              <w:pStyle w:val="9"/>
              <w:rPr>
                <w:rFonts w:ascii="仿宋_GB2312" w:eastAsia="仿宋_GB2312"/>
                <w:color w:val="auto"/>
                <w:highlight w:val="none"/>
              </w:rPr>
            </w:pPr>
          </w:p>
        </w:tc>
        <w:tc>
          <w:tcPr>
            <w:tcW w:w="686" w:type="dxa"/>
            <w:vAlign w:val="center"/>
          </w:tcPr>
          <w:p w14:paraId="371913E1">
            <w:pPr>
              <w:pStyle w:val="9"/>
              <w:rPr>
                <w:rFonts w:ascii="仿宋_GB2312" w:eastAsia="仿宋_GB2312"/>
                <w:color w:val="auto"/>
                <w:highlight w:val="none"/>
              </w:rPr>
            </w:pPr>
          </w:p>
        </w:tc>
        <w:tc>
          <w:tcPr>
            <w:tcW w:w="992" w:type="dxa"/>
          </w:tcPr>
          <w:p w14:paraId="581C72E2">
            <w:pPr>
              <w:pStyle w:val="9"/>
              <w:rPr>
                <w:rFonts w:ascii="仿宋_GB2312" w:eastAsia="仿宋_GB2312"/>
                <w:color w:val="auto"/>
                <w:highlight w:val="none"/>
              </w:rPr>
            </w:pPr>
          </w:p>
        </w:tc>
        <w:tc>
          <w:tcPr>
            <w:tcW w:w="1134" w:type="dxa"/>
            <w:vAlign w:val="center"/>
          </w:tcPr>
          <w:p w14:paraId="56702144">
            <w:pPr>
              <w:pStyle w:val="9"/>
              <w:rPr>
                <w:rFonts w:ascii="仿宋_GB2312" w:eastAsia="仿宋_GB2312"/>
                <w:color w:val="auto"/>
                <w:highlight w:val="none"/>
              </w:rPr>
            </w:pPr>
          </w:p>
        </w:tc>
        <w:tc>
          <w:tcPr>
            <w:tcW w:w="1134" w:type="dxa"/>
            <w:vAlign w:val="center"/>
          </w:tcPr>
          <w:p w14:paraId="26B90D63">
            <w:pPr>
              <w:pStyle w:val="9"/>
              <w:rPr>
                <w:rFonts w:ascii="仿宋_GB2312" w:eastAsia="仿宋_GB2312"/>
                <w:color w:val="auto"/>
                <w:highlight w:val="none"/>
              </w:rPr>
            </w:pPr>
          </w:p>
        </w:tc>
        <w:tc>
          <w:tcPr>
            <w:tcW w:w="1134" w:type="dxa"/>
            <w:vAlign w:val="center"/>
          </w:tcPr>
          <w:p w14:paraId="24436715">
            <w:pPr>
              <w:pStyle w:val="9"/>
              <w:rPr>
                <w:rFonts w:ascii="仿宋_GB2312" w:eastAsia="仿宋_GB2312"/>
                <w:color w:val="auto"/>
                <w:highlight w:val="none"/>
              </w:rPr>
            </w:pPr>
          </w:p>
        </w:tc>
        <w:tc>
          <w:tcPr>
            <w:tcW w:w="709" w:type="dxa"/>
            <w:vAlign w:val="center"/>
          </w:tcPr>
          <w:p w14:paraId="48D65B7B">
            <w:pPr>
              <w:pStyle w:val="9"/>
              <w:rPr>
                <w:rFonts w:ascii="仿宋_GB2312" w:eastAsia="仿宋_GB2312"/>
                <w:color w:val="auto"/>
                <w:highlight w:val="none"/>
              </w:rPr>
            </w:pPr>
          </w:p>
        </w:tc>
      </w:tr>
      <w:tr w14:paraId="31C7F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734E02F5">
            <w:pPr>
              <w:pStyle w:val="9"/>
              <w:rPr>
                <w:rFonts w:ascii="仿宋_GB2312" w:eastAsia="仿宋_GB2312"/>
                <w:color w:val="auto"/>
                <w:highlight w:val="none"/>
              </w:rPr>
            </w:pPr>
          </w:p>
        </w:tc>
        <w:tc>
          <w:tcPr>
            <w:tcW w:w="1165" w:type="dxa"/>
            <w:vAlign w:val="center"/>
          </w:tcPr>
          <w:p w14:paraId="12D46765">
            <w:pPr>
              <w:pStyle w:val="9"/>
              <w:rPr>
                <w:rFonts w:ascii="仿宋_GB2312" w:eastAsia="仿宋_GB2312"/>
                <w:color w:val="auto"/>
                <w:highlight w:val="none"/>
              </w:rPr>
            </w:pPr>
          </w:p>
        </w:tc>
        <w:tc>
          <w:tcPr>
            <w:tcW w:w="1126" w:type="dxa"/>
            <w:vAlign w:val="center"/>
          </w:tcPr>
          <w:p w14:paraId="798F40DD">
            <w:pPr>
              <w:pStyle w:val="9"/>
              <w:rPr>
                <w:rFonts w:ascii="仿宋_GB2312" w:eastAsia="仿宋_GB2312"/>
                <w:color w:val="auto"/>
                <w:highlight w:val="none"/>
              </w:rPr>
            </w:pPr>
          </w:p>
        </w:tc>
        <w:tc>
          <w:tcPr>
            <w:tcW w:w="567" w:type="dxa"/>
            <w:vAlign w:val="center"/>
          </w:tcPr>
          <w:p w14:paraId="07B860D0">
            <w:pPr>
              <w:pStyle w:val="9"/>
              <w:rPr>
                <w:rFonts w:ascii="仿宋_GB2312" w:eastAsia="仿宋_GB2312"/>
                <w:color w:val="auto"/>
                <w:highlight w:val="none"/>
              </w:rPr>
            </w:pPr>
          </w:p>
        </w:tc>
        <w:tc>
          <w:tcPr>
            <w:tcW w:w="686" w:type="dxa"/>
            <w:vAlign w:val="center"/>
          </w:tcPr>
          <w:p w14:paraId="4766CF39">
            <w:pPr>
              <w:pStyle w:val="9"/>
              <w:rPr>
                <w:rFonts w:ascii="仿宋_GB2312" w:eastAsia="仿宋_GB2312"/>
                <w:color w:val="auto"/>
                <w:highlight w:val="none"/>
              </w:rPr>
            </w:pPr>
          </w:p>
        </w:tc>
        <w:tc>
          <w:tcPr>
            <w:tcW w:w="992" w:type="dxa"/>
          </w:tcPr>
          <w:p w14:paraId="4E28985F">
            <w:pPr>
              <w:pStyle w:val="9"/>
              <w:rPr>
                <w:rFonts w:ascii="仿宋_GB2312" w:eastAsia="仿宋_GB2312"/>
                <w:color w:val="auto"/>
                <w:highlight w:val="none"/>
              </w:rPr>
            </w:pPr>
          </w:p>
        </w:tc>
        <w:tc>
          <w:tcPr>
            <w:tcW w:w="1134" w:type="dxa"/>
            <w:vAlign w:val="center"/>
          </w:tcPr>
          <w:p w14:paraId="066A461D">
            <w:pPr>
              <w:pStyle w:val="9"/>
              <w:rPr>
                <w:rFonts w:ascii="仿宋_GB2312" w:eastAsia="仿宋_GB2312"/>
                <w:color w:val="auto"/>
                <w:highlight w:val="none"/>
              </w:rPr>
            </w:pPr>
          </w:p>
        </w:tc>
        <w:tc>
          <w:tcPr>
            <w:tcW w:w="1134" w:type="dxa"/>
            <w:vAlign w:val="center"/>
          </w:tcPr>
          <w:p w14:paraId="36107298">
            <w:pPr>
              <w:pStyle w:val="9"/>
              <w:rPr>
                <w:rFonts w:ascii="仿宋_GB2312" w:eastAsia="仿宋_GB2312"/>
                <w:color w:val="auto"/>
                <w:highlight w:val="none"/>
              </w:rPr>
            </w:pPr>
          </w:p>
        </w:tc>
        <w:tc>
          <w:tcPr>
            <w:tcW w:w="1134" w:type="dxa"/>
            <w:vAlign w:val="center"/>
          </w:tcPr>
          <w:p w14:paraId="30090391">
            <w:pPr>
              <w:pStyle w:val="9"/>
              <w:rPr>
                <w:rFonts w:ascii="仿宋_GB2312" w:eastAsia="仿宋_GB2312"/>
                <w:color w:val="auto"/>
                <w:highlight w:val="none"/>
              </w:rPr>
            </w:pPr>
          </w:p>
        </w:tc>
        <w:tc>
          <w:tcPr>
            <w:tcW w:w="709" w:type="dxa"/>
            <w:vAlign w:val="center"/>
          </w:tcPr>
          <w:p w14:paraId="64DA9D0D">
            <w:pPr>
              <w:pStyle w:val="9"/>
              <w:rPr>
                <w:rFonts w:ascii="仿宋_GB2312" w:eastAsia="仿宋_GB2312"/>
                <w:color w:val="auto"/>
                <w:highlight w:val="none"/>
              </w:rPr>
            </w:pPr>
          </w:p>
        </w:tc>
      </w:tr>
      <w:tr w14:paraId="12AFA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5E8BD69D">
            <w:pPr>
              <w:pStyle w:val="9"/>
              <w:rPr>
                <w:rFonts w:ascii="仿宋_GB2312" w:eastAsia="仿宋_GB2312"/>
                <w:color w:val="auto"/>
                <w:highlight w:val="none"/>
              </w:rPr>
            </w:pPr>
          </w:p>
        </w:tc>
        <w:tc>
          <w:tcPr>
            <w:tcW w:w="1165" w:type="dxa"/>
            <w:vAlign w:val="center"/>
          </w:tcPr>
          <w:p w14:paraId="35B53E0C">
            <w:pPr>
              <w:pStyle w:val="9"/>
              <w:rPr>
                <w:rFonts w:ascii="仿宋_GB2312" w:eastAsia="仿宋_GB2312"/>
                <w:color w:val="auto"/>
                <w:highlight w:val="none"/>
              </w:rPr>
            </w:pPr>
          </w:p>
        </w:tc>
        <w:tc>
          <w:tcPr>
            <w:tcW w:w="1126" w:type="dxa"/>
            <w:vAlign w:val="center"/>
          </w:tcPr>
          <w:p w14:paraId="051A1340">
            <w:pPr>
              <w:pStyle w:val="9"/>
              <w:rPr>
                <w:rFonts w:ascii="仿宋_GB2312" w:eastAsia="仿宋_GB2312"/>
                <w:color w:val="auto"/>
                <w:highlight w:val="none"/>
              </w:rPr>
            </w:pPr>
          </w:p>
        </w:tc>
        <w:tc>
          <w:tcPr>
            <w:tcW w:w="567" w:type="dxa"/>
            <w:vAlign w:val="center"/>
          </w:tcPr>
          <w:p w14:paraId="54613D44">
            <w:pPr>
              <w:pStyle w:val="9"/>
              <w:rPr>
                <w:rFonts w:ascii="仿宋_GB2312" w:eastAsia="仿宋_GB2312"/>
                <w:color w:val="auto"/>
                <w:highlight w:val="none"/>
              </w:rPr>
            </w:pPr>
          </w:p>
        </w:tc>
        <w:tc>
          <w:tcPr>
            <w:tcW w:w="686" w:type="dxa"/>
            <w:vAlign w:val="center"/>
          </w:tcPr>
          <w:p w14:paraId="31782A54">
            <w:pPr>
              <w:pStyle w:val="9"/>
              <w:rPr>
                <w:rFonts w:ascii="仿宋_GB2312" w:eastAsia="仿宋_GB2312"/>
                <w:color w:val="auto"/>
                <w:highlight w:val="none"/>
              </w:rPr>
            </w:pPr>
          </w:p>
        </w:tc>
        <w:tc>
          <w:tcPr>
            <w:tcW w:w="992" w:type="dxa"/>
          </w:tcPr>
          <w:p w14:paraId="69FC9D13">
            <w:pPr>
              <w:pStyle w:val="9"/>
              <w:rPr>
                <w:rFonts w:ascii="仿宋_GB2312" w:eastAsia="仿宋_GB2312"/>
                <w:color w:val="auto"/>
                <w:highlight w:val="none"/>
              </w:rPr>
            </w:pPr>
          </w:p>
        </w:tc>
        <w:tc>
          <w:tcPr>
            <w:tcW w:w="1134" w:type="dxa"/>
            <w:vAlign w:val="center"/>
          </w:tcPr>
          <w:p w14:paraId="1B22C376">
            <w:pPr>
              <w:pStyle w:val="9"/>
              <w:rPr>
                <w:rFonts w:ascii="仿宋_GB2312" w:eastAsia="仿宋_GB2312"/>
                <w:color w:val="auto"/>
                <w:highlight w:val="none"/>
              </w:rPr>
            </w:pPr>
          </w:p>
        </w:tc>
        <w:tc>
          <w:tcPr>
            <w:tcW w:w="1134" w:type="dxa"/>
            <w:vAlign w:val="center"/>
          </w:tcPr>
          <w:p w14:paraId="1FB14C61">
            <w:pPr>
              <w:pStyle w:val="9"/>
              <w:rPr>
                <w:rFonts w:ascii="仿宋_GB2312" w:eastAsia="仿宋_GB2312"/>
                <w:color w:val="auto"/>
                <w:highlight w:val="none"/>
              </w:rPr>
            </w:pPr>
          </w:p>
        </w:tc>
        <w:tc>
          <w:tcPr>
            <w:tcW w:w="1134" w:type="dxa"/>
            <w:vAlign w:val="center"/>
          </w:tcPr>
          <w:p w14:paraId="6FCBD5CA">
            <w:pPr>
              <w:pStyle w:val="9"/>
              <w:rPr>
                <w:rFonts w:ascii="仿宋_GB2312" w:eastAsia="仿宋_GB2312"/>
                <w:color w:val="auto"/>
                <w:highlight w:val="none"/>
              </w:rPr>
            </w:pPr>
          </w:p>
        </w:tc>
        <w:tc>
          <w:tcPr>
            <w:tcW w:w="709" w:type="dxa"/>
            <w:vAlign w:val="center"/>
          </w:tcPr>
          <w:p w14:paraId="79D59B31">
            <w:pPr>
              <w:pStyle w:val="9"/>
              <w:rPr>
                <w:rFonts w:ascii="仿宋_GB2312" w:eastAsia="仿宋_GB2312"/>
                <w:color w:val="auto"/>
                <w:highlight w:val="none"/>
              </w:rPr>
            </w:pPr>
          </w:p>
        </w:tc>
      </w:tr>
      <w:tr w14:paraId="59EE8A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78AF1735">
            <w:pPr>
              <w:rPr>
                <w:rFonts w:ascii="仿宋_GB2312" w:eastAsia="仿宋_GB2312"/>
                <w:color w:val="auto"/>
                <w:highlight w:val="none"/>
              </w:rPr>
            </w:pPr>
          </w:p>
        </w:tc>
        <w:tc>
          <w:tcPr>
            <w:tcW w:w="1165" w:type="dxa"/>
            <w:vAlign w:val="center"/>
          </w:tcPr>
          <w:p w14:paraId="701A5778">
            <w:pPr>
              <w:rPr>
                <w:rFonts w:ascii="仿宋_GB2312" w:eastAsia="仿宋_GB2312"/>
                <w:color w:val="auto"/>
                <w:highlight w:val="none"/>
              </w:rPr>
            </w:pPr>
          </w:p>
        </w:tc>
        <w:tc>
          <w:tcPr>
            <w:tcW w:w="1126" w:type="dxa"/>
            <w:vAlign w:val="center"/>
          </w:tcPr>
          <w:p w14:paraId="3D9A8351">
            <w:pPr>
              <w:rPr>
                <w:rFonts w:ascii="仿宋_GB2312" w:eastAsia="仿宋_GB2312"/>
                <w:color w:val="auto"/>
                <w:highlight w:val="none"/>
              </w:rPr>
            </w:pPr>
          </w:p>
        </w:tc>
        <w:tc>
          <w:tcPr>
            <w:tcW w:w="567" w:type="dxa"/>
            <w:vAlign w:val="center"/>
          </w:tcPr>
          <w:p w14:paraId="6BAC837B">
            <w:pPr>
              <w:rPr>
                <w:rFonts w:ascii="仿宋_GB2312" w:eastAsia="仿宋_GB2312"/>
                <w:color w:val="auto"/>
                <w:highlight w:val="none"/>
              </w:rPr>
            </w:pPr>
          </w:p>
        </w:tc>
        <w:tc>
          <w:tcPr>
            <w:tcW w:w="686" w:type="dxa"/>
            <w:vAlign w:val="center"/>
          </w:tcPr>
          <w:p w14:paraId="543CE358">
            <w:pPr>
              <w:rPr>
                <w:rFonts w:ascii="仿宋_GB2312" w:eastAsia="仿宋_GB2312"/>
                <w:color w:val="auto"/>
                <w:highlight w:val="none"/>
              </w:rPr>
            </w:pPr>
          </w:p>
        </w:tc>
        <w:tc>
          <w:tcPr>
            <w:tcW w:w="992" w:type="dxa"/>
          </w:tcPr>
          <w:p w14:paraId="3EEA82E8">
            <w:pPr>
              <w:rPr>
                <w:rFonts w:ascii="仿宋_GB2312" w:eastAsia="仿宋_GB2312"/>
                <w:color w:val="auto"/>
                <w:highlight w:val="none"/>
              </w:rPr>
            </w:pPr>
          </w:p>
        </w:tc>
        <w:tc>
          <w:tcPr>
            <w:tcW w:w="1134" w:type="dxa"/>
            <w:vAlign w:val="center"/>
          </w:tcPr>
          <w:p w14:paraId="45ACD340">
            <w:pPr>
              <w:rPr>
                <w:rFonts w:ascii="仿宋_GB2312" w:eastAsia="仿宋_GB2312"/>
                <w:color w:val="auto"/>
                <w:highlight w:val="none"/>
              </w:rPr>
            </w:pPr>
          </w:p>
        </w:tc>
        <w:tc>
          <w:tcPr>
            <w:tcW w:w="1134" w:type="dxa"/>
            <w:vAlign w:val="center"/>
          </w:tcPr>
          <w:p w14:paraId="12311758">
            <w:pPr>
              <w:rPr>
                <w:rFonts w:ascii="仿宋_GB2312" w:eastAsia="仿宋_GB2312"/>
                <w:color w:val="auto"/>
                <w:highlight w:val="none"/>
              </w:rPr>
            </w:pPr>
          </w:p>
        </w:tc>
        <w:tc>
          <w:tcPr>
            <w:tcW w:w="1134" w:type="dxa"/>
            <w:vAlign w:val="center"/>
          </w:tcPr>
          <w:p w14:paraId="00593D53">
            <w:pPr>
              <w:rPr>
                <w:rFonts w:ascii="仿宋_GB2312" w:eastAsia="仿宋_GB2312"/>
                <w:color w:val="auto"/>
                <w:highlight w:val="none"/>
              </w:rPr>
            </w:pPr>
          </w:p>
        </w:tc>
        <w:tc>
          <w:tcPr>
            <w:tcW w:w="709" w:type="dxa"/>
            <w:vAlign w:val="center"/>
          </w:tcPr>
          <w:p w14:paraId="7A924F06">
            <w:pPr>
              <w:rPr>
                <w:rFonts w:ascii="仿宋_GB2312" w:eastAsia="仿宋_GB2312"/>
                <w:color w:val="auto"/>
                <w:highlight w:val="none"/>
              </w:rPr>
            </w:pPr>
          </w:p>
        </w:tc>
      </w:tr>
      <w:tr w14:paraId="62895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2F31DF2C">
            <w:pPr>
              <w:pStyle w:val="9"/>
              <w:rPr>
                <w:rFonts w:ascii="仿宋_GB2312" w:eastAsia="仿宋_GB2312"/>
                <w:color w:val="auto"/>
                <w:highlight w:val="none"/>
              </w:rPr>
            </w:pPr>
          </w:p>
        </w:tc>
        <w:tc>
          <w:tcPr>
            <w:tcW w:w="1165" w:type="dxa"/>
            <w:vAlign w:val="center"/>
          </w:tcPr>
          <w:p w14:paraId="274B7068">
            <w:pPr>
              <w:pStyle w:val="9"/>
              <w:rPr>
                <w:rFonts w:ascii="仿宋_GB2312" w:eastAsia="仿宋_GB2312"/>
                <w:color w:val="auto"/>
                <w:highlight w:val="none"/>
              </w:rPr>
            </w:pPr>
          </w:p>
        </w:tc>
        <w:tc>
          <w:tcPr>
            <w:tcW w:w="1126" w:type="dxa"/>
            <w:vAlign w:val="center"/>
          </w:tcPr>
          <w:p w14:paraId="1423FBF5">
            <w:pPr>
              <w:pStyle w:val="9"/>
              <w:rPr>
                <w:rFonts w:ascii="仿宋_GB2312" w:eastAsia="仿宋_GB2312"/>
                <w:color w:val="auto"/>
                <w:highlight w:val="none"/>
              </w:rPr>
            </w:pPr>
          </w:p>
        </w:tc>
        <w:tc>
          <w:tcPr>
            <w:tcW w:w="567" w:type="dxa"/>
            <w:vAlign w:val="center"/>
          </w:tcPr>
          <w:p w14:paraId="4385A5FE">
            <w:pPr>
              <w:pStyle w:val="9"/>
              <w:rPr>
                <w:rFonts w:ascii="仿宋_GB2312" w:eastAsia="仿宋_GB2312"/>
                <w:color w:val="auto"/>
                <w:highlight w:val="none"/>
              </w:rPr>
            </w:pPr>
          </w:p>
        </w:tc>
        <w:tc>
          <w:tcPr>
            <w:tcW w:w="686" w:type="dxa"/>
            <w:vAlign w:val="center"/>
          </w:tcPr>
          <w:p w14:paraId="793DDFC1">
            <w:pPr>
              <w:pStyle w:val="9"/>
              <w:rPr>
                <w:rFonts w:ascii="仿宋_GB2312" w:eastAsia="仿宋_GB2312"/>
                <w:color w:val="auto"/>
                <w:highlight w:val="none"/>
              </w:rPr>
            </w:pPr>
          </w:p>
        </w:tc>
        <w:tc>
          <w:tcPr>
            <w:tcW w:w="992" w:type="dxa"/>
          </w:tcPr>
          <w:p w14:paraId="55BDF130">
            <w:pPr>
              <w:pStyle w:val="9"/>
              <w:rPr>
                <w:rFonts w:ascii="仿宋_GB2312" w:eastAsia="仿宋_GB2312"/>
                <w:color w:val="auto"/>
                <w:highlight w:val="none"/>
              </w:rPr>
            </w:pPr>
          </w:p>
        </w:tc>
        <w:tc>
          <w:tcPr>
            <w:tcW w:w="1134" w:type="dxa"/>
            <w:vAlign w:val="center"/>
          </w:tcPr>
          <w:p w14:paraId="72DAA4DD">
            <w:pPr>
              <w:pStyle w:val="9"/>
              <w:rPr>
                <w:rFonts w:ascii="仿宋_GB2312" w:eastAsia="仿宋_GB2312"/>
                <w:color w:val="auto"/>
                <w:highlight w:val="none"/>
              </w:rPr>
            </w:pPr>
          </w:p>
        </w:tc>
        <w:tc>
          <w:tcPr>
            <w:tcW w:w="1134" w:type="dxa"/>
            <w:vAlign w:val="center"/>
          </w:tcPr>
          <w:p w14:paraId="48F397BD">
            <w:pPr>
              <w:pStyle w:val="9"/>
              <w:rPr>
                <w:rFonts w:ascii="仿宋_GB2312" w:eastAsia="仿宋_GB2312"/>
                <w:color w:val="auto"/>
                <w:highlight w:val="none"/>
              </w:rPr>
            </w:pPr>
          </w:p>
        </w:tc>
        <w:tc>
          <w:tcPr>
            <w:tcW w:w="1134" w:type="dxa"/>
            <w:vAlign w:val="center"/>
          </w:tcPr>
          <w:p w14:paraId="44110567">
            <w:pPr>
              <w:pStyle w:val="9"/>
              <w:rPr>
                <w:rFonts w:ascii="仿宋_GB2312" w:eastAsia="仿宋_GB2312"/>
                <w:color w:val="auto"/>
                <w:highlight w:val="none"/>
              </w:rPr>
            </w:pPr>
          </w:p>
        </w:tc>
        <w:tc>
          <w:tcPr>
            <w:tcW w:w="709" w:type="dxa"/>
            <w:vAlign w:val="center"/>
          </w:tcPr>
          <w:p w14:paraId="5C090ECB">
            <w:pPr>
              <w:pStyle w:val="9"/>
              <w:rPr>
                <w:rFonts w:ascii="仿宋_GB2312" w:eastAsia="仿宋_GB2312"/>
                <w:color w:val="auto"/>
                <w:highlight w:val="none"/>
              </w:rPr>
            </w:pPr>
          </w:p>
        </w:tc>
      </w:tr>
      <w:tr w14:paraId="2BDB1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4A859B6C">
            <w:pPr>
              <w:rPr>
                <w:rFonts w:ascii="仿宋_GB2312" w:eastAsia="仿宋_GB2312"/>
                <w:color w:val="auto"/>
                <w:highlight w:val="none"/>
              </w:rPr>
            </w:pPr>
          </w:p>
        </w:tc>
        <w:tc>
          <w:tcPr>
            <w:tcW w:w="1165" w:type="dxa"/>
            <w:vAlign w:val="center"/>
          </w:tcPr>
          <w:p w14:paraId="02A85FDF">
            <w:pPr>
              <w:rPr>
                <w:rFonts w:ascii="仿宋_GB2312" w:eastAsia="仿宋_GB2312"/>
                <w:color w:val="auto"/>
                <w:highlight w:val="none"/>
              </w:rPr>
            </w:pPr>
          </w:p>
        </w:tc>
        <w:tc>
          <w:tcPr>
            <w:tcW w:w="1126" w:type="dxa"/>
            <w:vAlign w:val="center"/>
          </w:tcPr>
          <w:p w14:paraId="10729521">
            <w:pPr>
              <w:rPr>
                <w:rFonts w:ascii="仿宋_GB2312" w:eastAsia="仿宋_GB2312"/>
                <w:color w:val="auto"/>
                <w:highlight w:val="none"/>
              </w:rPr>
            </w:pPr>
          </w:p>
        </w:tc>
        <w:tc>
          <w:tcPr>
            <w:tcW w:w="567" w:type="dxa"/>
            <w:vAlign w:val="center"/>
          </w:tcPr>
          <w:p w14:paraId="16CFBF6D">
            <w:pPr>
              <w:rPr>
                <w:rFonts w:ascii="仿宋_GB2312" w:eastAsia="仿宋_GB2312"/>
                <w:color w:val="auto"/>
                <w:highlight w:val="none"/>
              </w:rPr>
            </w:pPr>
          </w:p>
        </w:tc>
        <w:tc>
          <w:tcPr>
            <w:tcW w:w="686" w:type="dxa"/>
            <w:vAlign w:val="center"/>
          </w:tcPr>
          <w:p w14:paraId="3AEF7810">
            <w:pPr>
              <w:rPr>
                <w:rFonts w:ascii="仿宋_GB2312" w:eastAsia="仿宋_GB2312"/>
                <w:color w:val="auto"/>
                <w:highlight w:val="none"/>
              </w:rPr>
            </w:pPr>
          </w:p>
        </w:tc>
        <w:tc>
          <w:tcPr>
            <w:tcW w:w="992" w:type="dxa"/>
          </w:tcPr>
          <w:p w14:paraId="0FDDD1E3">
            <w:pPr>
              <w:rPr>
                <w:rFonts w:ascii="仿宋_GB2312" w:eastAsia="仿宋_GB2312"/>
                <w:color w:val="auto"/>
                <w:highlight w:val="none"/>
              </w:rPr>
            </w:pPr>
          </w:p>
        </w:tc>
        <w:tc>
          <w:tcPr>
            <w:tcW w:w="1134" w:type="dxa"/>
            <w:vAlign w:val="center"/>
          </w:tcPr>
          <w:p w14:paraId="4BC99D4C">
            <w:pPr>
              <w:rPr>
                <w:rFonts w:ascii="仿宋_GB2312" w:eastAsia="仿宋_GB2312"/>
                <w:color w:val="auto"/>
                <w:highlight w:val="none"/>
              </w:rPr>
            </w:pPr>
          </w:p>
        </w:tc>
        <w:tc>
          <w:tcPr>
            <w:tcW w:w="1134" w:type="dxa"/>
            <w:vAlign w:val="center"/>
          </w:tcPr>
          <w:p w14:paraId="10A4506B">
            <w:pPr>
              <w:rPr>
                <w:rFonts w:ascii="仿宋_GB2312" w:eastAsia="仿宋_GB2312"/>
                <w:color w:val="auto"/>
                <w:highlight w:val="none"/>
              </w:rPr>
            </w:pPr>
          </w:p>
        </w:tc>
        <w:tc>
          <w:tcPr>
            <w:tcW w:w="1134" w:type="dxa"/>
            <w:vAlign w:val="center"/>
          </w:tcPr>
          <w:p w14:paraId="0AADCA41">
            <w:pPr>
              <w:rPr>
                <w:rFonts w:ascii="仿宋_GB2312" w:eastAsia="仿宋_GB2312"/>
                <w:color w:val="auto"/>
                <w:highlight w:val="none"/>
              </w:rPr>
            </w:pPr>
          </w:p>
        </w:tc>
        <w:tc>
          <w:tcPr>
            <w:tcW w:w="709" w:type="dxa"/>
            <w:vAlign w:val="center"/>
          </w:tcPr>
          <w:p w14:paraId="4834C7A0">
            <w:pPr>
              <w:rPr>
                <w:rFonts w:ascii="仿宋_GB2312" w:eastAsia="仿宋_GB2312"/>
                <w:color w:val="auto"/>
                <w:highlight w:val="none"/>
              </w:rPr>
            </w:pPr>
          </w:p>
        </w:tc>
      </w:tr>
      <w:tr w14:paraId="0C2D89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1039FBAA">
            <w:pPr>
              <w:rPr>
                <w:rFonts w:ascii="仿宋_GB2312" w:eastAsia="仿宋_GB2312"/>
                <w:color w:val="auto"/>
                <w:highlight w:val="none"/>
              </w:rPr>
            </w:pPr>
          </w:p>
        </w:tc>
        <w:tc>
          <w:tcPr>
            <w:tcW w:w="1165" w:type="dxa"/>
            <w:vAlign w:val="center"/>
          </w:tcPr>
          <w:p w14:paraId="1B786407">
            <w:pPr>
              <w:rPr>
                <w:rFonts w:ascii="仿宋_GB2312" w:eastAsia="仿宋_GB2312"/>
                <w:color w:val="auto"/>
                <w:highlight w:val="none"/>
              </w:rPr>
            </w:pPr>
          </w:p>
        </w:tc>
        <w:tc>
          <w:tcPr>
            <w:tcW w:w="1126" w:type="dxa"/>
            <w:vAlign w:val="center"/>
          </w:tcPr>
          <w:p w14:paraId="74A22E04">
            <w:pPr>
              <w:rPr>
                <w:rFonts w:ascii="仿宋_GB2312" w:eastAsia="仿宋_GB2312"/>
                <w:color w:val="auto"/>
                <w:highlight w:val="none"/>
              </w:rPr>
            </w:pPr>
          </w:p>
        </w:tc>
        <w:tc>
          <w:tcPr>
            <w:tcW w:w="567" w:type="dxa"/>
            <w:vAlign w:val="center"/>
          </w:tcPr>
          <w:p w14:paraId="0CCC489E">
            <w:pPr>
              <w:rPr>
                <w:rFonts w:ascii="仿宋_GB2312" w:eastAsia="仿宋_GB2312"/>
                <w:color w:val="auto"/>
                <w:highlight w:val="none"/>
              </w:rPr>
            </w:pPr>
          </w:p>
        </w:tc>
        <w:tc>
          <w:tcPr>
            <w:tcW w:w="686" w:type="dxa"/>
            <w:vAlign w:val="center"/>
          </w:tcPr>
          <w:p w14:paraId="140A7DF0">
            <w:pPr>
              <w:rPr>
                <w:rFonts w:ascii="仿宋_GB2312" w:eastAsia="仿宋_GB2312"/>
                <w:color w:val="auto"/>
                <w:highlight w:val="none"/>
              </w:rPr>
            </w:pPr>
          </w:p>
        </w:tc>
        <w:tc>
          <w:tcPr>
            <w:tcW w:w="992" w:type="dxa"/>
          </w:tcPr>
          <w:p w14:paraId="718E1DED">
            <w:pPr>
              <w:rPr>
                <w:rFonts w:ascii="仿宋_GB2312" w:eastAsia="仿宋_GB2312"/>
                <w:color w:val="auto"/>
                <w:highlight w:val="none"/>
              </w:rPr>
            </w:pPr>
          </w:p>
        </w:tc>
        <w:tc>
          <w:tcPr>
            <w:tcW w:w="1134" w:type="dxa"/>
            <w:vAlign w:val="center"/>
          </w:tcPr>
          <w:p w14:paraId="741F00B6">
            <w:pPr>
              <w:rPr>
                <w:rFonts w:ascii="仿宋_GB2312" w:eastAsia="仿宋_GB2312"/>
                <w:color w:val="auto"/>
                <w:highlight w:val="none"/>
              </w:rPr>
            </w:pPr>
          </w:p>
        </w:tc>
        <w:tc>
          <w:tcPr>
            <w:tcW w:w="1134" w:type="dxa"/>
            <w:vAlign w:val="center"/>
          </w:tcPr>
          <w:p w14:paraId="646B2A72">
            <w:pPr>
              <w:rPr>
                <w:rFonts w:ascii="仿宋_GB2312" w:eastAsia="仿宋_GB2312"/>
                <w:color w:val="auto"/>
                <w:highlight w:val="none"/>
              </w:rPr>
            </w:pPr>
          </w:p>
        </w:tc>
        <w:tc>
          <w:tcPr>
            <w:tcW w:w="1134" w:type="dxa"/>
            <w:vAlign w:val="center"/>
          </w:tcPr>
          <w:p w14:paraId="7E4839A4">
            <w:pPr>
              <w:rPr>
                <w:rFonts w:ascii="仿宋_GB2312" w:eastAsia="仿宋_GB2312"/>
                <w:color w:val="auto"/>
                <w:highlight w:val="none"/>
              </w:rPr>
            </w:pPr>
          </w:p>
        </w:tc>
        <w:tc>
          <w:tcPr>
            <w:tcW w:w="709" w:type="dxa"/>
            <w:vAlign w:val="center"/>
          </w:tcPr>
          <w:p w14:paraId="33D84DCD">
            <w:pPr>
              <w:rPr>
                <w:rFonts w:ascii="仿宋_GB2312" w:eastAsia="仿宋_GB2312"/>
                <w:color w:val="auto"/>
                <w:highlight w:val="none"/>
              </w:rPr>
            </w:pPr>
          </w:p>
        </w:tc>
      </w:tr>
      <w:tr w14:paraId="6DAB39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4A0CD052">
            <w:pPr>
              <w:rPr>
                <w:rFonts w:ascii="仿宋_GB2312" w:eastAsia="仿宋_GB2312"/>
                <w:color w:val="auto"/>
                <w:highlight w:val="none"/>
              </w:rPr>
            </w:pPr>
          </w:p>
        </w:tc>
        <w:tc>
          <w:tcPr>
            <w:tcW w:w="1165" w:type="dxa"/>
            <w:vAlign w:val="center"/>
          </w:tcPr>
          <w:p w14:paraId="68A0B8DF">
            <w:pPr>
              <w:rPr>
                <w:rFonts w:ascii="仿宋_GB2312" w:eastAsia="仿宋_GB2312"/>
                <w:color w:val="auto"/>
                <w:highlight w:val="none"/>
              </w:rPr>
            </w:pPr>
          </w:p>
        </w:tc>
        <w:tc>
          <w:tcPr>
            <w:tcW w:w="1126" w:type="dxa"/>
            <w:vAlign w:val="center"/>
          </w:tcPr>
          <w:p w14:paraId="78E1301B">
            <w:pPr>
              <w:rPr>
                <w:rFonts w:ascii="仿宋_GB2312" w:eastAsia="仿宋_GB2312"/>
                <w:color w:val="auto"/>
                <w:highlight w:val="none"/>
              </w:rPr>
            </w:pPr>
          </w:p>
        </w:tc>
        <w:tc>
          <w:tcPr>
            <w:tcW w:w="567" w:type="dxa"/>
            <w:vAlign w:val="center"/>
          </w:tcPr>
          <w:p w14:paraId="71FF67A1">
            <w:pPr>
              <w:rPr>
                <w:rFonts w:ascii="仿宋_GB2312" w:eastAsia="仿宋_GB2312"/>
                <w:color w:val="auto"/>
                <w:highlight w:val="none"/>
              </w:rPr>
            </w:pPr>
          </w:p>
        </w:tc>
        <w:tc>
          <w:tcPr>
            <w:tcW w:w="686" w:type="dxa"/>
            <w:vAlign w:val="center"/>
          </w:tcPr>
          <w:p w14:paraId="6E377403">
            <w:pPr>
              <w:rPr>
                <w:rFonts w:ascii="仿宋_GB2312" w:eastAsia="仿宋_GB2312"/>
                <w:color w:val="auto"/>
                <w:highlight w:val="none"/>
              </w:rPr>
            </w:pPr>
          </w:p>
        </w:tc>
        <w:tc>
          <w:tcPr>
            <w:tcW w:w="992" w:type="dxa"/>
          </w:tcPr>
          <w:p w14:paraId="606A7FEA">
            <w:pPr>
              <w:rPr>
                <w:rFonts w:ascii="仿宋_GB2312" w:eastAsia="仿宋_GB2312"/>
                <w:color w:val="auto"/>
                <w:highlight w:val="none"/>
              </w:rPr>
            </w:pPr>
          </w:p>
        </w:tc>
        <w:tc>
          <w:tcPr>
            <w:tcW w:w="1134" w:type="dxa"/>
            <w:vAlign w:val="center"/>
          </w:tcPr>
          <w:p w14:paraId="70BA1257">
            <w:pPr>
              <w:rPr>
                <w:rFonts w:ascii="仿宋_GB2312" w:eastAsia="仿宋_GB2312"/>
                <w:color w:val="auto"/>
                <w:highlight w:val="none"/>
              </w:rPr>
            </w:pPr>
          </w:p>
        </w:tc>
        <w:tc>
          <w:tcPr>
            <w:tcW w:w="1134" w:type="dxa"/>
            <w:vAlign w:val="center"/>
          </w:tcPr>
          <w:p w14:paraId="2D5E87BF">
            <w:pPr>
              <w:rPr>
                <w:rFonts w:ascii="仿宋_GB2312" w:eastAsia="仿宋_GB2312"/>
                <w:color w:val="auto"/>
                <w:highlight w:val="none"/>
              </w:rPr>
            </w:pPr>
          </w:p>
        </w:tc>
        <w:tc>
          <w:tcPr>
            <w:tcW w:w="1134" w:type="dxa"/>
            <w:vAlign w:val="center"/>
          </w:tcPr>
          <w:p w14:paraId="1E8A72D8">
            <w:pPr>
              <w:rPr>
                <w:rFonts w:ascii="仿宋_GB2312" w:eastAsia="仿宋_GB2312"/>
                <w:color w:val="auto"/>
                <w:highlight w:val="none"/>
              </w:rPr>
            </w:pPr>
          </w:p>
        </w:tc>
        <w:tc>
          <w:tcPr>
            <w:tcW w:w="709" w:type="dxa"/>
            <w:vAlign w:val="center"/>
          </w:tcPr>
          <w:p w14:paraId="406494BF">
            <w:pPr>
              <w:rPr>
                <w:rFonts w:ascii="仿宋_GB2312" w:eastAsia="仿宋_GB2312"/>
                <w:color w:val="auto"/>
                <w:highlight w:val="none"/>
              </w:rPr>
            </w:pPr>
          </w:p>
        </w:tc>
      </w:tr>
      <w:tr w14:paraId="63636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5CD471B1">
            <w:pPr>
              <w:rPr>
                <w:rFonts w:ascii="仿宋_GB2312" w:eastAsia="仿宋_GB2312"/>
                <w:color w:val="auto"/>
                <w:highlight w:val="none"/>
              </w:rPr>
            </w:pPr>
          </w:p>
        </w:tc>
        <w:tc>
          <w:tcPr>
            <w:tcW w:w="1165" w:type="dxa"/>
            <w:vAlign w:val="center"/>
          </w:tcPr>
          <w:p w14:paraId="5D1A6A71">
            <w:pPr>
              <w:rPr>
                <w:rFonts w:ascii="仿宋_GB2312" w:eastAsia="仿宋_GB2312"/>
                <w:color w:val="auto"/>
                <w:highlight w:val="none"/>
              </w:rPr>
            </w:pPr>
          </w:p>
        </w:tc>
        <w:tc>
          <w:tcPr>
            <w:tcW w:w="1126" w:type="dxa"/>
            <w:vAlign w:val="center"/>
          </w:tcPr>
          <w:p w14:paraId="59725468">
            <w:pPr>
              <w:rPr>
                <w:rFonts w:ascii="仿宋_GB2312" w:eastAsia="仿宋_GB2312"/>
                <w:color w:val="auto"/>
                <w:highlight w:val="none"/>
              </w:rPr>
            </w:pPr>
          </w:p>
        </w:tc>
        <w:tc>
          <w:tcPr>
            <w:tcW w:w="567" w:type="dxa"/>
            <w:vAlign w:val="center"/>
          </w:tcPr>
          <w:p w14:paraId="121CEE14">
            <w:pPr>
              <w:rPr>
                <w:rFonts w:ascii="仿宋_GB2312" w:eastAsia="仿宋_GB2312"/>
                <w:color w:val="auto"/>
                <w:highlight w:val="none"/>
              </w:rPr>
            </w:pPr>
          </w:p>
        </w:tc>
        <w:tc>
          <w:tcPr>
            <w:tcW w:w="686" w:type="dxa"/>
            <w:vAlign w:val="center"/>
          </w:tcPr>
          <w:p w14:paraId="7AE63600">
            <w:pPr>
              <w:rPr>
                <w:rFonts w:ascii="仿宋_GB2312" w:eastAsia="仿宋_GB2312"/>
                <w:color w:val="auto"/>
                <w:highlight w:val="none"/>
              </w:rPr>
            </w:pPr>
          </w:p>
        </w:tc>
        <w:tc>
          <w:tcPr>
            <w:tcW w:w="992" w:type="dxa"/>
          </w:tcPr>
          <w:p w14:paraId="6CB29BCD">
            <w:pPr>
              <w:rPr>
                <w:rFonts w:ascii="仿宋_GB2312" w:eastAsia="仿宋_GB2312"/>
                <w:color w:val="auto"/>
                <w:highlight w:val="none"/>
              </w:rPr>
            </w:pPr>
          </w:p>
        </w:tc>
        <w:tc>
          <w:tcPr>
            <w:tcW w:w="1134" w:type="dxa"/>
            <w:vAlign w:val="center"/>
          </w:tcPr>
          <w:p w14:paraId="1B1006C7">
            <w:pPr>
              <w:rPr>
                <w:rFonts w:ascii="仿宋_GB2312" w:eastAsia="仿宋_GB2312"/>
                <w:color w:val="auto"/>
                <w:highlight w:val="none"/>
              </w:rPr>
            </w:pPr>
          </w:p>
        </w:tc>
        <w:tc>
          <w:tcPr>
            <w:tcW w:w="1134" w:type="dxa"/>
            <w:vAlign w:val="center"/>
          </w:tcPr>
          <w:p w14:paraId="50E0CB25">
            <w:pPr>
              <w:rPr>
                <w:rFonts w:ascii="仿宋_GB2312" w:eastAsia="仿宋_GB2312"/>
                <w:color w:val="auto"/>
                <w:highlight w:val="none"/>
              </w:rPr>
            </w:pPr>
          </w:p>
        </w:tc>
        <w:tc>
          <w:tcPr>
            <w:tcW w:w="1134" w:type="dxa"/>
            <w:vAlign w:val="center"/>
          </w:tcPr>
          <w:p w14:paraId="5ADE35E3">
            <w:pPr>
              <w:rPr>
                <w:rFonts w:ascii="仿宋_GB2312" w:eastAsia="仿宋_GB2312"/>
                <w:color w:val="auto"/>
                <w:highlight w:val="none"/>
              </w:rPr>
            </w:pPr>
          </w:p>
        </w:tc>
        <w:tc>
          <w:tcPr>
            <w:tcW w:w="709" w:type="dxa"/>
            <w:vAlign w:val="center"/>
          </w:tcPr>
          <w:p w14:paraId="19C63170">
            <w:pPr>
              <w:rPr>
                <w:rFonts w:ascii="仿宋_GB2312" w:eastAsia="仿宋_GB2312"/>
                <w:color w:val="auto"/>
                <w:highlight w:val="none"/>
              </w:rPr>
            </w:pPr>
          </w:p>
        </w:tc>
      </w:tr>
      <w:tr w14:paraId="085EF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7741D0A7">
            <w:pPr>
              <w:rPr>
                <w:rFonts w:ascii="仿宋_GB2312" w:eastAsia="仿宋_GB2312"/>
                <w:color w:val="auto"/>
                <w:highlight w:val="none"/>
              </w:rPr>
            </w:pPr>
          </w:p>
        </w:tc>
        <w:tc>
          <w:tcPr>
            <w:tcW w:w="1165" w:type="dxa"/>
            <w:vAlign w:val="center"/>
          </w:tcPr>
          <w:p w14:paraId="32EE9932">
            <w:pPr>
              <w:rPr>
                <w:rFonts w:ascii="仿宋_GB2312" w:eastAsia="仿宋_GB2312"/>
                <w:color w:val="auto"/>
                <w:highlight w:val="none"/>
              </w:rPr>
            </w:pPr>
          </w:p>
        </w:tc>
        <w:tc>
          <w:tcPr>
            <w:tcW w:w="1126" w:type="dxa"/>
            <w:vAlign w:val="center"/>
          </w:tcPr>
          <w:p w14:paraId="0677D6D4">
            <w:pPr>
              <w:rPr>
                <w:rFonts w:ascii="仿宋_GB2312" w:eastAsia="仿宋_GB2312"/>
                <w:color w:val="auto"/>
                <w:highlight w:val="none"/>
              </w:rPr>
            </w:pPr>
          </w:p>
        </w:tc>
        <w:tc>
          <w:tcPr>
            <w:tcW w:w="567" w:type="dxa"/>
            <w:vAlign w:val="center"/>
          </w:tcPr>
          <w:p w14:paraId="3E793751">
            <w:pPr>
              <w:rPr>
                <w:rFonts w:ascii="仿宋_GB2312" w:eastAsia="仿宋_GB2312"/>
                <w:color w:val="auto"/>
                <w:highlight w:val="none"/>
              </w:rPr>
            </w:pPr>
          </w:p>
        </w:tc>
        <w:tc>
          <w:tcPr>
            <w:tcW w:w="686" w:type="dxa"/>
            <w:vAlign w:val="center"/>
          </w:tcPr>
          <w:p w14:paraId="4B4BF006">
            <w:pPr>
              <w:rPr>
                <w:rFonts w:ascii="仿宋_GB2312" w:eastAsia="仿宋_GB2312"/>
                <w:color w:val="auto"/>
                <w:highlight w:val="none"/>
              </w:rPr>
            </w:pPr>
          </w:p>
        </w:tc>
        <w:tc>
          <w:tcPr>
            <w:tcW w:w="992" w:type="dxa"/>
          </w:tcPr>
          <w:p w14:paraId="3B43E89A">
            <w:pPr>
              <w:rPr>
                <w:rFonts w:ascii="仿宋_GB2312" w:eastAsia="仿宋_GB2312"/>
                <w:color w:val="auto"/>
                <w:highlight w:val="none"/>
              </w:rPr>
            </w:pPr>
          </w:p>
        </w:tc>
        <w:tc>
          <w:tcPr>
            <w:tcW w:w="1134" w:type="dxa"/>
            <w:vAlign w:val="center"/>
          </w:tcPr>
          <w:p w14:paraId="373F2E4B">
            <w:pPr>
              <w:rPr>
                <w:rFonts w:ascii="仿宋_GB2312" w:eastAsia="仿宋_GB2312"/>
                <w:color w:val="auto"/>
                <w:highlight w:val="none"/>
              </w:rPr>
            </w:pPr>
          </w:p>
        </w:tc>
        <w:tc>
          <w:tcPr>
            <w:tcW w:w="1134" w:type="dxa"/>
            <w:vAlign w:val="center"/>
          </w:tcPr>
          <w:p w14:paraId="0DDFBEA1">
            <w:pPr>
              <w:rPr>
                <w:rFonts w:ascii="仿宋_GB2312" w:eastAsia="仿宋_GB2312"/>
                <w:color w:val="auto"/>
                <w:highlight w:val="none"/>
              </w:rPr>
            </w:pPr>
          </w:p>
        </w:tc>
        <w:tc>
          <w:tcPr>
            <w:tcW w:w="1134" w:type="dxa"/>
            <w:vAlign w:val="center"/>
          </w:tcPr>
          <w:p w14:paraId="5BA0CF9F">
            <w:pPr>
              <w:rPr>
                <w:rFonts w:ascii="仿宋_GB2312" w:eastAsia="仿宋_GB2312"/>
                <w:color w:val="auto"/>
                <w:highlight w:val="none"/>
              </w:rPr>
            </w:pPr>
          </w:p>
        </w:tc>
        <w:tc>
          <w:tcPr>
            <w:tcW w:w="709" w:type="dxa"/>
            <w:vAlign w:val="center"/>
          </w:tcPr>
          <w:p w14:paraId="4349FC40">
            <w:pPr>
              <w:rPr>
                <w:rFonts w:ascii="仿宋_GB2312" w:eastAsia="仿宋_GB2312"/>
                <w:color w:val="auto"/>
                <w:highlight w:val="none"/>
              </w:rPr>
            </w:pPr>
          </w:p>
        </w:tc>
      </w:tr>
      <w:tr w14:paraId="115D77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3E0C3971">
            <w:pPr>
              <w:rPr>
                <w:rFonts w:ascii="仿宋_GB2312" w:eastAsia="仿宋_GB2312"/>
                <w:color w:val="auto"/>
                <w:highlight w:val="none"/>
              </w:rPr>
            </w:pPr>
          </w:p>
        </w:tc>
        <w:tc>
          <w:tcPr>
            <w:tcW w:w="1165" w:type="dxa"/>
            <w:vAlign w:val="center"/>
          </w:tcPr>
          <w:p w14:paraId="7604896D">
            <w:pPr>
              <w:rPr>
                <w:rFonts w:ascii="仿宋_GB2312" w:eastAsia="仿宋_GB2312"/>
                <w:color w:val="auto"/>
                <w:highlight w:val="none"/>
              </w:rPr>
            </w:pPr>
          </w:p>
        </w:tc>
        <w:tc>
          <w:tcPr>
            <w:tcW w:w="1126" w:type="dxa"/>
            <w:vAlign w:val="center"/>
          </w:tcPr>
          <w:p w14:paraId="27191196">
            <w:pPr>
              <w:rPr>
                <w:rFonts w:ascii="仿宋_GB2312" w:eastAsia="仿宋_GB2312"/>
                <w:color w:val="auto"/>
                <w:highlight w:val="none"/>
              </w:rPr>
            </w:pPr>
          </w:p>
        </w:tc>
        <w:tc>
          <w:tcPr>
            <w:tcW w:w="567" w:type="dxa"/>
            <w:vAlign w:val="center"/>
          </w:tcPr>
          <w:p w14:paraId="07C46C0E">
            <w:pPr>
              <w:rPr>
                <w:rFonts w:ascii="仿宋_GB2312" w:eastAsia="仿宋_GB2312"/>
                <w:color w:val="auto"/>
                <w:highlight w:val="none"/>
              </w:rPr>
            </w:pPr>
          </w:p>
        </w:tc>
        <w:tc>
          <w:tcPr>
            <w:tcW w:w="686" w:type="dxa"/>
            <w:vAlign w:val="center"/>
          </w:tcPr>
          <w:p w14:paraId="15721048">
            <w:pPr>
              <w:rPr>
                <w:rFonts w:ascii="仿宋_GB2312" w:eastAsia="仿宋_GB2312"/>
                <w:color w:val="auto"/>
                <w:highlight w:val="none"/>
              </w:rPr>
            </w:pPr>
          </w:p>
        </w:tc>
        <w:tc>
          <w:tcPr>
            <w:tcW w:w="992" w:type="dxa"/>
          </w:tcPr>
          <w:p w14:paraId="53E760AA">
            <w:pPr>
              <w:rPr>
                <w:rFonts w:ascii="仿宋_GB2312" w:eastAsia="仿宋_GB2312"/>
                <w:color w:val="auto"/>
                <w:highlight w:val="none"/>
              </w:rPr>
            </w:pPr>
          </w:p>
        </w:tc>
        <w:tc>
          <w:tcPr>
            <w:tcW w:w="1134" w:type="dxa"/>
            <w:vAlign w:val="center"/>
          </w:tcPr>
          <w:p w14:paraId="6E7430AC">
            <w:pPr>
              <w:rPr>
                <w:rFonts w:ascii="仿宋_GB2312" w:eastAsia="仿宋_GB2312"/>
                <w:color w:val="auto"/>
                <w:highlight w:val="none"/>
              </w:rPr>
            </w:pPr>
          </w:p>
        </w:tc>
        <w:tc>
          <w:tcPr>
            <w:tcW w:w="1134" w:type="dxa"/>
            <w:vAlign w:val="center"/>
          </w:tcPr>
          <w:p w14:paraId="7A7C2B4B">
            <w:pPr>
              <w:rPr>
                <w:rFonts w:ascii="仿宋_GB2312" w:eastAsia="仿宋_GB2312"/>
                <w:color w:val="auto"/>
                <w:highlight w:val="none"/>
              </w:rPr>
            </w:pPr>
          </w:p>
        </w:tc>
        <w:tc>
          <w:tcPr>
            <w:tcW w:w="1134" w:type="dxa"/>
            <w:vAlign w:val="center"/>
          </w:tcPr>
          <w:p w14:paraId="0895E358">
            <w:pPr>
              <w:rPr>
                <w:rFonts w:ascii="仿宋_GB2312" w:eastAsia="仿宋_GB2312"/>
                <w:color w:val="auto"/>
                <w:highlight w:val="none"/>
              </w:rPr>
            </w:pPr>
          </w:p>
        </w:tc>
        <w:tc>
          <w:tcPr>
            <w:tcW w:w="709" w:type="dxa"/>
            <w:vAlign w:val="center"/>
          </w:tcPr>
          <w:p w14:paraId="793F6D9F">
            <w:pPr>
              <w:rPr>
                <w:rFonts w:ascii="仿宋_GB2312" w:eastAsia="仿宋_GB2312"/>
                <w:color w:val="auto"/>
                <w:highlight w:val="none"/>
              </w:rPr>
            </w:pPr>
          </w:p>
        </w:tc>
      </w:tr>
      <w:tr w14:paraId="3BFAC5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49D09E8A">
            <w:pPr>
              <w:rPr>
                <w:rFonts w:ascii="仿宋_GB2312" w:eastAsia="仿宋_GB2312"/>
                <w:color w:val="auto"/>
                <w:highlight w:val="none"/>
              </w:rPr>
            </w:pPr>
          </w:p>
        </w:tc>
        <w:tc>
          <w:tcPr>
            <w:tcW w:w="1165" w:type="dxa"/>
            <w:vAlign w:val="center"/>
          </w:tcPr>
          <w:p w14:paraId="635F0379">
            <w:pPr>
              <w:rPr>
                <w:rFonts w:ascii="仿宋_GB2312" w:eastAsia="仿宋_GB2312"/>
                <w:color w:val="auto"/>
                <w:highlight w:val="none"/>
              </w:rPr>
            </w:pPr>
          </w:p>
        </w:tc>
        <w:tc>
          <w:tcPr>
            <w:tcW w:w="1126" w:type="dxa"/>
            <w:vAlign w:val="center"/>
          </w:tcPr>
          <w:p w14:paraId="4F153603">
            <w:pPr>
              <w:rPr>
                <w:rFonts w:ascii="仿宋_GB2312" w:eastAsia="仿宋_GB2312"/>
                <w:color w:val="auto"/>
                <w:highlight w:val="none"/>
              </w:rPr>
            </w:pPr>
          </w:p>
        </w:tc>
        <w:tc>
          <w:tcPr>
            <w:tcW w:w="567" w:type="dxa"/>
            <w:vAlign w:val="center"/>
          </w:tcPr>
          <w:p w14:paraId="7BC5F0FF">
            <w:pPr>
              <w:rPr>
                <w:rFonts w:ascii="仿宋_GB2312" w:eastAsia="仿宋_GB2312"/>
                <w:color w:val="auto"/>
                <w:highlight w:val="none"/>
              </w:rPr>
            </w:pPr>
          </w:p>
        </w:tc>
        <w:tc>
          <w:tcPr>
            <w:tcW w:w="686" w:type="dxa"/>
            <w:vAlign w:val="center"/>
          </w:tcPr>
          <w:p w14:paraId="73BB53A8">
            <w:pPr>
              <w:rPr>
                <w:rFonts w:ascii="仿宋_GB2312" w:eastAsia="仿宋_GB2312"/>
                <w:color w:val="auto"/>
                <w:highlight w:val="none"/>
              </w:rPr>
            </w:pPr>
          </w:p>
        </w:tc>
        <w:tc>
          <w:tcPr>
            <w:tcW w:w="992" w:type="dxa"/>
          </w:tcPr>
          <w:p w14:paraId="748538F5">
            <w:pPr>
              <w:rPr>
                <w:rFonts w:ascii="仿宋_GB2312" w:eastAsia="仿宋_GB2312"/>
                <w:color w:val="auto"/>
                <w:highlight w:val="none"/>
              </w:rPr>
            </w:pPr>
          </w:p>
        </w:tc>
        <w:tc>
          <w:tcPr>
            <w:tcW w:w="1134" w:type="dxa"/>
            <w:vAlign w:val="center"/>
          </w:tcPr>
          <w:p w14:paraId="35E7029F">
            <w:pPr>
              <w:rPr>
                <w:rFonts w:ascii="仿宋_GB2312" w:eastAsia="仿宋_GB2312"/>
                <w:color w:val="auto"/>
                <w:highlight w:val="none"/>
              </w:rPr>
            </w:pPr>
          </w:p>
        </w:tc>
        <w:tc>
          <w:tcPr>
            <w:tcW w:w="1134" w:type="dxa"/>
            <w:vAlign w:val="center"/>
          </w:tcPr>
          <w:p w14:paraId="7A5C4BB9">
            <w:pPr>
              <w:rPr>
                <w:rFonts w:ascii="仿宋_GB2312" w:eastAsia="仿宋_GB2312"/>
                <w:color w:val="auto"/>
                <w:highlight w:val="none"/>
              </w:rPr>
            </w:pPr>
          </w:p>
        </w:tc>
        <w:tc>
          <w:tcPr>
            <w:tcW w:w="1134" w:type="dxa"/>
            <w:vAlign w:val="center"/>
          </w:tcPr>
          <w:p w14:paraId="41D200BA">
            <w:pPr>
              <w:rPr>
                <w:rFonts w:ascii="仿宋_GB2312" w:eastAsia="仿宋_GB2312"/>
                <w:color w:val="auto"/>
                <w:highlight w:val="none"/>
              </w:rPr>
            </w:pPr>
          </w:p>
        </w:tc>
        <w:tc>
          <w:tcPr>
            <w:tcW w:w="709" w:type="dxa"/>
            <w:vAlign w:val="center"/>
          </w:tcPr>
          <w:p w14:paraId="3072B79D">
            <w:pPr>
              <w:rPr>
                <w:rFonts w:ascii="仿宋_GB2312" w:eastAsia="仿宋_GB2312"/>
                <w:color w:val="auto"/>
                <w:highlight w:val="none"/>
              </w:rPr>
            </w:pPr>
          </w:p>
        </w:tc>
      </w:tr>
      <w:tr w14:paraId="69A269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1E87B7F1">
            <w:pPr>
              <w:rPr>
                <w:rFonts w:ascii="仿宋_GB2312" w:eastAsia="仿宋_GB2312"/>
                <w:color w:val="auto"/>
                <w:highlight w:val="none"/>
              </w:rPr>
            </w:pPr>
          </w:p>
        </w:tc>
        <w:tc>
          <w:tcPr>
            <w:tcW w:w="1165" w:type="dxa"/>
            <w:vAlign w:val="center"/>
          </w:tcPr>
          <w:p w14:paraId="57A85DC9">
            <w:pPr>
              <w:rPr>
                <w:rFonts w:ascii="仿宋_GB2312" w:eastAsia="仿宋_GB2312"/>
                <w:color w:val="auto"/>
                <w:highlight w:val="none"/>
              </w:rPr>
            </w:pPr>
          </w:p>
        </w:tc>
        <w:tc>
          <w:tcPr>
            <w:tcW w:w="1126" w:type="dxa"/>
            <w:vAlign w:val="center"/>
          </w:tcPr>
          <w:p w14:paraId="7122BB90">
            <w:pPr>
              <w:rPr>
                <w:rFonts w:ascii="仿宋_GB2312" w:eastAsia="仿宋_GB2312"/>
                <w:color w:val="auto"/>
                <w:highlight w:val="none"/>
              </w:rPr>
            </w:pPr>
          </w:p>
        </w:tc>
        <w:tc>
          <w:tcPr>
            <w:tcW w:w="567" w:type="dxa"/>
            <w:vAlign w:val="center"/>
          </w:tcPr>
          <w:p w14:paraId="5C827175">
            <w:pPr>
              <w:rPr>
                <w:rFonts w:ascii="仿宋_GB2312" w:eastAsia="仿宋_GB2312"/>
                <w:color w:val="auto"/>
                <w:highlight w:val="none"/>
              </w:rPr>
            </w:pPr>
          </w:p>
        </w:tc>
        <w:tc>
          <w:tcPr>
            <w:tcW w:w="686" w:type="dxa"/>
            <w:vAlign w:val="center"/>
          </w:tcPr>
          <w:p w14:paraId="13476FF2">
            <w:pPr>
              <w:rPr>
                <w:rFonts w:ascii="仿宋_GB2312" w:eastAsia="仿宋_GB2312"/>
                <w:color w:val="auto"/>
                <w:highlight w:val="none"/>
              </w:rPr>
            </w:pPr>
          </w:p>
        </w:tc>
        <w:tc>
          <w:tcPr>
            <w:tcW w:w="992" w:type="dxa"/>
          </w:tcPr>
          <w:p w14:paraId="369E539B">
            <w:pPr>
              <w:rPr>
                <w:rFonts w:ascii="仿宋_GB2312" w:eastAsia="仿宋_GB2312"/>
                <w:color w:val="auto"/>
                <w:highlight w:val="none"/>
              </w:rPr>
            </w:pPr>
          </w:p>
        </w:tc>
        <w:tc>
          <w:tcPr>
            <w:tcW w:w="1134" w:type="dxa"/>
            <w:vAlign w:val="center"/>
          </w:tcPr>
          <w:p w14:paraId="72FA4017">
            <w:pPr>
              <w:rPr>
                <w:rFonts w:ascii="仿宋_GB2312" w:eastAsia="仿宋_GB2312"/>
                <w:color w:val="auto"/>
                <w:highlight w:val="none"/>
              </w:rPr>
            </w:pPr>
          </w:p>
        </w:tc>
        <w:tc>
          <w:tcPr>
            <w:tcW w:w="1134" w:type="dxa"/>
            <w:vAlign w:val="center"/>
          </w:tcPr>
          <w:p w14:paraId="0579A9F2">
            <w:pPr>
              <w:rPr>
                <w:rFonts w:ascii="仿宋_GB2312" w:eastAsia="仿宋_GB2312"/>
                <w:color w:val="auto"/>
                <w:highlight w:val="none"/>
              </w:rPr>
            </w:pPr>
          </w:p>
        </w:tc>
        <w:tc>
          <w:tcPr>
            <w:tcW w:w="1134" w:type="dxa"/>
            <w:vAlign w:val="center"/>
          </w:tcPr>
          <w:p w14:paraId="2779587F">
            <w:pPr>
              <w:rPr>
                <w:rFonts w:ascii="仿宋_GB2312" w:eastAsia="仿宋_GB2312"/>
                <w:color w:val="auto"/>
                <w:highlight w:val="none"/>
              </w:rPr>
            </w:pPr>
          </w:p>
        </w:tc>
        <w:tc>
          <w:tcPr>
            <w:tcW w:w="709" w:type="dxa"/>
            <w:vAlign w:val="center"/>
          </w:tcPr>
          <w:p w14:paraId="7544C0B9">
            <w:pPr>
              <w:rPr>
                <w:rFonts w:ascii="仿宋_GB2312" w:eastAsia="仿宋_GB2312"/>
                <w:color w:val="auto"/>
                <w:highlight w:val="none"/>
              </w:rPr>
            </w:pPr>
          </w:p>
        </w:tc>
      </w:tr>
    </w:tbl>
    <w:p w14:paraId="16A5DF16">
      <w:pPr>
        <w:rPr>
          <w:color w:val="auto"/>
          <w:highlight w:val="none"/>
        </w:rPr>
      </w:pPr>
    </w:p>
    <w:p w14:paraId="746C1905">
      <w:pPr>
        <w:pStyle w:val="41"/>
        <w:numPr>
          <w:ilvl w:val="0"/>
          <w:numId w:val="0"/>
        </w:numPr>
        <w:rPr>
          <w:rFonts w:hint="eastAsia"/>
          <w:color w:val="auto"/>
          <w:highlight w:val="none"/>
        </w:rPr>
      </w:pPr>
      <w:bookmarkStart w:id="182" w:name="_Toc20171895"/>
      <w:bookmarkStart w:id="183" w:name="_Toc54862354"/>
    </w:p>
    <w:p w14:paraId="7208C056">
      <w:pPr>
        <w:pStyle w:val="41"/>
        <w:numPr>
          <w:ilvl w:val="0"/>
          <w:numId w:val="0"/>
        </w:numPr>
        <w:rPr>
          <w:rFonts w:hint="eastAsia"/>
          <w:color w:val="auto"/>
          <w:highlight w:val="none"/>
        </w:rPr>
      </w:pPr>
    </w:p>
    <w:p w14:paraId="54C79642">
      <w:pPr>
        <w:pStyle w:val="41"/>
        <w:numPr>
          <w:ilvl w:val="0"/>
          <w:numId w:val="0"/>
        </w:numPr>
        <w:rPr>
          <w:rFonts w:hint="eastAsia"/>
          <w:color w:val="auto"/>
          <w:highlight w:val="none"/>
        </w:rPr>
      </w:pPr>
      <w:r>
        <w:rPr>
          <w:rFonts w:hint="eastAsia"/>
          <w:color w:val="auto"/>
          <w:highlight w:val="none"/>
        </w:rPr>
        <w:t>附件</w:t>
      </w:r>
      <w:r>
        <w:rPr>
          <w:color w:val="auto"/>
          <w:highlight w:val="none"/>
        </w:rPr>
        <w:t>3 工程质量保修书</w:t>
      </w:r>
      <w:bookmarkEnd w:id="182"/>
      <w:bookmarkEnd w:id="183"/>
    </w:p>
    <w:p w14:paraId="07DC34ED">
      <w:pPr>
        <w:rPr>
          <w:color w:val="auto"/>
          <w:highlight w:val="none"/>
        </w:rPr>
      </w:pPr>
      <w:r>
        <w:rPr>
          <w:rFonts w:hint="eastAsia"/>
          <w:color w:val="auto"/>
          <w:highlight w:val="none"/>
        </w:rPr>
        <w:t>发包人（全称）：</w:t>
      </w:r>
      <w:r>
        <w:rPr>
          <w:color w:val="auto"/>
          <w:highlight w:val="none"/>
          <w:u w:val="single"/>
        </w:rPr>
        <w:t xml:space="preserve">                             </w:t>
      </w:r>
      <w:r>
        <w:rPr>
          <w:color w:val="auto"/>
          <w:highlight w:val="none"/>
        </w:rPr>
        <w:t xml:space="preserve">     </w:t>
      </w:r>
    </w:p>
    <w:p w14:paraId="25E71E7F">
      <w:pPr>
        <w:rPr>
          <w:color w:val="auto"/>
          <w:highlight w:val="none"/>
        </w:rPr>
      </w:pPr>
      <w:r>
        <w:rPr>
          <w:rFonts w:hint="eastAsia"/>
          <w:color w:val="auto"/>
          <w:highlight w:val="none"/>
        </w:rPr>
        <w:t>承包人（全称）：</w:t>
      </w:r>
      <w:r>
        <w:rPr>
          <w:color w:val="auto"/>
          <w:highlight w:val="none"/>
          <w:u w:val="single"/>
        </w:rPr>
        <w:t xml:space="preserve">                              </w:t>
      </w:r>
      <w:r>
        <w:rPr>
          <w:color w:val="auto"/>
          <w:highlight w:val="none"/>
        </w:rPr>
        <w:t xml:space="preserve">    </w:t>
      </w:r>
    </w:p>
    <w:p w14:paraId="2E89C308">
      <w:pPr>
        <w:rPr>
          <w:color w:val="auto"/>
          <w:highlight w:val="none"/>
        </w:rPr>
      </w:pPr>
      <w:r>
        <w:rPr>
          <w:rFonts w:hint="eastAsia"/>
          <w:color w:val="auto"/>
          <w:highlight w:val="none"/>
        </w:rPr>
        <w:t>发包人和承包人根据《中华人民共和国建筑法》和《建设工程质量管理条例》，经协商一致就</w:t>
      </w:r>
      <w:r>
        <w:rPr>
          <w:color w:val="auto"/>
          <w:highlight w:val="none"/>
          <w:u w:val="single"/>
        </w:rPr>
        <w:t xml:space="preserve">                 </w:t>
      </w:r>
      <w:r>
        <w:rPr>
          <w:rFonts w:hint="eastAsia"/>
          <w:color w:val="auto"/>
          <w:highlight w:val="none"/>
        </w:rPr>
        <w:t>（工程全称）订立工程质量保修书。</w:t>
      </w:r>
    </w:p>
    <w:p w14:paraId="760BDC06">
      <w:pPr>
        <w:rPr>
          <w:color w:val="auto"/>
          <w:highlight w:val="none"/>
        </w:rPr>
      </w:pPr>
      <w:r>
        <w:rPr>
          <w:rFonts w:hint="eastAsia"/>
          <w:color w:val="auto"/>
          <w:highlight w:val="none"/>
        </w:rPr>
        <w:t>一、工程质量保修范围和内容</w:t>
      </w:r>
    </w:p>
    <w:p w14:paraId="4004D561">
      <w:pPr>
        <w:rPr>
          <w:color w:val="auto"/>
          <w:highlight w:val="none"/>
        </w:rPr>
      </w:pPr>
      <w:r>
        <w:rPr>
          <w:rFonts w:hint="eastAsia"/>
          <w:color w:val="auto"/>
          <w:highlight w:val="none"/>
        </w:rPr>
        <w:t>承包人在质量保修期内，按照有关法律规定和合同约定，承担工程质量保修责任。</w:t>
      </w:r>
    </w:p>
    <w:p w14:paraId="147AC62E">
      <w:pPr>
        <w:rPr>
          <w:color w:val="auto"/>
          <w:highlight w:val="none"/>
        </w:rPr>
      </w:pPr>
      <w:r>
        <w:rPr>
          <w:rFonts w:hint="eastAsia"/>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color w:val="auto"/>
          <w:highlight w:val="none"/>
          <w:u w:val="single"/>
        </w:rPr>
        <w:t xml:space="preserve">                                                  </w:t>
      </w:r>
      <w:r>
        <w:rPr>
          <w:rFonts w:hint="eastAsia"/>
          <w:color w:val="auto"/>
          <w:highlight w:val="none"/>
        </w:rPr>
        <w:t>。</w:t>
      </w:r>
    </w:p>
    <w:p w14:paraId="45118151">
      <w:pPr>
        <w:rPr>
          <w:color w:val="auto"/>
          <w:highlight w:val="none"/>
        </w:rPr>
      </w:pPr>
      <w:r>
        <w:rPr>
          <w:rFonts w:hint="eastAsia"/>
          <w:color w:val="auto"/>
          <w:highlight w:val="none"/>
        </w:rPr>
        <w:t>二、质量保修期</w:t>
      </w:r>
    </w:p>
    <w:p w14:paraId="4B9AD984">
      <w:pPr>
        <w:rPr>
          <w:color w:val="auto"/>
          <w:highlight w:val="none"/>
        </w:rPr>
      </w:pPr>
      <w:r>
        <w:rPr>
          <w:rFonts w:hint="eastAsia"/>
          <w:color w:val="auto"/>
          <w:highlight w:val="none"/>
        </w:rPr>
        <w:t>根据《建设工程质量管理条例》及有关规定，工程的质量保修期如下：</w:t>
      </w:r>
    </w:p>
    <w:p w14:paraId="0E9775AC">
      <w:pPr>
        <w:rPr>
          <w:color w:val="auto"/>
          <w:highlight w:val="none"/>
        </w:rPr>
      </w:pPr>
      <w:r>
        <w:rPr>
          <w:rFonts w:hint="eastAsia"/>
          <w:color w:val="auto"/>
          <w:highlight w:val="none"/>
        </w:rPr>
        <w:t>1．地基基础工程和主体结构工程为设计文件规定的工程合理使用年限；</w:t>
      </w:r>
    </w:p>
    <w:p w14:paraId="6389FD5B">
      <w:pPr>
        <w:rPr>
          <w:color w:val="auto"/>
          <w:highlight w:val="none"/>
        </w:rPr>
      </w:pPr>
      <w:r>
        <w:rPr>
          <w:rFonts w:hint="eastAsia"/>
          <w:color w:val="auto"/>
          <w:highlight w:val="none"/>
        </w:rPr>
        <w:t>2．屋面防水工程、有防水要求的卫生间、房间和外墙面的防渗为</w:t>
      </w:r>
      <w:r>
        <w:rPr>
          <w:rFonts w:hint="eastAsia"/>
          <w:color w:val="auto"/>
          <w:highlight w:val="none"/>
          <w:u w:val="single"/>
        </w:rPr>
        <w:t>8</w:t>
      </w:r>
      <w:r>
        <w:rPr>
          <w:rFonts w:hint="eastAsia"/>
          <w:color w:val="auto"/>
          <w:highlight w:val="none"/>
        </w:rPr>
        <w:t>年；</w:t>
      </w:r>
    </w:p>
    <w:p w14:paraId="3FC97CE7">
      <w:pPr>
        <w:rPr>
          <w:color w:val="auto"/>
          <w:highlight w:val="none"/>
        </w:rPr>
      </w:pPr>
      <w:r>
        <w:rPr>
          <w:rFonts w:hint="eastAsia"/>
          <w:color w:val="auto"/>
          <w:highlight w:val="none"/>
        </w:rPr>
        <w:t>3．装修工程为</w:t>
      </w:r>
      <w:r>
        <w:rPr>
          <w:color w:val="auto"/>
          <w:highlight w:val="none"/>
          <w:u w:val="single"/>
        </w:rPr>
        <w:t xml:space="preserve"> </w:t>
      </w:r>
      <w:r>
        <w:rPr>
          <w:rFonts w:hint="eastAsia"/>
          <w:color w:val="auto"/>
          <w:highlight w:val="none"/>
          <w:u w:val="single"/>
        </w:rPr>
        <w:t>2</w:t>
      </w:r>
      <w:r>
        <w:rPr>
          <w:rFonts w:hint="eastAsia"/>
          <w:color w:val="auto"/>
          <w:highlight w:val="none"/>
        </w:rPr>
        <w:t>年；</w:t>
      </w:r>
    </w:p>
    <w:p w14:paraId="2FC97286">
      <w:pPr>
        <w:rPr>
          <w:color w:val="auto"/>
          <w:highlight w:val="none"/>
        </w:rPr>
      </w:pPr>
      <w:r>
        <w:rPr>
          <w:rFonts w:hint="eastAsia"/>
          <w:color w:val="auto"/>
          <w:highlight w:val="none"/>
        </w:rPr>
        <w:t>4．电气管线、给排水管道、设备安装工程为</w:t>
      </w:r>
      <w:r>
        <w:rPr>
          <w:rFonts w:hint="eastAsia"/>
          <w:color w:val="auto"/>
          <w:highlight w:val="none"/>
          <w:u w:val="single"/>
        </w:rPr>
        <w:t>2</w:t>
      </w:r>
      <w:r>
        <w:rPr>
          <w:rFonts w:hint="eastAsia"/>
          <w:color w:val="auto"/>
          <w:highlight w:val="none"/>
        </w:rPr>
        <w:t>年；</w:t>
      </w:r>
    </w:p>
    <w:p w14:paraId="5E3B58E4">
      <w:pPr>
        <w:rPr>
          <w:color w:val="auto"/>
          <w:highlight w:val="none"/>
        </w:rPr>
      </w:pPr>
      <w:r>
        <w:rPr>
          <w:rFonts w:hint="eastAsia"/>
          <w:color w:val="auto"/>
          <w:highlight w:val="none"/>
        </w:rPr>
        <w:t>5．供热与供冷系统为</w:t>
      </w:r>
      <w:r>
        <w:rPr>
          <w:rFonts w:hint="eastAsia"/>
          <w:color w:val="auto"/>
          <w:highlight w:val="none"/>
          <w:u w:val="single"/>
        </w:rPr>
        <w:t>2</w:t>
      </w:r>
      <w:r>
        <w:rPr>
          <w:rFonts w:hint="eastAsia"/>
          <w:color w:val="auto"/>
          <w:highlight w:val="none"/>
        </w:rPr>
        <w:t>个采暖期、供冷期；</w:t>
      </w:r>
    </w:p>
    <w:p w14:paraId="25CE1758">
      <w:pPr>
        <w:rPr>
          <w:color w:val="auto"/>
          <w:highlight w:val="none"/>
        </w:rPr>
      </w:pPr>
      <w:r>
        <w:rPr>
          <w:rFonts w:hint="eastAsia"/>
          <w:color w:val="auto"/>
          <w:highlight w:val="none"/>
        </w:rPr>
        <w:t>6．住宅小区内的给排水设施、道路等配套工程为/年；</w:t>
      </w:r>
    </w:p>
    <w:p w14:paraId="6E624FC0">
      <w:pPr>
        <w:rPr>
          <w:color w:val="auto"/>
          <w:highlight w:val="none"/>
        </w:rPr>
      </w:pPr>
      <w:r>
        <w:rPr>
          <w:rFonts w:hint="eastAsia"/>
          <w:color w:val="auto"/>
          <w:highlight w:val="none"/>
        </w:rPr>
        <w:t>7．其他项目保修期限约定如下：</w:t>
      </w:r>
      <w:r>
        <w:rPr>
          <w:rFonts w:ascii="宋体" w:hAnsi="宋体"/>
          <w:color w:val="auto"/>
          <w:szCs w:val="21"/>
          <w:highlight w:val="none"/>
          <w:u w:val="single"/>
        </w:rPr>
        <w:t xml:space="preserve"> </w:t>
      </w:r>
      <w:r>
        <w:rPr>
          <w:rFonts w:hint="eastAsia" w:ascii="宋体" w:hAnsi="宋体"/>
          <w:b/>
          <w:color w:val="auto"/>
          <w:szCs w:val="21"/>
          <w:highlight w:val="none"/>
          <w:u w:val="single"/>
        </w:rPr>
        <w:t>2年</w:t>
      </w:r>
      <w:r>
        <w:rPr>
          <w:rFonts w:ascii="宋体" w:hAnsi="宋体"/>
          <w:color w:val="auto"/>
          <w:szCs w:val="21"/>
          <w:highlight w:val="none"/>
          <w:u w:val="single"/>
        </w:rPr>
        <w:t xml:space="preserve"> </w:t>
      </w:r>
      <w:r>
        <w:rPr>
          <w:color w:val="auto"/>
          <w:highlight w:val="none"/>
        </w:rPr>
        <w:t xml:space="preserve"> </w:t>
      </w:r>
      <w:r>
        <w:rPr>
          <w:rFonts w:hint="eastAsia"/>
          <w:color w:val="auto"/>
          <w:highlight w:val="none"/>
        </w:rPr>
        <w:t>。</w:t>
      </w:r>
    </w:p>
    <w:p w14:paraId="4C9A6F36">
      <w:pPr>
        <w:rPr>
          <w:color w:val="auto"/>
          <w:highlight w:val="none"/>
        </w:rPr>
      </w:pPr>
      <w:r>
        <w:rPr>
          <w:rFonts w:hint="eastAsia"/>
          <w:color w:val="auto"/>
          <w:highlight w:val="none"/>
        </w:rPr>
        <w:t>质量保修期自工程竣工验收合格之日起计算。</w:t>
      </w:r>
    </w:p>
    <w:p w14:paraId="5BA94B33">
      <w:pPr>
        <w:rPr>
          <w:color w:val="auto"/>
          <w:highlight w:val="none"/>
        </w:rPr>
      </w:pPr>
      <w:r>
        <w:rPr>
          <w:rFonts w:hint="eastAsia"/>
          <w:color w:val="auto"/>
          <w:highlight w:val="none"/>
        </w:rPr>
        <w:t>三、缺陷责任期</w:t>
      </w:r>
    </w:p>
    <w:p w14:paraId="08B6C28A">
      <w:pPr>
        <w:rPr>
          <w:color w:val="auto"/>
          <w:highlight w:val="none"/>
        </w:rPr>
      </w:pPr>
      <w:r>
        <w:rPr>
          <w:rFonts w:hint="eastAsia"/>
          <w:color w:val="auto"/>
          <w:highlight w:val="none"/>
        </w:rPr>
        <w:t>工程缺陷责任期为</w:t>
      </w:r>
      <w:r>
        <w:rPr>
          <w:rFonts w:hint="eastAsia"/>
          <w:color w:val="auto"/>
          <w:highlight w:val="none"/>
          <w:u w:val="single"/>
        </w:rPr>
        <w:t>24</w:t>
      </w:r>
      <w:r>
        <w:rPr>
          <w:rFonts w:hint="eastAsia"/>
          <w:color w:val="auto"/>
          <w:highlight w:val="none"/>
        </w:rPr>
        <w:t>个月，缺陷责任期自工程通过竣工验收之日起计算。单位/区段工程先于全部工程进行验收，单位/区段工程缺陷责任期自单位/区段工程验收合格之日起算。</w:t>
      </w:r>
    </w:p>
    <w:p w14:paraId="6651E7E5">
      <w:pPr>
        <w:rPr>
          <w:color w:val="auto"/>
          <w:highlight w:val="none"/>
        </w:rPr>
      </w:pPr>
      <w:r>
        <w:rPr>
          <w:rFonts w:hint="eastAsia"/>
          <w:color w:val="auto"/>
          <w:highlight w:val="none"/>
        </w:rPr>
        <w:t>缺陷责任期终止后，发包人应返还剩余的质量保证金。</w:t>
      </w:r>
    </w:p>
    <w:p w14:paraId="6F3A2C22">
      <w:pPr>
        <w:rPr>
          <w:color w:val="auto"/>
          <w:highlight w:val="none"/>
        </w:rPr>
      </w:pPr>
      <w:r>
        <w:rPr>
          <w:rFonts w:hint="eastAsia"/>
          <w:color w:val="auto"/>
          <w:highlight w:val="none"/>
        </w:rPr>
        <w:t>四、质量保修责任</w:t>
      </w:r>
    </w:p>
    <w:p w14:paraId="25BBFC6E">
      <w:pPr>
        <w:rPr>
          <w:color w:val="auto"/>
          <w:highlight w:val="none"/>
        </w:rPr>
      </w:pPr>
      <w:r>
        <w:rPr>
          <w:rFonts w:hint="eastAsia"/>
          <w:color w:val="auto"/>
          <w:highlight w:val="none"/>
        </w:rPr>
        <w:t>1．属于保修范围、内容的项目，承包人应当在接到保修通知之日起7天内派人保修。承包人不在约定期限内派人保修的，发包人可以委托他人修理。</w:t>
      </w:r>
    </w:p>
    <w:p w14:paraId="37CFC6FA">
      <w:pPr>
        <w:rPr>
          <w:color w:val="auto"/>
          <w:highlight w:val="none"/>
        </w:rPr>
      </w:pPr>
      <w:r>
        <w:rPr>
          <w:rFonts w:hint="eastAsia"/>
          <w:color w:val="auto"/>
          <w:highlight w:val="none"/>
        </w:rPr>
        <w:t>2．发生紧急事故需抢修的，承包人在接到事故通知后，应当立即到达事故现场抢修。</w:t>
      </w:r>
    </w:p>
    <w:p w14:paraId="39113572">
      <w:pPr>
        <w:rPr>
          <w:color w:val="auto"/>
          <w:highlight w:val="none"/>
        </w:rPr>
      </w:pPr>
      <w:r>
        <w:rPr>
          <w:rFonts w:hint="eastAsia"/>
          <w:color w:val="auto"/>
          <w:highlight w:val="none"/>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14:paraId="643C1AF9">
      <w:pPr>
        <w:rPr>
          <w:color w:val="auto"/>
          <w:highlight w:val="none"/>
        </w:rPr>
      </w:pPr>
      <w:r>
        <w:rPr>
          <w:rFonts w:hint="eastAsia"/>
          <w:color w:val="auto"/>
          <w:highlight w:val="none"/>
        </w:rPr>
        <w:t>4．质量保修完成后，由发包人组织验收。</w:t>
      </w:r>
    </w:p>
    <w:p w14:paraId="70E3A403">
      <w:pPr>
        <w:rPr>
          <w:color w:val="auto"/>
          <w:highlight w:val="none"/>
        </w:rPr>
      </w:pPr>
      <w:r>
        <w:rPr>
          <w:rFonts w:hint="eastAsia"/>
          <w:color w:val="auto"/>
          <w:highlight w:val="none"/>
        </w:rPr>
        <w:t>五、保修费用</w:t>
      </w:r>
    </w:p>
    <w:p w14:paraId="6817F3F5">
      <w:pPr>
        <w:rPr>
          <w:color w:val="auto"/>
          <w:highlight w:val="none"/>
        </w:rPr>
      </w:pPr>
      <w:r>
        <w:rPr>
          <w:rFonts w:hint="eastAsia"/>
          <w:color w:val="auto"/>
          <w:highlight w:val="none"/>
        </w:rPr>
        <w:t>保修费用由造成质量缺陷的责任方承担。</w:t>
      </w:r>
    </w:p>
    <w:p w14:paraId="79F6FB5B">
      <w:pPr>
        <w:rPr>
          <w:color w:val="auto"/>
          <w:highlight w:val="none"/>
        </w:rPr>
      </w:pPr>
      <w:r>
        <w:rPr>
          <w:rFonts w:hint="eastAsia"/>
          <w:color w:val="auto"/>
          <w:highlight w:val="none"/>
        </w:rPr>
        <w:t>六、双方约定的其他工程质量保修事项：</w:t>
      </w:r>
      <w:r>
        <w:rPr>
          <w:rFonts w:hint="eastAsia" w:ascii="宋体" w:hAnsi="宋体"/>
          <w:b/>
          <w:color w:val="auto"/>
          <w:szCs w:val="21"/>
          <w:highlight w:val="none"/>
          <w:u w:val="single"/>
        </w:rPr>
        <w:t>工程质量保修金在工程保修期满后扣除相应的扣款（由于乙方维修不及时而甲方自行维修的费用）后结清余款（无息）。甲方在保修期内发现质量问题并通知乙方，乙方应及时派专业人员进行维修，如乙方未及时派专业人员进行维修，甲方有权请其它人进行维修，由此产生的费用将从乙方的质量保修金中予以扣除，同时乙方将承担因维修延误给甲方造成的一切损失</w:t>
      </w:r>
      <w:r>
        <w:rPr>
          <w:rFonts w:hint="eastAsia"/>
          <w:color w:val="auto"/>
          <w:highlight w:val="none"/>
        </w:rPr>
        <w:t>。</w:t>
      </w:r>
    </w:p>
    <w:p w14:paraId="1315CDD8">
      <w:pPr>
        <w:rPr>
          <w:color w:val="auto"/>
          <w:highlight w:val="none"/>
        </w:rPr>
      </w:pPr>
      <w:r>
        <w:rPr>
          <w:rFonts w:hint="eastAsia"/>
          <w:color w:val="auto"/>
          <w:highlight w:val="none"/>
        </w:rPr>
        <w:t>工程质量保修书由发包人、承包人在工程竣工验收前共同签署，作为工程总承包合同附件，其有效期限至保修期满。</w:t>
      </w:r>
    </w:p>
    <w:p w14:paraId="46868DA4">
      <w:pPr>
        <w:rPr>
          <w:color w:val="auto"/>
          <w:highlight w:val="none"/>
        </w:rPr>
      </w:pPr>
    </w:p>
    <w:p w14:paraId="32F4B2EE">
      <w:pPr>
        <w:rPr>
          <w:color w:val="auto"/>
          <w:highlight w:val="none"/>
        </w:rPr>
      </w:pPr>
    </w:p>
    <w:p w14:paraId="708132F1">
      <w:pPr>
        <w:rPr>
          <w:color w:val="auto"/>
          <w:highlight w:val="none"/>
        </w:rPr>
      </w:pPr>
      <w:r>
        <w:rPr>
          <w:rFonts w:hint="eastAsia"/>
          <w:color w:val="auto"/>
          <w:highlight w:val="none"/>
        </w:rPr>
        <w:t xml:space="preserve">发包人(公章)：               承包人(公章)：          </w:t>
      </w:r>
    </w:p>
    <w:p w14:paraId="278C49A1">
      <w:pPr>
        <w:rPr>
          <w:color w:val="auto"/>
          <w:highlight w:val="none"/>
        </w:rPr>
      </w:pPr>
      <w:r>
        <w:rPr>
          <w:rFonts w:hint="eastAsia"/>
          <w:color w:val="auto"/>
          <w:highlight w:val="none"/>
        </w:rPr>
        <w:t xml:space="preserve">地  址：                     地  址：       </w:t>
      </w:r>
    </w:p>
    <w:p w14:paraId="4BF1658D">
      <w:pPr>
        <w:rPr>
          <w:color w:val="auto"/>
          <w:highlight w:val="none"/>
        </w:rPr>
      </w:pPr>
      <w:r>
        <w:rPr>
          <w:rFonts w:hint="eastAsia"/>
          <w:color w:val="auto"/>
          <w:highlight w:val="none"/>
        </w:rPr>
        <w:t xml:space="preserve">法定代表人(签字)：           法定代表人(签字)：       </w:t>
      </w:r>
    </w:p>
    <w:p w14:paraId="06D1B7AE">
      <w:pPr>
        <w:rPr>
          <w:color w:val="auto"/>
          <w:highlight w:val="none"/>
        </w:rPr>
      </w:pPr>
      <w:r>
        <w:rPr>
          <w:rFonts w:hint="eastAsia"/>
          <w:color w:val="auto"/>
          <w:highlight w:val="none"/>
        </w:rPr>
        <w:t xml:space="preserve">委托代理人(签字)：           委托代理人(签字)：       </w:t>
      </w:r>
    </w:p>
    <w:p w14:paraId="36803F71">
      <w:pPr>
        <w:rPr>
          <w:color w:val="auto"/>
          <w:highlight w:val="none"/>
        </w:rPr>
      </w:pPr>
      <w:r>
        <w:rPr>
          <w:rFonts w:hint="eastAsia"/>
          <w:color w:val="auto"/>
          <w:highlight w:val="none"/>
        </w:rPr>
        <w:t>电  话：                     电  话：</w:t>
      </w:r>
    </w:p>
    <w:p w14:paraId="710E927D">
      <w:pPr>
        <w:rPr>
          <w:color w:val="auto"/>
          <w:highlight w:val="none"/>
        </w:rPr>
      </w:pPr>
      <w:r>
        <w:rPr>
          <w:rFonts w:hint="eastAsia"/>
          <w:color w:val="auto"/>
          <w:highlight w:val="none"/>
        </w:rPr>
        <w:t xml:space="preserve">传  真：                     传  真：  </w:t>
      </w:r>
    </w:p>
    <w:p w14:paraId="5716A757">
      <w:pPr>
        <w:rPr>
          <w:color w:val="auto"/>
          <w:highlight w:val="none"/>
        </w:rPr>
      </w:pPr>
      <w:r>
        <w:rPr>
          <w:rFonts w:hint="eastAsia"/>
          <w:color w:val="auto"/>
          <w:highlight w:val="none"/>
        </w:rPr>
        <w:t>开户银行：                   开户银行：</w:t>
      </w:r>
    </w:p>
    <w:p w14:paraId="1B1E9E08">
      <w:pPr>
        <w:rPr>
          <w:color w:val="auto"/>
          <w:highlight w:val="none"/>
        </w:rPr>
      </w:pPr>
      <w:r>
        <w:rPr>
          <w:rFonts w:hint="eastAsia"/>
          <w:color w:val="auto"/>
          <w:highlight w:val="none"/>
        </w:rPr>
        <w:t xml:space="preserve">账  号：                     账  号： </w:t>
      </w:r>
    </w:p>
    <w:p w14:paraId="00A16231">
      <w:pPr>
        <w:rPr>
          <w:color w:val="auto"/>
          <w:highlight w:val="none"/>
        </w:rPr>
      </w:pPr>
      <w:r>
        <w:rPr>
          <w:rFonts w:hint="eastAsia"/>
          <w:color w:val="auto"/>
          <w:highlight w:val="none"/>
        </w:rPr>
        <w:t xml:space="preserve">邮政编码：                   邮政编码：   </w:t>
      </w:r>
    </w:p>
    <w:p w14:paraId="4A4097A4">
      <w:pPr>
        <w:rPr>
          <w:color w:val="auto"/>
          <w:highlight w:val="none"/>
        </w:rPr>
      </w:pPr>
      <w:r>
        <w:rPr>
          <w:color w:val="auto"/>
          <w:highlight w:val="none"/>
        </w:rPr>
        <w:br w:type="page"/>
      </w:r>
    </w:p>
    <w:p w14:paraId="2B063E01">
      <w:pPr>
        <w:pStyle w:val="41"/>
        <w:numPr>
          <w:ilvl w:val="0"/>
          <w:numId w:val="0"/>
        </w:numPr>
        <w:rPr>
          <w:rFonts w:hint="eastAsia"/>
          <w:color w:val="auto"/>
          <w:highlight w:val="none"/>
        </w:rPr>
      </w:pPr>
      <w:bookmarkStart w:id="184" w:name="_Toc20171896"/>
      <w:bookmarkStart w:id="185" w:name="_Toc54862355"/>
      <w:r>
        <w:rPr>
          <w:rFonts w:hint="eastAsia"/>
          <w:color w:val="auto"/>
          <w:highlight w:val="none"/>
        </w:rPr>
        <w:t>附件4</w:t>
      </w:r>
      <w:r>
        <w:rPr>
          <w:color w:val="auto"/>
          <w:highlight w:val="none"/>
        </w:rPr>
        <w:t xml:space="preserve"> 主要建设工程文件目录</w:t>
      </w:r>
      <w:bookmarkEnd w:id="184"/>
      <w:bookmarkEnd w:id="185"/>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125"/>
        <w:gridCol w:w="1276"/>
        <w:gridCol w:w="1450"/>
        <w:gridCol w:w="1243"/>
        <w:gridCol w:w="1450"/>
        <w:gridCol w:w="1670"/>
      </w:tblGrid>
      <w:tr w14:paraId="60493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125" w:type="dxa"/>
            <w:tcBorders>
              <w:top w:val="single" w:color="auto" w:sz="12" w:space="0"/>
              <w:bottom w:val="double" w:color="auto" w:sz="6" w:space="0"/>
            </w:tcBorders>
            <w:vAlign w:val="center"/>
          </w:tcPr>
          <w:p w14:paraId="29857FFC">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文件名称</w:t>
            </w:r>
          </w:p>
        </w:tc>
        <w:tc>
          <w:tcPr>
            <w:tcW w:w="1276" w:type="dxa"/>
            <w:tcBorders>
              <w:top w:val="single" w:color="auto" w:sz="12" w:space="0"/>
              <w:bottom w:val="double" w:color="auto" w:sz="6" w:space="0"/>
            </w:tcBorders>
            <w:vAlign w:val="center"/>
          </w:tcPr>
          <w:p w14:paraId="018BB54D">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套数</w:t>
            </w:r>
          </w:p>
        </w:tc>
        <w:tc>
          <w:tcPr>
            <w:tcW w:w="1450" w:type="dxa"/>
            <w:tcBorders>
              <w:top w:val="single" w:color="auto" w:sz="12" w:space="0"/>
              <w:bottom w:val="double" w:color="auto" w:sz="6" w:space="0"/>
            </w:tcBorders>
            <w:vAlign w:val="center"/>
          </w:tcPr>
          <w:p w14:paraId="67B6FAC6">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费用（元）</w:t>
            </w:r>
          </w:p>
        </w:tc>
        <w:tc>
          <w:tcPr>
            <w:tcW w:w="1243" w:type="dxa"/>
            <w:tcBorders>
              <w:top w:val="single" w:color="auto" w:sz="12" w:space="0"/>
              <w:bottom w:val="double" w:color="auto" w:sz="6" w:space="0"/>
            </w:tcBorders>
            <w:vAlign w:val="center"/>
          </w:tcPr>
          <w:p w14:paraId="71BF79C9">
            <w:pPr>
              <w:pStyle w:val="9"/>
              <w:spacing w:after="0"/>
              <w:jc w:val="center"/>
              <w:rPr>
                <w:rFonts w:ascii="仿宋_GB2312" w:eastAsia="仿宋_GB2312"/>
                <w:color w:val="auto"/>
                <w:sz w:val="21"/>
                <w:highlight w:val="none"/>
              </w:rPr>
            </w:pPr>
            <w:r>
              <w:rPr>
                <w:rFonts w:hint="eastAsia" w:ascii="仿宋_GB2312" w:eastAsia="仿宋_GB2312"/>
                <w:color w:val="auto"/>
                <w:sz w:val="21"/>
                <w:highlight w:val="none"/>
              </w:rPr>
              <w:t>质量</w:t>
            </w:r>
          </w:p>
        </w:tc>
        <w:tc>
          <w:tcPr>
            <w:tcW w:w="1450" w:type="dxa"/>
            <w:tcBorders>
              <w:top w:val="single" w:color="auto" w:sz="12" w:space="0"/>
              <w:bottom w:val="double" w:color="auto" w:sz="6" w:space="0"/>
            </w:tcBorders>
          </w:tcPr>
          <w:p w14:paraId="59B002FD">
            <w:pPr>
              <w:rPr>
                <w:rFonts w:ascii="仿宋_GB2312" w:eastAsia="仿宋_GB2312"/>
                <w:color w:val="auto"/>
                <w:highlight w:val="none"/>
              </w:rPr>
            </w:pPr>
            <w:r>
              <w:rPr>
                <w:rFonts w:hint="eastAsia"/>
                <w:color w:val="auto"/>
                <w:highlight w:val="none"/>
              </w:rPr>
              <w:t>移交时间</w:t>
            </w:r>
          </w:p>
        </w:tc>
        <w:tc>
          <w:tcPr>
            <w:tcW w:w="1670" w:type="dxa"/>
            <w:tcBorders>
              <w:top w:val="single" w:color="auto" w:sz="12" w:space="0"/>
              <w:bottom w:val="double" w:color="auto" w:sz="6" w:space="0"/>
            </w:tcBorders>
          </w:tcPr>
          <w:p w14:paraId="506F7E33">
            <w:pPr>
              <w:rPr>
                <w:rFonts w:ascii="仿宋_GB2312" w:eastAsia="仿宋_GB2312"/>
                <w:color w:val="auto"/>
                <w:highlight w:val="none"/>
              </w:rPr>
            </w:pPr>
            <w:r>
              <w:rPr>
                <w:rFonts w:hint="eastAsia"/>
                <w:color w:val="auto"/>
                <w:highlight w:val="none"/>
              </w:rPr>
              <w:t>责任人</w:t>
            </w:r>
          </w:p>
        </w:tc>
      </w:tr>
      <w:tr w14:paraId="2D71E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double" w:color="auto" w:sz="6" w:space="0"/>
              <w:bottom w:val="single" w:color="auto" w:sz="6" w:space="0"/>
            </w:tcBorders>
            <w:vAlign w:val="center"/>
          </w:tcPr>
          <w:p w14:paraId="751B83F7">
            <w:pPr>
              <w:pStyle w:val="9"/>
              <w:rPr>
                <w:rFonts w:ascii="仿宋_GB2312" w:eastAsia="仿宋_GB2312"/>
                <w:color w:val="auto"/>
                <w:highlight w:val="none"/>
              </w:rPr>
            </w:pPr>
          </w:p>
        </w:tc>
        <w:tc>
          <w:tcPr>
            <w:tcW w:w="1276" w:type="dxa"/>
            <w:tcBorders>
              <w:top w:val="double" w:color="auto" w:sz="6" w:space="0"/>
              <w:bottom w:val="single" w:color="auto" w:sz="6" w:space="0"/>
            </w:tcBorders>
            <w:vAlign w:val="center"/>
          </w:tcPr>
          <w:p w14:paraId="3BA29191">
            <w:pPr>
              <w:pStyle w:val="9"/>
              <w:rPr>
                <w:rFonts w:ascii="仿宋_GB2312" w:eastAsia="仿宋_GB2312"/>
                <w:color w:val="auto"/>
                <w:highlight w:val="none"/>
              </w:rPr>
            </w:pPr>
          </w:p>
        </w:tc>
        <w:tc>
          <w:tcPr>
            <w:tcW w:w="1450" w:type="dxa"/>
            <w:tcBorders>
              <w:top w:val="double" w:color="auto" w:sz="6" w:space="0"/>
              <w:bottom w:val="single" w:color="auto" w:sz="6" w:space="0"/>
            </w:tcBorders>
            <w:vAlign w:val="center"/>
          </w:tcPr>
          <w:p w14:paraId="66B744CF">
            <w:pPr>
              <w:pStyle w:val="9"/>
              <w:rPr>
                <w:rFonts w:ascii="仿宋_GB2312" w:eastAsia="仿宋_GB2312"/>
                <w:color w:val="auto"/>
                <w:highlight w:val="none"/>
              </w:rPr>
            </w:pPr>
          </w:p>
        </w:tc>
        <w:tc>
          <w:tcPr>
            <w:tcW w:w="1243" w:type="dxa"/>
            <w:tcBorders>
              <w:top w:val="double" w:color="auto" w:sz="6" w:space="0"/>
              <w:bottom w:val="single" w:color="auto" w:sz="6" w:space="0"/>
            </w:tcBorders>
            <w:vAlign w:val="center"/>
          </w:tcPr>
          <w:p w14:paraId="1FD7B0F0">
            <w:pPr>
              <w:pStyle w:val="9"/>
              <w:rPr>
                <w:rFonts w:ascii="仿宋_GB2312" w:eastAsia="仿宋_GB2312"/>
                <w:color w:val="auto"/>
                <w:highlight w:val="none"/>
              </w:rPr>
            </w:pPr>
          </w:p>
        </w:tc>
        <w:tc>
          <w:tcPr>
            <w:tcW w:w="1450" w:type="dxa"/>
            <w:tcBorders>
              <w:top w:val="double" w:color="auto" w:sz="6" w:space="0"/>
              <w:bottom w:val="single" w:color="auto" w:sz="6" w:space="0"/>
            </w:tcBorders>
            <w:vAlign w:val="center"/>
          </w:tcPr>
          <w:p w14:paraId="30ABA4B4">
            <w:pPr>
              <w:pStyle w:val="9"/>
              <w:rPr>
                <w:rFonts w:ascii="仿宋_GB2312" w:eastAsia="仿宋_GB2312"/>
                <w:color w:val="auto"/>
                <w:highlight w:val="none"/>
              </w:rPr>
            </w:pPr>
          </w:p>
        </w:tc>
        <w:tc>
          <w:tcPr>
            <w:tcW w:w="1670" w:type="dxa"/>
            <w:tcBorders>
              <w:top w:val="double" w:color="auto" w:sz="6" w:space="0"/>
              <w:bottom w:val="single" w:color="auto" w:sz="6" w:space="0"/>
            </w:tcBorders>
            <w:vAlign w:val="center"/>
          </w:tcPr>
          <w:p w14:paraId="43DA6C1A">
            <w:pPr>
              <w:pStyle w:val="9"/>
              <w:rPr>
                <w:rFonts w:ascii="仿宋_GB2312" w:eastAsia="仿宋_GB2312"/>
                <w:color w:val="auto"/>
                <w:highlight w:val="none"/>
              </w:rPr>
            </w:pPr>
          </w:p>
        </w:tc>
      </w:tr>
      <w:tr w14:paraId="1998D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nil"/>
            </w:tcBorders>
            <w:vAlign w:val="center"/>
          </w:tcPr>
          <w:p w14:paraId="066C0C18">
            <w:pPr>
              <w:pStyle w:val="9"/>
              <w:rPr>
                <w:rFonts w:ascii="仿宋_GB2312" w:eastAsia="仿宋_GB2312"/>
                <w:color w:val="auto"/>
                <w:highlight w:val="none"/>
              </w:rPr>
            </w:pPr>
          </w:p>
        </w:tc>
        <w:tc>
          <w:tcPr>
            <w:tcW w:w="1276" w:type="dxa"/>
            <w:tcBorders>
              <w:top w:val="nil"/>
            </w:tcBorders>
            <w:vAlign w:val="center"/>
          </w:tcPr>
          <w:p w14:paraId="7A18B4EE">
            <w:pPr>
              <w:pStyle w:val="9"/>
              <w:rPr>
                <w:rFonts w:ascii="仿宋_GB2312" w:eastAsia="仿宋_GB2312"/>
                <w:color w:val="auto"/>
                <w:highlight w:val="none"/>
              </w:rPr>
            </w:pPr>
          </w:p>
        </w:tc>
        <w:tc>
          <w:tcPr>
            <w:tcW w:w="1450" w:type="dxa"/>
            <w:tcBorders>
              <w:top w:val="nil"/>
            </w:tcBorders>
            <w:vAlign w:val="center"/>
          </w:tcPr>
          <w:p w14:paraId="20E201DA">
            <w:pPr>
              <w:pStyle w:val="9"/>
              <w:rPr>
                <w:rFonts w:ascii="仿宋_GB2312" w:eastAsia="仿宋_GB2312"/>
                <w:color w:val="auto"/>
                <w:highlight w:val="none"/>
              </w:rPr>
            </w:pPr>
          </w:p>
        </w:tc>
        <w:tc>
          <w:tcPr>
            <w:tcW w:w="1243" w:type="dxa"/>
            <w:tcBorders>
              <w:top w:val="nil"/>
            </w:tcBorders>
            <w:vAlign w:val="center"/>
          </w:tcPr>
          <w:p w14:paraId="196DD78C">
            <w:pPr>
              <w:pStyle w:val="9"/>
              <w:rPr>
                <w:rFonts w:ascii="仿宋_GB2312" w:eastAsia="仿宋_GB2312"/>
                <w:color w:val="auto"/>
                <w:highlight w:val="none"/>
              </w:rPr>
            </w:pPr>
          </w:p>
        </w:tc>
        <w:tc>
          <w:tcPr>
            <w:tcW w:w="1450" w:type="dxa"/>
            <w:tcBorders>
              <w:top w:val="nil"/>
            </w:tcBorders>
            <w:vAlign w:val="center"/>
          </w:tcPr>
          <w:p w14:paraId="25F2D70D">
            <w:pPr>
              <w:pStyle w:val="9"/>
              <w:rPr>
                <w:rFonts w:ascii="仿宋_GB2312" w:eastAsia="仿宋_GB2312"/>
                <w:color w:val="auto"/>
                <w:highlight w:val="none"/>
              </w:rPr>
            </w:pPr>
          </w:p>
        </w:tc>
        <w:tc>
          <w:tcPr>
            <w:tcW w:w="1670" w:type="dxa"/>
            <w:tcBorders>
              <w:top w:val="nil"/>
            </w:tcBorders>
            <w:vAlign w:val="center"/>
          </w:tcPr>
          <w:p w14:paraId="7030C23F">
            <w:pPr>
              <w:pStyle w:val="9"/>
              <w:rPr>
                <w:rFonts w:ascii="仿宋_GB2312" w:eastAsia="仿宋_GB2312"/>
                <w:color w:val="auto"/>
                <w:highlight w:val="none"/>
              </w:rPr>
            </w:pPr>
          </w:p>
        </w:tc>
      </w:tr>
      <w:tr w14:paraId="4FD32E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16A5AF64">
            <w:pPr>
              <w:pStyle w:val="9"/>
              <w:rPr>
                <w:rFonts w:ascii="仿宋_GB2312" w:eastAsia="仿宋_GB2312"/>
                <w:color w:val="auto"/>
                <w:highlight w:val="none"/>
              </w:rPr>
            </w:pPr>
          </w:p>
        </w:tc>
        <w:tc>
          <w:tcPr>
            <w:tcW w:w="1276" w:type="dxa"/>
            <w:vAlign w:val="center"/>
          </w:tcPr>
          <w:p w14:paraId="6D463C6F">
            <w:pPr>
              <w:pStyle w:val="9"/>
              <w:rPr>
                <w:rFonts w:ascii="仿宋_GB2312" w:eastAsia="仿宋_GB2312"/>
                <w:color w:val="auto"/>
                <w:highlight w:val="none"/>
              </w:rPr>
            </w:pPr>
          </w:p>
        </w:tc>
        <w:tc>
          <w:tcPr>
            <w:tcW w:w="1450" w:type="dxa"/>
            <w:vAlign w:val="center"/>
          </w:tcPr>
          <w:p w14:paraId="3A895580">
            <w:pPr>
              <w:pStyle w:val="9"/>
              <w:rPr>
                <w:rFonts w:ascii="仿宋_GB2312" w:eastAsia="仿宋_GB2312"/>
                <w:color w:val="auto"/>
                <w:highlight w:val="none"/>
              </w:rPr>
            </w:pPr>
          </w:p>
        </w:tc>
        <w:tc>
          <w:tcPr>
            <w:tcW w:w="1243" w:type="dxa"/>
            <w:vAlign w:val="center"/>
          </w:tcPr>
          <w:p w14:paraId="41A1EDFC">
            <w:pPr>
              <w:pStyle w:val="9"/>
              <w:rPr>
                <w:rFonts w:ascii="仿宋_GB2312" w:eastAsia="仿宋_GB2312"/>
                <w:color w:val="auto"/>
                <w:highlight w:val="none"/>
              </w:rPr>
            </w:pPr>
          </w:p>
        </w:tc>
        <w:tc>
          <w:tcPr>
            <w:tcW w:w="1450" w:type="dxa"/>
            <w:vAlign w:val="center"/>
          </w:tcPr>
          <w:p w14:paraId="7C33B841">
            <w:pPr>
              <w:pStyle w:val="9"/>
              <w:rPr>
                <w:rFonts w:ascii="仿宋_GB2312" w:eastAsia="仿宋_GB2312"/>
                <w:color w:val="auto"/>
                <w:highlight w:val="none"/>
              </w:rPr>
            </w:pPr>
          </w:p>
        </w:tc>
        <w:tc>
          <w:tcPr>
            <w:tcW w:w="1670" w:type="dxa"/>
            <w:vAlign w:val="center"/>
          </w:tcPr>
          <w:p w14:paraId="6730A267">
            <w:pPr>
              <w:pStyle w:val="9"/>
              <w:rPr>
                <w:rFonts w:ascii="仿宋_GB2312" w:eastAsia="仿宋_GB2312"/>
                <w:color w:val="auto"/>
                <w:highlight w:val="none"/>
              </w:rPr>
            </w:pPr>
          </w:p>
        </w:tc>
      </w:tr>
      <w:tr w14:paraId="08C3F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73BCD879">
            <w:pPr>
              <w:pStyle w:val="9"/>
              <w:rPr>
                <w:rFonts w:ascii="仿宋_GB2312" w:eastAsia="仿宋_GB2312"/>
                <w:color w:val="auto"/>
                <w:highlight w:val="none"/>
              </w:rPr>
            </w:pPr>
          </w:p>
        </w:tc>
        <w:tc>
          <w:tcPr>
            <w:tcW w:w="1276" w:type="dxa"/>
            <w:vAlign w:val="center"/>
          </w:tcPr>
          <w:p w14:paraId="2EC97CA4">
            <w:pPr>
              <w:pStyle w:val="9"/>
              <w:rPr>
                <w:rFonts w:ascii="仿宋_GB2312" w:eastAsia="仿宋_GB2312"/>
                <w:color w:val="auto"/>
                <w:highlight w:val="none"/>
              </w:rPr>
            </w:pPr>
          </w:p>
        </w:tc>
        <w:tc>
          <w:tcPr>
            <w:tcW w:w="1450" w:type="dxa"/>
            <w:vAlign w:val="center"/>
          </w:tcPr>
          <w:p w14:paraId="02BF5B9A">
            <w:pPr>
              <w:pStyle w:val="9"/>
              <w:rPr>
                <w:rFonts w:ascii="仿宋_GB2312" w:eastAsia="仿宋_GB2312"/>
                <w:color w:val="auto"/>
                <w:highlight w:val="none"/>
              </w:rPr>
            </w:pPr>
          </w:p>
        </w:tc>
        <w:tc>
          <w:tcPr>
            <w:tcW w:w="1243" w:type="dxa"/>
            <w:vAlign w:val="center"/>
          </w:tcPr>
          <w:p w14:paraId="0229C305">
            <w:pPr>
              <w:pStyle w:val="9"/>
              <w:rPr>
                <w:rFonts w:ascii="仿宋_GB2312" w:eastAsia="仿宋_GB2312"/>
                <w:color w:val="auto"/>
                <w:highlight w:val="none"/>
              </w:rPr>
            </w:pPr>
          </w:p>
        </w:tc>
        <w:tc>
          <w:tcPr>
            <w:tcW w:w="1450" w:type="dxa"/>
            <w:vAlign w:val="center"/>
          </w:tcPr>
          <w:p w14:paraId="172B4068">
            <w:pPr>
              <w:pStyle w:val="9"/>
              <w:rPr>
                <w:rFonts w:ascii="仿宋_GB2312" w:eastAsia="仿宋_GB2312"/>
                <w:color w:val="auto"/>
                <w:highlight w:val="none"/>
              </w:rPr>
            </w:pPr>
          </w:p>
        </w:tc>
        <w:tc>
          <w:tcPr>
            <w:tcW w:w="1670" w:type="dxa"/>
            <w:vAlign w:val="center"/>
          </w:tcPr>
          <w:p w14:paraId="715298FC">
            <w:pPr>
              <w:pStyle w:val="9"/>
              <w:rPr>
                <w:rFonts w:ascii="仿宋_GB2312" w:eastAsia="仿宋_GB2312"/>
                <w:color w:val="auto"/>
                <w:highlight w:val="none"/>
              </w:rPr>
            </w:pPr>
          </w:p>
        </w:tc>
      </w:tr>
      <w:tr w14:paraId="50640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6014B029">
            <w:pPr>
              <w:pStyle w:val="9"/>
              <w:rPr>
                <w:rFonts w:ascii="仿宋_GB2312" w:eastAsia="仿宋_GB2312"/>
                <w:color w:val="auto"/>
                <w:highlight w:val="none"/>
              </w:rPr>
            </w:pPr>
          </w:p>
        </w:tc>
        <w:tc>
          <w:tcPr>
            <w:tcW w:w="1276" w:type="dxa"/>
            <w:vAlign w:val="center"/>
          </w:tcPr>
          <w:p w14:paraId="14B70DFB">
            <w:pPr>
              <w:pStyle w:val="9"/>
              <w:rPr>
                <w:rFonts w:ascii="仿宋_GB2312" w:eastAsia="仿宋_GB2312"/>
                <w:color w:val="auto"/>
                <w:highlight w:val="none"/>
              </w:rPr>
            </w:pPr>
          </w:p>
        </w:tc>
        <w:tc>
          <w:tcPr>
            <w:tcW w:w="1450" w:type="dxa"/>
            <w:vAlign w:val="center"/>
          </w:tcPr>
          <w:p w14:paraId="4DA01E0A">
            <w:pPr>
              <w:pStyle w:val="9"/>
              <w:rPr>
                <w:rFonts w:ascii="仿宋_GB2312" w:eastAsia="仿宋_GB2312"/>
                <w:color w:val="auto"/>
                <w:highlight w:val="none"/>
              </w:rPr>
            </w:pPr>
          </w:p>
        </w:tc>
        <w:tc>
          <w:tcPr>
            <w:tcW w:w="1243" w:type="dxa"/>
            <w:vAlign w:val="center"/>
          </w:tcPr>
          <w:p w14:paraId="12AD46E5">
            <w:pPr>
              <w:pStyle w:val="9"/>
              <w:rPr>
                <w:rFonts w:ascii="仿宋_GB2312" w:eastAsia="仿宋_GB2312"/>
                <w:color w:val="auto"/>
                <w:highlight w:val="none"/>
              </w:rPr>
            </w:pPr>
          </w:p>
        </w:tc>
        <w:tc>
          <w:tcPr>
            <w:tcW w:w="1450" w:type="dxa"/>
            <w:vAlign w:val="center"/>
          </w:tcPr>
          <w:p w14:paraId="1C8569D4">
            <w:pPr>
              <w:pStyle w:val="9"/>
              <w:rPr>
                <w:rFonts w:ascii="仿宋_GB2312" w:eastAsia="仿宋_GB2312"/>
                <w:color w:val="auto"/>
                <w:highlight w:val="none"/>
              </w:rPr>
            </w:pPr>
          </w:p>
        </w:tc>
        <w:tc>
          <w:tcPr>
            <w:tcW w:w="1670" w:type="dxa"/>
            <w:vAlign w:val="center"/>
          </w:tcPr>
          <w:p w14:paraId="4539AB0E">
            <w:pPr>
              <w:pStyle w:val="9"/>
              <w:rPr>
                <w:rFonts w:ascii="仿宋_GB2312" w:eastAsia="仿宋_GB2312"/>
                <w:color w:val="auto"/>
                <w:highlight w:val="none"/>
              </w:rPr>
            </w:pPr>
          </w:p>
        </w:tc>
      </w:tr>
      <w:tr w14:paraId="50AB5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28221904">
            <w:pPr>
              <w:pStyle w:val="9"/>
              <w:rPr>
                <w:rFonts w:ascii="仿宋_GB2312" w:eastAsia="仿宋_GB2312"/>
                <w:color w:val="auto"/>
                <w:highlight w:val="none"/>
              </w:rPr>
            </w:pPr>
          </w:p>
        </w:tc>
        <w:tc>
          <w:tcPr>
            <w:tcW w:w="1276" w:type="dxa"/>
            <w:vAlign w:val="center"/>
          </w:tcPr>
          <w:p w14:paraId="3F2673C3">
            <w:pPr>
              <w:pStyle w:val="9"/>
              <w:rPr>
                <w:rFonts w:ascii="仿宋_GB2312" w:eastAsia="仿宋_GB2312"/>
                <w:color w:val="auto"/>
                <w:highlight w:val="none"/>
              </w:rPr>
            </w:pPr>
          </w:p>
        </w:tc>
        <w:tc>
          <w:tcPr>
            <w:tcW w:w="1450" w:type="dxa"/>
            <w:vAlign w:val="center"/>
          </w:tcPr>
          <w:p w14:paraId="4133DA5A">
            <w:pPr>
              <w:pStyle w:val="9"/>
              <w:rPr>
                <w:rFonts w:ascii="仿宋_GB2312" w:eastAsia="仿宋_GB2312"/>
                <w:color w:val="auto"/>
                <w:highlight w:val="none"/>
              </w:rPr>
            </w:pPr>
          </w:p>
        </w:tc>
        <w:tc>
          <w:tcPr>
            <w:tcW w:w="1243" w:type="dxa"/>
            <w:vAlign w:val="center"/>
          </w:tcPr>
          <w:p w14:paraId="7D4C98B7">
            <w:pPr>
              <w:pStyle w:val="9"/>
              <w:rPr>
                <w:rFonts w:ascii="仿宋_GB2312" w:eastAsia="仿宋_GB2312"/>
                <w:color w:val="auto"/>
                <w:highlight w:val="none"/>
              </w:rPr>
            </w:pPr>
          </w:p>
        </w:tc>
        <w:tc>
          <w:tcPr>
            <w:tcW w:w="1450" w:type="dxa"/>
            <w:vAlign w:val="center"/>
          </w:tcPr>
          <w:p w14:paraId="7E8BA581">
            <w:pPr>
              <w:pStyle w:val="9"/>
              <w:rPr>
                <w:rFonts w:ascii="仿宋_GB2312" w:eastAsia="仿宋_GB2312"/>
                <w:color w:val="auto"/>
                <w:highlight w:val="none"/>
              </w:rPr>
            </w:pPr>
          </w:p>
        </w:tc>
        <w:tc>
          <w:tcPr>
            <w:tcW w:w="1670" w:type="dxa"/>
            <w:vAlign w:val="center"/>
          </w:tcPr>
          <w:p w14:paraId="4E593DF9">
            <w:pPr>
              <w:pStyle w:val="9"/>
              <w:rPr>
                <w:rFonts w:ascii="仿宋_GB2312" w:eastAsia="仿宋_GB2312"/>
                <w:color w:val="auto"/>
                <w:highlight w:val="none"/>
              </w:rPr>
            </w:pPr>
          </w:p>
        </w:tc>
      </w:tr>
      <w:tr w14:paraId="7615E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58A450E6">
            <w:pPr>
              <w:pStyle w:val="9"/>
              <w:rPr>
                <w:rFonts w:ascii="仿宋_GB2312" w:eastAsia="仿宋_GB2312"/>
                <w:color w:val="auto"/>
                <w:highlight w:val="none"/>
              </w:rPr>
            </w:pPr>
          </w:p>
        </w:tc>
        <w:tc>
          <w:tcPr>
            <w:tcW w:w="1276" w:type="dxa"/>
            <w:vAlign w:val="center"/>
          </w:tcPr>
          <w:p w14:paraId="32C075ED">
            <w:pPr>
              <w:pStyle w:val="9"/>
              <w:rPr>
                <w:rFonts w:ascii="仿宋_GB2312" w:eastAsia="仿宋_GB2312"/>
                <w:color w:val="auto"/>
                <w:highlight w:val="none"/>
              </w:rPr>
            </w:pPr>
          </w:p>
        </w:tc>
        <w:tc>
          <w:tcPr>
            <w:tcW w:w="1450" w:type="dxa"/>
            <w:vAlign w:val="center"/>
          </w:tcPr>
          <w:p w14:paraId="1C78CDEE">
            <w:pPr>
              <w:pStyle w:val="9"/>
              <w:rPr>
                <w:rFonts w:ascii="仿宋_GB2312" w:eastAsia="仿宋_GB2312"/>
                <w:color w:val="auto"/>
                <w:highlight w:val="none"/>
              </w:rPr>
            </w:pPr>
          </w:p>
        </w:tc>
        <w:tc>
          <w:tcPr>
            <w:tcW w:w="1243" w:type="dxa"/>
            <w:vAlign w:val="center"/>
          </w:tcPr>
          <w:p w14:paraId="6180EC37">
            <w:pPr>
              <w:pStyle w:val="9"/>
              <w:rPr>
                <w:rFonts w:ascii="仿宋_GB2312" w:eastAsia="仿宋_GB2312"/>
                <w:color w:val="auto"/>
                <w:highlight w:val="none"/>
              </w:rPr>
            </w:pPr>
          </w:p>
        </w:tc>
        <w:tc>
          <w:tcPr>
            <w:tcW w:w="1450" w:type="dxa"/>
            <w:vAlign w:val="center"/>
          </w:tcPr>
          <w:p w14:paraId="29F2E222">
            <w:pPr>
              <w:pStyle w:val="9"/>
              <w:rPr>
                <w:rFonts w:ascii="仿宋_GB2312" w:eastAsia="仿宋_GB2312"/>
                <w:color w:val="auto"/>
                <w:highlight w:val="none"/>
              </w:rPr>
            </w:pPr>
          </w:p>
        </w:tc>
        <w:tc>
          <w:tcPr>
            <w:tcW w:w="1670" w:type="dxa"/>
            <w:vAlign w:val="center"/>
          </w:tcPr>
          <w:p w14:paraId="65D9F842">
            <w:pPr>
              <w:pStyle w:val="9"/>
              <w:rPr>
                <w:rFonts w:ascii="仿宋_GB2312" w:eastAsia="仿宋_GB2312"/>
                <w:color w:val="auto"/>
                <w:highlight w:val="none"/>
              </w:rPr>
            </w:pPr>
          </w:p>
        </w:tc>
      </w:tr>
      <w:tr w14:paraId="1A5E4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416D456E">
            <w:pPr>
              <w:pStyle w:val="9"/>
              <w:rPr>
                <w:rFonts w:ascii="仿宋_GB2312" w:eastAsia="仿宋_GB2312"/>
                <w:color w:val="auto"/>
                <w:highlight w:val="none"/>
              </w:rPr>
            </w:pPr>
          </w:p>
        </w:tc>
        <w:tc>
          <w:tcPr>
            <w:tcW w:w="1276" w:type="dxa"/>
            <w:vAlign w:val="center"/>
          </w:tcPr>
          <w:p w14:paraId="180D6AB3">
            <w:pPr>
              <w:pStyle w:val="9"/>
              <w:rPr>
                <w:rFonts w:ascii="仿宋_GB2312" w:eastAsia="仿宋_GB2312"/>
                <w:color w:val="auto"/>
                <w:highlight w:val="none"/>
              </w:rPr>
            </w:pPr>
          </w:p>
        </w:tc>
        <w:tc>
          <w:tcPr>
            <w:tcW w:w="1450" w:type="dxa"/>
            <w:vAlign w:val="center"/>
          </w:tcPr>
          <w:p w14:paraId="55C3116B">
            <w:pPr>
              <w:pStyle w:val="9"/>
              <w:rPr>
                <w:rFonts w:ascii="仿宋_GB2312" w:eastAsia="仿宋_GB2312"/>
                <w:color w:val="auto"/>
                <w:highlight w:val="none"/>
              </w:rPr>
            </w:pPr>
          </w:p>
        </w:tc>
        <w:tc>
          <w:tcPr>
            <w:tcW w:w="1243" w:type="dxa"/>
            <w:vAlign w:val="center"/>
          </w:tcPr>
          <w:p w14:paraId="37801F25">
            <w:pPr>
              <w:pStyle w:val="9"/>
              <w:rPr>
                <w:rFonts w:ascii="仿宋_GB2312" w:eastAsia="仿宋_GB2312"/>
                <w:color w:val="auto"/>
                <w:highlight w:val="none"/>
              </w:rPr>
            </w:pPr>
          </w:p>
        </w:tc>
        <w:tc>
          <w:tcPr>
            <w:tcW w:w="1450" w:type="dxa"/>
            <w:vAlign w:val="center"/>
          </w:tcPr>
          <w:p w14:paraId="4937B026">
            <w:pPr>
              <w:pStyle w:val="9"/>
              <w:rPr>
                <w:rFonts w:ascii="仿宋_GB2312" w:eastAsia="仿宋_GB2312"/>
                <w:color w:val="auto"/>
                <w:highlight w:val="none"/>
              </w:rPr>
            </w:pPr>
          </w:p>
        </w:tc>
        <w:tc>
          <w:tcPr>
            <w:tcW w:w="1670" w:type="dxa"/>
            <w:vAlign w:val="center"/>
          </w:tcPr>
          <w:p w14:paraId="786D763F">
            <w:pPr>
              <w:pStyle w:val="9"/>
              <w:rPr>
                <w:rFonts w:ascii="仿宋_GB2312" w:eastAsia="仿宋_GB2312"/>
                <w:color w:val="auto"/>
                <w:highlight w:val="none"/>
              </w:rPr>
            </w:pPr>
          </w:p>
        </w:tc>
      </w:tr>
      <w:tr w14:paraId="21EAE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2D60AA73">
            <w:pPr>
              <w:rPr>
                <w:rFonts w:ascii="仿宋_GB2312" w:eastAsia="仿宋_GB2312"/>
                <w:color w:val="auto"/>
                <w:highlight w:val="none"/>
              </w:rPr>
            </w:pPr>
          </w:p>
        </w:tc>
        <w:tc>
          <w:tcPr>
            <w:tcW w:w="1276" w:type="dxa"/>
          </w:tcPr>
          <w:p w14:paraId="7077BEF6">
            <w:pPr>
              <w:rPr>
                <w:rFonts w:ascii="仿宋_GB2312" w:eastAsia="仿宋_GB2312"/>
                <w:color w:val="auto"/>
                <w:highlight w:val="none"/>
              </w:rPr>
            </w:pPr>
          </w:p>
        </w:tc>
        <w:tc>
          <w:tcPr>
            <w:tcW w:w="1450" w:type="dxa"/>
          </w:tcPr>
          <w:p w14:paraId="3CE5E49E">
            <w:pPr>
              <w:rPr>
                <w:rFonts w:ascii="仿宋_GB2312" w:eastAsia="仿宋_GB2312"/>
                <w:color w:val="auto"/>
                <w:highlight w:val="none"/>
              </w:rPr>
            </w:pPr>
          </w:p>
        </w:tc>
        <w:tc>
          <w:tcPr>
            <w:tcW w:w="1243" w:type="dxa"/>
          </w:tcPr>
          <w:p w14:paraId="5A8067F9">
            <w:pPr>
              <w:rPr>
                <w:rFonts w:ascii="仿宋_GB2312" w:eastAsia="仿宋_GB2312"/>
                <w:color w:val="auto"/>
                <w:highlight w:val="none"/>
              </w:rPr>
            </w:pPr>
          </w:p>
        </w:tc>
        <w:tc>
          <w:tcPr>
            <w:tcW w:w="1450" w:type="dxa"/>
          </w:tcPr>
          <w:p w14:paraId="0B21AEDA">
            <w:pPr>
              <w:rPr>
                <w:rFonts w:ascii="仿宋_GB2312" w:eastAsia="仿宋_GB2312"/>
                <w:color w:val="auto"/>
                <w:highlight w:val="none"/>
              </w:rPr>
            </w:pPr>
          </w:p>
        </w:tc>
        <w:tc>
          <w:tcPr>
            <w:tcW w:w="1670" w:type="dxa"/>
          </w:tcPr>
          <w:p w14:paraId="263D8A2F">
            <w:pPr>
              <w:rPr>
                <w:rFonts w:ascii="仿宋_GB2312" w:eastAsia="仿宋_GB2312"/>
                <w:color w:val="auto"/>
                <w:highlight w:val="none"/>
              </w:rPr>
            </w:pPr>
          </w:p>
        </w:tc>
      </w:tr>
      <w:tr w14:paraId="248109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4CC35B3A">
            <w:pPr>
              <w:pStyle w:val="9"/>
              <w:rPr>
                <w:rFonts w:ascii="仿宋_GB2312" w:eastAsia="仿宋_GB2312"/>
                <w:color w:val="auto"/>
                <w:highlight w:val="none"/>
              </w:rPr>
            </w:pPr>
          </w:p>
        </w:tc>
        <w:tc>
          <w:tcPr>
            <w:tcW w:w="1276" w:type="dxa"/>
            <w:vAlign w:val="center"/>
          </w:tcPr>
          <w:p w14:paraId="7D8FA692">
            <w:pPr>
              <w:pStyle w:val="9"/>
              <w:rPr>
                <w:rFonts w:ascii="仿宋_GB2312" w:eastAsia="仿宋_GB2312"/>
                <w:color w:val="auto"/>
                <w:highlight w:val="none"/>
              </w:rPr>
            </w:pPr>
          </w:p>
        </w:tc>
        <w:tc>
          <w:tcPr>
            <w:tcW w:w="1450" w:type="dxa"/>
            <w:vAlign w:val="center"/>
          </w:tcPr>
          <w:p w14:paraId="0AF61B77">
            <w:pPr>
              <w:pStyle w:val="9"/>
              <w:rPr>
                <w:rFonts w:ascii="仿宋_GB2312" w:eastAsia="仿宋_GB2312"/>
                <w:color w:val="auto"/>
                <w:highlight w:val="none"/>
              </w:rPr>
            </w:pPr>
          </w:p>
        </w:tc>
        <w:tc>
          <w:tcPr>
            <w:tcW w:w="1243" w:type="dxa"/>
            <w:vAlign w:val="center"/>
          </w:tcPr>
          <w:p w14:paraId="1E88516A">
            <w:pPr>
              <w:pStyle w:val="9"/>
              <w:rPr>
                <w:rFonts w:ascii="仿宋_GB2312" w:eastAsia="仿宋_GB2312"/>
                <w:color w:val="auto"/>
                <w:highlight w:val="none"/>
              </w:rPr>
            </w:pPr>
          </w:p>
        </w:tc>
        <w:tc>
          <w:tcPr>
            <w:tcW w:w="1450" w:type="dxa"/>
            <w:vAlign w:val="center"/>
          </w:tcPr>
          <w:p w14:paraId="6EA81749">
            <w:pPr>
              <w:pStyle w:val="9"/>
              <w:rPr>
                <w:rFonts w:ascii="仿宋_GB2312" w:eastAsia="仿宋_GB2312"/>
                <w:color w:val="auto"/>
                <w:highlight w:val="none"/>
              </w:rPr>
            </w:pPr>
          </w:p>
        </w:tc>
        <w:tc>
          <w:tcPr>
            <w:tcW w:w="1670" w:type="dxa"/>
            <w:vAlign w:val="center"/>
          </w:tcPr>
          <w:p w14:paraId="41924C2C">
            <w:pPr>
              <w:pStyle w:val="9"/>
              <w:rPr>
                <w:rFonts w:ascii="仿宋_GB2312" w:eastAsia="仿宋_GB2312"/>
                <w:color w:val="auto"/>
                <w:highlight w:val="none"/>
              </w:rPr>
            </w:pPr>
          </w:p>
        </w:tc>
      </w:tr>
      <w:tr w14:paraId="1A93D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0549F159">
            <w:pPr>
              <w:rPr>
                <w:rFonts w:ascii="仿宋_GB2312" w:eastAsia="仿宋_GB2312"/>
                <w:color w:val="auto"/>
                <w:highlight w:val="none"/>
              </w:rPr>
            </w:pPr>
          </w:p>
        </w:tc>
        <w:tc>
          <w:tcPr>
            <w:tcW w:w="1276" w:type="dxa"/>
          </w:tcPr>
          <w:p w14:paraId="00BC8953">
            <w:pPr>
              <w:rPr>
                <w:rFonts w:ascii="仿宋_GB2312" w:eastAsia="仿宋_GB2312"/>
                <w:color w:val="auto"/>
                <w:highlight w:val="none"/>
              </w:rPr>
            </w:pPr>
          </w:p>
        </w:tc>
        <w:tc>
          <w:tcPr>
            <w:tcW w:w="1450" w:type="dxa"/>
          </w:tcPr>
          <w:p w14:paraId="5BECEC26">
            <w:pPr>
              <w:rPr>
                <w:rFonts w:ascii="仿宋_GB2312" w:eastAsia="仿宋_GB2312"/>
                <w:color w:val="auto"/>
                <w:highlight w:val="none"/>
              </w:rPr>
            </w:pPr>
          </w:p>
        </w:tc>
        <w:tc>
          <w:tcPr>
            <w:tcW w:w="1243" w:type="dxa"/>
          </w:tcPr>
          <w:p w14:paraId="2B2C5416">
            <w:pPr>
              <w:rPr>
                <w:rFonts w:ascii="仿宋_GB2312" w:eastAsia="仿宋_GB2312"/>
                <w:color w:val="auto"/>
                <w:highlight w:val="none"/>
              </w:rPr>
            </w:pPr>
          </w:p>
        </w:tc>
        <w:tc>
          <w:tcPr>
            <w:tcW w:w="1450" w:type="dxa"/>
          </w:tcPr>
          <w:p w14:paraId="5EA28C9C">
            <w:pPr>
              <w:rPr>
                <w:rFonts w:ascii="仿宋_GB2312" w:eastAsia="仿宋_GB2312"/>
                <w:color w:val="auto"/>
                <w:highlight w:val="none"/>
              </w:rPr>
            </w:pPr>
          </w:p>
        </w:tc>
        <w:tc>
          <w:tcPr>
            <w:tcW w:w="1670" w:type="dxa"/>
          </w:tcPr>
          <w:p w14:paraId="1CF9147E">
            <w:pPr>
              <w:rPr>
                <w:rFonts w:ascii="仿宋_GB2312" w:eastAsia="仿宋_GB2312"/>
                <w:color w:val="auto"/>
                <w:highlight w:val="none"/>
              </w:rPr>
            </w:pPr>
          </w:p>
        </w:tc>
      </w:tr>
      <w:tr w14:paraId="706F3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3455C5AF">
            <w:pPr>
              <w:rPr>
                <w:rFonts w:ascii="仿宋_GB2312" w:eastAsia="仿宋_GB2312"/>
                <w:color w:val="auto"/>
                <w:highlight w:val="none"/>
              </w:rPr>
            </w:pPr>
          </w:p>
        </w:tc>
        <w:tc>
          <w:tcPr>
            <w:tcW w:w="1276" w:type="dxa"/>
          </w:tcPr>
          <w:p w14:paraId="598D8EAF">
            <w:pPr>
              <w:rPr>
                <w:rFonts w:ascii="仿宋_GB2312" w:eastAsia="仿宋_GB2312"/>
                <w:color w:val="auto"/>
                <w:highlight w:val="none"/>
              </w:rPr>
            </w:pPr>
          </w:p>
        </w:tc>
        <w:tc>
          <w:tcPr>
            <w:tcW w:w="1450" w:type="dxa"/>
          </w:tcPr>
          <w:p w14:paraId="26A7ADB0">
            <w:pPr>
              <w:rPr>
                <w:rFonts w:ascii="仿宋_GB2312" w:eastAsia="仿宋_GB2312"/>
                <w:color w:val="auto"/>
                <w:highlight w:val="none"/>
              </w:rPr>
            </w:pPr>
          </w:p>
        </w:tc>
        <w:tc>
          <w:tcPr>
            <w:tcW w:w="1243" w:type="dxa"/>
          </w:tcPr>
          <w:p w14:paraId="09BEF1D0">
            <w:pPr>
              <w:rPr>
                <w:rFonts w:ascii="仿宋_GB2312" w:eastAsia="仿宋_GB2312"/>
                <w:color w:val="auto"/>
                <w:highlight w:val="none"/>
              </w:rPr>
            </w:pPr>
          </w:p>
        </w:tc>
        <w:tc>
          <w:tcPr>
            <w:tcW w:w="1450" w:type="dxa"/>
          </w:tcPr>
          <w:p w14:paraId="7D4F66DD">
            <w:pPr>
              <w:rPr>
                <w:rFonts w:ascii="仿宋_GB2312" w:eastAsia="仿宋_GB2312"/>
                <w:color w:val="auto"/>
                <w:highlight w:val="none"/>
              </w:rPr>
            </w:pPr>
          </w:p>
        </w:tc>
        <w:tc>
          <w:tcPr>
            <w:tcW w:w="1670" w:type="dxa"/>
          </w:tcPr>
          <w:p w14:paraId="6A2A363A">
            <w:pPr>
              <w:rPr>
                <w:rFonts w:ascii="仿宋_GB2312" w:eastAsia="仿宋_GB2312"/>
                <w:color w:val="auto"/>
                <w:highlight w:val="none"/>
              </w:rPr>
            </w:pPr>
          </w:p>
        </w:tc>
      </w:tr>
      <w:tr w14:paraId="16B8B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75D169AC">
            <w:pPr>
              <w:rPr>
                <w:rFonts w:ascii="仿宋_GB2312" w:eastAsia="仿宋_GB2312"/>
                <w:color w:val="auto"/>
                <w:highlight w:val="none"/>
              </w:rPr>
            </w:pPr>
          </w:p>
        </w:tc>
        <w:tc>
          <w:tcPr>
            <w:tcW w:w="1276" w:type="dxa"/>
          </w:tcPr>
          <w:p w14:paraId="7DCFE64A">
            <w:pPr>
              <w:rPr>
                <w:rFonts w:ascii="仿宋_GB2312" w:eastAsia="仿宋_GB2312"/>
                <w:color w:val="auto"/>
                <w:highlight w:val="none"/>
              </w:rPr>
            </w:pPr>
          </w:p>
        </w:tc>
        <w:tc>
          <w:tcPr>
            <w:tcW w:w="1450" w:type="dxa"/>
          </w:tcPr>
          <w:p w14:paraId="2BC299FF">
            <w:pPr>
              <w:rPr>
                <w:rFonts w:ascii="仿宋_GB2312" w:eastAsia="仿宋_GB2312"/>
                <w:color w:val="auto"/>
                <w:highlight w:val="none"/>
              </w:rPr>
            </w:pPr>
          </w:p>
        </w:tc>
        <w:tc>
          <w:tcPr>
            <w:tcW w:w="1243" w:type="dxa"/>
          </w:tcPr>
          <w:p w14:paraId="639AA1E1">
            <w:pPr>
              <w:rPr>
                <w:rFonts w:ascii="仿宋_GB2312" w:eastAsia="仿宋_GB2312"/>
                <w:color w:val="auto"/>
                <w:highlight w:val="none"/>
              </w:rPr>
            </w:pPr>
          </w:p>
        </w:tc>
        <w:tc>
          <w:tcPr>
            <w:tcW w:w="1450" w:type="dxa"/>
          </w:tcPr>
          <w:p w14:paraId="3E411133">
            <w:pPr>
              <w:rPr>
                <w:rFonts w:ascii="仿宋_GB2312" w:eastAsia="仿宋_GB2312"/>
                <w:color w:val="auto"/>
                <w:highlight w:val="none"/>
              </w:rPr>
            </w:pPr>
          </w:p>
        </w:tc>
        <w:tc>
          <w:tcPr>
            <w:tcW w:w="1670" w:type="dxa"/>
          </w:tcPr>
          <w:p w14:paraId="613DB0E9">
            <w:pPr>
              <w:rPr>
                <w:rFonts w:ascii="仿宋_GB2312" w:eastAsia="仿宋_GB2312"/>
                <w:color w:val="auto"/>
                <w:highlight w:val="none"/>
              </w:rPr>
            </w:pPr>
          </w:p>
        </w:tc>
      </w:tr>
      <w:tr w14:paraId="1EF62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48411B96">
            <w:pPr>
              <w:rPr>
                <w:rFonts w:ascii="仿宋_GB2312" w:eastAsia="仿宋_GB2312"/>
                <w:color w:val="auto"/>
                <w:highlight w:val="none"/>
              </w:rPr>
            </w:pPr>
          </w:p>
        </w:tc>
        <w:tc>
          <w:tcPr>
            <w:tcW w:w="1276" w:type="dxa"/>
          </w:tcPr>
          <w:p w14:paraId="04CC3372">
            <w:pPr>
              <w:rPr>
                <w:rFonts w:ascii="仿宋_GB2312" w:eastAsia="仿宋_GB2312"/>
                <w:color w:val="auto"/>
                <w:highlight w:val="none"/>
              </w:rPr>
            </w:pPr>
          </w:p>
        </w:tc>
        <w:tc>
          <w:tcPr>
            <w:tcW w:w="1450" w:type="dxa"/>
          </w:tcPr>
          <w:p w14:paraId="28DE49BF">
            <w:pPr>
              <w:rPr>
                <w:rFonts w:ascii="仿宋_GB2312" w:eastAsia="仿宋_GB2312"/>
                <w:color w:val="auto"/>
                <w:highlight w:val="none"/>
              </w:rPr>
            </w:pPr>
          </w:p>
        </w:tc>
        <w:tc>
          <w:tcPr>
            <w:tcW w:w="1243" w:type="dxa"/>
          </w:tcPr>
          <w:p w14:paraId="72BFFA1A">
            <w:pPr>
              <w:rPr>
                <w:rFonts w:ascii="仿宋_GB2312" w:eastAsia="仿宋_GB2312"/>
                <w:color w:val="auto"/>
                <w:highlight w:val="none"/>
              </w:rPr>
            </w:pPr>
          </w:p>
        </w:tc>
        <w:tc>
          <w:tcPr>
            <w:tcW w:w="1450" w:type="dxa"/>
          </w:tcPr>
          <w:p w14:paraId="49EAAFDB">
            <w:pPr>
              <w:rPr>
                <w:rFonts w:ascii="仿宋_GB2312" w:eastAsia="仿宋_GB2312"/>
                <w:color w:val="auto"/>
                <w:highlight w:val="none"/>
              </w:rPr>
            </w:pPr>
          </w:p>
        </w:tc>
        <w:tc>
          <w:tcPr>
            <w:tcW w:w="1670" w:type="dxa"/>
          </w:tcPr>
          <w:p w14:paraId="4B693A80">
            <w:pPr>
              <w:rPr>
                <w:rFonts w:ascii="仿宋_GB2312" w:eastAsia="仿宋_GB2312"/>
                <w:color w:val="auto"/>
                <w:highlight w:val="none"/>
              </w:rPr>
            </w:pPr>
          </w:p>
        </w:tc>
      </w:tr>
      <w:tr w14:paraId="40786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645456A5">
            <w:pPr>
              <w:rPr>
                <w:rFonts w:ascii="仿宋_GB2312" w:eastAsia="仿宋_GB2312"/>
                <w:color w:val="auto"/>
                <w:highlight w:val="none"/>
              </w:rPr>
            </w:pPr>
          </w:p>
        </w:tc>
        <w:tc>
          <w:tcPr>
            <w:tcW w:w="1276" w:type="dxa"/>
          </w:tcPr>
          <w:p w14:paraId="128CD90D">
            <w:pPr>
              <w:rPr>
                <w:rFonts w:ascii="仿宋_GB2312" w:eastAsia="仿宋_GB2312"/>
                <w:color w:val="auto"/>
                <w:highlight w:val="none"/>
              </w:rPr>
            </w:pPr>
          </w:p>
        </w:tc>
        <w:tc>
          <w:tcPr>
            <w:tcW w:w="1450" w:type="dxa"/>
          </w:tcPr>
          <w:p w14:paraId="406F8AC9">
            <w:pPr>
              <w:rPr>
                <w:rFonts w:ascii="仿宋_GB2312" w:eastAsia="仿宋_GB2312"/>
                <w:color w:val="auto"/>
                <w:highlight w:val="none"/>
              </w:rPr>
            </w:pPr>
          </w:p>
        </w:tc>
        <w:tc>
          <w:tcPr>
            <w:tcW w:w="1243" w:type="dxa"/>
          </w:tcPr>
          <w:p w14:paraId="122C0A4D">
            <w:pPr>
              <w:rPr>
                <w:rFonts w:ascii="仿宋_GB2312" w:eastAsia="仿宋_GB2312"/>
                <w:color w:val="auto"/>
                <w:highlight w:val="none"/>
              </w:rPr>
            </w:pPr>
          </w:p>
        </w:tc>
        <w:tc>
          <w:tcPr>
            <w:tcW w:w="1450" w:type="dxa"/>
          </w:tcPr>
          <w:p w14:paraId="3E93F82D">
            <w:pPr>
              <w:rPr>
                <w:rFonts w:ascii="仿宋_GB2312" w:eastAsia="仿宋_GB2312"/>
                <w:color w:val="auto"/>
                <w:highlight w:val="none"/>
              </w:rPr>
            </w:pPr>
          </w:p>
        </w:tc>
        <w:tc>
          <w:tcPr>
            <w:tcW w:w="1670" w:type="dxa"/>
          </w:tcPr>
          <w:p w14:paraId="4DA4A5C5">
            <w:pPr>
              <w:rPr>
                <w:rFonts w:ascii="仿宋_GB2312" w:eastAsia="仿宋_GB2312"/>
                <w:color w:val="auto"/>
                <w:highlight w:val="none"/>
              </w:rPr>
            </w:pPr>
          </w:p>
        </w:tc>
      </w:tr>
      <w:tr w14:paraId="0D854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65CAD3C2">
            <w:pPr>
              <w:rPr>
                <w:rFonts w:ascii="仿宋_GB2312" w:eastAsia="仿宋_GB2312"/>
                <w:color w:val="auto"/>
                <w:highlight w:val="none"/>
              </w:rPr>
            </w:pPr>
          </w:p>
        </w:tc>
        <w:tc>
          <w:tcPr>
            <w:tcW w:w="1276" w:type="dxa"/>
          </w:tcPr>
          <w:p w14:paraId="312AA05B">
            <w:pPr>
              <w:rPr>
                <w:rFonts w:ascii="仿宋_GB2312" w:eastAsia="仿宋_GB2312"/>
                <w:color w:val="auto"/>
                <w:highlight w:val="none"/>
              </w:rPr>
            </w:pPr>
          </w:p>
        </w:tc>
        <w:tc>
          <w:tcPr>
            <w:tcW w:w="1450" w:type="dxa"/>
          </w:tcPr>
          <w:p w14:paraId="4B568598">
            <w:pPr>
              <w:rPr>
                <w:rFonts w:ascii="仿宋_GB2312" w:eastAsia="仿宋_GB2312"/>
                <w:color w:val="auto"/>
                <w:highlight w:val="none"/>
              </w:rPr>
            </w:pPr>
          </w:p>
        </w:tc>
        <w:tc>
          <w:tcPr>
            <w:tcW w:w="1243" w:type="dxa"/>
          </w:tcPr>
          <w:p w14:paraId="514FFD72">
            <w:pPr>
              <w:rPr>
                <w:rFonts w:ascii="仿宋_GB2312" w:eastAsia="仿宋_GB2312"/>
                <w:color w:val="auto"/>
                <w:highlight w:val="none"/>
              </w:rPr>
            </w:pPr>
          </w:p>
        </w:tc>
        <w:tc>
          <w:tcPr>
            <w:tcW w:w="1450" w:type="dxa"/>
          </w:tcPr>
          <w:p w14:paraId="04BAE778">
            <w:pPr>
              <w:rPr>
                <w:rFonts w:ascii="仿宋_GB2312" w:eastAsia="仿宋_GB2312"/>
                <w:color w:val="auto"/>
                <w:highlight w:val="none"/>
              </w:rPr>
            </w:pPr>
          </w:p>
        </w:tc>
        <w:tc>
          <w:tcPr>
            <w:tcW w:w="1670" w:type="dxa"/>
          </w:tcPr>
          <w:p w14:paraId="114E8D09">
            <w:pPr>
              <w:rPr>
                <w:rFonts w:ascii="仿宋_GB2312" w:eastAsia="仿宋_GB2312"/>
                <w:color w:val="auto"/>
                <w:highlight w:val="none"/>
              </w:rPr>
            </w:pPr>
          </w:p>
        </w:tc>
      </w:tr>
      <w:tr w14:paraId="5196A9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4DDCD608">
            <w:pPr>
              <w:rPr>
                <w:rFonts w:ascii="仿宋_GB2312" w:eastAsia="仿宋_GB2312"/>
                <w:color w:val="auto"/>
                <w:highlight w:val="none"/>
              </w:rPr>
            </w:pPr>
          </w:p>
        </w:tc>
        <w:tc>
          <w:tcPr>
            <w:tcW w:w="1276" w:type="dxa"/>
          </w:tcPr>
          <w:p w14:paraId="2C0BCAAC">
            <w:pPr>
              <w:rPr>
                <w:rFonts w:ascii="仿宋_GB2312" w:eastAsia="仿宋_GB2312"/>
                <w:color w:val="auto"/>
                <w:highlight w:val="none"/>
              </w:rPr>
            </w:pPr>
          </w:p>
        </w:tc>
        <w:tc>
          <w:tcPr>
            <w:tcW w:w="1450" w:type="dxa"/>
          </w:tcPr>
          <w:p w14:paraId="5B6AF330">
            <w:pPr>
              <w:rPr>
                <w:rFonts w:ascii="仿宋_GB2312" w:eastAsia="仿宋_GB2312"/>
                <w:color w:val="auto"/>
                <w:highlight w:val="none"/>
              </w:rPr>
            </w:pPr>
          </w:p>
        </w:tc>
        <w:tc>
          <w:tcPr>
            <w:tcW w:w="1243" w:type="dxa"/>
          </w:tcPr>
          <w:p w14:paraId="310055F3">
            <w:pPr>
              <w:rPr>
                <w:rFonts w:ascii="仿宋_GB2312" w:eastAsia="仿宋_GB2312"/>
                <w:color w:val="auto"/>
                <w:highlight w:val="none"/>
              </w:rPr>
            </w:pPr>
          </w:p>
        </w:tc>
        <w:tc>
          <w:tcPr>
            <w:tcW w:w="1450" w:type="dxa"/>
          </w:tcPr>
          <w:p w14:paraId="74EE1920">
            <w:pPr>
              <w:rPr>
                <w:rFonts w:ascii="仿宋_GB2312" w:eastAsia="仿宋_GB2312"/>
                <w:color w:val="auto"/>
                <w:highlight w:val="none"/>
              </w:rPr>
            </w:pPr>
          </w:p>
        </w:tc>
        <w:tc>
          <w:tcPr>
            <w:tcW w:w="1670" w:type="dxa"/>
          </w:tcPr>
          <w:p w14:paraId="6D46D643">
            <w:pPr>
              <w:rPr>
                <w:rFonts w:ascii="仿宋_GB2312" w:eastAsia="仿宋_GB2312"/>
                <w:color w:val="auto"/>
                <w:highlight w:val="none"/>
              </w:rPr>
            </w:pPr>
          </w:p>
        </w:tc>
      </w:tr>
      <w:tr w14:paraId="710E9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1BE10490">
            <w:pPr>
              <w:rPr>
                <w:rFonts w:ascii="仿宋_GB2312" w:eastAsia="仿宋_GB2312"/>
                <w:color w:val="auto"/>
                <w:highlight w:val="none"/>
              </w:rPr>
            </w:pPr>
          </w:p>
        </w:tc>
        <w:tc>
          <w:tcPr>
            <w:tcW w:w="1276" w:type="dxa"/>
          </w:tcPr>
          <w:p w14:paraId="2278C6CE">
            <w:pPr>
              <w:rPr>
                <w:rFonts w:ascii="仿宋_GB2312" w:eastAsia="仿宋_GB2312"/>
                <w:color w:val="auto"/>
                <w:highlight w:val="none"/>
              </w:rPr>
            </w:pPr>
          </w:p>
        </w:tc>
        <w:tc>
          <w:tcPr>
            <w:tcW w:w="1450" w:type="dxa"/>
          </w:tcPr>
          <w:p w14:paraId="0E6F930C">
            <w:pPr>
              <w:rPr>
                <w:rFonts w:ascii="仿宋_GB2312" w:eastAsia="仿宋_GB2312"/>
                <w:color w:val="auto"/>
                <w:highlight w:val="none"/>
              </w:rPr>
            </w:pPr>
          </w:p>
        </w:tc>
        <w:tc>
          <w:tcPr>
            <w:tcW w:w="1243" w:type="dxa"/>
          </w:tcPr>
          <w:p w14:paraId="6968EE67">
            <w:pPr>
              <w:rPr>
                <w:rFonts w:ascii="仿宋_GB2312" w:eastAsia="仿宋_GB2312"/>
                <w:color w:val="auto"/>
                <w:highlight w:val="none"/>
              </w:rPr>
            </w:pPr>
          </w:p>
        </w:tc>
        <w:tc>
          <w:tcPr>
            <w:tcW w:w="1450" w:type="dxa"/>
          </w:tcPr>
          <w:p w14:paraId="798EC459">
            <w:pPr>
              <w:rPr>
                <w:rFonts w:ascii="仿宋_GB2312" w:eastAsia="仿宋_GB2312"/>
                <w:color w:val="auto"/>
                <w:highlight w:val="none"/>
              </w:rPr>
            </w:pPr>
          </w:p>
        </w:tc>
        <w:tc>
          <w:tcPr>
            <w:tcW w:w="1670" w:type="dxa"/>
          </w:tcPr>
          <w:p w14:paraId="750F8FDA">
            <w:pPr>
              <w:rPr>
                <w:rFonts w:ascii="仿宋_GB2312" w:eastAsia="仿宋_GB2312"/>
                <w:color w:val="auto"/>
                <w:highlight w:val="none"/>
              </w:rPr>
            </w:pPr>
          </w:p>
        </w:tc>
      </w:tr>
      <w:tr w14:paraId="05B39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5713957E">
            <w:pPr>
              <w:rPr>
                <w:rFonts w:ascii="仿宋_GB2312" w:eastAsia="仿宋_GB2312"/>
                <w:color w:val="auto"/>
                <w:highlight w:val="none"/>
              </w:rPr>
            </w:pPr>
          </w:p>
        </w:tc>
        <w:tc>
          <w:tcPr>
            <w:tcW w:w="1276" w:type="dxa"/>
          </w:tcPr>
          <w:p w14:paraId="255AEA67">
            <w:pPr>
              <w:rPr>
                <w:rFonts w:ascii="仿宋_GB2312" w:eastAsia="仿宋_GB2312"/>
                <w:color w:val="auto"/>
                <w:highlight w:val="none"/>
              </w:rPr>
            </w:pPr>
          </w:p>
        </w:tc>
        <w:tc>
          <w:tcPr>
            <w:tcW w:w="1450" w:type="dxa"/>
          </w:tcPr>
          <w:p w14:paraId="2BDF2CEA">
            <w:pPr>
              <w:rPr>
                <w:rFonts w:ascii="仿宋_GB2312" w:eastAsia="仿宋_GB2312"/>
                <w:color w:val="auto"/>
                <w:highlight w:val="none"/>
              </w:rPr>
            </w:pPr>
          </w:p>
        </w:tc>
        <w:tc>
          <w:tcPr>
            <w:tcW w:w="1243" w:type="dxa"/>
          </w:tcPr>
          <w:p w14:paraId="2BCAC907">
            <w:pPr>
              <w:rPr>
                <w:rFonts w:ascii="仿宋_GB2312" w:eastAsia="仿宋_GB2312"/>
                <w:color w:val="auto"/>
                <w:highlight w:val="none"/>
              </w:rPr>
            </w:pPr>
          </w:p>
        </w:tc>
        <w:tc>
          <w:tcPr>
            <w:tcW w:w="1450" w:type="dxa"/>
          </w:tcPr>
          <w:p w14:paraId="1D8ED7FA">
            <w:pPr>
              <w:rPr>
                <w:rFonts w:ascii="仿宋_GB2312" w:eastAsia="仿宋_GB2312"/>
                <w:color w:val="auto"/>
                <w:highlight w:val="none"/>
              </w:rPr>
            </w:pPr>
          </w:p>
        </w:tc>
        <w:tc>
          <w:tcPr>
            <w:tcW w:w="1670" w:type="dxa"/>
          </w:tcPr>
          <w:p w14:paraId="0C0061C6">
            <w:pPr>
              <w:rPr>
                <w:rFonts w:ascii="仿宋_GB2312" w:eastAsia="仿宋_GB2312"/>
                <w:color w:val="auto"/>
                <w:highlight w:val="none"/>
              </w:rPr>
            </w:pPr>
          </w:p>
        </w:tc>
      </w:tr>
    </w:tbl>
    <w:p w14:paraId="556D3FFF">
      <w:pPr>
        <w:rPr>
          <w:color w:val="auto"/>
          <w:highlight w:val="none"/>
        </w:rPr>
        <w:sectPr>
          <w:footerReference r:id="rId3" w:type="default"/>
          <w:pgSz w:w="11906" w:h="16838"/>
          <w:pgMar w:top="1440" w:right="1800" w:bottom="1440" w:left="1800" w:header="720" w:footer="998" w:gutter="0"/>
          <w:cols w:space="720" w:num="1"/>
          <w:docGrid w:linePitch="326" w:charSpace="0"/>
        </w:sectPr>
      </w:pPr>
    </w:p>
    <w:p w14:paraId="5B3D0322">
      <w:pPr>
        <w:pStyle w:val="41"/>
        <w:numPr>
          <w:ilvl w:val="0"/>
          <w:numId w:val="0"/>
        </w:numPr>
        <w:rPr>
          <w:rFonts w:hint="eastAsia"/>
          <w:color w:val="auto"/>
          <w:highlight w:val="none"/>
        </w:rPr>
      </w:pPr>
      <w:bookmarkStart w:id="186" w:name="_Toc54862356"/>
      <w:bookmarkStart w:id="187" w:name="_Toc20171897"/>
      <w:r>
        <w:rPr>
          <w:rFonts w:hint="eastAsia"/>
          <w:color w:val="auto"/>
          <w:highlight w:val="none"/>
        </w:rPr>
        <w:t>附件</w:t>
      </w:r>
      <w:r>
        <w:rPr>
          <w:color w:val="auto"/>
          <w:highlight w:val="none"/>
        </w:rPr>
        <w:t>5 承包人主要管理人员表</w:t>
      </w:r>
      <w:bookmarkEnd w:id="186"/>
      <w:bookmarkEnd w:id="187"/>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14:paraId="4CECC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505" w:type="dxa"/>
            <w:tcBorders>
              <w:top w:val="single" w:color="auto" w:sz="12" w:space="0"/>
              <w:bottom w:val="double" w:color="auto" w:sz="6" w:space="0"/>
            </w:tcBorders>
            <w:vAlign w:val="center"/>
          </w:tcPr>
          <w:p w14:paraId="4EAE25F6">
            <w:pPr>
              <w:pStyle w:val="9"/>
              <w:spacing w:after="0"/>
              <w:ind w:firstLine="420"/>
              <w:rPr>
                <w:rFonts w:ascii="仿宋_GB2312" w:eastAsia="仿宋_GB2312"/>
                <w:color w:val="auto"/>
                <w:sz w:val="21"/>
                <w:szCs w:val="21"/>
                <w:highlight w:val="none"/>
              </w:rPr>
            </w:pPr>
            <w:r>
              <w:rPr>
                <w:rFonts w:hint="eastAsia" w:ascii="仿宋_GB2312" w:eastAsia="仿宋_GB2312"/>
                <w:color w:val="auto"/>
                <w:sz w:val="21"/>
                <w:szCs w:val="21"/>
                <w:highlight w:val="none"/>
              </w:rPr>
              <w:t>名    称</w:t>
            </w:r>
          </w:p>
        </w:tc>
        <w:tc>
          <w:tcPr>
            <w:tcW w:w="1418" w:type="dxa"/>
            <w:tcBorders>
              <w:top w:val="single" w:color="auto" w:sz="12" w:space="0"/>
              <w:bottom w:val="double" w:color="auto" w:sz="6" w:space="0"/>
            </w:tcBorders>
            <w:vAlign w:val="center"/>
          </w:tcPr>
          <w:p w14:paraId="09F33CD1">
            <w:pPr>
              <w:pStyle w:val="9"/>
              <w:spacing w:after="0"/>
              <w:ind w:firstLine="420"/>
              <w:rPr>
                <w:rFonts w:ascii="仿宋_GB2312" w:eastAsia="仿宋_GB2312"/>
                <w:color w:val="auto"/>
                <w:sz w:val="21"/>
                <w:szCs w:val="21"/>
                <w:highlight w:val="none"/>
              </w:rPr>
            </w:pPr>
            <w:r>
              <w:rPr>
                <w:rFonts w:hint="eastAsia" w:ascii="仿宋_GB2312" w:eastAsia="仿宋_GB2312"/>
                <w:color w:val="auto"/>
                <w:sz w:val="21"/>
                <w:szCs w:val="21"/>
                <w:highlight w:val="none"/>
              </w:rPr>
              <w:t>姓名</w:t>
            </w:r>
          </w:p>
        </w:tc>
        <w:tc>
          <w:tcPr>
            <w:tcW w:w="1134" w:type="dxa"/>
            <w:tcBorders>
              <w:top w:val="single" w:color="auto" w:sz="12" w:space="0"/>
              <w:bottom w:val="double" w:color="auto" w:sz="6" w:space="0"/>
            </w:tcBorders>
            <w:vAlign w:val="center"/>
          </w:tcPr>
          <w:p w14:paraId="5370C75C">
            <w:pPr>
              <w:pStyle w:val="9"/>
              <w:spacing w:after="0"/>
              <w:ind w:firstLine="420"/>
              <w:rPr>
                <w:rFonts w:ascii="仿宋_GB2312" w:eastAsia="仿宋_GB2312"/>
                <w:color w:val="auto"/>
                <w:sz w:val="21"/>
                <w:szCs w:val="21"/>
                <w:highlight w:val="none"/>
              </w:rPr>
            </w:pPr>
            <w:r>
              <w:rPr>
                <w:rFonts w:hint="eastAsia" w:ascii="仿宋_GB2312" w:eastAsia="仿宋_GB2312"/>
                <w:color w:val="auto"/>
                <w:sz w:val="21"/>
                <w:szCs w:val="21"/>
                <w:highlight w:val="none"/>
              </w:rPr>
              <w:t>职务</w:t>
            </w:r>
          </w:p>
        </w:tc>
        <w:tc>
          <w:tcPr>
            <w:tcW w:w="1134" w:type="dxa"/>
            <w:tcBorders>
              <w:top w:val="single" w:color="auto" w:sz="12" w:space="0"/>
              <w:bottom w:val="double" w:color="auto" w:sz="6" w:space="0"/>
            </w:tcBorders>
            <w:vAlign w:val="center"/>
          </w:tcPr>
          <w:p w14:paraId="289CFF6C">
            <w:pPr>
              <w:pStyle w:val="9"/>
              <w:spacing w:after="0"/>
              <w:ind w:firstLine="420"/>
              <w:rPr>
                <w:rFonts w:ascii="仿宋_GB2312" w:eastAsia="仿宋_GB2312"/>
                <w:color w:val="auto"/>
                <w:sz w:val="21"/>
                <w:szCs w:val="21"/>
                <w:highlight w:val="none"/>
              </w:rPr>
            </w:pPr>
            <w:r>
              <w:rPr>
                <w:rFonts w:hint="eastAsia" w:ascii="仿宋_GB2312" w:eastAsia="仿宋_GB2312"/>
                <w:color w:val="auto"/>
                <w:sz w:val="21"/>
                <w:szCs w:val="21"/>
                <w:highlight w:val="none"/>
              </w:rPr>
              <w:t>职称</w:t>
            </w:r>
          </w:p>
        </w:tc>
        <w:tc>
          <w:tcPr>
            <w:tcW w:w="3896" w:type="dxa"/>
            <w:tcBorders>
              <w:top w:val="single" w:color="auto" w:sz="12" w:space="0"/>
              <w:bottom w:val="double" w:color="auto" w:sz="6" w:space="0"/>
            </w:tcBorders>
            <w:vAlign w:val="center"/>
          </w:tcPr>
          <w:p w14:paraId="29FF9466">
            <w:pPr>
              <w:pStyle w:val="9"/>
              <w:spacing w:after="0"/>
              <w:ind w:firstLine="420"/>
              <w:rPr>
                <w:rFonts w:ascii="仿宋_GB2312" w:eastAsia="仿宋_GB2312"/>
                <w:color w:val="auto"/>
                <w:sz w:val="21"/>
                <w:szCs w:val="21"/>
                <w:highlight w:val="none"/>
              </w:rPr>
            </w:pPr>
            <w:r>
              <w:rPr>
                <w:rFonts w:hint="eastAsia" w:ascii="仿宋_GB2312" w:eastAsia="仿宋_GB2312"/>
                <w:color w:val="auto"/>
                <w:sz w:val="21"/>
                <w:szCs w:val="21"/>
                <w:highlight w:val="none"/>
              </w:rPr>
              <w:t>主要资历、经验及承担过的项目</w:t>
            </w:r>
          </w:p>
        </w:tc>
      </w:tr>
      <w:tr w14:paraId="0C106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vAlign w:val="center"/>
          </w:tcPr>
          <w:p w14:paraId="33DEF958">
            <w:pPr>
              <w:pStyle w:val="9"/>
              <w:spacing w:after="0"/>
              <w:ind w:firstLine="420"/>
              <w:rPr>
                <w:rFonts w:ascii="仿宋_GB2312" w:eastAsia="仿宋_GB2312"/>
                <w:color w:val="auto"/>
                <w:sz w:val="21"/>
                <w:szCs w:val="21"/>
                <w:highlight w:val="none"/>
              </w:rPr>
            </w:pPr>
            <w:r>
              <w:rPr>
                <w:rFonts w:hint="eastAsia" w:ascii="仿宋_GB2312" w:eastAsia="仿宋_GB2312"/>
                <w:color w:val="auto"/>
                <w:sz w:val="21"/>
                <w:szCs w:val="21"/>
                <w:highlight w:val="none"/>
              </w:rPr>
              <w:t>一、总部人员</w:t>
            </w:r>
          </w:p>
        </w:tc>
      </w:tr>
      <w:tr w14:paraId="5DC04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vAlign w:val="center"/>
          </w:tcPr>
          <w:p w14:paraId="6DA1969B">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项目主管</w:t>
            </w:r>
          </w:p>
        </w:tc>
        <w:tc>
          <w:tcPr>
            <w:tcW w:w="1418" w:type="dxa"/>
            <w:tcBorders>
              <w:top w:val="nil"/>
            </w:tcBorders>
            <w:vAlign w:val="center"/>
          </w:tcPr>
          <w:p w14:paraId="6B1BA028">
            <w:pPr>
              <w:pStyle w:val="9"/>
              <w:spacing w:after="0"/>
              <w:ind w:firstLine="420"/>
              <w:rPr>
                <w:rFonts w:ascii="仿宋_GB2312" w:eastAsia="仿宋_GB2312"/>
                <w:color w:val="auto"/>
                <w:sz w:val="21"/>
                <w:szCs w:val="21"/>
                <w:highlight w:val="none"/>
              </w:rPr>
            </w:pPr>
          </w:p>
        </w:tc>
        <w:tc>
          <w:tcPr>
            <w:tcW w:w="1134" w:type="dxa"/>
            <w:tcBorders>
              <w:top w:val="nil"/>
            </w:tcBorders>
            <w:vAlign w:val="center"/>
          </w:tcPr>
          <w:p w14:paraId="1DDC1572">
            <w:pPr>
              <w:pStyle w:val="9"/>
              <w:spacing w:after="0"/>
              <w:ind w:firstLine="420"/>
              <w:rPr>
                <w:rFonts w:ascii="仿宋_GB2312" w:eastAsia="仿宋_GB2312"/>
                <w:color w:val="auto"/>
                <w:sz w:val="21"/>
                <w:szCs w:val="21"/>
                <w:highlight w:val="none"/>
              </w:rPr>
            </w:pPr>
          </w:p>
        </w:tc>
        <w:tc>
          <w:tcPr>
            <w:tcW w:w="1134" w:type="dxa"/>
            <w:tcBorders>
              <w:top w:val="nil"/>
            </w:tcBorders>
            <w:vAlign w:val="center"/>
          </w:tcPr>
          <w:p w14:paraId="1F2F7415">
            <w:pPr>
              <w:pStyle w:val="9"/>
              <w:spacing w:after="0"/>
              <w:ind w:firstLine="420"/>
              <w:rPr>
                <w:rFonts w:ascii="仿宋_GB2312" w:eastAsia="仿宋_GB2312"/>
                <w:color w:val="auto"/>
                <w:sz w:val="21"/>
                <w:szCs w:val="21"/>
                <w:highlight w:val="none"/>
              </w:rPr>
            </w:pPr>
          </w:p>
        </w:tc>
        <w:tc>
          <w:tcPr>
            <w:tcW w:w="3896" w:type="dxa"/>
            <w:tcBorders>
              <w:top w:val="nil"/>
            </w:tcBorders>
            <w:vAlign w:val="center"/>
          </w:tcPr>
          <w:p w14:paraId="7A850FE9">
            <w:pPr>
              <w:pStyle w:val="9"/>
              <w:spacing w:after="0"/>
              <w:ind w:firstLine="420"/>
              <w:rPr>
                <w:rFonts w:ascii="仿宋_GB2312" w:eastAsia="仿宋_GB2312"/>
                <w:color w:val="auto"/>
                <w:sz w:val="21"/>
                <w:szCs w:val="21"/>
                <w:highlight w:val="none"/>
              </w:rPr>
            </w:pPr>
          </w:p>
        </w:tc>
      </w:tr>
      <w:tr w14:paraId="32391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vAlign w:val="center"/>
          </w:tcPr>
          <w:p w14:paraId="344B08B5">
            <w:pPr>
              <w:pStyle w:val="9"/>
              <w:spacing w:after="0"/>
              <w:ind w:firstLine="420"/>
              <w:rPr>
                <w:rFonts w:ascii="仿宋_GB2312" w:eastAsia="仿宋_GB2312"/>
                <w:color w:val="auto"/>
                <w:sz w:val="21"/>
                <w:szCs w:val="21"/>
                <w:highlight w:val="none"/>
              </w:rPr>
            </w:pPr>
          </w:p>
        </w:tc>
        <w:tc>
          <w:tcPr>
            <w:tcW w:w="1418" w:type="dxa"/>
            <w:vAlign w:val="center"/>
          </w:tcPr>
          <w:p w14:paraId="3D99C7E5">
            <w:pPr>
              <w:pStyle w:val="9"/>
              <w:spacing w:after="0"/>
              <w:ind w:firstLine="420"/>
              <w:rPr>
                <w:rFonts w:ascii="仿宋_GB2312" w:eastAsia="仿宋_GB2312"/>
                <w:color w:val="auto"/>
                <w:sz w:val="21"/>
                <w:szCs w:val="21"/>
                <w:highlight w:val="none"/>
              </w:rPr>
            </w:pPr>
          </w:p>
        </w:tc>
        <w:tc>
          <w:tcPr>
            <w:tcW w:w="1134" w:type="dxa"/>
            <w:vAlign w:val="center"/>
          </w:tcPr>
          <w:p w14:paraId="4F966240">
            <w:pPr>
              <w:pStyle w:val="9"/>
              <w:spacing w:after="0"/>
              <w:ind w:firstLine="420"/>
              <w:rPr>
                <w:rFonts w:ascii="仿宋_GB2312" w:eastAsia="仿宋_GB2312"/>
                <w:color w:val="auto"/>
                <w:sz w:val="21"/>
                <w:szCs w:val="21"/>
                <w:highlight w:val="none"/>
              </w:rPr>
            </w:pPr>
          </w:p>
        </w:tc>
        <w:tc>
          <w:tcPr>
            <w:tcW w:w="1134" w:type="dxa"/>
            <w:vAlign w:val="center"/>
          </w:tcPr>
          <w:p w14:paraId="574404B8">
            <w:pPr>
              <w:pStyle w:val="9"/>
              <w:spacing w:after="0"/>
              <w:ind w:firstLine="420"/>
              <w:rPr>
                <w:rFonts w:ascii="仿宋_GB2312" w:eastAsia="仿宋_GB2312"/>
                <w:color w:val="auto"/>
                <w:sz w:val="21"/>
                <w:szCs w:val="21"/>
                <w:highlight w:val="none"/>
              </w:rPr>
            </w:pPr>
          </w:p>
        </w:tc>
        <w:tc>
          <w:tcPr>
            <w:tcW w:w="3896" w:type="dxa"/>
            <w:vAlign w:val="center"/>
          </w:tcPr>
          <w:p w14:paraId="6775EE05">
            <w:pPr>
              <w:pStyle w:val="9"/>
              <w:spacing w:after="0"/>
              <w:ind w:firstLine="420"/>
              <w:rPr>
                <w:rFonts w:ascii="仿宋_GB2312" w:eastAsia="仿宋_GB2312"/>
                <w:color w:val="auto"/>
                <w:sz w:val="21"/>
                <w:szCs w:val="21"/>
                <w:highlight w:val="none"/>
              </w:rPr>
            </w:pPr>
          </w:p>
        </w:tc>
      </w:tr>
      <w:tr w14:paraId="4657D9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vAlign w:val="center"/>
          </w:tcPr>
          <w:p w14:paraId="52C9C9D0">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其他人员</w:t>
            </w:r>
          </w:p>
        </w:tc>
        <w:tc>
          <w:tcPr>
            <w:tcW w:w="1418" w:type="dxa"/>
            <w:vAlign w:val="center"/>
          </w:tcPr>
          <w:p w14:paraId="22501B1D">
            <w:pPr>
              <w:pStyle w:val="9"/>
              <w:spacing w:after="0"/>
              <w:ind w:firstLine="420"/>
              <w:rPr>
                <w:rFonts w:ascii="仿宋_GB2312" w:eastAsia="仿宋_GB2312"/>
                <w:color w:val="auto"/>
                <w:sz w:val="21"/>
                <w:szCs w:val="21"/>
                <w:highlight w:val="none"/>
              </w:rPr>
            </w:pPr>
          </w:p>
        </w:tc>
        <w:tc>
          <w:tcPr>
            <w:tcW w:w="1134" w:type="dxa"/>
            <w:vAlign w:val="center"/>
          </w:tcPr>
          <w:p w14:paraId="762CE63F">
            <w:pPr>
              <w:pStyle w:val="9"/>
              <w:spacing w:after="0"/>
              <w:ind w:firstLine="420"/>
              <w:rPr>
                <w:rFonts w:ascii="仿宋_GB2312" w:eastAsia="仿宋_GB2312"/>
                <w:color w:val="auto"/>
                <w:sz w:val="21"/>
                <w:szCs w:val="21"/>
                <w:highlight w:val="none"/>
              </w:rPr>
            </w:pPr>
          </w:p>
        </w:tc>
        <w:tc>
          <w:tcPr>
            <w:tcW w:w="1134" w:type="dxa"/>
            <w:vAlign w:val="center"/>
          </w:tcPr>
          <w:p w14:paraId="338A005D">
            <w:pPr>
              <w:pStyle w:val="9"/>
              <w:spacing w:after="0"/>
              <w:ind w:firstLine="420"/>
              <w:rPr>
                <w:rFonts w:ascii="仿宋_GB2312" w:eastAsia="仿宋_GB2312"/>
                <w:color w:val="auto"/>
                <w:sz w:val="21"/>
                <w:szCs w:val="21"/>
                <w:highlight w:val="none"/>
              </w:rPr>
            </w:pPr>
          </w:p>
        </w:tc>
        <w:tc>
          <w:tcPr>
            <w:tcW w:w="3896" w:type="dxa"/>
            <w:vAlign w:val="center"/>
          </w:tcPr>
          <w:p w14:paraId="503CC4D4">
            <w:pPr>
              <w:pStyle w:val="9"/>
              <w:spacing w:after="0"/>
              <w:ind w:firstLine="420"/>
              <w:rPr>
                <w:rFonts w:ascii="仿宋_GB2312" w:eastAsia="仿宋_GB2312"/>
                <w:color w:val="auto"/>
                <w:sz w:val="21"/>
                <w:szCs w:val="21"/>
                <w:highlight w:val="none"/>
              </w:rPr>
            </w:pPr>
          </w:p>
        </w:tc>
      </w:tr>
      <w:tr w14:paraId="5D3F9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vAlign w:val="center"/>
          </w:tcPr>
          <w:p w14:paraId="332F827F">
            <w:pPr>
              <w:pStyle w:val="9"/>
              <w:spacing w:after="0"/>
              <w:ind w:firstLine="420"/>
              <w:rPr>
                <w:rFonts w:ascii="仿宋_GB2312" w:eastAsia="仿宋_GB2312"/>
                <w:color w:val="auto"/>
                <w:sz w:val="21"/>
                <w:szCs w:val="21"/>
                <w:highlight w:val="none"/>
              </w:rPr>
            </w:pPr>
          </w:p>
        </w:tc>
        <w:tc>
          <w:tcPr>
            <w:tcW w:w="1418" w:type="dxa"/>
            <w:vAlign w:val="center"/>
          </w:tcPr>
          <w:p w14:paraId="40AE1EC0">
            <w:pPr>
              <w:pStyle w:val="9"/>
              <w:spacing w:after="0"/>
              <w:ind w:firstLine="420"/>
              <w:rPr>
                <w:rFonts w:ascii="仿宋_GB2312" w:eastAsia="仿宋_GB2312"/>
                <w:color w:val="auto"/>
                <w:sz w:val="21"/>
                <w:szCs w:val="21"/>
                <w:highlight w:val="none"/>
              </w:rPr>
            </w:pPr>
          </w:p>
        </w:tc>
        <w:tc>
          <w:tcPr>
            <w:tcW w:w="1134" w:type="dxa"/>
            <w:vAlign w:val="center"/>
          </w:tcPr>
          <w:p w14:paraId="72DE72B4">
            <w:pPr>
              <w:pStyle w:val="9"/>
              <w:spacing w:after="0"/>
              <w:ind w:firstLine="420"/>
              <w:rPr>
                <w:rFonts w:ascii="仿宋_GB2312" w:eastAsia="仿宋_GB2312"/>
                <w:color w:val="auto"/>
                <w:sz w:val="21"/>
                <w:szCs w:val="21"/>
                <w:highlight w:val="none"/>
              </w:rPr>
            </w:pPr>
          </w:p>
        </w:tc>
        <w:tc>
          <w:tcPr>
            <w:tcW w:w="1134" w:type="dxa"/>
            <w:vAlign w:val="center"/>
          </w:tcPr>
          <w:p w14:paraId="5AE3641E">
            <w:pPr>
              <w:pStyle w:val="9"/>
              <w:spacing w:after="0"/>
              <w:ind w:firstLine="420"/>
              <w:rPr>
                <w:rFonts w:ascii="仿宋_GB2312" w:eastAsia="仿宋_GB2312"/>
                <w:color w:val="auto"/>
                <w:sz w:val="21"/>
                <w:szCs w:val="21"/>
                <w:highlight w:val="none"/>
              </w:rPr>
            </w:pPr>
          </w:p>
        </w:tc>
        <w:tc>
          <w:tcPr>
            <w:tcW w:w="3896" w:type="dxa"/>
            <w:vAlign w:val="center"/>
          </w:tcPr>
          <w:p w14:paraId="6084AF22">
            <w:pPr>
              <w:pStyle w:val="9"/>
              <w:spacing w:after="0"/>
              <w:ind w:firstLine="420"/>
              <w:rPr>
                <w:rFonts w:ascii="仿宋_GB2312" w:eastAsia="仿宋_GB2312"/>
                <w:color w:val="auto"/>
                <w:sz w:val="21"/>
                <w:szCs w:val="21"/>
                <w:highlight w:val="none"/>
              </w:rPr>
            </w:pPr>
          </w:p>
        </w:tc>
      </w:tr>
      <w:tr w14:paraId="050949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vAlign w:val="center"/>
          </w:tcPr>
          <w:p w14:paraId="6C57F2C4">
            <w:pPr>
              <w:pStyle w:val="9"/>
              <w:spacing w:after="0"/>
              <w:ind w:firstLine="420"/>
              <w:rPr>
                <w:rFonts w:ascii="仿宋_GB2312" w:eastAsia="仿宋_GB2312"/>
                <w:color w:val="auto"/>
                <w:sz w:val="21"/>
                <w:szCs w:val="21"/>
                <w:highlight w:val="none"/>
              </w:rPr>
            </w:pPr>
            <w:r>
              <w:rPr>
                <w:rFonts w:hint="eastAsia" w:ascii="仿宋_GB2312" w:eastAsia="仿宋_GB2312"/>
                <w:color w:val="auto"/>
                <w:sz w:val="21"/>
                <w:szCs w:val="21"/>
                <w:highlight w:val="none"/>
              </w:rPr>
              <w:t>二、现场人员</w:t>
            </w:r>
          </w:p>
        </w:tc>
      </w:tr>
      <w:tr w14:paraId="05CA2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50604BCE">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工程总承包</w:t>
            </w:r>
          </w:p>
          <w:p w14:paraId="194908FC">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项目经理</w:t>
            </w:r>
          </w:p>
        </w:tc>
        <w:tc>
          <w:tcPr>
            <w:tcW w:w="1418" w:type="dxa"/>
            <w:vAlign w:val="center"/>
          </w:tcPr>
          <w:p w14:paraId="21EA7BA6">
            <w:pPr>
              <w:pStyle w:val="9"/>
              <w:spacing w:after="0"/>
              <w:ind w:firstLine="420"/>
              <w:rPr>
                <w:rFonts w:ascii="仿宋_GB2312" w:eastAsia="仿宋_GB2312"/>
                <w:color w:val="auto"/>
                <w:sz w:val="21"/>
                <w:szCs w:val="21"/>
                <w:highlight w:val="none"/>
              </w:rPr>
            </w:pPr>
          </w:p>
        </w:tc>
        <w:tc>
          <w:tcPr>
            <w:tcW w:w="1134" w:type="dxa"/>
            <w:vAlign w:val="center"/>
          </w:tcPr>
          <w:p w14:paraId="3B964973">
            <w:pPr>
              <w:pStyle w:val="9"/>
              <w:spacing w:after="0"/>
              <w:ind w:firstLine="420"/>
              <w:rPr>
                <w:rFonts w:ascii="仿宋_GB2312" w:eastAsia="仿宋_GB2312"/>
                <w:color w:val="auto"/>
                <w:sz w:val="21"/>
                <w:szCs w:val="21"/>
                <w:highlight w:val="none"/>
              </w:rPr>
            </w:pPr>
          </w:p>
        </w:tc>
        <w:tc>
          <w:tcPr>
            <w:tcW w:w="1134" w:type="dxa"/>
            <w:vAlign w:val="center"/>
          </w:tcPr>
          <w:p w14:paraId="0F8C98D2">
            <w:pPr>
              <w:pStyle w:val="9"/>
              <w:spacing w:after="0"/>
              <w:ind w:firstLine="420"/>
              <w:rPr>
                <w:rFonts w:ascii="仿宋_GB2312" w:eastAsia="仿宋_GB2312"/>
                <w:color w:val="auto"/>
                <w:sz w:val="21"/>
                <w:szCs w:val="21"/>
                <w:highlight w:val="none"/>
              </w:rPr>
            </w:pPr>
          </w:p>
        </w:tc>
        <w:tc>
          <w:tcPr>
            <w:tcW w:w="3896" w:type="dxa"/>
            <w:vAlign w:val="center"/>
          </w:tcPr>
          <w:p w14:paraId="1FCF742D">
            <w:pPr>
              <w:pStyle w:val="9"/>
              <w:spacing w:after="0"/>
              <w:ind w:firstLine="420"/>
              <w:rPr>
                <w:rFonts w:ascii="仿宋_GB2312" w:eastAsia="仿宋_GB2312"/>
                <w:color w:val="auto"/>
                <w:sz w:val="21"/>
                <w:szCs w:val="21"/>
                <w:highlight w:val="none"/>
              </w:rPr>
            </w:pPr>
          </w:p>
          <w:p w14:paraId="74A8AB8D">
            <w:pPr>
              <w:pStyle w:val="9"/>
              <w:spacing w:after="0"/>
              <w:ind w:firstLine="420"/>
              <w:rPr>
                <w:rFonts w:ascii="仿宋_GB2312" w:eastAsia="仿宋_GB2312"/>
                <w:color w:val="auto"/>
                <w:sz w:val="21"/>
                <w:szCs w:val="21"/>
                <w:highlight w:val="none"/>
              </w:rPr>
            </w:pPr>
          </w:p>
        </w:tc>
      </w:tr>
      <w:tr w14:paraId="1C88E2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37FFEAD6">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项目副经理</w:t>
            </w:r>
          </w:p>
        </w:tc>
        <w:tc>
          <w:tcPr>
            <w:tcW w:w="1418" w:type="dxa"/>
            <w:vAlign w:val="center"/>
          </w:tcPr>
          <w:p w14:paraId="6FE0DB85">
            <w:pPr>
              <w:pStyle w:val="9"/>
              <w:spacing w:after="0"/>
              <w:ind w:firstLine="420"/>
              <w:rPr>
                <w:rFonts w:ascii="仿宋_GB2312" w:eastAsia="仿宋_GB2312"/>
                <w:color w:val="auto"/>
                <w:sz w:val="21"/>
                <w:szCs w:val="21"/>
                <w:highlight w:val="none"/>
              </w:rPr>
            </w:pPr>
          </w:p>
        </w:tc>
        <w:tc>
          <w:tcPr>
            <w:tcW w:w="1134" w:type="dxa"/>
            <w:vAlign w:val="center"/>
          </w:tcPr>
          <w:p w14:paraId="20527DF8">
            <w:pPr>
              <w:pStyle w:val="9"/>
              <w:spacing w:after="0"/>
              <w:ind w:firstLine="420"/>
              <w:rPr>
                <w:rFonts w:ascii="仿宋_GB2312" w:eastAsia="仿宋_GB2312"/>
                <w:color w:val="auto"/>
                <w:sz w:val="21"/>
                <w:szCs w:val="21"/>
                <w:highlight w:val="none"/>
              </w:rPr>
            </w:pPr>
          </w:p>
        </w:tc>
        <w:tc>
          <w:tcPr>
            <w:tcW w:w="1134" w:type="dxa"/>
            <w:vAlign w:val="center"/>
          </w:tcPr>
          <w:p w14:paraId="17B7684A">
            <w:pPr>
              <w:pStyle w:val="9"/>
              <w:spacing w:after="0"/>
              <w:ind w:firstLine="420"/>
              <w:rPr>
                <w:rFonts w:ascii="仿宋_GB2312" w:eastAsia="仿宋_GB2312"/>
                <w:color w:val="auto"/>
                <w:sz w:val="21"/>
                <w:szCs w:val="21"/>
                <w:highlight w:val="none"/>
              </w:rPr>
            </w:pPr>
          </w:p>
        </w:tc>
        <w:tc>
          <w:tcPr>
            <w:tcW w:w="3896" w:type="dxa"/>
            <w:vAlign w:val="center"/>
          </w:tcPr>
          <w:p w14:paraId="7228A683">
            <w:pPr>
              <w:pStyle w:val="9"/>
              <w:spacing w:after="0"/>
              <w:ind w:firstLine="420"/>
              <w:rPr>
                <w:rFonts w:ascii="仿宋_GB2312" w:eastAsia="仿宋_GB2312"/>
                <w:color w:val="auto"/>
                <w:sz w:val="21"/>
                <w:szCs w:val="21"/>
                <w:highlight w:val="none"/>
              </w:rPr>
            </w:pPr>
          </w:p>
        </w:tc>
      </w:tr>
      <w:tr w14:paraId="4E4D8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4A5EA7C5">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设计负责人</w:t>
            </w:r>
          </w:p>
        </w:tc>
        <w:tc>
          <w:tcPr>
            <w:tcW w:w="1418" w:type="dxa"/>
            <w:vAlign w:val="center"/>
          </w:tcPr>
          <w:p w14:paraId="2C571DD0">
            <w:pPr>
              <w:pStyle w:val="9"/>
              <w:spacing w:after="0"/>
              <w:ind w:firstLine="420"/>
              <w:rPr>
                <w:rFonts w:ascii="仿宋_GB2312" w:eastAsia="仿宋_GB2312"/>
                <w:color w:val="auto"/>
                <w:sz w:val="21"/>
                <w:szCs w:val="21"/>
                <w:highlight w:val="none"/>
              </w:rPr>
            </w:pPr>
          </w:p>
        </w:tc>
        <w:tc>
          <w:tcPr>
            <w:tcW w:w="1134" w:type="dxa"/>
            <w:vAlign w:val="center"/>
          </w:tcPr>
          <w:p w14:paraId="251F87F6">
            <w:pPr>
              <w:pStyle w:val="9"/>
              <w:spacing w:after="0"/>
              <w:ind w:firstLine="420"/>
              <w:rPr>
                <w:rFonts w:ascii="仿宋_GB2312" w:eastAsia="仿宋_GB2312"/>
                <w:color w:val="auto"/>
                <w:sz w:val="21"/>
                <w:szCs w:val="21"/>
                <w:highlight w:val="none"/>
              </w:rPr>
            </w:pPr>
          </w:p>
        </w:tc>
        <w:tc>
          <w:tcPr>
            <w:tcW w:w="1134" w:type="dxa"/>
            <w:vAlign w:val="center"/>
          </w:tcPr>
          <w:p w14:paraId="45AFA236">
            <w:pPr>
              <w:pStyle w:val="9"/>
              <w:spacing w:after="0"/>
              <w:ind w:firstLine="420"/>
              <w:rPr>
                <w:rFonts w:ascii="仿宋_GB2312" w:eastAsia="仿宋_GB2312"/>
                <w:color w:val="auto"/>
                <w:sz w:val="21"/>
                <w:szCs w:val="21"/>
                <w:highlight w:val="none"/>
              </w:rPr>
            </w:pPr>
          </w:p>
        </w:tc>
        <w:tc>
          <w:tcPr>
            <w:tcW w:w="3896" w:type="dxa"/>
            <w:vAlign w:val="center"/>
          </w:tcPr>
          <w:p w14:paraId="7DEED425">
            <w:pPr>
              <w:pStyle w:val="9"/>
              <w:spacing w:after="0"/>
              <w:ind w:firstLine="420"/>
              <w:rPr>
                <w:rFonts w:ascii="仿宋_GB2312" w:eastAsia="仿宋_GB2312"/>
                <w:color w:val="auto"/>
                <w:sz w:val="21"/>
                <w:szCs w:val="21"/>
                <w:highlight w:val="none"/>
              </w:rPr>
            </w:pPr>
          </w:p>
        </w:tc>
      </w:tr>
      <w:tr w14:paraId="6AB6F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0FBAA835">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采购负责人</w:t>
            </w:r>
          </w:p>
        </w:tc>
        <w:tc>
          <w:tcPr>
            <w:tcW w:w="1418" w:type="dxa"/>
            <w:vAlign w:val="center"/>
          </w:tcPr>
          <w:p w14:paraId="06D3B427">
            <w:pPr>
              <w:pStyle w:val="9"/>
              <w:spacing w:after="0"/>
              <w:ind w:firstLine="420"/>
              <w:rPr>
                <w:rFonts w:ascii="仿宋_GB2312" w:eastAsia="仿宋_GB2312"/>
                <w:color w:val="auto"/>
                <w:sz w:val="21"/>
                <w:szCs w:val="21"/>
                <w:highlight w:val="none"/>
              </w:rPr>
            </w:pPr>
          </w:p>
        </w:tc>
        <w:tc>
          <w:tcPr>
            <w:tcW w:w="1134" w:type="dxa"/>
            <w:vAlign w:val="center"/>
          </w:tcPr>
          <w:p w14:paraId="02B2E6CE">
            <w:pPr>
              <w:pStyle w:val="9"/>
              <w:spacing w:after="0"/>
              <w:ind w:firstLine="420"/>
              <w:rPr>
                <w:rFonts w:ascii="仿宋_GB2312" w:eastAsia="仿宋_GB2312"/>
                <w:color w:val="auto"/>
                <w:sz w:val="21"/>
                <w:szCs w:val="21"/>
                <w:highlight w:val="none"/>
              </w:rPr>
            </w:pPr>
          </w:p>
        </w:tc>
        <w:tc>
          <w:tcPr>
            <w:tcW w:w="1134" w:type="dxa"/>
            <w:vAlign w:val="center"/>
          </w:tcPr>
          <w:p w14:paraId="244D2DE0">
            <w:pPr>
              <w:pStyle w:val="9"/>
              <w:spacing w:after="0"/>
              <w:ind w:firstLine="420"/>
              <w:rPr>
                <w:rFonts w:ascii="仿宋_GB2312" w:eastAsia="仿宋_GB2312"/>
                <w:color w:val="auto"/>
                <w:sz w:val="21"/>
                <w:szCs w:val="21"/>
                <w:highlight w:val="none"/>
              </w:rPr>
            </w:pPr>
          </w:p>
        </w:tc>
        <w:tc>
          <w:tcPr>
            <w:tcW w:w="3896" w:type="dxa"/>
            <w:vAlign w:val="center"/>
          </w:tcPr>
          <w:p w14:paraId="3FE5B754">
            <w:pPr>
              <w:pStyle w:val="9"/>
              <w:spacing w:after="0"/>
              <w:ind w:firstLine="420"/>
              <w:rPr>
                <w:rFonts w:ascii="仿宋_GB2312" w:eastAsia="仿宋_GB2312"/>
                <w:color w:val="auto"/>
                <w:sz w:val="21"/>
                <w:szCs w:val="21"/>
                <w:highlight w:val="none"/>
              </w:rPr>
            </w:pPr>
          </w:p>
        </w:tc>
      </w:tr>
      <w:tr w14:paraId="71BD5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07448A2A">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施工负责人</w:t>
            </w:r>
          </w:p>
        </w:tc>
        <w:tc>
          <w:tcPr>
            <w:tcW w:w="1418" w:type="dxa"/>
            <w:vAlign w:val="center"/>
          </w:tcPr>
          <w:p w14:paraId="6B75223B">
            <w:pPr>
              <w:pStyle w:val="9"/>
              <w:spacing w:after="0"/>
              <w:ind w:firstLine="420"/>
              <w:rPr>
                <w:rFonts w:ascii="仿宋_GB2312" w:eastAsia="仿宋_GB2312"/>
                <w:color w:val="auto"/>
                <w:sz w:val="21"/>
                <w:szCs w:val="21"/>
                <w:highlight w:val="none"/>
              </w:rPr>
            </w:pPr>
          </w:p>
        </w:tc>
        <w:tc>
          <w:tcPr>
            <w:tcW w:w="1134" w:type="dxa"/>
            <w:vAlign w:val="center"/>
          </w:tcPr>
          <w:p w14:paraId="07AF1B63">
            <w:pPr>
              <w:pStyle w:val="9"/>
              <w:spacing w:after="0"/>
              <w:ind w:firstLine="420"/>
              <w:rPr>
                <w:rFonts w:ascii="仿宋_GB2312" w:eastAsia="仿宋_GB2312"/>
                <w:color w:val="auto"/>
                <w:sz w:val="21"/>
                <w:szCs w:val="21"/>
                <w:highlight w:val="none"/>
              </w:rPr>
            </w:pPr>
          </w:p>
        </w:tc>
        <w:tc>
          <w:tcPr>
            <w:tcW w:w="1134" w:type="dxa"/>
            <w:vAlign w:val="center"/>
          </w:tcPr>
          <w:p w14:paraId="63BA5272">
            <w:pPr>
              <w:pStyle w:val="9"/>
              <w:spacing w:after="0"/>
              <w:ind w:firstLine="420"/>
              <w:rPr>
                <w:rFonts w:ascii="仿宋_GB2312" w:eastAsia="仿宋_GB2312"/>
                <w:color w:val="auto"/>
                <w:sz w:val="21"/>
                <w:szCs w:val="21"/>
                <w:highlight w:val="none"/>
              </w:rPr>
            </w:pPr>
          </w:p>
        </w:tc>
        <w:tc>
          <w:tcPr>
            <w:tcW w:w="3896" w:type="dxa"/>
            <w:vAlign w:val="center"/>
          </w:tcPr>
          <w:p w14:paraId="7DF9C311">
            <w:pPr>
              <w:pStyle w:val="9"/>
              <w:spacing w:after="0"/>
              <w:ind w:firstLine="420"/>
              <w:rPr>
                <w:rFonts w:ascii="仿宋_GB2312" w:eastAsia="仿宋_GB2312"/>
                <w:color w:val="auto"/>
                <w:sz w:val="21"/>
                <w:szCs w:val="21"/>
                <w:highlight w:val="none"/>
              </w:rPr>
            </w:pPr>
          </w:p>
        </w:tc>
      </w:tr>
      <w:tr w14:paraId="01240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07332DAA">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技术负责人</w:t>
            </w:r>
          </w:p>
        </w:tc>
        <w:tc>
          <w:tcPr>
            <w:tcW w:w="1418" w:type="dxa"/>
            <w:vAlign w:val="center"/>
          </w:tcPr>
          <w:p w14:paraId="516B8C60">
            <w:pPr>
              <w:pStyle w:val="9"/>
              <w:spacing w:after="0"/>
              <w:ind w:firstLine="420"/>
              <w:rPr>
                <w:rFonts w:ascii="仿宋_GB2312" w:eastAsia="仿宋_GB2312"/>
                <w:color w:val="auto"/>
                <w:sz w:val="21"/>
                <w:szCs w:val="21"/>
                <w:highlight w:val="none"/>
              </w:rPr>
            </w:pPr>
          </w:p>
        </w:tc>
        <w:tc>
          <w:tcPr>
            <w:tcW w:w="1134" w:type="dxa"/>
            <w:vAlign w:val="center"/>
          </w:tcPr>
          <w:p w14:paraId="25F532DE">
            <w:pPr>
              <w:pStyle w:val="9"/>
              <w:spacing w:after="0"/>
              <w:ind w:firstLine="420"/>
              <w:rPr>
                <w:rFonts w:ascii="仿宋_GB2312" w:eastAsia="仿宋_GB2312"/>
                <w:color w:val="auto"/>
                <w:sz w:val="21"/>
                <w:szCs w:val="21"/>
                <w:highlight w:val="none"/>
              </w:rPr>
            </w:pPr>
          </w:p>
        </w:tc>
        <w:tc>
          <w:tcPr>
            <w:tcW w:w="1134" w:type="dxa"/>
            <w:vAlign w:val="center"/>
          </w:tcPr>
          <w:p w14:paraId="4AAD2904">
            <w:pPr>
              <w:pStyle w:val="9"/>
              <w:spacing w:after="0"/>
              <w:ind w:firstLine="420"/>
              <w:rPr>
                <w:rFonts w:ascii="仿宋_GB2312" w:eastAsia="仿宋_GB2312"/>
                <w:color w:val="auto"/>
                <w:sz w:val="21"/>
                <w:szCs w:val="21"/>
                <w:highlight w:val="none"/>
              </w:rPr>
            </w:pPr>
          </w:p>
        </w:tc>
        <w:tc>
          <w:tcPr>
            <w:tcW w:w="3896" w:type="dxa"/>
            <w:vAlign w:val="center"/>
          </w:tcPr>
          <w:p w14:paraId="700B6B65">
            <w:pPr>
              <w:pStyle w:val="9"/>
              <w:spacing w:after="0"/>
              <w:ind w:firstLine="420"/>
              <w:rPr>
                <w:rFonts w:ascii="仿宋_GB2312" w:eastAsia="仿宋_GB2312"/>
                <w:color w:val="auto"/>
                <w:sz w:val="21"/>
                <w:szCs w:val="21"/>
                <w:highlight w:val="none"/>
              </w:rPr>
            </w:pPr>
          </w:p>
        </w:tc>
      </w:tr>
      <w:tr w14:paraId="393D0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5E04B8F4">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造价管理</w:t>
            </w:r>
          </w:p>
        </w:tc>
        <w:tc>
          <w:tcPr>
            <w:tcW w:w="1418" w:type="dxa"/>
            <w:vAlign w:val="center"/>
          </w:tcPr>
          <w:p w14:paraId="763850A4">
            <w:pPr>
              <w:pStyle w:val="9"/>
              <w:spacing w:after="0"/>
              <w:ind w:firstLine="420"/>
              <w:rPr>
                <w:rFonts w:ascii="仿宋_GB2312" w:eastAsia="仿宋_GB2312"/>
                <w:color w:val="auto"/>
                <w:sz w:val="21"/>
                <w:szCs w:val="21"/>
                <w:highlight w:val="none"/>
              </w:rPr>
            </w:pPr>
          </w:p>
        </w:tc>
        <w:tc>
          <w:tcPr>
            <w:tcW w:w="1134" w:type="dxa"/>
            <w:vAlign w:val="center"/>
          </w:tcPr>
          <w:p w14:paraId="697A8D60">
            <w:pPr>
              <w:pStyle w:val="9"/>
              <w:spacing w:after="0"/>
              <w:ind w:firstLine="420"/>
              <w:rPr>
                <w:rFonts w:ascii="仿宋_GB2312" w:eastAsia="仿宋_GB2312"/>
                <w:color w:val="auto"/>
                <w:sz w:val="21"/>
                <w:szCs w:val="21"/>
                <w:highlight w:val="none"/>
              </w:rPr>
            </w:pPr>
          </w:p>
        </w:tc>
        <w:tc>
          <w:tcPr>
            <w:tcW w:w="1134" w:type="dxa"/>
            <w:vAlign w:val="center"/>
          </w:tcPr>
          <w:p w14:paraId="1D8E8800">
            <w:pPr>
              <w:pStyle w:val="9"/>
              <w:spacing w:after="0"/>
              <w:ind w:firstLine="420"/>
              <w:rPr>
                <w:rFonts w:ascii="仿宋_GB2312" w:eastAsia="仿宋_GB2312"/>
                <w:color w:val="auto"/>
                <w:sz w:val="21"/>
                <w:szCs w:val="21"/>
                <w:highlight w:val="none"/>
              </w:rPr>
            </w:pPr>
          </w:p>
        </w:tc>
        <w:tc>
          <w:tcPr>
            <w:tcW w:w="3896" w:type="dxa"/>
            <w:vAlign w:val="center"/>
          </w:tcPr>
          <w:p w14:paraId="00041F9A">
            <w:pPr>
              <w:pStyle w:val="9"/>
              <w:spacing w:after="0"/>
              <w:ind w:firstLine="420"/>
              <w:rPr>
                <w:rFonts w:ascii="仿宋_GB2312" w:eastAsia="仿宋_GB2312"/>
                <w:color w:val="auto"/>
                <w:sz w:val="21"/>
                <w:szCs w:val="21"/>
                <w:highlight w:val="none"/>
              </w:rPr>
            </w:pPr>
          </w:p>
        </w:tc>
      </w:tr>
      <w:tr w14:paraId="505AD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747DF1A6">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质量管理</w:t>
            </w:r>
          </w:p>
        </w:tc>
        <w:tc>
          <w:tcPr>
            <w:tcW w:w="1418" w:type="dxa"/>
            <w:vAlign w:val="center"/>
          </w:tcPr>
          <w:p w14:paraId="1EAC5E00">
            <w:pPr>
              <w:pStyle w:val="9"/>
              <w:spacing w:after="0"/>
              <w:ind w:firstLine="420"/>
              <w:rPr>
                <w:rFonts w:ascii="仿宋_GB2312" w:eastAsia="仿宋_GB2312"/>
                <w:color w:val="auto"/>
                <w:sz w:val="21"/>
                <w:szCs w:val="21"/>
                <w:highlight w:val="none"/>
              </w:rPr>
            </w:pPr>
          </w:p>
        </w:tc>
        <w:tc>
          <w:tcPr>
            <w:tcW w:w="1134" w:type="dxa"/>
            <w:vAlign w:val="center"/>
          </w:tcPr>
          <w:p w14:paraId="559EE0AB">
            <w:pPr>
              <w:pStyle w:val="9"/>
              <w:spacing w:after="0"/>
              <w:ind w:firstLine="420"/>
              <w:rPr>
                <w:rFonts w:ascii="仿宋_GB2312" w:eastAsia="仿宋_GB2312"/>
                <w:color w:val="auto"/>
                <w:sz w:val="21"/>
                <w:szCs w:val="21"/>
                <w:highlight w:val="none"/>
              </w:rPr>
            </w:pPr>
          </w:p>
        </w:tc>
        <w:tc>
          <w:tcPr>
            <w:tcW w:w="1134" w:type="dxa"/>
            <w:vAlign w:val="center"/>
          </w:tcPr>
          <w:p w14:paraId="4B1DE294">
            <w:pPr>
              <w:pStyle w:val="9"/>
              <w:spacing w:after="0"/>
              <w:ind w:firstLine="420"/>
              <w:rPr>
                <w:rFonts w:ascii="仿宋_GB2312" w:eastAsia="仿宋_GB2312"/>
                <w:color w:val="auto"/>
                <w:sz w:val="21"/>
                <w:szCs w:val="21"/>
                <w:highlight w:val="none"/>
              </w:rPr>
            </w:pPr>
          </w:p>
        </w:tc>
        <w:tc>
          <w:tcPr>
            <w:tcW w:w="3896" w:type="dxa"/>
            <w:vAlign w:val="center"/>
          </w:tcPr>
          <w:p w14:paraId="548A152A">
            <w:pPr>
              <w:pStyle w:val="9"/>
              <w:spacing w:after="0"/>
              <w:ind w:firstLine="420"/>
              <w:rPr>
                <w:rFonts w:ascii="仿宋_GB2312" w:eastAsia="仿宋_GB2312"/>
                <w:color w:val="auto"/>
                <w:sz w:val="21"/>
                <w:szCs w:val="21"/>
                <w:highlight w:val="none"/>
              </w:rPr>
            </w:pPr>
          </w:p>
        </w:tc>
      </w:tr>
      <w:tr w14:paraId="5DF9A2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4914B4B9">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计划管理</w:t>
            </w:r>
          </w:p>
        </w:tc>
        <w:tc>
          <w:tcPr>
            <w:tcW w:w="1418" w:type="dxa"/>
            <w:vAlign w:val="center"/>
          </w:tcPr>
          <w:p w14:paraId="3A65F9F8">
            <w:pPr>
              <w:pStyle w:val="9"/>
              <w:spacing w:after="0"/>
              <w:ind w:firstLine="420"/>
              <w:rPr>
                <w:rFonts w:ascii="仿宋_GB2312" w:eastAsia="仿宋_GB2312"/>
                <w:color w:val="auto"/>
                <w:sz w:val="21"/>
                <w:szCs w:val="21"/>
                <w:highlight w:val="none"/>
              </w:rPr>
            </w:pPr>
          </w:p>
        </w:tc>
        <w:tc>
          <w:tcPr>
            <w:tcW w:w="1134" w:type="dxa"/>
            <w:vAlign w:val="center"/>
          </w:tcPr>
          <w:p w14:paraId="753373FC">
            <w:pPr>
              <w:pStyle w:val="9"/>
              <w:spacing w:after="0"/>
              <w:ind w:firstLine="420"/>
              <w:rPr>
                <w:rFonts w:ascii="仿宋_GB2312" w:eastAsia="仿宋_GB2312"/>
                <w:color w:val="auto"/>
                <w:sz w:val="21"/>
                <w:szCs w:val="21"/>
                <w:highlight w:val="none"/>
              </w:rPr>
            </w:pPr>
          </w:p>
        </w:tc>
        <w:tc>
          <w:tcPr>
            <w:tcW w:w="1134" w:type="dxa"/>
            <w:vAlign w:val="center"/>
          </w:tcPr>
          <w:p w14:paraId="51F58308">
            <w:pPr>
              <w:pStyle w:val="9"/>
              <w:spacing w:after="0"/>
              <w:ind w:firstLine="420"/>
              <w:rPr>
                <w:rFonts w:ascii="仿宋_GB2312" w:eastAsia="仿宋_GB2312"/>
                <w:color w:val="auto"/>
                <w:sz w:val="21"/>
                <w:szCs w:val="21"/>
                <w:highlight w:val="none"/>
              </w:rPr>
            </w:pPr>
          </w:p>
        </w:tc>
        <w:tc>
          <w:tcPr>
            <w:tcW w:w="3896" w:type="dxa"/>
            <w:vAlign w:val="center"/>
          </w:tcPr>
          <w:p w14:paraId="52B0A6BE">
            <w:pPr>
              <w:pStyle w:val="9"/>
              <w:spacing w:after="0"/>
              <w:ind w:firstLine="420"/>
              <w:rPr>
                <w:rFonts w:ascii="仿宋_GB2312" w:eastAsia="仿宋_GB2312"/>
                <w:color w:val="auto"/>
                <w:sz w:val="21"/>
                <w:szCs w:val="21"/>
                <w:highlight w:val="none"/>
              </w:rPr>
            </w:pPr>
          </w:p>
        </w:tc>
      </w:tr>
      <w:tr w14:paraId="55EE5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4CEAAC77">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安全管理</w:t>
            </w:r>
          </w:p>
        </w:tc>
        <w:tc>
          <w:tcPr>
            <w:tcW w:w="1418" w:type="dxa"/>
            <w:vAlign w:val="center"/>
          </w:tcPr>
          <w:p w14:paraId="61E72E71">
            <w:pPr>
              <w:pStyle w:val="9"/>
              <w:spacing w:after="0"/>
              <w:ind w:firstLine="420"/>
              <w:rPr>
                <w:rFonts w:ascii="仿宋_GB2312" w:eastAsia="仿宋_GB2312"/>
                <w:color w:val="auto"/>
                <w:sz w:val="21"/>
                <w:szCs w:val="21"/>
                <w:highlight w:val="none"/>
              </w:rPr>
            </w:pPr>
          </w:p>
        </w:tc>
        <w:tc>
          <w:tcPr>
            <w:tcW w:w="1134" w:type="dxa"/>
            <w:vAlign w:val="center"/>
          </w:tcPr>
          <w:p w14:paraId="7CED7D63">
            <w:pPr>
              <w:pStyle w:val="9"/>
              <w:spacing w:after="0"/>
              <w:ind w:firstLine="420"/>
              <w:rPr>
                <w:rFonts w:ascii="仿宋_GB2312" w:eastAsia="仿宋_GB2312"/>
                <w:color w:val="auto"/>
                <w:sz w:val="21"/>
                <w:szCs w:val="21"/>
                <w:highlight w:val="none"/>
              </w:rPr>
            </w:pPr>
          </w:p>
        </w:tc>
        <w:tc>
          <w:tcPr>
            <w:tcW w:w="1134" w:type="dxa"/>
            <w:vAlign w:val="center"/>
          </w:tcPr>
          <w:p w14:paraId="3DF04516">
            <w:pPr>
              <w:pStyle w:val="9"/>
              <w:spacing w:after="0"/>
              <w:ind w:firstLine="420"/>
              <w:rPr>
                <w:rFonts w:ascii="仿宋_GB2312" w:eastAsia="仿宋_GB2312"/>
                <w:color w:val="auto"/>
                <w:sz w:val="21"/>
                <w:szCs w:val="21"/>
                <w:highlight w:val="none"/>
              </w:rPr>
            </w:pPr>
          </w:p>
        </w:tc>
        <w:tc>
          <w:tcPr>
            <w:tcW w:w="3896" w:type="dxa"/>
            <w:vAlign w:val="center"/>
          </w:tcPr>
          <w:p w14:paraId="45973C3A">
            <w:pPr>
              <w:pStyle w:val="9"/>
              <w:spacing w:after="0"/>
              <w:ind w:firstLine="420"/>
              <w:rPr>
                <w:rFonts w:ascii="仿宋_GB2312" w:eastAsia="仿宋_GB2312"/>
                <w:color w:val="auto"/>
                <w:sz w:val="21"/>
                <w:szCs w:val="21"/>
                <w:highlight w:val="none"/>
              </w:rPr>
            </w:pPr>
          </w:p>
        </w:tc>
      </w:tr>
      <w:tr w14:paraId="4B727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vAlign w:val="center"/>
          </w:tcPr>
          <w:p w14:paraId="32C2A33E">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环境管理</w:t>
            </w:r>
          </w:p>
        </w:tc>
        <w:tc>
          <w:tcPr>
            <w:tcW w:w="1418" w:type="dxa"/>
            <w:vAlign w:val="center"/>
          </w:tcPr>
          <w:p w14:paraId="6FFD445B">
            <w:pPr>
              <w:pStyle w:val="9"/>
              <w:spacing w:after="0"/>
              <w:ind w:firstLine="420"/>
              <w:rPr>
                <w:rFonts w:ascii="仿宋_GB2312" w:eastAsia="仿宋_GB2312"/>
                <w:color w:val="auto"/>
                <w:sz w:val="21"/>
                <w:szCs w:val="21"/>
                <w:highlight w:val="none"/>
              </w:rPr>
            </w:pPr>
          </w:p>
        </w:tc>
        <w:tc>
          <w:tcPr>
            <w:tcW w:w="1134" w:type="dxa"/>
            <w:vAlign w:val="center"/>
          </w:tcPr>
          <w:p w14:paraId="62345829">
            <w:pPr>
              <w:pStyle w:val="9"/>
              <w:spacing w:after="0"/>
              <w:ind w:firstLine="420"/>
              <w:rPr>
                <w:rFonts w:ascii="仿宋_GB2312" w:eastAsia="仿宋_GB2312"/>
                <w:color w:val="auto"/>
                <w:sz w:val="21"/>
                <w:szCs w:val="21"/>
                <w:highlight w:val="none"/>
              </w:rPr>
            </w:pPr>
          </w:p>
        </w:tc>
        <w:tc>
          <w:tcPr>
            <w:tcW w:w="1134" w:type="dxa"/>
            <w:vAlign w:val="center"/>
          </w:tcPr>
          <w:p w14:paraId="0D26F58A">
            <w:pPr>
              <w:pStyle w:val="9"/>
              <w:spacing w:after="0"/>
              <w:ind w:firstLine="420"/>
              <w:rPr>
                <w:rFonts w:ascii="仿宋_GB2312" w:eastAsia="仿宋_GB2312"/>
                <w:color w:val="auto"/>
                <w:sz w:val="21"/>
                <w:szCs w:val="21"/>
                <w:highlight w:val="none"/>
              </w:rPr>
            </w:pPr>
          </w:p>
        </w:tc>
        <w:tc>
          <w:tcPr>
            <w:tcW w:w="3896" w:type="dxa"/>
            <w:vAlign w:val="center"/>
          </w:tcPr>
          <w:p w14:paraId="2AA65E0A">
            <w:pPr>
              <w:pStyle w:val="9"/>
              <w:spacing w:after="0"/>
              <w:ind w:firstLine="420"/>
              <w:rPr>
                <w:rFonts w:ascii="仿宋_GB2312" w:eastAsia="仿宋_GB2312"/>
                <w:color w:val="auto"/>
                <w:sz w:val="21"/>
                <w:szCs w:val="21"/>
                <w:highlight w:val="none"/>
              </w:rPr>
            </w:pPr>
          </w:p>
        </w:tc>
      </w:tr>
      <w:tr w14:paraId="6FA3E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vAlign w:val="center"/>
          </w:tcPr>
          <w:p w14:paraId="00E1EA08">
            <w:pPr>
              <w:pStyle w:val="9"/>
              <w:spacing w:after="0"/>
              <w:jc w:val="center"/>
              <w:rPr>
                <w:rFonts w:ascii="仿宋_GB2312" w:eastAsia="仿宋_GB2312"/>
                <w:color w:val="auto"/>
                <w:sz w:val="21"/>
                <w:szCs w:val="21"/>
                <w:highlight w:val="none"/>
              </w:rPr>
            </w:pPr>
            <w:r>
              <w:rPr>
                <w:rFonts w:hint="eastAsia" w:ascii="仿宋_GB2312" w:eastAsia="仿宋_GB2312"/>
                <w:color w:val="auto"/>
                <w:sz w:val="21"/>
                <w:szCs w:val="21"/>
                <w:highlight w:val="none"/>
              </w:rPr>
              <w:t>其他人员</w:t>
            </w:r>
          </w:p>
        </w:tc>
        <w:tc>
          <w:tcPr>
            <w:tcW w:w="1418" w:type="dxa"/>
            <w:vAlign w:val="center"/>
          </w:tcPr>
          <w:p w14:paraId="75DBEC46">
            <w:pPr>
              <w:pStyle w:val="9"/>
              <w:spacing w:after="0"/>
              <w:ind w:firstLine="420"/>
              <w:rPr>
                <w:rFonts w:ascii="仿宋_GB2312" w:eastAsia="仿宋_GB2312"/>
                <w:color w:val="auto"/>
                <w:sz w:val="21"/>
                <w:szCs w:val="21"/>
                <w:highlight w:val="none"/>
              </w:rPr>
            </w:pPr>
          </w:p>
        </w:tc>
        <w:tc>
          <w:tcPr>
            <w:tcW w:w="1134" w:type="dxa"/>
            <w:vAlign w:val="center"/>
          </w:tcPr>
          <w:p w14:paraId="1104428E">
            <w:pPr>
              <w:pStyle w:val="9"/>
              <w:spacing w:after="0"/>
              <w:ind w:firstLine="420"/>
              <w:rPr>
                <w:rFonts w:ascii="仿宋_GB2312" w:eastAsia="仿宋_GB2312"/>
                <w:color w:val="auto"/>
                <w:sz w:val="21"/>
                <w:szCs w:val="21"/>
                <w:highlight w:val="none"/>
              </w:rPr>
            </w:pPr>
          </w:p>
        </w:tc>
        <w:tc>
          <w:tcPr>
            <w:tcW w:w="1134" w:type="dxa"/>
            <w:vAlign w:val="center"/>
          </w:tcPr>
          <w:p w14:paraId="6B79E9AC">
            <w:pPr>
              <w:pStyle w:val="9"/>
              <w:spacing w:after="0"/>
              <w:ind w:firstLine="420"/>
              <w:rPr>
                <w:rFonts w:ascii="仿宋_GB2312" w:eastAsia="仿宋_GB2312"/>
                <w:color w:val="auto"/>
                <w:sz w:val="21"/>
                <w:szCs w:val="21"/>
                <w:highlight w:val="none"/>
              </w:rPr>
            </w:pPr>
          </w:p>
        </w:tc>
        <w:tc>
          <w:tcPr>
            <w:tcW w:w="3896" w:type="dxa"/>
            <w:vAlign w:val="center"/>
          </w:tcPr>
          <w:p w14:paraId="3F064C24">
            <w:pPr>
              <w:pStyle w:val="9"/>
              <w:spacing w:after="0"/>
              <w:ind w:firstLine="420"/>
              <w:rPr>
                <w:rFonts w:ascii="仿宋_GB2312" w:eastAsia="仿宋_GB2312"/>
                <w:color w:val="auto"/>
                <w:sz w:val="21"/>
                <w:szCs w:val="21"/>
                <w:highlight w:val="none"/>
              </w:rPr>
            </w:pPr>
          </w:p>
        </w:tc>
      </w:tr>
      <w:tr w14:paraId="1EA27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vAlign w:val="center"/>
          </w:tcPr>
          <w:p w14:paraId="7DE9A5D4">
            <w:pPr>
              <w:pStyle w:val="9"/>
              <w:spacing w:after="0"/>
              <w:ind w:firstLine="420"/>
              <w:rPr>
                <w:rFonts w:ascii="仿宋_GB2312" w:eastAsia="仿宋_GB2312"/>
                <w:color w:val="auto"/>
                <w:sz w:val="21"/>
                <w:szCs w:val="21"/>
                <w:highlight w:val="none"/>
              </w:rPr>
            </w:pPr>
          </w:p>
        </w:tc>
        <w:tc>
          <w:tcPr>
            <w:tcW w:w="1418" w:type="dxa"/>
            <w:tcBorders>
              <w:bottom w:val="nil"/>
            </w:tcBorders>
            <w:vAlign w:val="center"/>
          </w:tcPr>
          <w:p w14:paraId="078BC49C">
            <w:pPr>
              <w:pStyle w:val="9"/>
              <w:spacing w:after="0"/>
              <w:ind w:firstLine="420"/>
              <w:rPr>
                <w:rFonts w:ascii="仿宋_GB2312" w:eastAsia="仿宋_GB2312"/>
                <w:color w:val="auto"/>
                <w:sz w:val="21"/>
                <w:szCs w:val="21"/>
                <w:highlight w:val="none"/>
              </w:rPr>
            </w:pPr>
          </w:p>
        </w:tc>
        <w:tc>
          <w:tcPr>
            <w:tcW w:w="1134" w:type="dxa"/>
            <w:tcBorders>
              <w:bottom w:val="nil"/>
            </w:tcBorders>
            <w:vAlign w:val="center"/>
          </w:tcPr>
          <w:p w14:paraId="18023B43">
            <w:pPr>
              <w:pStyle w:val="9"/>
              <w:spacing w:after="0"/>
              <w:ind w:firstLine="420"/>
              <w:rPr>
                <w:rFonts w:ascii="仿宋_GB2312" w:eastAsia="仿宋_GB2312"/>
                <w:color w:val="auto"/>
                <w:sz w:val="21"/>
                <w:szCs w:val="21"/>
                <w:highlight w:val="none"/>
              </w:rPr>
            </w:pPr>
          </w:p>
        </w:tc>
        <w:tc>
          <w:tcPr>
            <w:tcW w:w="1134" w:type="dxa"/>
            <w:tcBorders>
              <w:bottom w:val="nil"/>
            </w:tcBorders>
            <w:vAlign w:val="center"/>
          </w:tcPr>
          <w:p w14:paraId="28A841B9">
            <w:pPr>
              <w:pStyle w:val="9"/>
              <w:spacing w:after="0"/>
              <w:ind w:firstLine="420"/>
              <w:rPr>
                <w:rFonts w:ascii="仿宋_GB2312" w:eastAsia="仿宋_GB2312"/>
                <w:color w:val="auto"/>
                <w:sz w:val="21"/>
                <w:szCs w:val="21"/>
                <w:highlight w:val="none"/>
              </w:rPr>
            </w:pPr>
          </w:p>
        </w:tc>
        <w:tc>
          <w:tcPr>
            <w:tcW w:w="3896" w:type="dxa"/>
            <w:tcBorders>
              <w:bottom w:val="nil"/>
            </w:tcBorders>
            <w:vAlign w:val="center"/>
          </w:tcPr>
          <w:p w14:paraId="59EE1B84">
            <w:pPr>
              <w:pStyle w:val="9"/>
              <w:spacing w:after="0"/>
              <w:ind w:firstLine="420"/>
              <w:rPr>
                <w:rFonts w:ascii="仿宋_GB2312" w:eastAsia="仿宋_GB2312"/>
                <w:color w:val="auto"/>
                <w:sz w:val="21"/>
                <w:szCs w:val="21"/>
                <w:highlight w:val="none"/>
              </w:rPr>
            </w:pPr>
          </w:p>
        </w:tc>
      </w:tr>
      <w:tr w14:paraId="5686B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vAlign w:val="center"/>
          </w:tcPr>
          <w:p w14:paraId="58E7CC41">
            <w:pPr>
              <w:pStyle w:val="9"/>
              <w:spacing w:after="0"/>
              <w:ind w:firstLine="420"/>
              <w:rPr>
                <w:rFonts w:ascii="仿宋_GB2312" w:eastAsia="仿宋_GB2312"/>
                <w:color w:val="auto"/>
                <w:sz w:val="21"/>
                <w:szCs w:val="21"/>
                <w:highlight w:val="none"/>
              </w:rPr>
            </w:pPr>
          </w:p>
        </w:tc>
        <w:tc>
          <w:tcPr>
            <w:tcW w:w="1418" w:type="dxa"/>
            <w:vAlign w:val="center"/>
          </w:tcPr>
          <w:p w14:paraId="4F93B447">
            <w:pPr>
              <w:pStyle w:val="9"/>
              <w:spacing w:after="0"/>
              <w:ind w:firstLine="420"/>
              <w:rPr>
                <w:rFonts w:ascii="仿宋_GB2312" w:eastAsia="仿宋_GB2312"/>
                <w:color w:val="auto"/>
                <w:sz w:val="21"/>
                <w:szCs w:val="21"/>
                <w:highlight w:val="none"/>
              </w:rPr>
            </w:pPr>
          </w:p>
        </w:tc>
        <w:tc>
          <w:tcPr>
            <w:tcW w:w="1134" w:type="dxa"/>
            <w:vAlign w:val="center"/>
          </w:tcPr>
          <w:p w14:paraId="7077D963">
            <w:pPr>
              <w:pStyle w:val="9"/>
              <w:spacing w:after="0"/>
              <w:ind w:firstLine="420"/>
              <w:rPr>
                <w:rFonts w:ascii="仿宋_GB2312" w:eastAsia="仿宋_GB2312"/>
                <w:color w:val="auto"/>
                <w:sz w:val="21"/>
                <w:szCs w:val="21"/>
                <w:highlight w:val="none"/>
              </w:rPr>
            </w:pPr>
          </w:p>
        </w:tc>
        <w:tc>
          <w:tcPr>
            <w:tcW w:w="1134" w:type="dxa"/>
            <w:vAlign w:val="center"/>
          </w:tcPr>
          <w:p w14:paraId="40DBA3C0">
            <w:pPr>
              <w:pStyle w:val="9"/>
              <w:spacing w:after="0"/>
              <w:ind w:firstLine="420"/>
              <w:rPr>
                <w:rFonts w:ascii="仿宋_GB2312" w:eastAsia="仿宋_GB2312"/>
                <w:color w:val="auto"/>
                <w:sz w:val="21"/>
                <w:szCs w:val="21"/>
                <w:highlight w:val="none"/>
              </w:rPr>
            </w:pPr>
          </w:p>
        </w:tc>
        <w:tc>
          <w:tcPr>
            <w:tcW w:w="3896" w:type="dxa"/>
            <w:vAlign w:val="center"/>
          </w:tcPr>
          <w:p w14:paraId="4525CF19">
            <w:pPr>
              <w:pStyle w:val="9"/>
              <w:spacing w:after="0"/>
              <w:ind w:firstLine="420"/>
              <w:rPr>
                <w:rFonts w:ascii="仿宋_GB2312" w:eastAsia="仿宋_GB2312"/>
                <w:color w:val="auto"/>
                <w:sz w:val="21"/>
                <w:szCs w:val="21"/>
                <w:highlight w:val="none"/>
              </w:rPr>
            </w:pPr>
          </w:p>
        </w:tc>
      </w:tr>
      <w:tr w14:paraId="5BA994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vAlign w:val="center"/>
          </w:tcPr>
          <w:p w14:paraId="0A1F275F">
            <w:pPr>
              <w:pStyle w:val="9"/>
              <w:spacing w:after="0"/>
              <w:ind w:firstLine="420"/>
              <w:rPr>
                <w:rFonts w:ascii="仿宋_GB2312" w:eastAsia="仿宋_GB2312"/>
                <w:color w:val="auto"/>
                <w:sz w:val="21"/>
                <w:szCs w:val="21"/>
                <w:highlight w:val="none"/>
              </w:rPr>
            </w:pPr>
          </w:p>
        </w:tc>
        <w:tc>
          <w:tcPr>
            <w:tcW w:w="1418" w:type="dxa"/>
            <w:vAlign w:val="center"/>
          </w:tcPr>
          <w:p w14:paraId="68361045">
            <w:pPr>
              <w:pStyle w:val="9"/>
              <w:spacing w:after="0"/>
              <w:ind w:firstLine="420"/>
              <w:rPr>
                <w:rFonts w:ascii="仿宋_GB2312" w:eastAsia="仿宋_GB2312"/>
                <w:color w:val="auto"/>
                <w:sz w:val="21"/>
                <w:szCs w:val="21"/>
                <w:highlight w:val="none"/>
              </w:rPr>
            </w:pPr>
          </w:p>
        </w:tc>
        <w:tc>
          <w:tcPr>
            <w:tcW w:w="1134" w:type="dxa"/>
            <w:vAlign w:val="center"/>
          </w:tcPr>
          <w:p w14:paraId="7D1B2012">
            <w:pPr>
              <w:pStyle w:val="9"/>
              <w:spacing w:after="0"/>
              <w:ind w:firstLine="420"/>
              <w:rPr>
                <w:rFonts w:ascii="仿宋_GB2312" w:eastAsia="仿宋_GB2312"/>
                <w:color w:val="auto"/>
                <w:sz w:val="21"/>
                <w:szCs w:val="21"/>
                <w:highlight w:val="none"/>
              </w:rPr>
            </w:pPr>
          </w:p>
        </w:tc>
        <w:tc>
          <w:tcPr>
            <w:tcW w:w="1134" w:type="dxa"/>
            <w:vAlign w:val="center"/>
          </w:tcPr>
          <w:p w14:paraId="14AA6028">
            <w:pPr>
              <w:pStyle w:val="9"/>
              <w:spacing w:after="0"/>
              <w:ind w:firstLine="420"/>
              <w:rPr>
                <w:rFonts w:ascii="仿宋_GB2312" w:eastAsia="仿宋_GB2312"/>
                <w:color w:val="auto"/>
                <w:sz w:val="21"/>
                <w:szCs w:val="21"/>
                <w:highlight w:val="none"/>
              </w:rPr>
            </w:pPr>
          </w:p>
        </w:tc>
        <w:tc>
          <w:tcPr>
            <w:tcW w:w="3896" w:type="dxa"/>
            <w:vAlign w:val="center"/>
          </w:tcPr>
          <w:p w14:paraId="67379DB2">
            <w:pPr>
              <w:pStyle w:val="9"/>
              <w:spacing w:after="0"/>
              <w:ind w:firstLine="420"/>
              <w:rPr>
                <w:rFonts w:ascii="仿宋_GB2312" w:eastAsia="仿宋_GB2312"/>
                <w:color w:val="auto"/>
                <w:sz w:val="21"/>
                <w:szCs w:val="21"/>
                <w:highlight w:val="none"/>
              </w:rPr>
            </w:pPr>
          </w:p>
        </w:tc>
      </w:tr>
      <w:tr w14:paraId="081B25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vAlign w:val="center"/>
          </w:tcPr>
          <w:p w14:paraId="13A83164">
            <w:pPr>
              <w:pStyle w:val="9"/>
              <w:spacing w:after="0"/>
              <w:ind w:firstLine="420"/>
              <w:rPr>
                <w:rFonts w:ascii="仿宋_GB2312" w:eastAsia="仿宋_GB2312"/>
                <w:color w:val="auto"/>
                <w:sz w:val="21"/>
                <w:szCs w:val="21"/>
                <w:highlight w:val="none"/>
              </w:rPr>
            </w:pPr>
          </w:p>
        </w:tc>
        <w:tc>
          <w:tcPr>
            <w:tcW w:w="1418" w:type="dxa"/>
            <w:vAlign w:val="center"/>
          </w:tcPr>
          <w:p w14:paraId="367B8546">
            <w:pPr>
              <w:pStyle w:val="9"/>
              <w:spacing w:after="0"/>
              <w:ind w:firstLine="420"/>
              <w:rPr>
                <w:rFonts w:ascii="仿宋_GB2312" w:eastAsia="仿宋_GB2312"/>
                <w:color w:val="auto"/>
                <w:sz w:val="21"/>
                <w:szCs w:val="21"/>
                <w:highlight w:val="none"/>
              </w:rPr>
            </w:pPr>
          </w:p>
        </w:tc>
        <w:tc>
          <w:tcPr>
            <w:tcW w:w="1134" w:type="dxa"/>
            <w:vAlign w:val="center"/>
          </w:tcPr>
          <w:p w14:paraId="3BB48DE5">
            <w:pPr>
              <w:pStyle w:val="9"/>
              <w:spacing w:after="0"/>
              <w:ind w:firstLine="420"/>
              <w:rPr>
                <w:rFonts w:ascii="仿宋_GB2312" w:eastAsia="仿宋_GB2312"/>
                <w:color w:val="auto"/>
                <w:sz w:val="21"/>
                <w:szCs w:val="21"/>
                <w:highlight w:val="none"/>
              </w:rPr>
            </w:pPr>
          </w:p>
        </w:tc>
        <w:tc>
          <w:tcPr>
            <w:tcW w:w="1134" w:type="dxa"/>
            <w:vAlign w:val="center"/>
          </w:tcPr>
          <w:p w14:paraId="18B45E44">
            <w:pPr>
              <w:pStyle w:val="9"/>
              <w:spacing w:after="0"/>
              <w:ind w:firstLine="420"/>
              <w:rPr>
                <w:rFonts w:ascii="仿宋_GB2312" w:eastAsia="仿宋_GB2312"/>
                <w:color w:val="auto"/>
                <w:sz w:val="21"/>
                <w:szCs w:val="21"/>
                <w:highlight w:val="none"/>
              </w:rPr>
            </w:pPr>
          </w:p>
        </w:tc>
        <w:tc>
          <w:tcPr>
            <w:tcW w:w="3896" w:type="dxa"/>
            <w:vAlign w:val="center"/>
          </w:tcPr>
          <w:p w14:paraId="5A910289">
            <w:pPr>
              <w:pStyle w:val="9"/>
              <w:spacing w:after="0"/>
              <w:ind w:firstLine="420"/>
              <w:rPr>
                <w:rFonts w:ascii="仿宋_GB2312" w:eastAsia="仿宋_GB2312"/>
                <w:color w:val="auto"/>
                <w:sz w:val="21"/>
                <w:szCs w:val="21"/>
                <w:highlight w:val="none"/>
              </w:rPr>
            </w:pPr>
          </w:p>
        </w:tc>
      </w:tr>
    </w:tbl>
    <w:p w14:paraId="147D5025">
      <w:pPr>
        <w:rPr>
          <w:color w:val="auto"/>
          <w:highlight w:val="none"/>
        </w:rPr>
      </w:pPr>
      <w:r>
        <w:rPr>
          <w:color w:val="auto"/>
          <w:highlight w:val="none"/>
        </w:rPr>
        <w:br w:type="page"/>
      </w:r>
    </w:p>
    <w:p w14:paraId="267869D1">
      <w:pPr>
        <w:pStyle w:val="41"/>
        <w:numPr>
          <w:ilvl w:val="0"/>
          <w:numId w:val="0"/>
        </w:numPr>
        <w:rPr>
          <w:rFonts w:hint="eastAsia"/>
          <w:color w:val="auto"/>
          <w:highlight w:val="none"/>
        </w:rPr>
      </w:pPr>
      <w:bookmarkStart w:id="188" w:name="_Toc54862357"/>
      <w:r>
        <w:rPr>
          <w:rFonts w:hint="eastAsia"/>
          <w:color w:val="auto"/>
          <w:highlight w:val="none"/>
        </w:rPr>
        <w:t>附件6</w:t>
      </w:r>
      <w:r>
        <w:rPr>
          <w:color w:val="auto"/>
          <w:highlight w:val="none"/>
        </w:rPr>
        <w:t xml:space="preserve"> </w:t>
      </w:r>
      <w:r>
        <w:rPr>
          <w:rFonts w:hint="eastAsia"/>
          <w:color w:val="auto"/>
          <w:highlight w:val="none"/>
        </w:rPr>
        <w:t>价格指数权重表</w:t>
      </w:r>
      <w:bookmarkEnd w:id="188"/>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84"/>
        <w:gridCol w:w="876"/>
        <w:gridCol w:w="1215"/>
        <w:gridCol w:w="1080"/>
        <w:gridCol w:w="1215"/>
        <w:gridCol w:w="1230"/>
        <w:gridCol w:w="1380"/>
      </w:tblGrid>
      <w:tr w14:paraId="7A28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29" w:type="dxa"/>
            <w:vMerge w:val="restart"/>
          </w:tcPr>
          <w:p w14:paraId="7480509D">
            <w:pPr>
              <w:rPr>
                <w:rFonts w:ascii="仿宋_GB2312" w:eastAsia="仿宋_GB2312"/>
                <w:color w:val="auto"/>
                <w:highlight w:val="none"/>
              </w:rPr>
            </w:pPr>
            <w:r>
              <w:rPr>
                <w:rFonts w:hint="eastAsia"/>
                <w:color w:val="auto"/>
                <w:highlight w:val="none"/>
              </w:rPr>
              <w:t>序号</w:t>
            </w:r>
          </w:p>
        </w:tc>
        <w:tc>
          <w:tcPr>
            <w:tcW w:w="1460" w:type="dxa"/>
            <w:gridSpan w:val="2"/>
            <w:vMerge w:val="restart"/>
          </w:tcPr>
          <w:p w14:paraId="79A18121">
            <w:pPr>
              <w:rPr>
                <w:rFonts w:ascii="仿宋_GB2312" w:eastAsia="仿宋_GB2312"/>
                <w:color w:val="auto"/>
                <w:highlight w:val="none"/>
              </w:rPr>
            </w:pPr>
            <w:r>
              <w:rPr>
                <w:rFonts w:hint="eastAsia"/>
                <w:color w:val="auto"/>
                <w:highlight w:val="none"/>
              </w:rPr>
              <w:t>名称</w:t>
            </w:r>
          </w:p>
        </w:tc>
        <w:tc>
          <w:tcPr>
            <w:tcW w:w="2295" w:type="dxa"/>
            <w:gridSpan w:val="2"/>
          </w:tcPr>
          <w:p w14:paraId="43E3D6FC">
            <w:pPr>
              <w:rPr>
                <w:rFonts w:ascii="仿宋_GB2312" w:eastAsia="仿宋_GB2312"/>
                <w:color w:val="auto"/>
                <w:highlight w:val="none"/>
              </w:rPr>
            </w:pPr>
            <w:r>
              <w:rPr>
                <w:rFonts w:hint="eastAsia"/>
                <w:color w:val="auto"/>
                <w:highlight w:val="none"/>
              </w:rPr>
              <w:t>变更权重B</w:t>
            </w:r>
          </w:p>
        </w:tc>
        <w:tc>
          <w:tcPr>
            <w:tcW w:w="2445" w:type="dxa"/>
            <w:gridSpan w:val="2"/>
          </w:tcPr>
          <w:p w14:paraId="16BB4F1A">
            <w:pPr>
              <w:rPr>
                <w:rFonts w:ascii="仿宋_GB2312" w:eastAsia="仿宋_GB2312"/>
                <w:color w:val="auto"/>
                <w:highlight w:val="none"/>
              </w:rPr>
            </w:pPr>
            <w:r>
              <w:rPr>
                <w:rFonts w:hint="eastAsia"/>
                <w:color w:val="auto"/>
                <w:highlight w:val="none"/>
              </w:rPr>
              <w:t>基本价格指数F0</w:t>
            </w:r>
          </w:p>
        </w:tc>
        <w:tc>
          <w:tcPr>
            <w:tcW w:w="1380" w:type="dxa"/>
          </w:tcPr>
          <w:p w14:paraId="2AD64BD9">
            <w:pPr>
              <w:rPr>
                <w:rFonts w:ascii="仿宋_GB2312" w:eastAsia="仿宋_GB2312"/>
                <w:color w:val="auto"/>
                <w:highlight w:val="none"/>
              </w:rPr>
            </w:pPr>
            <w:r>
              <w:rPr>
                <w:rFonts w:hint="eastAsia"/>
                <w:color w:val="auto"/>
                <w:highlight w:val="none"/>
              </w:rPr>
              <w:t>备注</w:t>
            </w:r>
          </w:p>
        </w:tc>
      </w:tr>
      <w:tr w14:paraId="683E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9" w:type="dxa"/>
            <w:vMerge w:val="continue"/>
          </w:tcPr>
          <w:p w14:paraId="00F0FB49">
            <w:pPr>
              <w:rPr>
                <w:rFonts w:ascii="仿宋_GB2312" w:eastAsia="仿宋_GB2312"/>
                <w:color w:val="auto"/>
                <w:highlight w:val="none"/>
              </w:rPr>
            </w:pPr>
          </w:p>
        </w:tc>
        <w:tc>
          <w:tcPr>
            <w:tcW w:w="1460" w:type="dxa"/>
            <w:gridSpan w:val="2"/>
            <w:vMerge w:val="continue"/>
          </w:tcPr>
          <w:p w14:paraId="37E4C702">
            <w:pPr>
              <w:rPr>
                <w:rFonts w:ascii="仿宋_GB2312" w:eastAsia="仿宋_GB2312"/>
                <w:color w:val="auto"/>
                <w:highlight w:val="none"/>
              </w:rPr>
            </w:pPr>
          </w:p>
        </w:tc>
        <w:tc>
          <w:tcPr>
            <w:tcW w:w="1215" w:type="dxa"/>
          </w:tcPr>
          <w:p w14:paraId="5EB36700">
            <w:pPr>
              <w:rPr>
                <w:rFonts w:ascii="仿宋_GB2312" w:eastAsia="仿宋_GB2312"/>
                <w:color w:val="auto"/>
                <w:highlight w:val="none"/>
              </w:rPr>
            </w:pPr>
            <w:r>
              <w:rPr>
                <w:rFonts w:hint="eastAsia"/>
                <w:color w:val="auto"/>
                <w:highlight w:val="none"/>
              </w:rPr>
              <w:t>代号</w:t>
            </w:r>
          </w:p>
        </w:tc>
        <w:tc>
          <w:tcPr>
            <w:tcW w:w="1080" w:type="dxa"/>
          </w:tcPr>
          <w:p w14:paraId="2383570C">
            <w:pPr>
              <w:rPr>
                <w:rFonts w:ascii="仿宋_GB2312" w:eastAsia="仿宋_GB2312"/>
                <w:color w:val="auto"/>
                <w:highlight w:val="none"/>
              </w:rPr>
            </w:pPr>
            <w:r>
              <w:rPr>
                <w:rFonts w:hint="eastAsia"/>
                <w:color w:val="auto"/>
                <w:highlight w:val="none"/>
              </w:rPr>
              <w:t>权重</w:t>
            </w:r>
          </w:p>
        </w:tc>
        <w:tc>
          <w:tcPr>
            <w:tcW w:w="1215" w:type="dxa"/>
          </w:tcPr>
          <w:p w14:paraId="00AF3E5B">
            <w:pPr>
              <w:rPr>
                <w:rFonts w:ascii="仿宋_GB2312" w:eastAsia="仿宋_GB2312"/>
                <w:color w:val="auto"/>
                <w:highlight w:val="none"/>
              </w:rPr>
            </w:pPr>
            <w:r>
              <w:rPr>
                <w:rFonts w:hint="eastAsia"/>
                <w:color w:val="auto"/>
                <w:highlight w:val="none"/>
              </w:rPr>
              <w:t>代号</w:t>
            </w:r>
          </w:p>
        </w:tc>
        <w:tc>
          <w:tcPr>
            <w:tcW w:w="1230" w:type="dxa"/>
          </w:tcPr>
          <w:p w14:paraId="5DF7D81D">
            <w:pPr>
              <w:rPr>
                <w:rFonts w:ascii="仿宋_GB2312" w:eastAsia="仿宋_GB2312"/>
                <w:color w:val="auto"/>
                <w:highlight w:val="none"/>
              </w:rPr>
            </w:pPr>
            <w:r>
              <w:rPr>
                <w:rFonts w:hint="eastAsia"/>
                <w:color w:val="auto"/>
                <w:highlight w:val="none"/>
              </w:rPr>
              <w:t>指数</w:t>
            </w:r>
          </w:p>
        </w:tc>
        <w:tc>
          <w:tcPr>
            <w:tcW w:w="1380" w:type="dxa"/>
          </w:tcPr>
          <w:p w14:paraId="082AAD14">
            <w:pPr>
              <w:rPr>
                <w:rFonts w:ascii="仿宋_GB2312" w:eastAsia="仿宋_GB2312"/>
                <w:color w:val="auto"/>
                <w:highlight w:val="none"/>
              </w:rPr>
            </w:pPr>
          </w:p>
        </w:tc>
      </w:tr>
      <w:tr w14:paraId="0B71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405BE287">
            <w:pPr>
              <w:rPr>
                <w:rFonts w:ascii="仿宋_GB2312" w:eastAsia="仿宋_GB2312"/>
                <w:color w:val="auto"/>
                <w:highlight w:val="none"/>
              </w:rPr>
            </w:pPr>
          </w:p>
        </w:tc>
        <w:tc>
          <w:tcPr>
            <w:tcW w:w="584" w:type="dxa"/>
            <w:vMerge w:val="restart"/>
          </w:tcPr>
          <w:p w14:paraId="200E200C">
            <w:pPr>
              <w:rPr>
                <w:color w:val="auto"/>
                <w:highlight w:val="none"/>
              </w:rPr>
            </w:pPr>
            <w:r>
              <w:rPr>
                <w:rFonts w:hint="eastAsia"/>
                <w:color w:val="auto"/>
                <w:highlight w:val="none"/>
              </w:rPr>
              <w:t>变</w:t>
            </w:r>
          </w:p>
          <w:p w14:paraId="58F03F61">
            <w:pPr>
              <w:rPr>
                <w:color w:val="auto"/>
                <w:highlight w:val="none"/>
              </w:rPr>
            </w:pPr>
            <w:r>
              <w:rPr>
                <w:rFonts w:hint="eastAsia"/>
                <w:color w:val="auto"/>
                <w:highlight w:val="none"/>
              </w:rPr>
              <w:t>值</w:t>
            </w:r>
          </w:p>
          <w:p w14:paraId="13BC4FF9">
            <w:pPr>
              <w:rPr>
                <w:color w:val="auto"/>
                <w:highlight w:val="none"/>
              </w:rPr>
            </w:pPr>
            <w:r>
              <w:rPr>
                <w:rFonts w:hint="eastAsia"/>
                <w:color w:val="auto"/>
                <w:highlight w:val="none"/>
              </w:rPr>
              <w:t>部</w:t>
            </w:r>
          </w:p>
          <w:p w14:paraId="3A54ADDE">
            <w:pPr>
              <w:rPr>
                <w:rFonts w:ascii="仿宋_GB2312" w:eastAsia="仿宋_GB2312"/>
                <w:color w:val="auto"/>
                <w:highlight w:val="none"/>
              </w:rPr>
            </w:pPr>
            <w:r>
              <w:rPr>
                <w:rFonts w:hint="eastAsia"/>
                <w:color w:val="auto"/>
                <w:highlight w:val="none"/>
              </w:rPr>
              <w:t>分</w:t>
            </w:r>
          </w:p>
        </w:tc>
        <w:tc>
          <w:tcPr>
            <w:tcW w:w="876" w:type="dxa"/>
          </w:tcPr>
          <w:p w14:paraId="5D9EF025">
            <w:pPr>
              <w:rPr>
                <w:rFonts w:ascii="仿宋_GB2312" w:eastAsia="仿宋_GB2312"/>
                <w:color w:val="auto"/>
                <w:highlight w:val="none"/>
              </w:rPr>
            </w:pPr>
          </w:p>
        </w:tc>
        <w:tc>
          <w:tcPr>
            <w:tcW w:w="1215" w:type="dxa"/>
          </w:tcPr>
          <w:p w14:paraId="356F94C2">
            <w:pPr>
              <w:rPr>
                <w:rFonts w:ascii="仿宋_GB2312" w:eastAsia="仿宋_GB2312"/>
                <w:color w:val="auto"/>
                <w:highlight w:val="none"/>
              </w:rPr>
            </w:pPr>
            <w:r>
              <w:rPr>
                <w:rFonts w:hint="eastAsia"/>
                <w:color w:val="auto"/>
                <w:highlight w:val="none"/>
              </w:rPr>
              <w:t>B1</w:t>
            </w:r>
          </w:p>
        </w:tc>
        <w:tc>
          <w:tcPr>
            <w:tcW w:w="1080" w:type="dxa"/>
          </w:tcPr>
          <w:p w14:paraId="14AA9DBD">
            <w:pPr>
              <w:rPr>
                <w:rFonts w:ascii="仿宋_GB2312" w:eastAsia="仿宋_GB2312"/>
                <w:color w:val="auto"/>
                <w:highlight w:val="none"/>
              </w:rPr>
            </w:pPr>
          </w:p>
        </w:tc>
        <w:tc>
          <w:tcPr>
            <w:tcW w:w="1215" w:type="dxa"/>
          </w:tcPr>
          <w:p w14:paraId="7072052B">
            <w:pPr>
              <w:rPr>
                <w:rFonts w:ascii="仿宋_GB2312" w:eastAsia="仿宋_GB2312"/>
                <w:color w:val="auto"/>
                <w:highlight w:val="none"/>
              </w:rPr>
            </w:pPr>
            <w:r>
              <w:rPr>
                <w:rFonts w:hint="eastAsia"/>
                <w:color w:val="auto"/>
                <w:highlight w:val="none"/>
              </w:rPr>
              <w:t>F01</w:t>
            </w:r>
          </w:p>
        </w:tc>
        <w:tc>
          <w:tcPr>
            <w:tcW w:w="1230" w:type="dxa"/>
          </w:tcPr>
          <w:p w14:paraId="613D3496">
            <w:pPr>
              <w:rPr>
                <w:rFonts w:ascii="仿宋_GB2312" w:eastAsia="仿宋_GB2312"/>
                <w:color w:val="auto"/>
                <w:highlight w:val="none"/>
              </w:rPr>
            </w:pPr>
          </w:p>
        </w:tc>
        <w:tc>
          <w:tcPr>
            <w:tcW w:w="1380" w:type="dxa"/>
          </w:tcPr>
          <w:p w14:paraId="041742FA">
            <w:pPr>
              <w:rPr>
                <w:rFonts w:ascii="仿宋_GB2312" w:eastAsia="仿宋_GB2312"/>
                <w:color w:val="auto"/>
                <w:highlight w:val="none"/>
              </w:rPr>
            </w:pPr>
          </w:p>
        </w:tc>
      </w:tr>
      <w:tr w14:paraId="0895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0C204517">
            <w:pPr>
              <w:rPr>
                <w:rFonts w:ascii="仿宋_GB2312" w:eastAsia="仿宋_GB2312"/>
                <w:color w:val="auto"/>
                <w:highlight w:val="none"/>
              </w:rPr>
            </w:pPr>
          </w:p>
        </w:tc>
        <w:tc>
          <w:tcPr>
            <w:tcW w:w="584" w:type="dxa"/>
            <w:vMerge w:val="continue"/>
          </w:tcPr>
          <w:p w14:paraId="4D073A0D">
            <w:pPr>
              <w:rPr>
                <w:rFonts w:ascii="仿宋_GB2312" w:eastAsia="仿宋_GB2312"/>
                <w:color w:val="auto"/>
                <w:highlight w:val="none"/>
              </w:rPr>
            </w:pPr>
          </w:p>
        </w:tc>
        <w:tc>
          <w:tcPr>
            <w:tcW w:w="876" w:type="dxa"/>
          </w:tcPr>
          <w:p w14:paraId="294AF57E">
            <w:pPr>
              <w:rPr>
                <w:rFonts w:ascii="仿宋_GB2312" w:eastAsia="仿宋_GB2312"/>
                <w:color w:val="auto"/>
                <w:highlight w:val="none"/>
              </w:rPr>
            </w:pPr>
          </w:p>
        </w:tc>
        <w:tc>
          <w:tcPr>
            <w:tcW w:w="1215" w:type="dxa"/>
          </w:tcPr>
          <w:p w14:paraId="3BB8A469">
            <w:pPr>
              <w:rPr>
                <w:rFonts w:ascii="仿宋_GB2312" w:eastAsia="仿宋_GB2312"/>
                <w:color w:val="auto"/>
                <w:highlight w:val="none"/>
              </w:rPr>
            </w:pPr>
            <w:r>
              <w:rPr>
                <w:rFonts w:hint="eastAsia"/>
                <w:color w:val="auto"/>
                <w:highlight w:val="none"/>
              </w:rPr>
              <w:t>B2</w:t>
            </w:r>
          </w:p>
        </w:tc>
        <w:tc>
          <w:tcPr>
            <w:tcW w:w="1080" w:type="dxa"/>
          </w:tcPr>
          <w:p w14:paraId="35882E7B">
            <w:pPr>
              <w:rPr>
                <w:rFonts w:ascii="仿宋_GB2312" w:eastAsia="仿宋_GB2312"/>
                <w:color w:val="auto"/>
                <w:highlight w:val="none"/>
              </w:rPr>
            </w:pPr>
          </w:p>
        </w:tc>
        <w:tc>
          <w:tcPr>
            <w:tcW w:w="1215" w:type="dxa"/>
          </w:tcPr>
          <w:p w14:paraId="446BF276">
            <w:pPr>
              <w:rPr>
                <w:rFonts w:ascii="仿宋_GB2312" w:eastAsia="仿宋_GB2312"/>
                <w:color w:val="auto"/>
                <w:highlight w:val="none"/>
              </w:rPr>
            </w:pPr>
            <w:r>
              <w:rPr>
                <w:rFonts w:hint="eastAsia"/>
                <w:color w:val="auto"/>
                <w:highlight w:val="none"/>
              </w:rPr>
              <w:t>F02</w:t>
            </w:r>
          </w:p>
        </w:tc>
        <w:tc>
          <w:tcPr>
            <w:tcW w:w="1230" w:type="dxa"/>
          </w:tcPr>
          <w:p w14:paraId="7C41612B">
            <w:pPr>
              <w:rPr>
                <w:rFonts w:ascii="仿宋_GB2312" w:eastAsia="仿宋_GB2312"/>
                <w:color w:val="auto"/>
                <w:highlight w:val="none"/>
              </w:rPr>
            </w:pPr>
          </w:p>
        </w:tc>
        <w:tc>
          <w:tcPr>
            <w:tcW w:w="1380" w:type="dxa"/>
          </w:tcPr>
          <w:p w14:paraId="7339B9AF">
            <w:pPr>
              <w:rPr>
                <w:rFonts w:ascii="仿宋_GB2312" w:eastAsia="仿宋_GB2312"/>
                <w:color w:val="auto"/>
                <w:highlight w:val="none"/>
              </w:rPr>
            </w:pPr>
          </w:p>
        </w:tc>
      </w:tr>
      <w:tr w14:paraId="669C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687F91C3">
            <w:pPr>
              <w:rPr>
                <w:rFonts w:ascii="仿宋_GB2312" w:eastAsia="仿宋_GB2312"/>
                <w:color w:val="auto"/>
                <w:highlight w:val="none"/>
              </w:rPr>
            </w:pPr>
          </w:p>
        </w:tc>
        <w:tc>
          <w:tcPr>
            <w:tcW w:w="584" w:type="dxa"/>
            <w:vMerge w:val="continue"/>
          </w:tcPr>
          <w:p w14:paraId="0107CAFF">
            <w:pPr>
              <w:rPr>
                <w:rFonts w:ascii="仿宋_GB2312" w:eastAsia="仿宋_GB2312"/>
                <w:color w:val="auto"/>
                <w:highlight w:val="none"/>
              </w:rPr>
            </w:pPr>
          </w:p>
        </w:tc>
        <w:tc>
          <w:tcPr>
            <w:tcW w:w="876" w:type="dxa"/>
          </w:tcPr>
          <w:p w14:paraId="2303545B">
            <w:pPr>
              <w:rPr>
                <w:rFonts w:ascii="仿宋_GB2312" w:eastAsia="仿宋_GB2312"/>
                <w:color w:val="auto"/>
                <w:highlight w:val="none"/>
              </w:rPr>
            </w:pPr>
          </w:p>
        </w:tc>
        <w:tc>
          <w:tcPr>
            <w:tcW w:w="1215" w:type="dxa"/>
          </w:tcPr>
          <w:p w14:paraId="51C7F7FB">
            <w:pPr>
              <w:rPr>
                <w:rFonts w:ascii="仿宋_GB2312" w:eastAsia="仿宋_GB2312"/>
                <w:color w:val="auto"/>
                <w:highlight w:val="none"/>
              </w:rPr>
            </w:pPr>
            <w:r>
              <w:rPr>
                <w:rFonts w:hint="eastAsia"/>
                <w:color w:val="auto"/>
                <w:highlight w:val="none"/>
              </w:rPr>
              <w:t>B3</w:t>
            </w:r>
          </w:p>
        </w:tc>
        <w:tc>
          <w:tcPr>
            <w:tcW w:w="1080" w:type="dxa"/>
          </w:tcPr>
          <w:p w14:paraId="7F81441D">
            <w:pPr>
              <w:rPr>
                <w:rFonts w:ascii="仿宋_GB2312" w:eastAsia="仿宋_GB2312"/>
                <w:color w:val="auto"/>
                <w:highlight w:val="none"/>
              </w:rPr>
            </w:pPr>
          </w:p>
        </w:tc>
        <w:tc>
          <w:tcPr>
            <w:tcW w:w="1215" w:type="dxa"/>
          </w:tcPr>
          <w:p w14:paraId="1D1F12A9">
            <w:pPr>
              <w:rPr>
                <w:rFonts w:ascii="仿宋_GB2312" w:eastAsia="仿宋_GB2312"/>
                <w:color w:val="auto"/>
                <w:highlight w:val="none"/>
              </w:rPr>
            </w:pPr>
            <w:r>
              <w:rPr>
                <w:rFonts w:hint="eastAsia"/>
                <w:color w:val="auto"/>
                <w:highlight w:val="none"/>
              </w:rPr>
              <w:t>F03</w:t>
            </w:r>
          </w:p>
        </w:tc>
        <w:tc>
          <w:tcPr>
            <w:tcW w:w="1230" w:type="dxa"/>
          </w:tcPr>
          <w:p w14:paraId="4C1B9644">
            <w:pPr>
              <w:rPr>
                <w:rFonts w:ascii="仿宋_GB2312" w:eastAsia="仿宋_GB2312"/>
                <w:color w:val="auto"/>
                <w:highlight w:val="none"/>
              </w:rPr>
            </w:pPr>
          </w:p>
        </w:tc>
        <w:tc>
          <w:tcPr>
            <w:tcW w:w="1380" w:type="dxa"/>
          </w:tcPr>
          <w:p w14:paraId="5960835F">
            <w:pPr>
              <w:rPr>
                <w:rFonts w:ascii="仿宋_GB2312" w:eastAsia="仿宋_GB2312"/>
                <w:color w:val="auto"/>
                <w:highlight w:val="none"/>
              </w:rPr>
            </w:pPr>
          </w:p>
        </w:tc>
      </w:tr>
      <w:tr w14:paraId="0588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2528D68F">
            <w:pPr>
              <w:rPr>
                <w:rFonts w:ascii="仿宋_GB2312" w:eastAsia="仿宋_GB2312"/>
                <w:color w:val="auto"/>
                <w:highlight w:val="none"/>
              </w:rPr>
            </w:pPr>
          </w:p>
        </w:tc>
        <w:tc>
          <w:tcPr>
            <w:tcW w:w="584" w:type="dxa"/>
            <w:vMerge w:val="continue"/>
          </w:tcPr>
          <w:p w14:paraId="2ABBE053">
            <w:pPr>
              <w:rPr>
                <w:rFonts w:ascii="仿宋_GB2312" w:eastAsia="仿宋_GB2312"/>
                <w:color w:val="auto"/>
                <w:highlight w:val="none"/>
              </w:rPr>
            </w:pPr>
          </w:p>
        </w:tc>
        <w:tc>
          <w:tcPr>
            <w:tcW w:w="876" w:type="dxa"/>
          </w:tcPr>
          <w:p w14:paraId="0499A8B9">
            <w:pPr>
              <w:rPr>
                <w:rFonts w:ascii="仿宋_GB2312" w:eastAsia="仿宋_GB2312"/>
                <w:color w:val="auto"/>
                <w:highlight w:val="none"/>
              </w:rPr>
            </w:pPr>
          </w:p>
        </w:tc>
        <w:tc>
          <w:tcPr>
            <w:tcW w:w="1215" w:type="dxa"/>
          </w:tcPr>
          <w:p w14:paraId="15EA6926">
            <w:pPr>
              <w:rPr>
                <w:rFonts w:ascii="仿宋_GB2312" w:eastAsia="仿宋_GB2312"/>
                <w:color w:val="auto"/>
                <w:highlight w:val="none"/>
              </w:rPr>
            </w:pPr>
            <w:r>
              <w:rPr>
                <w:rFonts w:hint="eastAsia"/>
                <w:color w:val="auto"/>
                <w:highlight w:val="none"/>
              </w:rPr>
              <w:t>B4</w:t>
            </w:r>
          </w:p>
        </w:tc>
        <w:tc>
          <w:tcPr>
            <w:tcW w:w="1080" w:type="dxa"/>
          </w:tcPr>
          <w:p w14:paraId="5CD08329">
            <w:pPr>
              <w:rPr>
                <w:rFonts w:ascii="仿宋_GB2312" w:eastAsia="仿宋_GB2312"/>
                <w:color w:val="auto"/>
                <w:highlight w:val="none"/>
              </w:rPr>
            </w:pPr>
          </w:p>
        </w:tc>
        <w:tc>
          <w:tcPr>
            <w:tcW w:w="1215" w:type="dxa"/>
          </w:tcPr>
          <w:p w14:paraId="4644AA1D">
            <w:pPr>
              <w:rPr>
                <w:rFonts w:ascii="仿宋_GB2312" w:eastAsia="仿宋_GB2312"/>
                <w:color w:val="auto"/>
                <w:highlight w:val="none"/>
              </w:rPr>
            </w:pPr>
            <w:r>
              <w:rPr>
                <w:rFonts w:hint="eastAsia"/>
                <w:color w:val="auto"/>
                <w:highlight w:val="none"/>
              </w:rPr>
              <w:t>F04</w:t>
            </w:r>
          </w:p>
        </w:tc>
        <w:tc>
          <w:tcPr>
            <w:tcW w:w="1230" w:type="dxa"/>
          </w:tcPr>
          <w:p w14:paraId="533EFBCB">
            <w:pPr>
              <w:rPr>
                <w:rFonts w:ascii="仿宋_GB2312" w:eastAsia="仿宋_GB2312"/>
                <w:color w:val="auto"/>
                <w:highlight w:val="none"/>
              </w:rPr>
            </w:pPr>
          </w:p>
        </w:tc>
        <w:tc>
          <w:tcPr>
            <w:tcW w:w="1380" w:type="dxa"/>
          </w:tcPr>
          <w:p w14:paraId="324E6BBF">
            <w:pPr>
              <w:rPr>
                <w:rFonts w:ascii="仿宋_GB2312" w:eastAsia="仿宋_GB2312"/>
                <w:color w:val="auto"/>
                <w:highlight w:val="none"/>
              </w:rPr>
            </w:pPr>
          </w:p>
        </w:tc>
      </w:tr>
      <w:tr w14:paraId="1751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56F6058C">
            <w:pPr>
              <w:rPr>
                <w:rFonts w:ascii="仿宋_GB2312" w:eastAsia="仿宋_GB2312"/>
                <w:color w:val="auto"/>
                <w:highlight w:val="none"/>
              </w:rPr>
            </w:pPr>
          </w:p>
        </w:tc>
        <w:tc>
          <w:tcPr>
            <w:tcW w:w="584" w:type="dxa"/>
            <w:vMerge w:val="continue"/>
          </w:tcPr>
          <w:p w14:paraId="373FBA9B">
            <w:pPr>
              <w:rPr>
                <w:rFonts w:ascii="仿宋_GB2312" w:eastAsia="仿宋_GB2312"/>
                <w:color w:val="auto"/>
                <w:highlight w:val="none"/>
              </w:rPr>
            </w:pPr>
          </w:p>
        </w:tc>
        <w:tc>
          <w:tcPr>
            <w:tcW w:w="876" w:type="dxa"/>
          </w:tcPr>
          <w:p w14:paraId="22E6919F">
            <w:pPr>
              <w:rPr>
                <w:rFonts w:ascii="仿宋_GB2312" w:eastAsia="仿宋_GB2312"/>
                <w:color w:val="auto"/>
                <w:highlight w:val="none"/>
              </w:rPr>
            </w:pPr>
          </w:p>
        </w:tc>
        <w:tc>
          <w:tcPr>
            <w:tcW w:w="1215" w:type="dxa"/>
          </w:tcPr>
          <w:p w14:paraId="026D34EA">
            <w:pPr>
              <w:rPr>
                <w:rFonts w:ascii="仿宋_GB2312" w:eastAsia="仿宋_GB2312"/>
                <w:color w:val="auto"/>
                <w:highlight w:val="none"/>
              </w:rPr>
            </w:pPr>
          </w:p>
        </w:tc>
        <w:tc>
          <w:tcPr>
            <w:tcW w:w="1080" w:type="dxa"/>
          </w:tcPr>
          <w:p w14:paraId="3293B8AB">
            <w:pPr>
              <w:rPr>
                <w:rFonts w:ascii="仿宋_GB2312" w:eastAsia="仿宋_GB2312"/>
                <w:color w:val="auto"/>
                <w:highlight w:val="none"/>
              </w:rPr>
            </w:pPr>
          </w:p>
        </w:tc>
        <w:tc>
          <w:tcPr>
            <w:tcW w:w="1215" w:type="dxa"/>
          </w:tcPr>
          <w:p w14:paraId="682052C9">
            <w:pPr>
              <w:rPr>
                <w:rFonts w:ascii="仿宋_GB2312" w:eastAsia="仿宋_GB2312"/>
                <w:color w:val="auto"/>
                <w:highlight w:val="none"/>
              </w:rPr>
            </w:pPr>
          </w:p>
        </w:tc>
        <w:tc>
          <w:tcPr>
            <w:tcW w:w="1230" w:type="dxa"/>
          </w:tcPr>
          <w:p w14:paraId="3B14D19F">
            <w:pPr>
              <w:rPr>
                <w:rFonts w:ascii="仿宋_GB2312" w:eastAsia="仿宋_GB2312"/>
                <w:color w:val="auto"/>
                <w:highlight w:val="none"/>
              </w:rPr>
            </w:pPr>
          </w:p>
        </w:tc>
        <w:tc>
          <w:tcPr>
            <w:tcW w:w="1380" w:type="dxa"/>
          </w:tcPr>
          <w:p w14:paraId="28BA8A1E">
            <w:pPr>
              <w:rPr>
                <w:rFonts w:ascii="仿宋_GB2312" w:eastAsia="仿宋_GB2312"/>
                <w:color w:val="auto"/>
                <w:highlight w:val="none"/>
              </w:rPr>
            </w:pPr>
          </w:p>
        </w:tc>
      </w:tr>
      <w:tr w14:paraId="633C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14:paraId="2ADEA1D8">
            <w:pPr>
              <w:rPr>
                <w:rFonts w:ascii="仿宋_GB2312" w:eastAsia="仿宋_GB2312"/>
                <w:color w:val="auto"/>
                <w:highlight w:val="none"/>
              </w:rPr>
            </w:pPr>
          </w:p>
        </w:tc>
        <w:tc>
          <w:tcPr>
            <w:tcW w:w="584" w:type="dxa"/>
            <w:vMerge w:val="continue"/>
          </w:tcPr>
          <w:p w14:paraId="39F3A400">
            <w:pPr>
              <w:rPr>
                <w:rFonts w:ascii="仿宋_GB2312" w:eastAsia="仿宋_GB2312"/>
                <w:color w:val="auto"/>
                <w:highlight w:val="none"/>
              </w:rPr>
            </w:pPr>
          </w:p>
        </w:tc>
        <w:tc>
          <w:tcPr>
            <w:tcW w:w="876" w:type="dxa"/>
          </w:tcPr>
          <w:p w14:paraId="52E7673F">
            <w:pPr>
              <w:rPr>
                <w:rFonts w:ascii="仿宋_GB2312" w:eastAsia="仿宋_GB2312"/>
                <w:color w:val="auto"/>
                <w:highlight w:val="none"/>
              </w:rPr>
            </w:pPr>
          </w:p>
        </w:tc>
        <w:tc>
          <w:tcPr>
            <w:tcW w:w="1215" w:type="dxa"/>
          </w:tcPr>
          <w:p w14:paraId="1270AE29">
            <w:pPr>
              <w:rPr>
                <w:rFonts w:ascii="仿宋_GB2312" w:eastAsia="仿宋_GB2312"/>
                <w:color w:val="auto"/>
                <w:highlight w:val="none"/>
              </w:rPr>
            </w:pPr>
          </w:p>
        </w:tc>
        <w:tc>
          <w:tcPr>
            <w:tcW w:w="1080" w:type="dxa"/>
          </w:tcPr>
          <w:p w14:paraId="07D61F4F">
            <w:pPr>
              <w:rPr>
                <w:rFonts w:ascii="仿宋_GB2312" w:eastAsia="仿宋_GB2312"/>
                <w:color w:val="auto"/>
                <w:highlight w:val="none"/>
              </w:rPr>
            </w:pPr>
          </w:p>
        </w:tc>
        <w:tc>
          <w:tcPr>
            <w:tcW w:w="1215" w:type="dxa"/>
          </w:tcPr>
          <w:p w14:paraId="3C7BC6F5">
            <w:pPr>
              <w:rPr>
                <w:rFonts w:ascii="仿宋_GB2312" w:eastAsia="仿宋_GB2312"/>
                <w:color w:val="auto"/>
                <w:highlight w:val="none"/>
              </w:rPr>
            </w:pPr>
          </w:p>
        </w:tc>
        <w:tc>
          <w:tcPr>
            <w:tcW w:w="1230" w:type="dxa"/>
          </w:tcPr>
          <w:p w14:paraId="738C73C0">
            <w:pPr>
              <w:rPr>
                <w:rFonts w:ascii="仿宋_GB2312" w:eastAsia="仿宋_GB2312"/>
                <w:color w:val="auto"/>
                <w:highlight w:val="none"/>
              </w:rPr>
            </w:pPr>
          </w:p>
        </w:tc>
        <w:tc>
          <w:tcPr>
            <w:tcW w:w="1380" w:type="dxa"/>
          </w:tcPr>
          <w:p w14:paraId="6E418947">
            <w:pPr>
              <w:rPr>
                <w:rFonts w:ascii="仿宋_GB2312" w:eastAsia="仿宋_GB2312"/>
                <w:color w:val="auto"/>
                <w:highlight w:val="none"/>
              </w:rPr>
            </w:pPr>
          </w:p>
        </w:tc>
      </w:tr>
      <w:tr w14:paraId="0872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tcPr>
          <w:p w14:paraId="1EF3D7A1">
            <w:pPr>
              <w:rPr>
                <w:rFonts w:ascii="仿宋_GB2312" w:eastAsia="仿宋_GB2312"/>
                <w:color w:val="auto"/>
                <w:highlight w:val="none"/>
              </w:rPr>
            </w:pPr>
            <w:r>
              <w:rPr>
                <w:rFonts w:hint="eastAsia"/>
                <w:color w:val="auto"/>
                <w:highlight w:val="none"/>
              </w:rPr>
              <w:t>定值部分权重A</w:t>
            </w:r>
          </w:p>
        </w:tc>
        <w:tc>
          <w:tcPr>
            <w:tcW w:w="1215" w:type="dxa"/>
          </w:tcPr>
          <w:p w14:paraId="0BA3F616">
            <w:pPr>
              <w:rPr>
                <w:rFonts w:ascii="仿宋_GB2312" w:eastAsia="仿宋_GB2312"/>
                <w:color w:val="auto"/>
                <w:highlight w:val="none"/>
              </w:rPr>
            </w:pPr>
          </w:p>
        </w:tc>
        <w:tc>
          <w:tcPr>
            <w:tcW w:w="1080" w:type="dxa"/>
          </w:tcPr>
          <w:p w14:paraId="2C245F1E">
            <w:pPr>
              <w:rPr>
                <w:rFonts w:ascii="仿宋_GB2312" w:eastAsia="仿宋_GB2312"/>
                <w:color w:val="auto"/>
                <w:highlight w:val="none"/>
              </w:rPr>
            </w:pPr>
          </w:p>
        </w:tc>
        <w:tc>
          <w:tcPr>
            <w:tcW w:w="1215" w:type="dxa"/>
          </w:tcPr>
          <w:p w14:paraId="0A61D36D">
            <w:pPr>
              <w:rPr>
                <w:rFonts w:ascii="仿宋_GB2312" w:eastAsia="仿宋_GB2312"/>
                <w:color w:val="auto"/>
                <w:highlight w:val="none"/>
              </w:rPr>
            </w:pPr>
          </w:p>
        </w:tc>
        <w:tc>
          <w:tcPr>
            <w:tcW w:w="1230" w:type="dxa"/>
          </w:tcPr>
          <w:p w14:paraId="65F8A1AF">
            <w:pPr>
              <w:rPr>
                <w:rFonts w:ascii="仿宋_GB2312" w:eastAsia="仿宋_GB2312"/>
                <w:color w:val="auto"/>
                <w:highlight w:val="none"/>
              </w:rPr>
            </w:pPr>
          </w:p>
        </w:tc>
        <w:tc>
          <w:tcPr>
            <w:tcW w:w="1380" w:type="dxa"/>
          </w:tcPr>
          <w:p w14:paraId="0E5FB368">
            <w:pPr>
              <w:rPr>
                <w:rFonts w:ascii="仿宋_GB2312" w:eastAsia="仿宋_GB2312"/>
                <w:color w:val="auto"/>
                <w:highlight w:val="none"/>
              </w:rPr>
            </w:pPr>
          </w:p>
        </w:tc>
      </w:tr>
      <w:tr w14:paraId="3E6A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tcPr>
          <w:p w14:paraId="28045D0B">
            <w:pPr>
              <w:rPr>
                <w:rFonts w:ascii="仿宋_GB2312" w:eastAsia="仿宋_GB2312"/>
                <w:color w:val="auto"/>
                <w:highlight w:val="none"/>
              </w:rPr>
            </w:pPr>
            <w:r>
              <w:rPr>
                <w:rFonts w:hint="eastAsia"/>
                <w:color w:val="auto"/>
                <w:highlight w:val="none"/>
              </w:rPr>
              <w:t>合计</w:t>
            </w:r>
          </w:p>
        </w:tc>
        <w:tc>
          <w:tcPr>
            <w:tcW w:w="2295" w:type="dxa"/>
            <w:gridSpan w:val="2"/>
          </w:tcPr>
          <w:p w14:paraId="4A722C5D">
            <w:pPr>
              <w:rPr>
                <w:rFonts w:ascii="仿宋_GB2312" w:eastAsia="仿宋_GB2312"/>
                <w:color w:val="auto"/>
                <w:highlight w:val="none"/>
              </w:rPr>
            </w:pPr>
          </w:p>
        </w:tc>
        <w:tc>
          <w:tcPr>
            <w:tcW w:w="2445" w:type="dxa"/>
            <w:gridSpan w:val="2"/>
          </w:tcPr>
          <w:p w14:paraId="191CBC90">
            <w:pPr>
              <w:rPr>
                <w:rFonts w:ascii="仿宋_GB2312" w:eastAsia="仿宋_GB2312"/>
                <w:color w:val="auto"/>
                <w:highlight w:val="none"/>
              </w:rPr>
            </w:pPr>
          </w:p>
        </w:tc>
        <w:tc>
          <w:tcPr>
            <w:tcW w:w="1380" w:type="dxa"/>
          </w:tcPr>
          <w:p w14:paraId="7E7A8C71">
            <w:pPr>
              <w:rPr>
                <w:rFonts w:ascii="仿宋_GB2312" w:eastAsia="仿宋_GB2312"/>
                <w:color w:val="auto"/>
                <w:highlight w:val="none"/>
              </w:rPr>
            </w:pPr>
          </w:p>
        </w:tc>
      </w:tr>
    </w:tbl>
    <w:p w14:paraId="21F02F31">
      <w:pPr>
        <w:jc w:val="center"/>
        <w:rPr>
          <w:rFonts w:hint="eastAsia" w:ascii="宋体" w:hAnsi="宋体" w:cs="宋体"/>
          <w:color w:val="auto"/>
          <w:sz w:val="32"/>
          <w:highlight w:val="none"/>
        </w:rPr>
      </w:pPr>
    </w:p>
    <w:p w14:paraId="164F3AAD">
      <w:pPr>
        <w:jc w:val="center"/>
        <w:rPr>
          <w:rFonts w:hint="eastAsia" w:ascii="宋体" w:hAnsi="宋体" w:cs="宋体"/>
          <w:color w:val="auto"/>
          <w:sz w:val="32"/>
          <w:highlight w:val="none"/>
        </w:rPr>
      </w:pPr>
    </w:p>
    <w:p w14:paraId="788ACA72">
      <w:pPr>
        <w:jc w:val="center"/>
        <w:rPr>
          <w:rFonts w:hint="eastAsia" w:ascii="宋体" w:hAnsi="宋体" w:cs="宋体"/>
          <w:color w:val="auto"/>
          <w:sz w:val="32"/>
          <w:highlight w:val="none"/>
        </w:rPr>
      </w:pPr>
    </w:p>
    <w:p w14:paraId="7F85822D">
      <w:pPr>
        <w:pStyle w:val="6"/>
        <w:ind w:firstLine="640"/>
        <w:rPr>
          <w:rFonts w:hint="eastAsia" w:ascii="宋体" w:hAnsi="宋体" w:cs="宋体"/>
          <w:color w:val="auto"/>
          <w:sz w:val="32"/>
          <w:highlight w:val="none"/>
        </w:rPr>
      </w:pPr>
    </w:p>
    <w:p w14:paraId="3FE007D6">
      <w:pPr>
        <w:pStyle w:val="6"/>
        <w:ind w:firstLine="640"/>
        <w:rPr>
          <w:rFonts w:hint="eastAsia" w:ascii="宋体" w:hAnsi="宋体" w:cs="宋体"/>
          <w:color w:val="auto"/>
          <w:sz w:val="32"/>
          <w:highlight w:val="none"/>
        </w:rPr>
      </w:pPr>
    </w:p>
    <w:p w14:paraId="10997097">
      <w:pPr>
        <w:pStyle w:val="6"/>
        <w:ind w:firstLine="640"/>
        <w:rPr>
          <w:rFonts w:hint="eastAsia" w:ascii="宋体" w:hAnsi="宋体" w:cs="宋体"/>
          <w:color w:val="auto"/>
          <w:sz w:val="32"/>
          <w:highlight w:val="none"/>
        </w:rPr>
      </w:pPr>
    </w:p>
    <w:p w14:paraId="69810E25">
      <w:pPr>
        <w:pStyle w:val="6"/>
        <w:ind w:firstLine="640"/>
        <w:rPr>
          <w:rFonts w:hint="eastAsia" w:ascii="宋体" w:hAnsi="宋体" w:cs="宋体"/>
          <w:color w:val="auto"/>
          <w:sz w:val="32"/>
          <w:highlight w:val="none"/>
        </w:rPr>
      </w:pPr>
    </w:p>
    <w:p w14:paraId="1708919D">
      <w:pPr>
        <w:pStyle w:val="6"/>
        <w:ind w:firstLine="640"/>
        <w:rPr>
          <w:rFonts w:hint="eastAsia" w:ascii="宋体" w:hAnsi="宋体" w:cs="宋体"/>
          <w:color w:val="auto"/>
          <w:sz w:val="32"/>
          <w:highlight w:val="none"/>
        </w:rPr>
      </w:pPr>
    </w:p>
    <w:p w14:paraId="3EC6E44A">
      <w:pPr>
        <w:pStyle w:val="6"/>
        <w:ind w:firstLine="640"/>
        <w:rPr>
          <w:rFonts w:hint="eastAsia" w:ascii="宋体" w:hAnsi="宋体" w:cs="宋体"/>
          <w:color w:val="auto"/>
          <w:sz w:val="32"/>
          <w:highlight w:val="none"/>
        </w:rPr>
      </w:pPr>
    </w:p>
    <w:p w14:paraId="6F30C3D2">
      <w:pPr>
        <w:pStyle w:val="6"/>
        <w:ind w:firstLine="640"/>
        <w:rPr>
          <w:rFonts w:hint="eastAsia" w:ascii="宋体" w:hAnsi="宋体" w:cs="宋体"/>
          <w:color w:val="auto"/>
          <w:sz w:val="32"/>
          <w:highlight w:val="none"/>
        </w:rPr>
      </w:pPr>
    </w:p>
    <w:p w14:paraId="3CD5406E">
      <w:pPr>
        <w:pStyle w:val="6"/>
        <w:ind w:firstLine="640"/>
        <w:rPr>
          <w:rFonts w:hint="eastAsia" w:ascii="宋体" w:hAnsi="宋体" w:cs="宋体"/>
          <w:color w:val="auto"/>
          <w:sz w:val="32"/>
          <w:highlight w:val="none"/>
        </w:rPr>
      </w:pPr>
    </w:p>
    <w:p w14:paraId="5C15A097">
      <w:pPr>
        <w:pStyle w:val="6"/>
        <w:ind w:firstLine="640"/>
        <w:rPr>
          <w:rFonts w:hint="eastAsia" w:ascii="宋体" w:hAnsi="宋体" w:cs="宋体"/>
          <w:color w:val="auto"/>
          <w:sz w:val="32"/>
          <w:highlight w:val="none"/>
        </w:rPr>
      </w:pPr>
    </w:p>
    <w:p w14:paraId="44BE9886">
      <w:pPr>
        <w:pStyle w:val="6"/>
        <w:ind w:firstLine="640"/>
        <w:rPr>
          <w:rFonts w:hint="eastAsia" w:ascii="宋体" w:hAnsi="宋体" w:cs="宋体"/>
          <w:color w:val="auto"/>
          <w:sz w:val="32"/>
          <w:highlight w:val="none"/>
        </w:rPr>
      </w:pPr>
    </w:p>
    <w:p w14:paraId="5EEE1416">
      <w:pPr>
        <w:pStyle w:val="6"/>
        <w:ind w:firstLine="640"/>
        <w:rPr>
          <w:rFonts w:hint="eastAsia" w:ascii="宋体" w:hAnsi="宋体" w:cs="宋体"/>
          <w:color w:val="auto"/>
          <w:sz w:val="32"/>
          <w:highlight w:val="none"/>
        </w:rPr>
      </w:pPr>
    </w:p>
    <w:p w14:paraId="26285E7C">
      <w:pPr>
        <w:pStyle w:val="6"/>
        <w:ind w:firstLine="640"/>
        <w:rPr>
          <w:rFonts w:hint="eastAsia" w:ascii="宋体" w:hAnsi="宋体" w:cs="宋体"/>
          <w:color w:val="auto"/>
          <w:sz w:val="32"/>
          <w:highlight w:val="none"/>
        </w:rPr>
      </w:pPr>
    </w:p>
    <w:p w14:paraId="6E856DCD">
      <w:pPr>
        <w:jc w:val="center"/>
        <w:rPr>
          <w:rFonts w:hint="eastAsia" w:ascii="宋体" w:hAnsi="宋体" w:cs="宋体"/>
          <w:b/>
          <w:bCs/>
          <w:color w:val="auto"/>
          <w:kern w:val="44"/>
          <w:sz w:val="44"/>
          <w:szCs w:val="44"/>
          <w:highlight w:val="none"/>
        </w:rPr>
      </w:pPr>
    </w:p>
    <w:p w14:paraId="0FD23B33">
      <w:pPr>
        <w:jc w:val="center"/>
        <w:rPr>
          <w:rFonts w:hint="eastAsia" w:ascii="宋体" w:hAnsi="宋体" w:cs="宋体"/>
          <w:b/>
          <w:bCs/>
          <w:color w:val="auto"/>
          <w:kern w:val="44"/>
          <w:sz w:val="44"/>
          <w:szCs w:val="44"/>
          <w:highlight w:val="none"/>
        </w:rPr>
      </w:pPr>
      <w:r>
        <w:rPr>
          <w:rFonts w:hint="eastAsia" w:ascii="宋体" w:hAnsi="宋体" w:cs="宋体"/>
          <w:b/>
          <w:bCs/>
          <w:color w:val="auto"/>
          <w:kern w:val="44"/>
          <w:sz w:val="44"/>
          <w:szCs w:val="44"/>
          <w:highlight w:val="none"/>
        </w:rPr>
        <w:t>第五章 发包人要求</w:t>
      </w:r>
    </w:p>
    <w:p w14:paraId="0F35D265">
      <w:pPr>
        <w:spacing w:line="360" w:lineRule="auto"/>
        <w:ind w:firstLine="480" w:firstLineChars="200"/>
        <w:rPr>
          <w:rFonts w:hint="eastAsia" w:ascii="宋体" w:hAnsi="宋体" w:cs="宋体"/>
          <w:color w:val="auto"/>
          <w:highlight w:val="none"/>
        </w:rPr>
      </w:pPr>
    </w:p>
    <w:p w14:paraId="1ED52F61">
      <w:pPr>
        <w:spacing w:line="360" w:lineRule="auto"/>
        <w:ind w:firstLine="480" w:firstLineChars="200"/>
        <w:rPr>
          <w:rFonts w:hint="eastAsia" w:ascii="宋体" w:hAnsi="宋体" w:cs="宋体"/>
          <w:color w:val="auto"/>
          <w:highlight w:val="none"/>
        </w:rPr>
      </w:pPr>
    </w:p>
    <w:p w14:paraId="73876909">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发包人应组织设计、工程管理、工程造价等相关专业人员编写《发包人要求》。《发包人要求》应明确规定建设规模、建设功能、建设标准要求以及检验、试运行等具体要求。对于承包人负责提供的有关设备和服务，在《发包人要求》中应明确需提供的专用工具、质保期内的备品备件，以及技术培训和售后服务等内容。</w:t>
      </w:r>
      <w:r>
        <w:rPr>
          <w:rFonts w:hint="eastAsia"/>
          <w:color w:val="auto"/>
          <w:highlight w:val="none"/>
        </w:rPr>
        <w:t>初步设计等前期设计文件</w:t>
      </w:r>
      <w:r>
        <w:rPr>
          <w:rFonts w:hint="eastAsia" w:ascii="宋体" w:hAnsi="宋体" w:cs="宋体"/>
          <w:color w:val="auto"/>
          <w:highlight w:val="none"/>
        </w:rPr>
        <w:t>与《发包人要求》中描述有不一致的，则以《发包人要求》为优先解释顺序。</w:t>
      </w:r>
    </w:p>
    <w:p w14:paraId="2CD58571">
      <w:pPr>
        <w:pStyle w:val="17"/>
        <w:ind w:firstLine="481"/>
        <w:jc w:val="left"/>
        <w:rPr>
          <w:rFonts w:hint="eastAsia" w:cs="宋体"/>
          <w:color w:val="auto"/>
          <w:highlight w:val="none"/>
        </w:rPr>
      </w:pPr>
      <w:r>
        <w:rPr>
          <w:rFonts w:hint="eastAsia" w:cs="宋体"/>
          <w:color w:val="auto"/>
          <w:highlight w:val="none"/>
        </w:rPr>
        <w:t>承包人不得以“优化设计”名义变相降低《发包人要求》中涉及结构安全和重要使用功能的内容。</w:t>
      </w:r>
    </w:p>
    <w:p w14:paraId="166D0D9B">
      <w:p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一、建设目标</w:t>
      </w:r>
    </w:p>
    <w:p w14:paraId="70AFA6B5">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详见初步设计文件。</w:t>
      </w:r>
    </w:p>
    <w:p w14:paraId="1D9B5ED3">
      <w:p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二、建设规模</w:t>
      </w:r>
    </w:p>
    <w:p w14:paraId="6C917BDF">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同前附表</w:t>
      </w:r>
    </w:p>
    <w:p w14:paraId="244A1532">
      <w:pPr>
        <w:numPr>
          <w:ilvl w:val="0"/>
          <w:numId w:val="48"/>
        </w:num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建设功能</w:t>
      </w:r>
    </w:p>
    <w:p w14:paraId="491BEA51">
      <w:pPr>
        <w:pStyle w:val="17"/>
        <w:jc w:val="both"/>
        <w:rPr>
          <w:rFonts w:hint="eastAsia"/>
          <w:color w:val="auto"/>
          <w:highlight w:val="none"/>
        </w:rPr>
      </w:pPr>
      <w:r>
        <w:rPr>
          <w:rFonts w:hint="eastAsia"/>
          <w:color w:val="auto"/>
          <w:highlight w:val="none"/>
        </w:rPr>
        <w:t xml:space="preserve">  </w:t>
      </w:r>
      <w:r>
        <w:rPr>
          <w:rFonts w:hint="eastAsia" w:cs="宋体"/>
          <w:color w:val="auto"/>
          <w:highlight w:val="none"/>
        </w:rPr>
        <w:t xml:space="preserve">  详见初步设计文件等。</w:t>
      </w:r>
    </w:p>
    <w:p w14:paraId="4EF90662">
      <w:p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四、建设标准</w:t>
      </w:r>
    </w:p>
    <w:p w14:paraId="4276B917">
      <w:pPr>
        <w:spacing w:line="360" w:lineRule="auto"/>
        <w:ind w:firstLine="480" w:firstLineChars="200"/>
        <w:rPr>
          <w:rFonts w:cs="宋体"/>
          <w:color w:val="auto"/>
          <w:highlight w:val="none"/>
        </w:rPr>
      </w:pPr>
      <w:r>
        <w:rPr>
          <w:rFonts w:hint="eastAsia" w:cs="宋体"/>
          <w:color w:val="auto"/>
          <w:highlight w:val="none"/>
        </w:rPr>
        <w:t>严格按照初步设计文件、工程技术要求及国家颁布的现行建设工程施工规范、规程、强制性规定和标准。</w:t>
      </w:r>
    </w:p>
    <w:p w14:paraId="5FA778E0">
      <w:p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五、性能保证指标（可在需求任务书内描述）</w:t>
      </w:r>
    </w:p>
    <w:p w14:paraId="36D51B31">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详见初步设计文件等。</w:t>
      </w:r>
    </w:p>
    <w:p w14:paraId="2880FD45">
      <w:p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六、产能保证指标</w:t>
      </w:r>
    </w:p>
    <w:p w14:paraId="77810B11">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详见初步设计文件等。</w:t>
      </w:r>
    </w:p>
    <w:p w14:paraId="2C928490">
      <w:p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七、建设条件</w:t>
      </w:r>
    </w:p>
    <w:p w14:paraId="0BF445AF">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（一）基础资料</w:t>
      </w:r>
    </w:p>
    <w:p w14:paraId="3521F4FC">
      <w:pPr>
        <w:pStyle w:val="17"/>
        <w:ind w:firstLine="480" w:firstLineChars="200"/>
        <w:jc w:val="left"/>
        <w:rPr>
          <w:rFonts w:hint="eastAsia" w:cs="宋体"/>
          <w:color w:val="auto"/>
          <w:highlight w:val="none"/>
        </w:rPr>
      </w:pPr>
      <w:r>
        <w:rPr>
          <w:rFonts w:hint="eastAsia" w:cs="宋体"/>
          <w:color w:val="auto"/>
          <w:highlight w:val="none"/>
        </w:rPr>
        <w:t>可按通用合同条件2.3条和专用合同条件2.3条提供相关资料。</w:t>
      </w:r>
    </w:p>
    <w:p w14:paraId="72C03A0A">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（二）发包人提供的现场条件</w:t>
      </w:r>
    </w:p>
    <w:p w14:paraId="537F914F">
      <w:pPr>
        <w:pStyle w:val="17"/>
        <w:ind w:firstLine="480" w:firstLineChars="200"/>
        <w:jc w:val="left"/>
        <w:rPr>
          <w:rFonts w:hint="eastAsia" w:cs="宋体"/>
          <w:color w:val="auto"/>
          <w:highlight w:val="none"/>
        </w:rPr>
      </w:pPr>
      <w:r>
        <w:rPr>
          <w:rFonts w:hint="eastAsia" w:cs="宋体"/>
          <w:color w:val="auto"/>
          <w:highlight w:val="none"/>
        </w:rPr>
        <w:t>需明确发包人提供的现场条件及交接界面。</w:t>
      </w:r>
    </w:p>
    <w:p w14:paraId="5FF67151">
      <w:pPr>
        <w:pStyle w:val="17"/>
        <w:ind w:firstLine="480" w:firstLineChars="200"/>
        <w:jc w:val="left"/>
        <w:rPr>
          <w:rFonts w:hint="eastAsia" w:cs="宋体"/>
          <w:color w:val="auto"/>
          <w:highlight w:val="none"/>
        </w:rPr>
      </w:pPr>
      <w:r>
        <w:rPr>
          <w:rFonts w:hint="eastAsia" w:cs="宋体"/>
          <w:color w:val="auto"/>
          <w:highlight w:val="none"/>
        </w:rPr>
        <w:t>1.施工用电。</w:t>
      </w:r>
    </w:p>
    <w:p w14:paraId="0C6626AB">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2.施工用水。</w:t>
      </w:r>
    </w:p>
    <w:p w14:paraId="45E6135C">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3.施工排水。</w:t>
      </w:r>
    </w:p>
    <w:p w14:paraId="268194D4">
      <w:pPr>
        <w:spacing w:line="360" w:lineRule="auto"/>
        <w:ind w:firstLine="480" w:firstLineChars="200"/>
        <w:rPr>
          <w:rFonts w:hint="eastAsia" w:ascii="宋体" w:hAnsi="宋体" w:cs="宋体"/>
          <w:color w:val="auto"/>
          <w:highlight w:val="none"/>
        </w:rPr>
      </w:pPr>
      <w:bookmarkStart w:id="189" w:name="_Toc90641078"/>
      <w:r>
        <w:rPr>
          <w:rFonts w:hint="eastAsia" w:ascii="宋体" w:hAnsi="宋体" w:cs="宋体"/>
          <w:color w:val="auto"/>
          <w:highlight w:val="none"/>
        </w:rPr>
        <w:t>4.施工道路。</w:t>
      </w:r>
      <w:bookmarkEnd w:id="189"/>
    </w:p>
    <w:p w14:paraId="54374BC7">
      <w:pPr>
        <w:spacing w:line="360" w:lineRule="auto"/>
        <w:ind w:firstLine="480" w:firstLineChars="200"/>
        <w:rPr>
          <w:rFonts w:hint="eastAsia" w:ascii="宋体" w:hAnsi="宋体" w:cs="宋体"/>
          <w:color w:val="auto"/>
          <w:highlight w:val="none"/>
        </w:rPr>
      </w:pPr>
      <w:bookmarkStart w:id="190" w:name="_Toc90641079"/>
      <w:r>
        <w:rPr>
          <w:rFonts w:hint="eastAsia" w:ascii="宋体" w:hAnsi="宋体" w:cs="宋体"/>
          <w:color w:val="auto"/>
          <w:highlight w:val="none"/>
        </w:rPr>
        <w:t>5.场地情况。</w:t>
      </w:r>
      <w:bookmarkEnd w:id="190"/>
    </w:p>
    <w:p w14:paraId="6862E510">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6.临时用地。</w:t>
      </w:r>
    </w:p>
    <w:p w14:paraId="34FA7380">
      <w:p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八、设计依据及已完成的设计文件</w:t>
      </w:r>
    </w:p>
    <w:p w14:paraId="072DC36E">
      <w:pPr>
        <w:pStyle w:val="17"/>
        <w:ind w:firstLine="480" w:firstLineChars="200"/>
        <w:jc w:val="left"/>
        <w:rPr>
          <w:rFonts w:hint="eastAsia" w:cs="宋体"/>
          <w:color w:val="auto"/>
          <w:highlight w:val="none"/>
        </w:rPr>
      </w:pPr>
      <w:r>
        <w:rPr>
          <w:rFonts w:hint="eastAsia" w:cs="宋体"/>
          <w:color w:val="auto"/>
          <w:highlight w:val="none"/>
        </w:rPr>
        <w:t>（一）国家及地方现行相关法律、法规、规章、规范及工程建设强制性条文</w:t>
      </w:r>
    </w:p>
    <w:p w14:paraId="01AF02D8">
      <w:pPr>
        <w:pStyle w:val="17"/>
        <w:ind w:firstLine="480" w:firstLineChars="200"/>
        <w:jc w:val="both"/>
        <w:rPr>
          <w:rFonts w:hint="eastAsia" w:cs="宋体"/>
          <w:color w:val="auto"/>
          <w:highlight w:val="none"/>
        </w:rPr>
      </w:pPr>
      <w:r>
        <w:rPr>
          <w:rFonts w:hint="eastAsia" w:cs="宋体"/>
          <w:color w:val="auto"/>
          <w:highlight w:val="none"/>
        </w:rPr>
        <w:t>（二）设计规范和标准</w:t>
      </w:r>
    </w:p>
    <w:p w14:paraId="320CCE91">
      <w:pPr>
        <w:spacing w:line="360" w:lineRule="auto"/>
        <w:ind w:firstLine="480" w:firstLineChars="200"/>
        <w:rPr>
          <w:rFonts w:cs="宋体"/>
          <w:color w:val="auto"/>
          <w:highlight w:val="none"/>
        </w:rPr>
      </w:pPr>
      <w:r>
        <w:rPr>
          <w:rFonts w:hint="eastAsia" w:cs="宋体"/>
          <w:color w:val="auto"/>
          <w:highlight w:val="none"/>
        </w:rPr>
        <w:t>详见初步设计文件等。</w:t>
      </w:r>
    </w:p>
    <w:p w14:paraId="305D7010">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（三）相关行政及行业主管部门的批复文件，赋码表、初步设计批复及附图</w:t>
      </w:r>
    </w:p>
    <w:p w14:paraId="0BA0E910">
      <w:pPr>
        <w:pStyle w:val="17"/>
        <w:ind w:firstLine="480" w:firstLineChars="200"/>
        <w:jc w:val="left"/>
        <w:rPr>
          <w:rFonts w:hint="eastAsia" w:cs="宋体"/>
          <w:color w:val="auto"/>
          <w:highlight w:val="none"/>
        </w:rPr>
      </w:pPr>
      <w:r>
        <w:rPr>
          <w:rFonts w:hint="eastAsia" w:cs="宋体"/>
          <w:color w:val="auto"/>
          <w:highlight w:val="none"/>
        </w:rPr>
        <w:t>（四）地质勘察报告（包括详勘）</w:t>
      </w:r>
    </w:p>
    <w:p w14:paraId="3719B6B9">
      <w:pPr>
        <w:pStyle w:val="17"/>
        <w:ind w:firstLine="480" w:firstLineChars="200"/>
        <w:jc w:val="left"/>
        <w:rPr>
          <w:rFonts w:hint="eastAsia" w:cs="宋体"/>
          <w:color w:val="auto"/>
          <w:highlight w:val="none"/>
        </w:rPr>
      </w:pPr>
      <w:r>
        <w:rPr>
          <w:rFonts w:hint="eastAsia" w:cs="宋体"/>
          <w:color w:val="auto"/>
          <w:highlight w:val="none"/>
        </w:rPr>
        <w:t>（五）发包人已完成的设计文件</w:t>
      </w:r>
    </w:p>
    <w:p w14:paraId="70839B9D">
      <w:pPr>
        <w:pStyle w:val="17"/>
        <w:ind w:firstLine="480" w:firstLineChars="200"/>
        <w:jc w:val="left"/>
        <w:rPr>
          <w:rFonts w:hint="eastAsia" w:cs="宋体"/>
          <w:b/>
          <w:bCs/>
          <w:color w:val="auto"/>
          <w:highlight w:val="none"/>
        </w:rPr>
      </w:pPr>
      <w:r>
        <w:rPr>
          <w:rFonts w:hint="eastAsia" w:cs="宋体"/>
          <w:color w:val="auto"/>
          <w:highlight w:val="none"/>
        </w:rPr>
        <w:t>包括经批准的方案设计文本、初步设计文本等。</w:t>
      </w:r>
    </w:p>
    <w:p w14:paraId="03F5D006">
      <w:p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九、招标范围及工作界面</w:t>
      </w:r>
    </w:p>
    <w:p w14:paraId="083A1E92">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应明确招标范围及工作界面，清楚划分双方履约的工作内容和界面，避免因歧义导致纠纷。招标范围和工作界区的划分及具体工作内容应与费用组成保持一致。</w:t>
      </w:r>
    </w:p>
    <w:p w14:paraId="38B376D8">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（一）设计范围及工作界面</w:t>
      </w:r>
    </w:p>
    <w:p w14:paraId="57E311F6">
      <w:pPr>
        <w:spacing w:line="360" w:lineRule="auto"/>
        <w:ind w:firstLine="720" w:firstLineChars="300"/>
        <w:rPr>
          <w:rFonts w:hint="eastAsia" w:ascii="宋体" w:hAnsi="宋体" w:cs="宋体"/>
          <w:color w:val="auto"/>
          <w:highlight w:val="none"/>
        </w:rPr>
      </w:pPr>
      <w:r>
        <w:rPr>
          <w:rFonts w:hint="eastAsia" w:cs="宋体"/>
          <w:color w:val="auto"/>
          <w:highlight w:val="none"/>
        </w:rPr>
        <w:t>完成本项目施工图设计、深化设计等所有项目设计内容。若项目实施过程中有新增加的相关设计内容，设计单位须无条件配合，设计费用也不再增加。</w:t>
      </w:r>
    </w:p>
    <w:p w14:paraId="3D34EDDF">
      <w:pPr>
        <w:numPr>
          <w:ilvl w:val="0"/>
          <w:numId w:val="49"/>
        </w:num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采购范围及工作界面</w:t>
      </w:r>
    </w:p>
    <w:p w14:paraId="3296663E">
      <w:pPr>
        <w:spacing w:line="360" w:lineRule="auto"/>
        <w:ind w:firstLine="720" w:firstLineChars="300"/>
        <w:rPr>
          <w:rFonts w:cs="宋体"/>
          <w:color w:val="auto"/>
          <w:highlight w:val="none"/>
        </w:rPr>
      </w:pPr>
      <w:r>
        <w:rPr>
          <w:rFonts w:hint="eastAsia" w:cs="宋体"/>
          <w:color w:val="auto"/>
          <w:highlight w:val="none"/>
        </w:rPr>
        <w:t>舞台舞美装置设备及软硬件等的采购、运输、货到就位以及安装、调试、技术培训、保修等一切项目内容</w:t>
      </w:r>
    </w:p>
    <w:p w14:paraId="4EDD3762">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（三）施工范围及工作界面</w:t>
      </w:r>
    </w:p>
    <w:p w14:paraId="17A282CC">
      <w:pPr>
        <w:pStyle w:val="40"/>
        <w:spacing w:line="360" w:lineRule="auto"/>
        <w:ind w:firstLine="480"/>
        <w:rPr>
          <w:rFonts w:hint="eastAsia" w:ascii="宋体" w:hAnsi="宋体" w:cs="宋体"/>
          <w:color w:val="auto"/>
          <w:highlight w:val="none"/>
        </w:rPr>
      </w:pPr>
      <w:r>
        <w:rPr>
          <w:rFonts w:hint="eastAsia" w:ascii="宋体" w:hAnsi="宋体" w:cs="宋体"/>
          <w:color w:val="auto"/>
          <w:highlight w:val="none"/>
        </w:rPr>
        <w:t>施工图设计范围内的所有施工内容，具体包括但不限于：装饰工程、安装工程、设备工程、设备供应等项目所包含的专业和内容。</w:t>
      </w:r>
    </w:p>
    <w:p w14:paraId="50807791">
      <w:pPr>
        <w:pStyle w:val="40"/>
        <w:spacing w:line="360" w:lineRule="auto"/>
        <w:ind w:firstLine="480"/>
        <w:rPr>
          <w:rFonts w:hint="eastAsia" w:ascii="宋体" w:hAnsi="宋体" w:cs="宋体"/>
          <w:color w:val="auto"/>
          <w:highlight w:val="none"/>
        </w:rPr>
      </w:pPr>
      <w:r>
        <w:rPr>
          <w:rFonts w:hint="eastAsia" w:ascii="宋体" w:hAnsi="宋体" w:cs="宋体"/>
          <w:color w:val="auto"/>
          <w:highlight w:val="none"/>
        </w:rPr>
        <w:t>（四）工程总承包管理范围及工作界面</w:t>
      </w:r>
    </w:p>
    <w:p w14:paraId="6B77DD00">
      <w:pPr>
        <w:pStyle w:val="40"/>
        <w:spacing w:line="360" w:lineRule="auto"/>
        <w:ind w:firstLine="480"/>
        <w:rPr>
          <w:rFonts w:hint="eastAsia" w:ascii="宋体" w:hAnsi="宋体" w:cs="宋体"/>
          <w:color w:val="auto"/>
          <w:highlight w:val="none"/>
        </w:rPr>
      </w:pPr>
      <w:r>
        <w:rPr>
          <w:rFonts w:hint="eastAsia" w:ascii="宋体" w:hAnsi="宋体" w:cs="宋体"/>
          <w:color w:val="auto"/>
          <w:highlight w:val="none"/>
        </w:rPr>
        <w:t>包含工程各方面的管理协调、前后期手续（报批报建）、工程相关资料的整理存档、验收、备案、移交相关的工作内容（包含工程竣工验收，专项验收，工程移交，结算送审，竣工图制作，竣工资料城建归档，工程竣工备案等；质保期的保修服务；工程项目的质量、安全、进度、费用、合同、信息等管理和控制；总承包配合协调的工作范围和界面及发包人另行委托的第三方检测服务的范围和界面并承担相关费用的划分等。</w:t>
      </w:r>
    </w:p>
    <w:p w14:paraId="70663558">
      <w:pPr>
        <w:pStyle w:val="17"/>
        <w:ind w:firstLine="480" w:firstLineChars="200"/>
        <w:jc w:val="left"/>
        <w:rPr>
          <w:rFonts w:hint="eastAsia" w:cs="宋体"/>
          <w:color w:val="auto"/>
          <w:highlight w:val="none"/>
        </w:rPr>
      </w:pPr>
      <w:r>
        <w:rPr>
          <w:rFonts w:hint="eastAsia" w:cs="宋体"/>
          <w:color w:val="auto"/>
          <w:highlight w:val="none"/>
        </w:rPr>
        <w:t>（五）其他工作范围及工作界面</w:t>
      </w:r>
    </w:p>
    <w:p w14:paraId="1C1963FC">
      <w:pPr>
        <w:spacing w:line="360" w:lineRule="auto"/>
        <w:ind w:firstLine="480" w:firstLineChars="200"/>
        <w:rPr>
          <w:rFonts w:cs="宋体"/>
          <w:color w:val="auto"/>
          <w:highlight w:val="none"/>
        </w:rPr>
      </w:pPr>
      <w:r>
        <w:rPr>
          <w:rFonts w:hint="eastAsia" w:cs="宋体"/>
          <w:color w:val="auto"/>
          <w:highlight w:val="none"/>
        </w:rPr>
        <w:t>完成施工图预算编制及审查配合、配合招标人完成各种报审工作、部门协调配合工作等相关内容。</w:t>
      </w:r>
    </w:p>
    <w:p w14:paraId="151D8D7F">
      <w:pPr>
        <w:spacing w:line="360" w:lineRule="auto"/>
        <w:ind w:firstLine="480" w:firstLineChars="200"/>
        <w:rPr>
          <w:rFonts w:hint="eastAsia" w:ascii="宋体" w:hAnsi="宋体" w:cs="宋体"/>
          <w:color w:val="auto"/>
          <w:szCs w:val="22"/>
          <w:highlight w:val="none"/>
        </w:rPr>
      </w:pPr>
      <w:r>
        <w:rPr>
          <w:rFonts w:hint="eastAsia" w:ascii="宋体" w:hAnsi="宋体" w:cs="宋体"/>
          <w:color w:val="auto"/>
          <w:szCs w:val="22"/>
          <w:highlight w:val="none"/>
        </w:rPr>
        <w:t>其他承包范围可按下表格式划分：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1842"/>
        <w:gridCol w:w="1701"/>
        <w:gridCol w:w="1497"/>
      </w:tblGrid>
      <w:tr w14:paraId="1C40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256" w:type="dxa"/>
            <w:vMerge w:val="restart"/>
            <w:tcBorders>
              <w:top w:val="single" w:color="auto" w:sz="4" w:space="0"/>
              <w:left w:val="single" w:color="auto" w:sz="4" w:space="0"/>
              <w:bottom w:val="single" w:color="auto" w:sz="4" w:space="0"/>
              <w:right w:val="single" w:color="auto" w:sz="4" w:space="0"/>
            </w:tcBorders>
          </w:tcPr>
          <w:p w14:paraId="29C9F789">
            <w:pPr>
              <w:spacing w:line="360" w:lineRule="auto"/>
              <w:rPr>
                <w:rFonts w:hint="eastAsia" w:ascii="宋体" w:hAnsi="宋体" w:cs="宋体"/>
                <w:color w:val="auto"/>
                <w:highlight w:val="none"/>
              </w:rPr>
            </w:pPr>
            <w:r>
              <w:rPr>
                <w:rFonts w:hint="eastAsia" w:ascii="宋体" w:hAnsi="宋体" w:cs="宋体"/>
                <w:color w:val="auto"/>
                <w:highlight w:val="none"/>
              </w:rPr>
              <w:t>工程总承包专项工作</w:t>
            </w:r>
          </w:p>
        </w:tc>
        <w:tc>
          <w:tcPr>
            <w:tcW w:w="3543" w:type="dxa"/>
            <w:gridSpan w:val="2"/>
            <w:tcBorders>
              <w:top w:val="single" w:color="auto" w:sz="4" w:space="0"/>
              <w:left w:val="single" w:color="auto" w:sz="4" w:space="0"/>
              <w:bottom w:val="single" w:color="auto" w:sz="4" w:space="0"/>
              <w:right w:val="single" w:color="auto" w:sz="4" w:space="0"/>
            </w:tcBorders>
          </w:tcPr>
          <w:p w14:paraId="442A17AA">
            <w:pPr>
              <w:spacing w:line="360" w:lineRule="auto"/>
              <w:rPr>
                <w:rFonts w:hint="eastAsia" w:ascii="宋体" w:hAnsi="宋体" w:cs="宋体"/>
                <w:color w:val="auto"/>
                <w:highlight w:val="none"/>
              </w:rPr>
            </w:pPr>
            <w:r>
              <w:rPr>
                <w:rFonts w:hint="eastAsia" w:ascii="宋体" w:hAnsi="宋体" w:cs="宋体"/>
                <w:color w:val="auto"/>
                <w:highlight w:val="none"/>
              </w:rPr>
              <w:t>是否包含在工程总承包范围内</w:t>
            </w:r>
          </w:p>
        </w:tc>
        <w:tc>
          <w:tcPr>
            <w:tcW w:w="1497" w:type="dxa"/>
            <w:vMerge w:val="restart"/>
            <w:tcBorders>
              <w:top w:val="single" w:color="auto" w:sz="4" w:space="0"/>
              <w:left w:val="single" w:color="auto" w:sz="4" w:space="0"/>
              <w:bottom w:val="single" w:color="auto" w:sz="4" w:space="0"/>
              <w:right w:val="single" w:color="auto" w:sz="4" w:space="0"/>
            </w:tcBorders>
          </w:tcPr>
          <w:p w14:paraId="1DDAA6E2">
            <w:pPr>
              <w:spacing w:line="360" w:lineRule="auto"/>
              <w:rPr>
                <w:rFonts w:hint="eastAsia" w:ascii="宋体" w:hAnsi="宋体" w:cs="宋体"/>
                <w:color w:val="auto"/>
                <w:highlight w:val="none"/>
              </w:rPr>
            </w:pPr>
            <w:r>
              <w:rPr>
                <w:rFonts w:hint="eastAsia" w:ascii="宋体" w:hAnsi="宋体" w:cs="宋体"/>
                <w:color w:val="auto"/>
                <w:highlight w:val="none"/>
              </w:rPr>
              <w:t>备注</w:t>
            </w:r>
          </w:p>
          <w:p w14:paraId="6840E293">
            <w:pPr>
              <w:spacing w:line="360" w:lineRule="auto"/>
              <w:rPr>
                <w:rFonts w:hint="eastAsia" w:ascii="宋体" w:hAnsi="宋体" w:cs="宋体"/>
                <w:color w:val="auto"/>
                <w:highlight w:val="none"/>
              </w:rPr>
            </w:pPr>
          </w:p>
        </w:tc>
      </w:tr>
      <w:tr w14:paraId="62F3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256" w:type="dxa"/>
            <w:vMerge w:val="continue"/>
          </w:tcPr>
          <w:p w14:paraId="0440E7B5">
            <w:pPr>
              <w:spacing w:line="360" w:lineRule="auto"/>
              <w:jc w:val="center"/>
              <w:rPr>
                <w:rFonts w:hint="eastAsia" w:ascii="宋体" w:hAnsi="宋体" w:cs="宋体"/>
                <w:color w:val="auto"/>
                <w:highlight w:val="none"/>
              </w:rPr>
            </w:pPr>
          </w:p>
        </w:tc>
        <w:tc>
          <w:tcPr>
            <w:tcW w:w="1842" w:type="dxa"/>
          </w:tcPr>
          <w:p w14:paraId="4905C19A">
            <w:pPr>
              <w:spacing w:line="360" w:lineRule="auto"/>
              <w:jc w:val="center"/>
              <w:rPr>
                <w:rFonts w:hint="eastAsia" w:ascii="宋体" w:hAnsi="宋体" w:cs="宋体"/>
                <w:color w:val="auto"/>
                <w:highlight w:val="none"/>
              </w:rPr>
            </w:pPr>
            <w:r>
              <w:rPr>
                <w:rFonts w:hint="eastAsia" w:ascii="宋体" w:hAnsi="宋体" w:cs="宋体"/>
                <w:color w:val="auto"/>
                <w:highlight w:val="none"/>
              </w:rPr>
              <w:t>是</w:t>
            </w:r>
          </w:p>
        </w:tc>
        <w:tc>
          <w:tcPr>
            <w:tcW w:w="1701" w:type="dxa"/>
          </w:tcPr>
          <w:p w14:paraId="7CE10948">
            <w:pPr>
              <w:spacing w:line="360" w:lineRule="auto"/>
              <w:jc w:val="center"/>
              <w:rPr>
                <w:rFonts w:hint="eastAsia" w:ascii="宋体" w:hAnsi="宋体" w:cs="宋体"/>
                <w:color w:val="auto"/>
                <w:highlight w:val="none"/>
              </w:rPr>
            </w:pPr>
            <w:r>
              <w:rPr>
                <w:rFonts w:hint="eastAsia" w:ascii="宋体" w:hAnsi="宋体" w:cs="宋体"/>
                <w:color w:val="auto"/>
                <w:highlight w:val="none"/>
              </w:rPr>
              <w:t>否</w:t>
            </w:r>
          </w:p>
        </w:tc>
        <w:tc>
          <w:tcPr>
            <w:tcW w:w="1497" w:type="dxa"/>
            <w:vMerge w:val="continue"/>
          </w:tcPr>
          <w:p w14:paraId="602E1547">
            <w:pPr>
              <w:spacing w:line="360" w:lineRule="auto"/>
              <w:jc w:val="center"/>
              <w:rPr>
                <w:rFonts w:hint="eastAsia" w:ascii="宋体" w:hAnsi="宋体" w:cs="宋体"/>
                <w:color w:val="auto"/>
                <w:highlight w:val="none"/>
              </w:rPr>
            </w:pPr>
          </w:p>
        </w:tc>
      </w:tr>
      <w:tr w14:paraId="53CD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vAlign w:val="center"/>
          </w:tcPr>
          <w:p w14:paraId="24B9F537">
            <w:pPr>
              <w:spacing w:line="360" w:lineRule="auto"/>
              <w:jc w:val="center"/>
              <w:rPr>
                <w:rFonts w:hint="eastAsia" w:ascii="宋体" w:hAnsi="宋体" w:cs="宋体"/>
                <w:color w:val="auto"/>
                <w:highlight w:val="none"/>
              </w:rPr>
            </w:pPr>
            <w:r>
              <w:rPr>
                <w:rFonts w:hint="eastAsia" w:ascii="宋体" w:hAnsi="宋体" w:cs="宋体"/>
                <w:color w:val="auto"/>
                <w:highlight w:val="none"/>
              </w:rPr>
              <w:t>工程保险</w:t>
            </w:r>
          </w:p>
        </w:tc>
        <w:tc>
          <w:tcPr>
            <w:tcW w:w="1842" w:type="dxa"/>
          </w:tcPr>
          <w:p w14:paraId="0D00FC33">
            <w:pPr>
              <w:spacing w:line="360" w:lineRule="auto"/>
              <w:jc w:val="center"/>
              <w:rPr>
                <w:rFonts w:hint="eastAsia" w:ascii="宋体" w:hAnsi="宋体" w:cs="宋体"/>
                <w:color w:val="auto"/>
                <w:highlight w:val="none"/>
              </w:rPr>
            </w:pPr>
          </w:p>
        </w:tc>
        <w:tc>
          <w:tcPr>
            <w:tcW w:w="1701" w:type="dxa"/>
          </w:tcPr>
          <w:p w14:paraId="79D7F35C">
            <w:pPr>
              <w:spacing w:line="360" w:lineRule="auto"/>
              <w:jc w:val="center"/>
              <w:rPr>
                <w:rFonts w:hint="eastAsia" w:ascii="宋体" w:hAnsi="宋体" w:cs="宋体"/>
                <w:color w:val="auto"/>
                <w:highlight w:val="none"/>
              </w:rPr>
            </w:pPr>
          </w:p>
        </w:tc>
        <w:tc>
          <w:tcPr>
            <w:tcW w:w="1497" w:type="dxa"/>
          </w:tcPr>
          <w:p w14:paraId="6CA01185">
            <w:pPr>
              <w:spacing w:line="360" w:lineRule="auto"/>
              <w:jc w:val="center"/>
              <w:rPr>
                <w:rFonts w:hint="eastAsia" w:ascii="宋体" w:hAnsi="宋体" w:cs="宋体"/>
                <w:color w:val="auto"/>
                <w:highlight w:val="none"/>
              </w:rPr>
            </w:pPr>
          </w:p>
        </w:tc>
      </w:tr>
      <w:tr w14:paraId="68A3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vAlign w:val="center"/>
          </w:tcPr>
          <w:p w14:paraId="7E779121">
            <w:pPr>
              <w:spacing w:line="360" w:lineRule="auto"/>
              <w:jc w:val="center"/>
              <w:rPr>
                <w:rFonts w:hint="eastAsia" w:ascii="宋体" w:hAnsi="宋体" w:cs="宋体"/>
                <w:color w:val="auto"/>
                <w:highlight w:val="none"/>
              </w:rPr>
            </w:pPr>
            <w:r>
              <w:rPr>
                <w:rFonts w:hint="eastAsia" w:ascii="宋体" w:hAnsi="宋体" w:cs="宋体"/>
                <w:color w:val="auto"/>
                <w:highlight w:val="none"/>
              </w:rPr>
              <w:t>场地准备及临时设施</w:t>
            </w:r>
          </w:p>
        </w:tc>
        <w:tc>
          <w:tcPr>
            <w:tcW w:w="1842" w:type="dxa"/>
          </w:tcPr>
          <w:p w14:paraId="4C079AEB">
            <w:pPr>
              <w:spacing w:line="360" w:lineRule="auto"/>
              <w:jc w:val="center"/>
              <w:rPr>
                <w:rFonts w:hint="eastAsia" w:ascii="宋体" w:hAnsi="宋体" w:cs="宋体"/>
                <w:color w:val="auto"/>
                <w:highlight w:val="none"/>
              </w:rPr>
            </w:pPr>
          </w:p>
        </w:tc>
        <w:tc>
          <w:tcPr>
            <w:tcW w:w="1701" w:type="dxa"/>
          </w:tcPr>
          <w:p w14:paraId="5ACF13FE">
            <w:pPr>
              <w:spacing w:line="360" w:lineRule="auto"/>
              <w:jc w:val="center"/>
              <w:rPr>
                <w:rFonts w:hint="eastAsia" w:ascii="宋体" w:hAnsi="宋体" w:cs="宋体"/>
                <w:color w:val="auto"/>
                <w:highlight w:val="none"/>
              </w:rPr>
            </w:pPr>
          </w:p>
        </w:tc>
        <w:tc>
          <w:tcPr>
            <w:tcW w:w="1497" w:type="dxa"/>
          </w:tcPr>
          <w:p w14:paraId="553EE352">
            <w:pPr>
              <w:spacing w:line="360" w:lineRule="auto"/>
              <w:jc w:val="center"/>
              <w:rPr>
                <w:rFonts w:hint="eastAsia" w:ascii="宋体" w:hAnsi="宋体" w:cs="宋体"/>
                <w:color w:val="auto"/>
                <w:highlight w:val="none"/>
              </w:rPr>
            </w:pPr>
          </w:p>
        </w:tc>
      </w:tr>
      <w:tr w14:paraId="1DA6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vAlign w:val="center"/>
          </w:tcPr>
          <w:p w14:paraId="6702A913">
            <w:pPr>
              <w:spacing w:line="360" w:lineRule="auto"/>
              <w:jc w:val="center"/>
              <w:rPr>
                <w:rFonts w:hint="eastAsia" w:ascii="宋体" w:hAnsi="宋体" w:cs="宋体"/>
                <w:color w:val="auto"/>
                <w:highlight w:val="none"/>
              </w:rPr>
            </w:pPr>
            <w:r>
              <w:rPr>
                <w:rFonts w:hint="eastAsia" w:ascii="宋体" w:hAnsi="宋体" w:cs="宋体"/>
                <w:color w:val="auto"/>
                <w:highlight w:val="none"/>
              </w:rPr>
              <w:t>BIM技术应用</w:t>
            </w:r>
          </w:p>
        </w:tc>
        <w:tc>
          <w:tcPr>
            <w:tcW w:w="1842" w:type="dxa"/>
          </w:tcPr>
          <w:p w14:paraId="6C1D1A70">
            <w:pPr>
              <w:spacing w:line="360" w:lineRule="auto"/>
              <w:jc w:val="center"/>
              <w:rPr>
                <w:rFonts w:hint="eastAsia" w:ascii="宋体" w:hAnsi="宋体" w:cs="宋体"/>
                <w:color w:val="auto"/>
                <w:highlight w:val="none"/>
              </w:rPr>
            </w:pPr>
          </w:p>
        </w:tc>
        <w:tc>
          <w:tcPr>
            <w:tcW w:w="1701" w:type="dxa"/>
          </w:tcPr>
          <w:p w14:paraId="338C210A">
            <w:pPr>
              <w:spacing w:line="360" w:lineRule="auto"/>
              <w:jc w:val="center"/>
              <w:rPr>
                <w:rFonts w:hint="eastAsia" w:ascii="宋体" w:hAnsi="宋体" w:cs="宋体"/>
                <w:color w:val="auto"/>
                <w:highlight w:val="none"/>
              </w:rPr>
            </w:pPr>
          </w:p>
        </w:tc>
        <w:tc>
          <w:tcPr>
            <w:tcW w:w="1497" w:type="dxa"/>
          </w:tcPr>
          <w:p w14:paraId="21DC5B45">
            <w:pPr>
              <w:spacing w:line="360" w:lineRule="auto"/>
              <w:jc w:val="center"/>
              <w:rPr>
                <w:rFonts w:hint="eastAsia" w:ascii="宋体" w:hAnsi="宋体" w:cs="宋体"/>
                <w:color w:val="auto"/>
                <w:highlight w:val="none"/>
              </w:rPr>
            </w:pPr>
          </w:p>
        </w:tc>
      </w:tr>
      <w:tr w14:paraId="1EA6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vAlign w:val="center"/>
          </w:tcPr>
          <w:p w14:paraId="0A8D3FE2">
            <w:pPr>
              <w:spacing w:line="360" w:lineRule="auto"/>
              <w:jc w:val="center"/>
              <w:rPr>
                <w:rFonts w:hint="eastAsia" w:ascii="宋体" w:hAnsi="宋体" w:cs="宋体"/>
                <w:color w:val="auto"/>
                <w:highlight w:val="none"/>
              </w:rPr>
            </w:pPr>
            <w:r>
              <w:rPr>
                <w:rFonts w:hint="eastAsia" w:ascii="宋体" w:hAnsi="宋体" w:cs="宋体"/>
                <w:color w:val="auto"/>
                <w:highlight w:val="none"/>
              </w:rPr>
              <w:t>管线迁改</w:t>
            </w:r>
          </w:p>
        </w:tc>
        <w:tc>
          <w:tcPr>
            <w:tcW w:w="1842" w:type="dxa"/>
          </w:tcPr>
          <w:p w14:paraId="67D880F0">
            <w:pPr>
              <w:spacing w:line="360" w:lineRule="auto"/>
              <w:jc w:val="center"/>
              <w:rPr>
                <w:rFonts w:hint="eastAsia" w:ascii="宋体" w:hAnsi="宋体" w:cs="宋体"/>
                <w:color w:val="auto"/>
                <w:highlight w:val="none"/>
              </w:rPr>
            </w:pPr>
          </w:p>
        </w:tc>
        <w:tc>
          <w:tcPr>
            <w:tcW w:w="1701" w:type="dxa"/>
          </w:tcPr>
          <w:p w14:paraId="77D76E18">
            <w:pPr>
              <w:spacing w:line="360" w:lineRule="auto"/>
              <w:jc w:val="center"/>
              <w:rPr>
                <w:rFonts w:hint="eastAsia" w:ascii="宋体" w:hAnsi="宋体" w:cs="宋体"/>
                <w:color w:val="auto"/>
                <w:highlight w:val="none"/>
              </w:rPr>
            </w:pPr>
          </w:p>
        </w:tc>
        <w:tc>
          <w:tcPr>
            <w:tcW w:w="1497" w:type="dxa"/>
          </w:tcPr>
          <w:p w14:paraId="1EA7990A">
            <w:pPr>
              <w:spacing w:line="360" w:lineRule="auto"/>
              <w:jc w:val="center"/>
              <w:rPr>
                <w:rFonts w:hint="eastAsia" w:ascii="宋体" w:hAnsi="宋体" w:cs="宋体"/>
                <w:color w:val="auto"/>
                <w:highlight w:val="none"/>
              </w:rPr>
            </w:pPr>
          </w:p>
        </w:tc>
      </w:tr>
      <w:tr w14:paraId="1961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vAlign w:val="center"/>
          </w:tcPr>
          <w:p w14:paraId="01239728">
            <w:pPr>
              <w:spacing w:line="360" w:lineRule="auto"/>
              <w:jc w:val="center"/>
              <w:rPr>
                <w:rFonts w:hint="eastAsia" w:ascii="宋体" w:hAnsi="宋体" w:cs="宋体"/>
                <w:color w:val="auto"/>
                <w:highlight w:val="none"/>
              </w:rPr>
            </w:pPr>
            <w:r>
              <w:rPr>
                <w:rFonts w:hint="eastAsia" w:ascii="宋体" w:hAnsi="宋体" w:cs="宋体"/>
                <w:color w:val="auto"/>
                <w:highlight w:val="none"/>
              </w:rPr>
              <w:t>苗木迁移</w:t>
            </w:r>
          </w:p>
        </w:tc>
        <w:tc>
          <w:tcPr>
            <w:tcW w:w="1842" w:type="dxa"/>
          </w:tcPr>
          <w:p w14:paraId="4D6A855D">
            <w:pPr>
              <w:spacing w:line="360" w:lineRule="auto"/>
              <w:jc w:val="center"/>
              <w:rPr>
                <w:rFonts w:hint="eastAsia" w:ascii="宋体" w:hAnsi="宋体" w:cs="宋体"/>
                <w:color w:val="auto"/>
                <w:highlight w:val="none"/>
              </w:rPr>
            </w:pPr>
          </w:p>
        </w:tc>
        <w:tc>
          <w:tcPr>
            <w:tcW w:w="1701" w:type="dxa"/>
          </w:tcPr>
          <w:p w14:paraId="0A8B2498">
            <w:pPr>
              <w:spacing w:line="360" w:lineRule="auto"/>
              <w:jc w:val="center"/>
              <w:rPr>
                <w:rFonts w:hint="eastAsia" w:ascii="宋体" w:hAnsi="宋体" w:cs="宋体"/>
                <w:color w:val="auto"/>
                <w:highlight w:val="none"/>
              </w:rPr>
            </w:pPr>
          </w:p>
        </w:tc>
        <w:tc>
          <w:tcPr>
            <w:tcW w:w="1497" w:type="dxa"/>
          </w:tcPr>
          <w:p w14:paraId="17079810">
            <w:pPr>
              <w:spacing w:line="360" w:lineRule="auto"/>
              <w:jc w:val="center"/>
              <w:rPr>
                <w:rFonts w:hint="eastAsia" w:ascii="宋体" w:hAnsi="宋体" w:cs="宋体"/>
                <w:color w:val="auto"/>
                <w:highlight w:val="none"/>
              </w:rPr>
            </w:pPr>
          </w:p>
        </w:tc>
      </w:tr>
      <w:tr w14:paraId="231C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vAlign w:val="center"/>
          </w:tcPr>
          <w:p w14:paraId="484CB4F7">
            <w:pPr>
              <w:spacing w:line="360" w:lineRule="auto"/>
              <w:jc w:val="center"/>
              <w:rPr>
                <w:rFonts w:hint="eastAsia" w:ascii="宋体" w:hAnsi="宋体" w:cs="宋体"/>
                <w:color w:val="auto"/>
                <w:highlight w:val="none"/>
              </w:rPr>
            </w:pPr>
            <w:r>
              <w:rPr>
                <w:rFonts w:hint="eastAsia" w:ascii="宋体" w:hAnsi="宋体" w:cs="宋体"/>
                <w:color w:val="auto"/>
                <w:highlight w:val="none"/>
              </w:rPr>
              <w:t>联合试运转</w:t>
            </w:r>
          </w:p>
        </w:tc>
        <w:tc>
          <w:tcPr>
            <w:tcW w:w="1842" w:type="dxa"/>
          </w:tcPr>
          <w:p w14:paraId="41C73E6C">
            <w:pPr>
              <w:spacing w:line="360" w:lineRule="auto"/>
              <w:jc w:val="center"/>
              <w:rPr>
                <w:rFonts w:hint="eastAsia" w:ascii="宋体" w:hAnsi="宋体" w:cs="宋体"/>
                <w:color w:val="auto"/>
                <w:highlight w:val="none"/>
              </w:rPr>
            </w:pPr>
          </w:p>
        </w:tc>
        <w:tc>
          <w:tcPr>
            <w:tcW w:w="1701" w:type="dxa"/>
          </w:tcPr>
          <w:p w14:paraId="13B29525">
            <w:pPr>
              <w:spacing w:line="360" w:lineRule="auto"/>
              <w:jc w:val="center"/>
              <w:rPr>
                <w:rFonts w:hint="eastAsia" w:ascii="宋体" w:hAnsi="宋体" w:cs="宋体"/>
                <w:color w:val="auto"/>
                <w:highlight w:val="none"/>
              </w:rPr>
            </w:pPr>
          </w:p>
        </w:tc>
        <w:tc>
          <w:tcPr>
            <w:tcW w:w="1497" w:type="dxa"/>
          </w:tcPr>
          <w:p w14:paraId="45107319">
            <w:pPr>
              <w:spacing w:line="360" w:lineRule="auto"/>
              <w:jc w:val="center"/>
              <w:rPr>
                <w:rFonts w:hint="eastAsia" w:ascii="宋体" w:hAnsi="宋体" w:cs="宋体"/>
                <w:color w:val="auto"/>
                <w:highlight w:val="none"/>
              </w:rPr>
            </w:pPr>
          </w:p>
        </w:tc>
      </w:tr>
      <w:tr w14:paraId="6632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vAlign w:val="center"/>
          </w:tcPr>
          <w:p w14:paraId="143F3F66">
            <w:pPr>
              <w:spacing w:line="360" w:lineRule="auto"/>
              <w:jc w:val="center"/>
              <w:rPr>
                <w:rFonts w:hint="eastAsia" w:ascii="宋体" w:hAnsi="宋体" w:cs="宋体"/>
                <w:color w:val="auto"/>
                <w:highlight w:val="none"/>
              </w:rPr>
            </w:pPr>
            <w:r>
              <w:rPr>
                <w:rFonts w:hint="eastAsia" w:ascii="宋体" w:hAnsi="宋体" w:cs="宋体"/>
                <w:color w:val="auto"/>
                <w:highlight w:val="none"/>
              </w:rPr>
              <w:t>引进技术和引进设备其他</w:t>
            </w:r>
          </w:p>
        </w:tc>
        <w:tc>
          <w:tcPr>
            <w:tcW w:w="1842" w:type="dxa"/>
          </w:tcPr>
          <w:p w14:paraId="596FE719">
            <w:pPr>
              <w:spacing w:line="360" w:lineRule="auto"/>
              <w:jc w:val="center"/>
              <w:rPr>
                <w:rFonts w:hint="eastAsia" w:ascii="宋体" w:hAnsi="宋体" w:cs="宋体"/>
                <w:color w:val="auto"/>
                <w:highlight w:val="none"/>
              </w:rPr>
            </w:pPr>
          </w:p>
        </w:tc>
        <w:tc>
          <w:tcPr>
            <w:tcW w:w="1701" w:type="dxa"/>
          </w:tcPr>
          <w:p w14:paraId="35018904">
            <w:pPr>
              <w:spacing w:line="360" w:lineRule="auto"/>
              <w:jc w:val="center"/>
              <w:rPr>
                <w:rFonts w:hint="eastAsia" w:ascii="宋体" w:hAnsi="宋体" w:cs="宋体"/>
                <w:color w:val="auto"/>
                <w:highlight w:val="none"/>
              </w:rPr>
            </w:pPr>
          </w:p>
        </w:tc>
        <w:tc>
          <w:tcPr>
            <w:tcW w:w="1497" w:type="dxa"/>
          </w:tcPr>
          <w:p w14:paraId="16F23D9D">
            <w:pPr>
              <w:spacing w:line="360" w:lineRule="auto"/>
              <w:jc w:val="center"/>
              <w:rPr>
                <w:rFonts w:hint="eastAsia" w:ascii="宋体" w:hAnsi="宋体" w:cs="宋体"/>
                <w:color w:val="auto"/>
                <w:highlight w:val="none"/>
              </w:rPr>
            </w:pPr>
          </w:p>
        </w:tc>
      </w:tr>
      <w:tr w14:paraId="5CEF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vAlign w:val="center"/>
          </w:tcPr>
          <w:p w14:paraId="3A0E7D00">
            <w:pPr>
              <w:spacing w:line="360" w:lineRule="auto"/>
              <w:jc w:val="center"/>
              <w:rPr>
                <w:rFonts w:hint="eastAsia" w:ascii="宋体" w:hAnsi="宋体" w:cs="宋体"/>
                <w:color w:val="auto"/>
                <w:highlight w:val="none"/>
              </w:rPr>
            </w:pPr>
            <w:r>
              <w:rPr>
                <w:rFonts w:hint="eastAsia" w:ascii="宋体" w:hAnsi="宋体" w:cs="宋体"/>
                <w:color w:val="auto"/>
                <w:highlight w:val="none"/>
              </w:rPr>
              <w:t>测绘</w:t>
            </w:r>
          </w:p>
        </w:tc>
        <w:tc>
          <w:tcPr>
            <w:tcW w:w="1842" w:type="dxa"/>
          </w:tcPr>
          <w:p w14:paraId="58DE2B76">
            <w:pPr>
              <w:spacing w:line="360" w:lineRule="auto"/>
              <w:jc w:val="center"/>
              <w:rPr>
                <w:rFonts w:hint="eastAsia" w:ascii="宋体" w:hAnsi="宋体" w:cs="宋体"/>
                <w:color w:val="auto"/>
                <w:highlight w:val="none"/>
              </w:rPr>
            </w:pPr>
          </w:p>
        </w:tc>
        <w:tc>
          <w:tcPr>
            <w:tcW w:w="1701" w:type="dxa"/>
          </w:tcPr>
          <w:p w14:paraId="5E362C20">
            <w:pPr>
              <w:spacing w:line="360" w:lineRule="auto"/>
              <w:jc w:val="center"/>
              <w:rPr>
                <w:rFonts w:hint="eastAsia" w:ascii="宋体" w:hAnsi="宋体" w:cs="宋体"/>
                <w:color w:val="auto"/>
                <w:highlight w:val="none"/>
              </w:rPr>
            </w:pPr>
          </w:p>
        </w:tc>
        <w:tc>
          <w:tcPr>
            <w:tcW w:w="1497" w:type="dxa"/>
          </w:tcPr>
          <w:p w14:paraId="5F47B4CB">
            <w:pPr>
              <w:spacing w:line="360" w:lineRule="auto"/>
              <w:jc w:val="center"/>
              <w:rPr>
                <w:rFonts w:hint="eastAsia" w:ascii="宋体" w:hAnsi="宋体" w:cs="宋体"/>
                <w:color w:val="auto"/>
                <w:highlight w:val="none"/>
              </w:rPr>
            </w:pPr>
          </w:p>
        </w:tc>
      </w:tr>
      <w:tr w14:paraId="4B4B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vAlign w:val="center"/>
          </w:tcPr>
          <w:p w14:paraId="7506E618">
            <w:pPr>
              <w:spacing w:line="360" w:lineRule="auto"/>
              <w:jc w:val="center"/>
              <w:rPr>
                <w:rFonts w:hint="eastAsia" w:ascii="宋体" w:hAnsi="宋体" w:cs="宋体"/>
                <w:color w:val="auto"/>
                <w:highlight w:val="none"/>
              </w:rPr>
            </w:pPr>
            <w:r>
              <w:rPr>
                <w:rFonts w:hint="eastAsia" w:ascii="宋体" w:hAnsi="宋体" w:cs="宋体"/>
                <w:color w:val="auto"/>
                <w:highlight w:val="none"/>
              </w:rPr>
              <w:t>专利及专有技术使用</w:t>
            </w:r>
          </w:p>
        </w:tc>
        <w:tc>
          <w:tcPr>
            <w:tcW w:w="1842" w:type="dxa"/>
          </w:tcPr>
          <w:p w14:paraId="24B62F3D">
            <w:pPr>
              <w:spacing w:line="360" w:lineRule="auto"/>
              <w:jc w:val="center"/>
              <w:rPr>
                <w:rFonts w:hint="eastAsia" w:ascii="宋体" w:hAnsi="宋体" w:cs="宋体"/>
                <w:color w:val="auto"/>
                <w:highlight w:val="none"/>
              </w:rPr>
            </w:pPr>
          </w:p>
        </w:tc>
        <w:tc>
          <w:tcPr>
            <w:tcW w:w="1701" w:type="dxa"/>
          </w:tcPr>
          <w:p w14:paraId="7C3F0F33">
            <w:pPr>
              <w:spacing w:line="360" w:lineRule="auto"/>
              <w:jc w:val="center"/>
              <w:rPr>
                <w:rFonts w:hint="eastAsia" w:ascii="宋体" w:hAnsi="宋体" w:cs="宋体"/>
                <w:color w:val="auto"/>
                <w:highlight w:val="none"/>
              </w:rPr>
            </w:pPr>
          </w:p>
        </w:tc>
        <w:tc>
          <w:tcPr>
            <w:tcW w:w="1497" w:type="dxa"/>
          </w:tcPr>
          <w:p w14:paraId="1A3701C7">
            <w:pPr>
              <w:spacing w:line="360" w:lineRule="auto"/>
              <w:jc w:val="center"/>
              <w:rPr>
                <w:rFonts w:hint="eastAsia" w:ascii="宋体" w:hAnsi="宋体" w:cs="宋体"/>
                <w:color w:val="auto"/>
                <w:highlight w:val="none"/>
              </w:rPr>
            </w:pPr>
          </w:p>
        </w:tc>
      </w:tr>
      <w:tr w14:paraId="08AF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14:paraId="3C8ECB7A">
            <w:pPr>
              <w:spacing w:line="360" w:lineRule="auto"/>
              <w:jc w:val="center"/>
              <w:rPr>
                <w:rFonts w:hint="eastAsia" w:ascii="宋体" w:hAnsi="宋体" w:cs="宋体"/>
                <w:color w:val="auto"/>
                <w:highlight w:val="none"/>
              </w:rPr>
            </w:pPr>
            <w:r>
              <w:rPr>
                <w:rFonts w:hint="eastAsia" w:ascii="宋体" w:hAnsi="宋体" w:cs="宋体"/>
                <w:color w:val="auto"/>
                <w:highlight w:val="none"/>
              </w:rPr>
              <w:t>……</w:t>
            </w:r>
          </w:p>
        </w:tc>
        <w:tc>
          <w:tcPr>
            <w:tcW w:w="1842" w:type="dxa"/>
          </w:tcPr>
          <w:p w14:paraId="4D20D29F">
            <w:pPr>
              <w:spacing w:line="360" w:lineRule="auto"/>
              <w:jc w:val="center"/>
              <w:rPr>
                <w:rFonts w:hint="eastAsia" w:ascii="宋体" w:hAnsi="宋体" w:cs="宋体"/>
                <w:color w:val="auto"/>
                <w:highlight w:val="none"/>
              </w:rPr>
            </w:pPr>
          </w:p>
        </w:tc>
        <w:tc>
          <w:tcPr>
            <w:tcW w:w="1701" w:type="dxa"/>
          </w:tcPr>
          <w:p w14:paraId="7F3D0CA7">
            <w:pPr>
              <w:spacing w:line="360" w:lineRule="auto"/>
              <w:jc w:val="center"/>
              <w:rPr>
                <w:rFonts w:hint="eastAsia" w:ascii="宋体" w:hAnsi="宋体" w:cs="宋体"/>
                <w:color w:val="auto"/>
                <w:highlight w:val="none"/>
              </w:rPr>
            </w:pPr>
          </w:p>
        </w:tc>
        <w:tc>
          <w:tcPr>
            <w:tcW w:w="1497" w:type="dxa"/>
          </w:tcPr>
          <w:p w14:paraId="641B5C46">
            <w:pPr>
              <w:spacing w:line="360" w:lineRule="auto"/>
              <w:jc w:val="center"/>
              <w:rPr>
                <w:rFonts w:hint="eastAsia" w:ascii="宋体" w:hAnsi="宋体" w:cs="宋体"/>
                <w:color w:val="auto"/>
                <w:highlight w:val="none"/>
              </w:rPr>
            </w:pPr>
          </w:p>
        </w:tc>
      </w:tr>
    </w:tbl>
    <w:p w14:paraId="5E834A74">
      <w:pPr>
        <w:spacing w:line="360" w:lineRule="auto"/>
        <w:rPr>
          <w:rFonts w:hint="eastAsia" w:ascii="宋体" w:hAnsi="宋体" w:cs="宋体"/>
          <w:strike/>
          <w:color w:val="auto"/>
          <w:highlight w:val="none"/>
        </w:rPr>
      </w:pPr>
    </w:p>
    <w:p w14:paraId="6DCC3A00">
      <w:pPr>
        <w:numPr>
          <w:ilvl w:val="0"/>
          <w:numId w:val="50"/>
        </w:numPr>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rPr>
        <w:t>发包人需求任务书</w:t>
      </w:r>
    </w:p>
    <w:p w14:paraId="4EDA077D">
      <w:pPr>
        <w:keepNext/>
        <w:keepLines/>
        <w:widowControl/>
        <w:tabs>
          <w:tab w:val="left" w:pos="1134"/>
        </w:tabs>
        <w:topLinePunct/>
        <w:snapToGrid w:val="0"/>
        <w:spacing w:after="156" w:afterLines="50" w:line="360" w:lineRule="exact"/>
        <w:outlineLvl w:val="1"/>
        <w:rPr>
          <w:rFonts w:hint="eastAsia" w:ascii="宋体" w:hAnsi="宋体"/>
          <w:b/>
          <w:color w:val="auto"/>
          <w:sz w:val="32"/>
          <w:highlight w:val="none"/>
        </w:rPr>
      </w:pPr>
      <w:r>
        <w:rPr>
          <w:rFonts w:hint="eastAsia"/>
          <w:color w:val="auto"/>
          <w:highlight w:val="none"/>
        </w:rPr>
        <w:t xml:space="preserve">   </w:t>
      </w:r>
      <w:r>
        <w:rPr>
          <w:rFonts w:hint="eastAsia" w:cs="宋体"/>
          <w:i/>
          <w:iCs/>
          <w:color w:val="auto"/>
          <w:highlight w:val="none"/>
        </w:rPr>
        <w:t>详见初步设计文件。</w:t>
      </w:r>
    </w:p>
    <w:p w14:paraId="1D5E190F">
      <w:pPr>
        <w:pStyle w:val="6"/>
        <w:ind w:firstLine="0" w:firstLineChars="0"/>
        <w:rPr>
          <w:color w:val="auto"/>
          <w:highlight w:val="none"/>
        </w:rPr>
      </w:pPr>
    </w:p>
    <w:p w14:paraId="3DF41556">
      <w:pPr>
        <w:spacing w:line="360" w:lineRule="auto"/>
        <w:ind w:left="482"/>
        <w:rPr>
          <w:rFonts w:hint="eastAsia" w:ascii="宋体" w:hAnsi="宋体" w:cs="宋体"/>
          <w:b/>
          <w:bCs/>
          <w:color w:val="auto"/>
          <w:highlight w:val="none"/>
        </w:rPr>
      </w:pPr>
      <w:bookmarkStart w:id="191" w:name="_Toc90641091"/>
      <w:r>
        <w:rPr>
          <w:rFonts w:hint="eastAsia" w:ascii="宋体" w:hAnsi="宋体" w:cs="宋体"/>
          <w:b/>
          <w:bCs/>
          <w:color w:val="auto"/>
          <w:highlight w:val="none"/>
        </w:rPr>
        <w:t>5.其他管理要求</w:t>
      </w:r>
      <w:bookmarkEnd w:id="191"/>
    </w:p>
    <w:p w14:paraId="57E3699E">
      <w:pPr>
        <w:pStyle w:val="17"/>
        <w:ind w:firstLine="480" w:firstLineChars="200"/>
        <w:jc w:val="left"/>
        <w:rPr>
          <w:rFonts w:hint="eastAsia" w:cs="宋体"/>
          <w:color w:val="auto"/>
          <w:highlight w:val="none"/>
        </w:rPr>
      </w:pPr>
      <w:r>
        <w:rPr>
          <w:rFonts w:hint="eastAsia" w:cs="宋体"/>
          <w:color w:val="auto"/>
          <w:highlight w:val="none"/>
        </w:rPr>
        <w:t>（1）竣工试验及竣工后试验（试运行）（适用于工业建筑等项目）</w:t>
      </w:r>
    </w:p>
    <w:p w14:paraId="4A57C962">
      <w:pPr>
        <w:pStyle w:val="17"/>
        <w:ind w:firstLine="480" w:firstLineChars="200"/>
        <w:jc w:val="left"/>
        <w:rPr>
          <w:rFonts w:hint="eastAsia" w:cs="宋体"/>
          <w:color w:val="auto"/>
          <w:highlight w:val="none"/>
        </w:rPr>
      </w:pPr>
      <w:r>
        <w:rPr>
          <w:rFonts w:cs="宋体"/>
          <w:color w:val="auto"/>
          <w:highlight w:val="none"/>
        </w:rPr>
        <w:t>①</w:t>
      </w:r>
      <w:r>
        <w:rPr>
          <w:rFonts w:hint="eastAsia" w:cs="宋体"/>
          <w:color w:val="auto"/>
          <w:highlight w:val="none"/>
        </w:rPr>
        <w:t>第一阶段，如对单车试验等的要求，包括试验前准备。</w:t>
      </w:r>
    </w:p>
    <w:p w14:paraId="24D59F87">
      <w:pPr>
        <w:pStyle w:val="17"/>
        <w:ind w:firstLine="480" w:firstLineChars="200"/>
        <w:jc w:val="left"/>
        <w:rPr>
          <w:rFonts w:hint="eastAsia" w:cs="宋体"/>
          <w:color w:val="auto"/>
          <w:highlight w:val="none"/>
        </w:rPr>
      </w:pPr>
      <w:r>
        <w:rPr>
          <w:rFonts w:cs="宋体"/>
          <w:color w:val="auto"/>
          <w:highlight w:val="none"/>
        </w:rPr>
        <w:t>②</w:t>
      </w:r>
      <w:r>
        <w:rPr>
          <w:rFonts w:hint="eastAsia" w:cs="宋体"/>
          <w:color w:val="auto"/>
          <w:highlight w:val="none"/>
        </w:rPr>
        <w:t>第二阶段，如对联动试车、投料试车等的要求，包括人员、设备、材料、燃料、电力、消耗品、工具等必要条件。试运行联合试运转的周期和范围、标准值等。</w:t>
      </w:r>
    </w:p>
    <w:p w14:paraId="3255B93D">
      <w:pPr>
        <w:pStyle w:val="17"/>
        <w:ind w:firstLine="480" w:firstLineChars="200"/>
        <w:jc w:val="left"/>
        <w:rPr>
          <w:rFonts w:hint="eastAsia" w:cs="宋体"/>
          <w:color w:val="auto"/>
          <w:highlight w:val="none"/>
        </w:rPr>
      </w:pPr>
      <w:r>
        <w:rPr>
          <w:rFonts w:hint="eastAsia" w:cs="宋体"/>
          <w:color w:val="auto"/>
          <w:highlight w:val="none"/>
        </w:rPr>
        <w:t>③第三阶段，如对性能测试及其他竣工试验的要求，包括产能指标、产品质量标准、运营指标、环保指标等。</w:t>
      </w:r>
    </w:p>
    <w:p w14:paraId="1DB01FAC">
      <w:pPr>
        <w:pStyle w:val="17"/>
        <w:ind w:firstLine="480" w:firstLineChars="200"/>
        <w:jc w:val="left"/>
        <w:rPr>
          <w:rFonts w:hint="eastAsia" w:cs="宋体"/>
          <w:color w:val="auto"/>
          <w:highlight w:val="none"/>
        </w:rPr>
      </w:pPr>
      <w:r>
        <w:rPr>
          <w:rFonts w:hint="eastAsia" w:cs="宋体"/>
          <w:color w:val="auto"/>
          <w:highlight w:val="none"/>
        </w:rPr>
        <w:t>对于有需要竣工后试验（试运行）的设备，可由发包人负责组织，承包人提供操作手册和指导工作。</w:t>
      </w:r>
    </w:p>
    <w:p w14:paraId="08BBBA0B">
      <w:pPr>
        <w:spacing w:line="360" w:lineRule="auto"/>
        <w:ind w:firstLine="240" w:firstLineChars="100"/>
        <w:rPr>
          <w:rFonts w:hint="eastAsia" w:ascii="宋体" w:hAnsi="宋体" w:cs="宋体"/>
          <w:color w:val="auto"/>
          <w:highlight w:val="none"/>
        </w:rPr>
      </w:pPr>
      <w:r>
        <w:rPr>
          <w:rFonts w:hint="eastAsia" w:ascii="宋体" w:hAnsi="宋体" w:cs="宋体"/>
          <w:color w:val="auto"/>
          <w:highlight w:val="none"/>
        </w:rPr>
        <w:t>（2）建筑垃圾减量目标和措施、（建筑垃圾处理方案报备等管理要求）纳入本项目工程总承包范围。</w:t>
      </w:r>
    </w:p>
    <w:p w14:paraId="24DCE016">
      <w:pPr>
        <w:spacing w:line="360" w:lineRule="auto"/>
        <w:ind w:firstLine="240" w:firstLineChars="100"/>
        <w:rPr>
          <w:rFonts w:hint="eastAsia" w:ascii="宋体" w:hAnsi="宋体" w:cs="宋体"/>
          <w:color w:val="auto"/>
          <w:highlight w:val="none"/>
        </w:rPr>
      </w:pPr>
      <w:r>
        <w:rPr>
          <w:rFonts w:hint="eastAsia" w:ascii="宋体" w:hAnsi="宋体" w:cs="宋体"/>
          <w:color w:val="auto"/>
          <w:highlight w:val="none"/>
        </w:rPr>
        <w:t>（3）本项目主要材料、设备的约定  详见附件1《主要材料、设备要求一览表》</w:t>
      </w:r>
    </w:p>
    <w:p w14:paraId="488D6649">
      <w:pPr>
        <w:spacing w:line="360" w:lineRule="auto"/>
        <w:ind w:firstLine="240" w:firstLineChars="100"/>
        <w:rPr>
          <w:rFonts w:hint="eastAsia"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本项目价格调差约定  详见附件2《价格要素价差调整表》</w:t>
      </w:r>
    </w:p>
    <w:p w14:paraId="7399E47E">
      <w:pPr>
        <w:pStyle w:val="17"/>
        <w:ind w:firstLine="240" w:firstLineChars="100"/>
        <w:jc w:val="left"/>
        <w:rPr>
          <w:rFonts w:hint="eastAsia" w:cs="宋体"/>
          <w:color w:val="auto"/>
          <w:highlight w:val="none"/>
        </w:rPr>
      </w:pPr>
      <w:r>
        <w:rPr>
          <w:rFonts w:cs="宋体"/>
          <w:color w:val="auto"/>
          <w:highlight w:val="none"/>
        </w:rPr>
        <w:t>（5）本项目进度支付约定  详见附件3《里程碑进度计划支付表》</w:t>
      </w:r>
    </w:p>
    <w:p w14:paraId="71DFBE24">
      <w:pPr>
        <w:ind w:firstLine="240" w:firstLineChars="100"/>
        <w:rPr>
          <w:color w:val="auto"/>
          <w:highlight w:val="none"/>
        </w:rPr>
      </w:pPr>
    </w:p>
    <w:p w14:paraId="2F8E5B66">
      <w:pPr>
        <w:autoSpaceDE/>
        <w:autoSpaceDN/>
        <w:adjustRightInd/>
        <w:spacing w:line="400" w:lineRule="exact"/>
        <w:jc w:val="both"/>
        <w:rPr>
          <w:color w:val="auto"/>
          <w:kern w:val="2"/>
          <w:highlight w:val="none"/>
        </w:rPr>
      </w:pPr>
      <w:r>
        <w:rPr>
          <w:rFonts w:hint="eastAsia"/>
          <w:color w:val="auto"/>
          <w:kern w:val="2"/>
          <w:highlight w:val="none"/>
        </w:rPr>
        <w:t>（参考：</w:t>
      </w:r>
    </w:p>
    <w:p w14:paraId="03551653">
      <w:pPr>
        <w:autoSpaceDE/>
        <w:autoSpaceDN/>
        <w:adjustRightInd/>
        <w:spacing w:line="400" w:lineRule="exact"/>
        <w:ind w:firstLine="482" w:firstLineChars="200"/>
        <w:jc w:val="both"/>
        <w:rPr>
          <w:color w:val="auto"/>
          <w:kern w:val="2"/>
          <w:highlight w:val="none"/>
        </w:rPr>
      </w:pPr>
      <w:r>
        <w:rPr>
          <w:rFonts w:hint="eastAsia"/>
          <w:b/>
          <w:bCs/>
          <w:color w:val="auto"/>
          <w:kern w:val="2"/>
          <w:highlight w:val="none"/>
        </w:rPr>
        <w:t>1.</w:t>
      </w:r>
      <w:r>
        <w:rPr>
          <w:rFonts w:hint="eastAsia"/>
          <w:color w:val="auto"/>
          <w:kern w:val="2"/>
          <w:highlight w:val="none"/>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14:paraId="72461F74">
      <w:pPr>
        <w:autoSpaceDE/>
        <w:autoSpaceDN/>
        <w:adjustRightInd/>
        <w:spacing w:line="400" w:lineRule="exact"/>
        <w:ind w:firstLine="482" w:firstLineChars="200"/>
        <w:jc w:val="both"/>
        <w:rPr>
          <w:color w:val="auto"/>
          <w:kern w:val="2"/>
          <w:highlight w:val="none"/>
        </w:rPr>
      </w:pPr>
      <w:r>
        <w:rPr>
          <w:rFonts w:hint="eastAsia"/>
          <w:b/>
          <w:bCs/>
          <w:color w:val="auto"/>
          <w:kern w:val="2"/>
          <w:highlight w:val="none"/>
        </w:rPr>
        <w:t>2.</w:t>
      </w:r>
      <w:r>
        <w:rPr>
          <w:rFonts w:hint="eastAsia"/>
          <w:color w:val="auto"/>
          <w:kern w:val="2"/>
          <w:highlight w:val="none"/>
        </w:rPr>
        <w:t>关于绿色建材的相关要求：</w:t>
      </w:r>
    </w:p>
    <w:p w14:paraId="073192EB">
      <w:pPr>
        <w:autoSpaceDE/>
        <w:autoSpaceDN/>
        <w:adjustRightInd/>
        <w:spacing w:line="400" w:lineRule="exact"/>
        <w:ind w:firstLine="240" w:firstLineChars="100"/>
        <w:jc w:val="both"/>
        <w:rPr>
          <w:color w:val="auto"/>
          <w:kern w:val="2"/>
          <w:highlight w:val="none"/>
        </w:rPr>
      </w:pPr>
      <w:r>
        <w:rPr>
          <w:rFonts w:hint="eastAsia"/>
          <w:color w:val="auto"/>
          <w:kern w:val="2"/>
          <w:highlight w:val="none"/>
        </w:rPr>
        <w:t>（1）本工程需严格根据《绍兴市政府采购支持绿色建材试点项目实施管理办法（试行）》、《绍兴市财政局绍兴市住房和城乡建设局绍兴市政务服务办公室关于试点项目绿色建材带量集中采购工作的通知（试行）》等文件要求执行。本项目需按《绿色建筑评价标准》（GB/T50378-2019）进行绿色建筑三星级标准实施。</w:t>
      </w:r>
    </w:p>
    <w:p w14:paraId="13DDE976">
      <w:pPr>
        <w:autoSpaceDE/>
        <w:autoSpaceDN/>
        <w:adjustRightInd/>
        <w:spacing w:line="400" w:lineRule="exact"/>
        <w:ind w:firstLine="240" w:firstLineChars="100"/>
        <w:jc w:val="both"/>
        <w:rPr>
          <w:color w:val="auto"/>
          <w:kern w:val="2"/>
          <w:highlight w:val="none"/>
        </w:rPr>
      </w:pPr>
      <w:r>
        <w:rPr>
          <w:rFonts w:hint="eastAsia"/>
          <w:color w:val="auto"/>
          <w:kern w:val="2"/>
          <w:highlight w:val="none"/>
        </w:rPr>
        <w:t>（2）建材采购须符合上级部门的相关绿色建材试点要求，凡纳入《绍兴市绿色建材集中采购目录》(详见http://www.zhucaicloud.com)的建材，承包人须按发包人指定的采购模式（即“甲定乙采”）执行并应用采购结果。</w:t>
      </w:r>
    </w:p>
    <w:p w14:paraId="43520E29">
      <w:pPr>
        <w:autoSpaceDE/>
        <w:autoSpaceDN/>
        <w:adjustRightInd/>
        <w:spacing w:line="400" w:lineRule="exact"/>
        <w:ind w:firstLine="240" w:firstLineChars="100"/>
        <w:jc w:val="both"/>
        <w:rPr>
          <w:color w:val="auto"/>
          <w:kern w:val="2"/>
          <w:highlight w:val="none"/>
        </w:rPr>
      </w:pPr>
      <w:r>
        <w:rPr>
          <w:rFonts w:hint="eastAsia"/>
          <w:color w:val="auto"/>
          <w:kern w:val="2"/>
          <w:highlight w:val="none"/>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3DF620DF">
      <w:pPr>
        <w:widowControl/>
        <w:rPr>
          <w:color w:val="auto"/>
          <w:highlight w:val="none"/>
        </w:rPr>
      </w:pPr>
      <w:r>
        <w:rPr>
          <w:rFonts w:hint="eastAsia"/>
          <w:color w:val="auto"/>
          <w:highlight w:val="none"/>
        </w:rPr>
        <w:t xml:space="preserve">附件1 </w:t>
      </w:r>
    </w:p>
    <w:p w14:paraId="2657ED05">
      <w:pPr>
        <w:widowControl/>
        <w:spacing w:line="360" w:lineRule="auto"/>
        <w:jc w:val="center"/>
        <w:rPr>
          <w:color w:val="auto"/>
          <w:sz w:val="30"/>
          <w:szCs w:val="30"/>
          <w:highlight w:val="none"/>
        </w:rPr>
      </w:pPr>
      <w:r>
        <w:rPr>
          <w:rFonts w:hint="eastAsia" w:ascii="宋体" w:hAnsi="宋体" w:cs="宋体"/>
          <w:b/>
          <w:bCs/>
          <w:color w:val="auto"/>
          <w:sz w:val="30"/>
          <w:szCs w:val="30"/>
          <w:highlight w:val="none"/>
        </w:rPr>
        <w:t>主要材料、设备要求一览表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350"/>
        <w:gridCol w:w="1950"/>
        <w:gridCol w:w="2212"/>
        <w:gridCol w:w="950"/>
        <w:gridCol w:w="1311"/>
      </w:tblGrid>
      <w:tr w14:paraId="6B71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7" w:type="dxa"/>
            <w:vAlign w:val="center"/>
          </w:tcPr>
          <w:p w14:paraId="162CA2C6">
            <w:pPr>
              <w:spacing w:line="360" w:lineRule="auto"/>
              <w:jc w:val="center"/>
              <w:rPr>
                <w:rFonts w:hint="eastAsia" w:ascii="宋体" w:hAnsi="宋体" w:cs="宋体"/>
                <w:b/>
                <w:color w:val="auto"/>
                <w:highlight w:val="none"/>
              </w:rPr>
            </w:pPr>
            <w:r>
              <w:rPr>
                <w:rFonts w:hint="eastAsia" w:ascii="宋体" w:hAnsi="宋体" w:cs="宋体"/>
                <w:b/>
                <w:color w:val="auto"/>
                <w:highlight w:val="none"/>
              </w:rPr>
              <w:t>序号</w:t>
            </w:r>
          </w:p>
        </w:tc>
        <w:tc>
          <w:tcPr>
            <w:tcW w:w="1350" w:type="dxa"/>
            <w:vAlign w:val="center"/>
          </w:tcPr>
          <w:p w14:paraId="496D441F">
            <w:pPr>
              <w:spacing w:line="360" w:lineRule="auto"/>
              <w:jc w:val="center"/>
              <w:rPr>
                <w:rFonts w:hint="eastAsia" w:ascii="宋体" w:hAnsi="宋体" w:cs="宋体"/>
                <w:b/>
                <w:color w:val="auto"/>
                <w:highlight w:val="none"/>
              </w:rPr>
            </w:pPr>
            <w:r>
              <w:rPr>
                <w:rFonts w:hint="eastAsia" w:ascii="宋体" w:hAnsi="宋体" w:cs="宋体"/>
                <w:b/>
                <w:color w:val="auto"/>
                <w:highlight w:val="none"/>
              </w:rPr>
              <w:t>材料（设备）名称</w:t>
            </w:r>
          </w:p>
        </w:tc>
        <w:tc>
          <w:tcPr>
            <w:tcW w:w="1950" w:type="dxa"/>
            <w:vAlign w:val="center"/>
          </w:tcPr>
          <w:p w14:paraId="7FDB29F5">
            <w:pPr>
              <w:spacing w:line="360" w:lineRule="auto"/>
              <w:jc w:val="center"/>
              <w:rPr>
                <w:rFonts w:hint="eastAsia" w:ascii="宋体" w:hAnsi="宋体" w:cs="宋体"/>
                <w:b/>
                <w:color w:val="auto"/>
                <w:highlight w:val="none"/>
              </w:rPr>
            </w:pPr>
            <w:r>
              <w:rPr>
                <w:rFonts w:hint="eastAsia" w:ascii="宋体" w:hAnsi="宋体" w:cs="宋体"/>
                <w:b/>
                <w:color w:val="auto"/>
                <w:highlight w:val="none"/>
              </w:rPr>
              <w:t>规格、技术参数、性能要求、</w:t>
            </w:r>
          </w:p>
        </w:tc>
        <w:tc>
          <w:tcPr>
            <w:tcW w:w="2212" w:type="dxa"/>
            <w:vAlign w:val="center"/>
          </w:tcPr>
          <w:p w14:paraId="15E58DE6">
            <w:pPr>
              <w:spacing w:line="360" w:lineRule="auto"/>
              <w:jc w:val="center"/>
              <w:rPr>
                <w:rFonts w:hint="eastAsia" w:ascii="宋体" w:hAnsi="宋体" w:cs="宋体"/>
                <w:b/>
                <w:color w:val="auto"/>
                <w:highlight w:val="none"/>
              </w:rPr>
            </w:pPr>
            <w:r>
              <w:rPr>
                <w:rFonts w:hint="eastAsia" w:ascii="宋体" w:hAnsi="宋体" w:cs="宋体"/>
                <w:b/>
                <w:color w:val="auto"/>
                <w:highlight w:val="none"/>
              </w:rPr>
              <w:t>品牌及其系列推荐或相当于同等档次（一般不少于3种）</w:t>
            </w:r>
          </w:p>
        </w:tc>
        <w:tc>
          <w:tcPr>
            <w:tcW w:w="950" w:type="dxa"/>
            <w:vAlign w:val="center"/>
          </w:tcPr>
          <w:p w14:paraId="228167A1">
            <w:pPr>
              <w:spacing w:line="360" w:lineRule="auto"/>
              <w:jc w:val="center"/>
              <w:rPr>
                <w:rFonts w:hint="eastAsia" w:ascii="宋体" w:hAnsi="宋体" w:cs="宋体"/>
                <w:b/>
                <w:color w:val="auto"/>
                <w:highlight w:val="none"/>
              </w:rPr>
            </w:pPr>
            <w:r>
              <w:rPr>
                <w:rFonts w:hint="eastAsia" w:ascii="宋体" w:hAnsi="宋体" w:cs="宋体"/>
                <w:b/>
                <w:color w:val="auto"/>
                <w:highlight w:val="none"/>
              </w:rPr>
              <w:t>其他要求</w:t>
            </w:r>
          </w:p>
        </w:tc>
        <w:tc>
          <w:tcPr>
            <w:tcW w:w="1311" w:type="dxa"/>
            <w:vAlign w:val="center"/>
          </w:tcPr>
          <w:p w14:paraId="5971525F">
            <w:pPr>
              <w:spacing w:line="360" w:lineRule="auto"/>
              <w:jc w:val="center"/>
              <w:rPr>
                <w:rFonts w:hint="eastAsia" w:ascii="宋体" w:hAnsi="宋体" w:cs="宋体"/>
                <w:b/>
                <w:color w:val="auto"/>
                <w:highlight w:val="none"/>
              </w:rPr>
            </w:pPr>
            <w:r>
              <w:rPr>
                <w:rFonts w:hint="eastAsia" w:ascii="宋体" w:hAnsi="宋体" w:cs="宋体"/>
                <w:b/>
                <w:color w:val="auto"/>
                <w:highlight w:val="none"/>
              </w:rPr>
              <w:t>备注</w:t>
            </w:r>
          </w:p>
        </w:tc>
      </w:tr>
      <w:tr w14:paraId="1C85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tcPr>
          <w:p w14:paraId="09C1797E">
            <w:pPr>
              <w:spacing w:line="360" w:lineRule="auto"/>
              <w:jc w:val="center"/>
              <w:rPr>
                <w:rFonts w:hint="eastAsia" w:ascii="宋体" w:hAnsi="宋体" w:cs="宋体"/>
                <w:color w:val="auto"/>
                <w:highlight w:val="none"/>
              </w:rPr>
            </w:pPr>
          </w:p>
        </w:tc>
        <w:tc>
          <w:tcPr>
            <w:tcW w:w="1350" w:type="dxa"/>
            <w:vAlign w:val="center"/>
          </w:tcPr>
          <w:p w14:paraId="5E5E92F0">
            <w:pPr>
              <w:spacing w:line="360" w:lineRule="auto"/>
              <w:jc w:val="center"/>
              <w:rPr>
                <w:rFonts w:hint="eastAsia" w:ascii="宋体" w:hAnsi="宋体" w:cs="宋体"/>
                <w:strike/>
                <w:color w:val="auto"/>
                <w:highlight w:val="none"/>
              </w:rPr>
            </w:pPr>
            <w:r>
              <w:rPr>
                <w:rFonts w:hint="eastAsia" w:ascii="宋体" w:hAnsi="宋体" w:cs="宋体"/>
                <w:strike/>
                <w:color w:val="auto"/>
                <w:highlight w:val="none"/>
              </w:rPr>
              <w:t>如：实木地板</w:t>
            </w:r>
          </w:p>
        </w:tc>
        <w:tc>
          <w:tcPr>
            <w:tcW w:w="1950" w:type="dxa"/>
            <w:vAlign w:val="center"/>
          </w:tcPr>
          <w:p w14:paraId="6D37FBEB">
            <w:pPr>
              <w:spacing w:line="360" w:lineRule="auto"/>
              <w:jc w:val="center"/>
              <w:rPr>
                <w:rFonts w:hint="eastAsia" w:ascii="宋体" w:hAnsi="宋体" w:cs="宋体"/>
                <w:strike/>
                <w:color w:val="auto"/>
                <w:highlight w:val="none"/>
              </w:rPr>
            </w:pPr>
            <w:r>
              <w:rPr>
                <w:rFonts w:hint="eastAsia" w:ascii="宋体" w:hAnsi="宋体" w:cs="宋体"/>
                <w:strike/>
                <w:color w:val="auto"/>
                <w:highlight w:val="none"/>
              </w:rPr>
              <w:t>厚度</w:t>
            </w:r>
            <w:r>
              <w:rPr>
                <w:rFonts w:hint="eastAsia" w:ascii="宋体" w:hAnsi="宋体" w:cs="宋体"/>
                <w:strike/>
                <w:color w:val="auto"/>
                <w:szCs w:val="21"/>
                <w:highlight w:val="none"/>
              </w:rPr>
              <w:t>≧</w:t>
            </w:r>
            <w:r>
              <w:rPr>
                <w:rFonts w:hint="eastAsia" w:ascii="宋体" w:hAnsi="宋体" w:cs="宋体"/>
                <w:strike/>
                <w:color w:val="auto"/>
                <w:highlight w:val="none"/>
              </w:rPr>
              <w:t>10mm，高强耐磨</w:t>
            </w:r>
          </w:p>
        </w:tc>
        <w:tc>
          <w:tcPr>
            <w:tcW w:w="2212" w:type="dxa"/>
            <w:vAlign w:val="center"/>
          </w:tcPr>
          <w:p w14:paraId="17C85472">
            <w:pPr>
              <w:spacing w:line="360" w:lineRule="auto"/>
              <w:jc w:val="center"/>
              <w:rPr>
                <w:rFonts w:hint="eastAsia" w:ascii="宋体" w:hAnsi="宋体" w:cs="宋体"/>
                <w:strike/>
                <w:color w:val="auto"/>
                <w:highlight w:val="none"/>
              </w:rPr>
            </w:pPr>
            <w:r>
              <w:rPr>
                <w:rFonts w:hint="eastAsia" w:ascii="宋体" w:hAnsi="宋体" w:cs="宋体"/>
                <w:strike/>
                <w:color w:val="auto"/>
                <w:highlight w:val="none"/>
              </w:rPr>
              <w:t>世友、大自然、圣象</w:t>
            </w:r>
            <w:r>
              <w:rPr>
                <w:rFonts w:hint="eastAsia" w:ascii="宋体" w:hAnsi="宋体" w:cs="宋体"/>
                <w:bCs/>
                <w:strike/>
                <w:color w:val="auto"/>
                <w:highlight w:val="none"/>
              </w:rPr>
              <w:t>或相当于</w:t>
            </w:r>
          </w:p>
        </w:tc>
        <w:tc>
          <w:tcPr>
            <w:tcW w:w="950" w:type="dxa"/>
            <w:vAlign w:val="center"/>
          </w:tcPr>
          <w:p w14:paraId="7B5C4671">
            <w:pPr>
              <w:spacing w:line="360" w:lineRule="auto"/>
              <w:jc w:val="center"/>
              <w:rPr>
                <w:rFonts w:hint="eastAsia" w:ascii="宋体" w:hAnsi="宋体" w:cs="宋体"/>
                <w:color w:val="auto"/>
                <w:highlight w:val="none"/>
              </w:rPr>
            </w:pPr>
            <w:r>
              <w:rPr>
                <w:rFonts w:hint="eastAsia" w:ascii="宋体" w:hAnsi="宋体" w:cs="宋体"/>
                <w:color w:val="auto"/>
                <w:highlight w:val="none"/>
              </w:rPr>
              <w:t>/</w:t>
            </w:r>
          </w:p>
        </w:tc>
        <w:tc>
          <w:tcPr>
            <w:tcW w:w="1311" w:type="dxa"/>
            <w:vAlign w:val="center"/>
          </w:tcPr>
          <w:p w14:paraId="1E0763A0">
            <w:pPr>
              <w:snapToGrid w:val="0"/>
              <w:spacing w:line="360" w:lineRule="auto"/>
              <w:jc w:val="center"/>
              <w:rPr>
                <w:rFonts w:hint="eastAsia" w:ascii="宋体" w:hAnsi="宋体" w:cs="宋体"/>
                <w:color w:val="auto"/>
                <w:highlight w:val="none"/>
              </w:rPr>
            </w:pPr>
            <w:r>
              <w:rPr>
                <w:rFonts w:hint="eastAsia" w:ascii="宋体" w:hAnsi="宋体" w:cs="宋体"/>
                <w:color w:val="auto"/>
                <w:highlight w:val="none"/>
              </w:rPr>
              <w:t>/</w:t>
            </w:r>
          </w:p>
        </w:tc>
      </w:tr>
      <w:tr w14:paraId="68D2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7" w:type="dxa"/>
          </w:tcPr>
          <w:p w14:paraId="4F55EA9D">
            <w:pPr>
              <w:spacing w:line="360" w:lineRule="auto"/>
              <w:jc w:val="center"/>
              <w:rPr>
                <w:rFonts w:ascii="Arial" w:hAnsi="Arial" w:cs="Arial"/>
                <w:color w:val="auto"/>
                <w:szCs w:val="21"/>
                <w:highlight w:val="none"/>
              </w:rPr>
            </w:pPr>
          </w:p>
        </w:tc>
        <w:tc>
          <w:tcPr>
            <w:tcW w:w="1350" w:type="dxa"/>
            <w:vAlign w:val="center"/>
          </w:tcPr>
          <w:p w14:paraId="2E16771B">
            <w:pPr>
              <w:spacing w:line="360" w:lineRule="auto"/>
              <w:jc w:val="center"/>
              <w:rPr>
                <w:rFonts w:hint="eastAsia" w:ascii="宋体" w:hAnsi="宋体" w:cs="宋体"/>
                <w:strike/>
                <w:color w:val="auto"/>
                <w:highlight w:val="none"/>
              </w:rPr>
            </w:pPr>
            <w:r>
              <w:rPr>
                <w:rFonts w:hint="eastAsia" w:ascii="宋体" w:hAnsi="宋体" w:cs="宋体"/>
                <w:strike/>
                <w:color w:val="auto"/>
                <w:highlight w:val="none"/>
              </w:rPr>
              <w:t>如：芝麻黑花岗岩</w:t>
            </w:r>
          </w:p>
        </w:tc>
        <w:tc>
          <w:tcPr>
            <w:tcW w:w="1950" w:type="dxa"/>
            <w:vAlign w:val="center"/>
          </w:tcPr>
          <w:p w14:paraId="2EE41A21">
            <w:pPr>
              <w:spacing w:line="360" w:lineRule="auto"/>
              <w:jc w:val="center"/>
              <w:rPr>
                <w:rFonts w:ascii="Arial" w:hAnsi="Arial" w:cs="Arial"/>
                <w:strike/>
                <w:color w:val="auto"/>
                <w:szCs w:val="21"/>
                <w:highlight w:val="none"/>
              </w:rPr>
            </w:pPr>
            <w:r>
              <w:rPr>
                <w:rFonts w:hint="eastAsia" w:ascii="宋体" w:hAnsi="宋体" w:cs="宋体"/>
                <w:strike/>
                <w:color w:val="auto"/>
                <w:highlight w:val="none"/>
              </w:rPr>
              <w:t>厚度</w:t>
            </w:r>
            <w:r>
              <w:rPr>
                <w:rFonts w:hint="eastAsia" w:ascii="宋体" w:hAnsi="宋体" w:cs="宋体"/>
                <w:strike/>
                <w:color w:val="auto"/>
                <w:szCs w:val="21"/>
                <w:highlight w:val="none"/>
              </w:rPr>
              <w:t>≧</w:t>
            </w:r>
            <w:r>
              <w:rPr>
                <w:rFonts w:hint="eastAsia" w:ascii="宋体" w:hAnsi="宋体" w:cs="宋体"/>
                <w:strike/>
                <w:color w:val="auto"/>
                <w:highlight w:val="none"/>
              </w:rPr>
              <w:t>25mm</w:t>
            </w:r>
          </w:p>
        </w:tc>
        <w:tc>
          <w:tcPr>
            <w:tcW w:w="2212" w:type="dxa"/>
            <w:vAlign w:val="center"/>
          </w:tcPr>
          <w:p w14:paraId="7FCB3D39">
            <w:pPr>
              <w:spacing w:line="360" w:lineRule="auto"/>
              <w:jc w:val="center"/>
              <w:rPr>
                <w:rFonts w:hint="eastAsia" w:ascii="宋体" w:hAnsi="宋体" w:cs="宋体"/>
                <w:bCs/>
                <w:strike/>
                <w:color w:val="auto"/>
                <w:highlight w:val="none"/>
              </w:rPr>
            </w:pPr>
            <w:r>
              <w:rPr>
                <w:rFonts w:hint="eastAsia" w:ascii="宋体" w:hAnsi="宋体" w:cs="宋体"/>
                <w:bCs/>
                <w:strike/>
                <w:color w:val="auto"/>
                <w:highlight w:val="none"/>
              </w:rPr>
              <w:t>/</w:t>
            </w:r>
          </w:p>
        </w:tc>
        <w:tc>
          <w:tcPr>
            <w:tcW w:w="950" w:type="dxa"/>
            <w:vAlign w:val="center"/>
          </w:tcPr>
          <w:p w14:paraId="32F8C0B9">
            <w:pPr>
              <w:spacing w:line="360" w:lineRule="auto"/>
              <w:jc w:val="center"/>
              <w:rPr>
                <w:rFonts w:ascii="Arial" w:hAnsi="Arial" w:cs="Arial"/>
                <w:color w:val="auto"/>
                <w:szCs w:val="21"/>
                <w:highlight w:val="none"/>
              </w:rPr>
            </w:pPr>
            <w:r>
              <w:rPr>
                <w:rFonts w:hint="eastAsia" w:ascii="宋体" w:hAnsi="宋体" w:cs="宋体"/>
                <w:color w:val="auto"/>
                <w:szCs w:val="21"/>
                <w:highlight w:val="none"/>
              </w:rPr>
              <w:t>/</w:t>
            </w:r>
          </w:p>
        </w:tc>
        <w:tc>
          <w:tcPr>
            <w:tcW w:w="1311" w:type="dxa"/>
            <w:vAlign w:val="center"/>
          </w:tcPr>
          <w:p w14:paraId="0C064D5B">
            <w:pPr>
              <w:spacing w:line="360" w:lineRule="auto"/>
              <w:jc w:val="center"/>
              <w:rPr>
                <w:rFonts w:ascii="Arial" w:hAnsi="Arial" w:cs="Arial"/>
                <w:color w:val="auto"/>
                <w:szCs w:val="21"/>
                <w:highlight w:val="none"/>
              </w:rPr>
            </w:pPr>
            <w:r>
              <w:rPr>
                <w:rFonts w:hint="eastAsia" w:ascii="宋体" w:hAnsi="宋体" w:cs="宋体"/>
                <w:color w:val="auto"/>
                <w:highlight w:val="none"/>
              </w:rPr>
              <w:t>/</w:t>
            </w:r>
          </w:p>
        </w:tc>
      </w:tr>
      <w:tr w14:paraId="6BAE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7" w:type="dxa"/>
          </w:tcPr>
          <w:p w14:paraId="67282D9A">
            <w:pPr>
              <w:spacing w:line="360" w:lineRule="auto"/>
              <w:jc w:val="center"/>
              <w:rPr>
                <w:rFonts w:ascii="Arial" w:hAnsi="Arial" w:cs="Arial"/>
                <w:color w:val="auto"/>
                <w:szCs w:val="21"/>
                <w:highlight w:val="none"/>
              </w:rPr>
            </w:pPr>
          </w:p>
        </w:tc>
        <w:tc>
          <w:tcPr>
            <w:tcW w:w="1350" w:type="dxa"/>
            <w:vAlign w:val="center"/>
          </w:tcPr>
          <w:p w14:paraId="0B6A6B6E">
            <w:pPr>
              <w:spacing w:line="360" w:lineRule="auto"/>
              <w:jc w:val="center"/>
              <w:rPr>
                <w:rFonts w:ascii="Arial" w:hAnsi="Arial" w:cs="Arial"/>
                <w:strike/>
                <w:color w:val="auto"/>
                <w:szCs w:val="21"/>
                <w:highlight w:val="none"/>
              </w:rPr>
            </w:pPr>
            <w:r>
              <w:rPr>
                <w:rFonts w:hint="eastAsia" w:ascii="宋体" w:hAnsi="宋体" w:cs="宋体"/>
                <w:strike/>
                <w:color w:val="auto"/>
                <w:highlight w:val="none"/>
              </w:rPr>
              <w:t>如：泵</w:t>
            </w:r>
          </w:p>
        </w:tc>
        <w:tc>
          <w:tcPr>
            <w:tcW w:w="1950" w:type="dxa"/>
            <w:vAlign w:val="center"/>
          </w:tcPr>
          <w:p w14:paraId="0CA7FF74">
            <w:pPr>
              <w:spacing w:line="360" w:lineRule="auto"/>
              <w:jc w:val="center"/>
              <w:rPr>
                <w:rFonts w:ascii="Arial" w:hAnsi="Arial" w:cs="Arial"/>
                <w:strike/>
                <w:color w:val="auto"/>
                <w:szCs w:val="21"/>
                <w:highlight w:val="none"/>
              </w:rPr>
            </w:pPr>
            <w:r>
              <w:rPr>
                <w:rFonts w:hint="eastAsia" w:ascii="Arial" w:hAnsi="Arial" w:cs="Arial"/>
                <w:strike/>
                <w:color w:val="auto"/>
                <w:szCs w:val="21"/>
                <w:highlight w:val="none"/>
              </w:rPr>
              <w:t>转数≧3000转/分、扬程≧15米</w:t>
            </w:r>
          </w:p>
        </w:tc>
        <w:tc>
          <w:tcPr>
            <w:tcW w:w="2212" w:type="dxa"/>
            <w:vAlign w:val="center"/>
          </w:tcPr>
          <w:p w14:paraId="23FFCA3A">
            <w:pPr>
              <w:spacing w:line="360" w:lineRule="auto"/>
              <w:jc w:val="center"/>
              <w:rPr>
                <w:rFonts w:ascii="Arial" w:hAnsi="Arial" w:cs="Arial"/>
                <w:strike/>
                <w:color w:val="auto"/>
                <w:szCs w:val="21"/>
                <w:highlight w:val="none"/>
              </w:rPr>
            </w:pPr>
            <w:r>
              <w:rPr>
                <w:rFonts w:hint="eastAsia" w:ascii="宋体" w:hAnsi="宋体" w:cs="宋体"/>
                <w:bCs/>
                <w:strike/>
                <w:color w:val="auto"/>
                <w:highlight w:val="none"/>
              </w:rPr>
              <w:t>凯旋、连城、南方或相当于</w:t>
            </w:r>
          </w:p>
        </w:tc>
        <w:tc>
          <w:tcPr>
            <w:tcW w:w="950" w:type="dxa"/>
            <w:vAlign w:val="center"/>
          </w:tcPr>
          <w:p w14:paraId="26FDD8AE">
            <w:pPr>
              <w:spacing w:line="360" w:lineRule="auto"/>
              <w:jc w:val="center"/>
              <w:rPr>
                <w:rFonts w:ascii="Arial" w:hAnsi="Arial" w:cs="Arial"/>
                <w:color w:val="auto"/>
                <w:szCs w:val="21"/>
                <w:highlight w:val="none"/>
              </w:rPr>
            </w:pPr>
            <w:r>
              <w:rPr>
                <w:rFonts w:hint="eastAsia" w:ascii="宋体" w:hAnsi="宋体" w:cs="宋体"/>
                <w:color w:val="auto"/>
                <w:highlight w:val="none"/>
              </w:rPr>
              <w:t>/</w:t>
            </w:r>
          </w:p>
        </w:tc>
        <w:tc>
          <w:tcPr>
            <w:tcW w:w="1311" w:type="dxa"/>
            <w:vAlign w:val="center"/>
          </w:tcPr>
          <w:p w14:paraId="736E5B3B">
            <w:pPr>
              <w:spacing w:line="360" w:lineRule="auto"/>
              <w:jc w:val="center"/>
              <w:rPr>
                <w:rFonts w:ascii="Arial" w:hAnsi="Arial" w:cs="Arial"/>
                <w:color w:val="auto"/>
                <w:szCs w:val="21"/>
                <w:highlight w:val="none"/>
              </w:rPr>
            </w:pPr>
            <w:r>
              <w:rPr>
                <w:rFonts w:hint="eastAsia" w:ascii="宋体" w:hAnsi="宋体" w:cs="宋体"/>
                <w:color w:val="auto"/>
                <w:highlight w:val="none"/>
              </w:rPr>
              <w:t>/</w:t>
            </w:r>
          </w:p>
        </w:tc>
      </w:tr>
    </w:tbl>
    <w:p w14:paraId="2FC74D7B">
      <w:pPr>
        <w:widowControl/>
        <w:spacing w:line="360" w:lineRule="auto"/>
        <w:rPr>
          <w:rFonts w:hint="eastAsia" w:ascii="宋体" w:hAnsi="宋体" w:cs="宋体"/>
          <w:color w:val="auto"/>
          <w:sz w:val="18"/>
          <w:szCs w:val="18"/>
          <w:highlight w:val="none"/>
        </w:rPr>
      </w:pPr>
      <w:r>
        <w:rPr>
          <w:rFonts w:hint="eastAsia" w:ascii="宋体" w:hAnsi="宋体" w:cs="宋体"/>
          <w:color w:val="auto"/>
          <w:sz w:val="18"/>
          <w:szCs w:val="18"/>
          <w:highlight w:val="none"/>
        </w:rPr>
        <w:t>注：1.此表内容均为发包人要求。</w:t>
      </w:r>
    </w:p>
    <w:p w14:paraId="0BF4323E">
      <w:pPr>
        <w:widowControl/>
        <w:spacing w:line="360" w:lineRule="auto"/>
        <w:ind w:firstLine="360" w:firstLineChars="200"/>
        <w:rPr>
          <w:rFonts w:hint="eastAsia" w:ascii="宋体" w:hAnsi="宋体" w:cs="宋体"/>
          <w:color w:val="auto"/>
          <w:sz w:val="18"/>
          <w:szCs w:val="18"/>
          <w:highlight w:val="none"/>
        </w:rPr>
      </w:pPr>
      <w:r>
        <w:rPr>
          <w:rFonts w:hint="eastAsia" w:ascii="宋体" w:hAnsi="宋体" w:cs="宋体"/>
          <w:color w:val="auto"/>
          <w:sz w:val="18"/>
          <w:szCs w:val="18"/>
          <w:highlight w:val="none"/>
        </w:rPr>
        <w:t>2.招标人需谨慎使用主要材料、设备推荐品牌，有推荐品牌的，招标人应明确投标人在投标时是否填报具体品牌。承包人在项目实施过程中若选择其他相当于的品牌，应事先征得发包人的同意，且所选材料、设备品牌档次不低于推荐品牌，合同总价一般不作调整。</w:t>
      </w:r>
    </w:p>
    <w:p w14:paraId="32381DBC">
      <w:pPr>
        <w:widowControl/>
        <w:spacing w:line="360" w:lineRule="auto"/>
        <w:ind w:firstLine="360" w:firstLineChars="200"/>
        <w:rPr>
          <w:rFonts w:hint="eastAsia" w:ascii="宋体" w:hAnsi="宋体" w:cs="宋体"/>
          <w:color w:val="auto"/>
          <w:sz w:val="18"/>
          <w:szCs w:val="18"/>
          <w:highlight w:val="none"/>
        </w:rPr>
      </w:pPr>
      <w:r>
        <w:rPr>
          <w:rFonts w:hint="eastAsia" w:ascii="宋体" w:hAnsi="宋体" w:cs="宋体"/>
          <w:color w:val="auto"/>
          <w:sz w:val="18"/>
          <w:szCs w:val="18"/>
          <w:highlight w:val="none"/>
        </w:rPr>
        <w:t>3.材料、设备的选型，应根据项目的规模、标准及使用功能确定，推荐的品牌系列确保价格相当，提倡使用最广泛的材料、设备，并应与项目使用、维保相匹配；鼓励发包人优先推荐国产大型生产厂家或省级以上知名品牌产品。</w:t>
      </w:r>
    </w:p>
    <w:p w14:paraId="2DD98B64">
      <w:pPr>
        <w:widowControl/>
        <w:spacing w:line="360" w:lineRule="auto"/>
        <w:ind w:firstLine="360" w:firstLineChars="200"/>
        <w:rPr>
          <w:rFonts w:hint="eastAsia" w:ascii="宋体" w:hAnsi="宋体" w:cs="宋体"/>
          <w:color w:val="auto"/>
          <w:sz w:val="18"/>
          <w:szCs w:val="18"/>
          <w:highlight w:val="none"/>
        </w:rPr>
      </w:pPr>
      <w:r>
        <w:rPr>
          <w:rFonts w:hint="eastAsia" w:ascii="宋体" w:hAnsi="宋体" w:cs="宋体"/>
          <w:color w:val="auto"/>
          <w:sz w:val="18"/>
          <w:szCs w:val="18"/>
          <w:highlight w:val="none"/>
        </w:rPr>
        <w:t>4.有价格要求的材料、设备，承包人在施工前应当把具体材料规格、技术参数、品牌系列和价格报送发包人确定，发包人可委托</w:t>
      </w:r>
      <w:r>
        <w:rPr>
          <w:rFonts w:hint="eastAsia" w:ascii="宋体" w:hAnsi="宋体"/>
          <w:color w:val="auto"/>
          <w:sz w:val="18"/>
          <w:szCs w:val="18"/>
          <w:highlight w:val="none"/>
        </w:rPr>
        <w:t>全过程工程咨询单位</w:t>
      </w:r>
      <w:r>
        <w:rPr>
          <w:rFonts w:hint="eastAsia" w:ascii="宋体" w:hAnsi="宋体" w:cs="宋体"/>
          <w:color w:val="auto"/>
          <w:sz w:val="18"/>
          <w:szCs w:val="18"/>
          <w:highlight w:val="none"/>
        </w:rPr>
        <w:t>或者第三方进行确认，经确认后符合价格要求的，合同总价一般不作调整。</w:t>
      </w:r>
    </w:p>
    <w:p w14:paraId="0DC549DB">
      <w:pPr>
        <w:widowControl/>
        <w:spacing w:line="360" w:lineRule="auto"/>
        <w:ind w:firstLine="360" w:firstLineChars="200"/>
        <w:rPr>
          <w:rFonts w:hint="eastAsia" w:ascii="宋体" w:hAnsi="宋体" w:cs="宋体"/>
          <w:color w:val="auto"/>
          <w:sz w:val="18"/>
          <w:szCs w:val="18"/>
          <w:highlight w:val="none"/>
        </w:rPr>
      </w:pPr>
      <w:r>
        <w:rPr>
          <w:rFonts w:hint="eastAsia" w:ascii="宋体" w:hAnsi="宋体" w:cs="宋体"/>
          <w:color w:val="auto"/>
          <w:sz w:val="18"/>
          <w:szCs w:val="18"/>
          <w:highlight w:val="none"/>
        </w:rPr>
        <w:t>5.如采购困难、采购环境发生较大变化，承包人可提供相关证明材料向发包人申请变更材料品牌，经发包人同意后双方协商确定调整价格。</w:t>
      </w:r>
    </w:p>
    <w:p w14:paraId="64AF17D2">
      <w:pPr>
        <w:widowControl/>
        <w:spacing w:line="360" w:lineRule="auto"/>
        <w:ind w:firstLine="360" w:firstLineChars="200"/>
        <w:rPr>
          <w:color w:val="auto"/>
          <w:sz w:val="18"/>
          <w:szCs w:val="18"/>
          <w:highlight w:val="none"/>
        </w:rPr>
      </w:pPr>
      <w:r>
        <w:rPr>
          <w:rFonts w:hint="eastAsia" w:ascii="宋体" w:hAnsi="宋体" w:cs="宋体"/>
          <w:color w:val="auto"/>
          <w:sz w:val="18"/>
          <w:szCs w:val="18"/>
          <w:highlight w:val="none"/>
        </w:rPr>
        <w:t>6.如需注明产地的地方性材料可在备注栏注明。</w:t>
      </w:r>
    </w:p>
    <w:p w14:paraId="2C31B526">
      <w:pPr>
        <w:spacing w:line="360" w:lineRule="auto"/>
        <w:rPr>
          <w:color w:val="auto"/>
          <w:highlight w:val="none"/>
        </w:rPr>
      </w:pPr>
    </w:p>
    <w:p w14:paraId="09FF2ED3">
      <w:pPr>
        <w:pStyle w:val="17"/>
        <w:rPr>
          <w:rFonts w:hint="eastAsia"/>
          <w:color w:val="auto"/>
          <w:highlight w:val="none"/>
        </w:rPr>
      </w:pPr>
    </w:p>
    <w:p w14:paraId="1DB41B16">
      <w:pPr>
        <w:rPr>
          <w:color w:val="auto"/>
          <w:highlight w:val="none"/>
        </w:rPr>
      </w:pPr>
      <w:r>
        <w:rPr>
          <w:rFonts w:hint="eastAsia"/>
          <w:color w:val="auto"/>
          <w:highlight w:val="none"/>
        </w:rPr>
        <w:br w:type="page"/>
      </w:r>
      <w:r>
        <w:rPr>
          <w:rFonts w:hint="eastAsia"/>
          <w:color w:val="auto"/>
          <w:highlight w:val="none"/>
        </w:rPr>
        <w:t>附件2</w:t>
      </w:r>
    </w:p>
    <w:p w14:paraId="217FEAF1">
      <w:pPr>
        <w:pStyle w:val="17"/>
        <w:rPr>
          <w:rFonts w:hint="eastAsia" w:cs="宋体"/>
          <w:b/>
          <w:bCs/>
          <w:color w:val="auto"/>
          <w:sz w:val="30"/>
          <w:szCs w:val="30"/>
          <w:highlight w:val="none"/>
        </w:rPr>
      </w:pPr>
      <w:r>
        <w:rPr>
          <w:rFonts w:hint="eastAsia"/>
          <w:color w:val="auto"/>
          <w:highlight w:val="none"/>
        </w:rPr>
        <w:t>□</w:t>
      </w:r>
      <w:r>
        <w:rPr>
          <w:rFonts w:hint="eastAsia" w:cs="宋体"/>
          <w:b/>
          <w:bCs/>
          <w:color w:val="auto"/>
          <w:sz w:val="30"/>
          <w:szCs w:val="30"/>
          <w:highlight w:val="none"/>
        </w:rPr>
        <w:t>价格要素价差调整表</w:t>
      </w:r>
    </w:p>
    <w:p w14:paraId="4364F21F">
      <w:pPr>
        <w:spacing w:line="360" w:lineRule="auto"/>
        <w:rPr>
          <w:b/>
          <w:bCs/>
          <w:color w:val="auto"/>
          <w:szCs w:val="21"/>
          <w:highlight w:val="none"/>
        </w:rPr>
      </w:pPr>
      <w:r>
        <w:rPr>
          <w:rFonts w:hint="eastAsia"/>
          <w:b/>
          <w:bCs/>
          <w:color w:val="auto"/>
          <w:szCs w:val="21"/>
          <w:highlight w:val="none"/>
        </w:rPr>
        <w:t>项目名称：                                   建筑安装工程费P（元）：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335"/>
        <w:gridCol w:w="997"/>
        <w:gridCol w:w="997"/>
        <w:gridCol w:w="997"/>
        <w:gridCol w:w="1247"/>
        <w:gridCol w:w="1110"/>
        <w:gridCol w:w="1230"/>
        <w:gridCol w:w="670"/>
      </w:tblGrid>
      <w:tr w14:paraId="71B3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533" w:type="dxa"/>
            <w:vAlign w:val="center"/>
          </w:tcPr>
          <w:p w14:paraId="12A96F8C">
            <w:pPr>
              <w:spacing w:line="360" w:lineRule="auto"/>
              <w:jc w:val="center"/>
              <w:rPr>
                <w:rFonts w:cs="Calibri"/>
                <w:color w:val="auto"/>
                <w:szCs w:val="21"/>
                <w:highlight w:val="none"/>
              </w:rPr>
            </w:pPr>
            <w:r>
              <w:rPr>
                <w:rFonts w:hint="eastAsia" w:cs="Calibri"/>
                <w:color w:val="auto"/>
                <w:szCs w:val="21"/>
                <w:highlight w:val="none"/>
              </w:rPr>
              <w:t>序号</w:t>
            </w:r>
          </w:p>
        </w:tc>
        <w:tc>
          <w:tcPr>
            <w:tcW w:w="1335" w:type="dxa"/>
            <w:vAlign w:val="center"/>
          </w:tcPr>
          <w:p w14:paraId="09291100">
            <w:pPr>
              <w:spacing w:line="360" w:lineRule="auto"/>
              <w:jc w:val="center"/>
              <w:rPr>
                <w:rFonts w:cs="Calibri"/>
                <w:color w:val="auto"/>
                <w:szCs w:val="21"/>
                <w:highlight w:val="none"/>
              </w:rPr>
            </w:pPr>
            <w:r>
              <w:rPr>
                <w:rFonts w:cs="Calibri"/>
                <w:color w:val="auto"/>
                <w:szCs w:val="21"/>
                <w:highlight w:val="none"/>
              </w:rPr>
              <w:t>要素</w:t>
            </w:r>
          </w:p>
          <w:p w14:paraId="077DD6E4">
            <w:pPr>
              <w:spacing w:line="360" w:lineRule="auto"/>
              <w:jc w:val="center"/>
              <w:rPr>
                <w:rFonts w:cs="Calibri"/>
                <w:color w:val="auto"/>
                <w:szCs w:val="21"/>
                <w:highlight w:val="none"/>
              </w:rPr>
            </w:pPr>
            <w:r>
              <w:rPr>
                <w:rFonts w:cs="Calibri"/>
                <w:color w:val="auto"/>
                <w:szCs w:val="21"/>
                <w:highlight w:val="none"/>
              </w:rPr>
              <w:t>名称</w:t>
            </w:r>
          </w:p>
        </w:tc>
        <w:tc>
          <w:tcPr>
            <w:tcW w:w="997" w:type="dxa"/>
            <w:vAlign w:val="center"/>
          </w:tcPr>
          <w:p w14:paraId="01A98A8D">
            <w:pPr>
              <w:spacing w:line="360" w:lineRule="auto"/>
              <w:jc w:val="center"/>
              <w:rPr>
                <w:rFonts w:cs="Calibri"/>
                <w:color w:val="auto"/>
                <w:szCs w:val="21"/>
                <w:highlight w:val="none"/>
              </w:rPr>
            </w:pPr>
            <w:r>
              <w:rPr>
                <w:rFonts w:cs="Calibri"/>
                <w:color w:val="auto"/>
                <w:szCs w:val="21"/>
                <w:highlight w:val="none"/>
              </w:rPr>
              <w:t>权重Bn</w:t>
            </w:r>
          </w:p>
        </w:tc>
        <w:tc>
          <w:tcPr>
            <w:tcW w:w="997" w:type="dxa"/>
            <w:vAlign w:val="center"/>
          </w:tcPr>
          <w:p w14:paraId="6034ECA8">
            <w:pPr>
              <w:spacing w:line="360" w:lineRule="auto"/>
              <w:jc w:val="center"/>
              <w:rPr>
                <w:rFonts w:cs="Calibri"/>
                <w:color w:val="auto"/>
                <w:szCs w:val="21"/>
                <w:highlight w:val="none"/>
              </w:rPr>
            </w:pPr>
            <w:r>
              <w:rPr>
                <w:rFonts w:cs="Calibri"/>
                <w:color w:val="auto"/>
                <w:szCs w:val="21"/>
                <w:highlight w:val="none"/>
              </w:rPr>
              <w:t>基期价格指数F0n</w:t>
            </w:r>
          </w:p>
        </w:tc>
        <w:tc>
          <w:tcPr>
            <w:tcW w:w="997" w:type="dxa"/>
            <w:vAlign w:val="center"/>
          </w:tcPr>
          <w:p w14:paraId="6967D407">
            <w:pPr>
              <w:spacing w:line="360" w:lineRule="auto"/>
              <w:jc w:val="center"/>
              <w:rPr>
                <w:rFonts w:cs="Calibri"/>
                <w:color w:val="auto"/>
                <w:szCs w:val="21"/>
                <w:highlight w:val="none"/>
              </w:rPr>
            </w:pPr>
            <w:r>
              <w:rPr>
                <w:rFonts w:cs="Calibri"/>
                <w:color w:val="auto"/>
                <w:szCs w:val="21"/>
                <w:highlight w:val="none"/>
              </w:rPr>
              <w:t>计算期价格指数Ftn</w:t>
            </w:r>
          </w:p>
        </w:tc>
        <w:tc>
          <w:tcPr>
            <w:tcW w:w="1247" w:type="dxa"/>
            <w:vAlign w:val="center"/>
          </w:tcPr>
          <w:p w14:paraId="4F3E0488">
            <w:pPr>
              <w:spacing w:line="360" w:lineRule="auto"/>
              <w:jc w:val="center"/>
              <w:rPr>
                <w:rFonts w:cs="Calibri"/>
                <w:color w:val="auto"/>
                <w:szCs w:val="21"/>
                <w:highlight w:val="none"/>
              </w:rPr>
            </w:pPr>
            <w:r>
              <w:rPr>
                <w:rFonts w:cs="Calibri"/>
                <w:color w:val="auto"/>
                <w:szCs w:val="21"/>
                <w:highlight w:val="none"/>
              </w:rPr>
              <w:t>风险幅度RRn</w:t>
            </w:r>
            <w:r>
              <w:rPr>
                <w:rFonts w:hint="eastAsia" w:cs="Calibri"/>
                <w:color w:val="auto"/>
                <w:szCs w:val="21"/>
                <w:highlight w:val="none"/>
              </w:rPr>
              <w:t>（</w:t>
            </w:r>
            <w:r>
              <w:rPr>
                <w:rFonts w:hint="eastAsia" w:ascii="微软雅黑" w:hAnsi="微软雅黑" w:eastAsia="微软雅黑" w:cs="微软雅黑"/>
                <w:color w:val="auto"/>
                <w:szCs w:val="21"/>
                <w:highlight w:val="none"/>
              </w:rPr>
              <w:t>±</w:t>
            </w:r>
            <w:r>
              <w:rPr>
                <w:rFonts w:hint="eastAsia" w:cs="Calibri"/>
                <w:color w:val="auto"/>
                <w:szCs w:val="21"/>
                <w:highlight w:val="none"/>
              </w:rPr>
              <w:t>）</w:t>
            </w:r>
            <w:r>
              <w:rPr>
                <w:rFonts w:cs="Calibri"/>
                <w:color w:val="auto"/>
                <w:szCs w:val="21"/>
                <w:highlight w:val="none"/>
              </w:rPr>
              <w:t>（%）</w:t>
            </w:r>
          </w:p>
        </w:tc>
        <w:tc>
          <w:tcPr>
            <w:tcW w:w="1110" w:type="dxa"/>
            <w:vAlign w:val="center"/>
          </w:tcPr>
          <w:p w14:paraId="1940B624">
            <w:pPr>
              <w:spacing w:line="360" w:lineRule="auto"/>
              <w:jc w:val="center"/>
              <w:rPr>
                <w:rFonts w:cs="Calibri"/>
                <w:color w:val="auto"/>
                <w:szCs w:val="21"/>
                <w:highlight w:val="none"/>
              </w:rPr>
            </w:pPr>
            <w:r>
              <w:rPr>
                <w:rFonts w:cs="Calibri"/>
                <w:color w:val="auto"/>
                <w:szCs w:val="21"/>
                <w:highlight w:val="none"/>
              </w:rPr>
              <w:t>价格调整幅度ARn（%）</w:t>
            </w:r>
          </w:p>
        </w:tc>
        <w:tc>
          <w:tcPr>
            <w:tcW w:w="1230" w:type="dxa"/>
            <w:vAlign w:val="center"/>
          </w:tcPr>
          <w:p w14:paraId="629849A9">
            <w:pPr>
              <w:spacing w:line="360" w:lineRule="auto"/>
              <w:jc w:val="center"/>
              <w:rPr>
                <w:rFonts w:cs="Calibri"/>
                <w:color w:val="auto"/>
                <w:szCs w:val="21"/>
                <w:highlight w:val="none"/>
              </w:rPr>
            </w:pPr>
            <w:r>
              <w:rPr>
                <w:rFonts w:cs="Calibri"/>
                <w:color w:val="auto"/>
                <w:szCs w:val="21"/>
                <w:highlight w:val="none"/>
              </w:rPr>
              <w:t>调整金额△Pn</w:t>
            </w:r>
            <w:r>
              <w:rPr>
                <w:rFonts w:hint="eastAsia" w:cs="Calibri"/>
                <w:color w:val="auto"/>
                <w:szCs w:val="21"/>
                <w:highlight w:val="none"/>
              </w:rPr>
              <w:t>（元）</w:t>
            </w:r>
          </w:p>
        </w:tc>
        <w:tc>
          <w:tcPr>
            <w:tcW w:w="670" w:type="dxa"/>
            <w:vAlign w:val="center"/>
          </w:tcPr>
          <w:p w14:paraId="074EB649">
            <w:pPr>
              <w:spacing w:line="360" w:lineRule="auto"/>
              <w:jc w:val="center"/>
              <w:rPr>
                <w:rFonts w:cs="Calibri"/>
                <w:color w:val="auto"/>
                <w:szCs w:val="21"/>
                <w:highlight w:val="none"/>
              </w:rPr>
            </w:pPr>
            <w:r>
              <w:rPr>
                <w:rFonts w:hint="eastAsia" w:cs="Calibri"/>
                <w:color w:val="auto"/>
                <w:szCs w:val="21"/>
                <w:highlight w:val="none"/>
              </w:rPr>
              <w:t>备注</w:t>
            </w:r>
          </w:p>
        </w:tc>
      </w:tr>
      <w:tr w14:paraId="775E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33" w:type="dxa"/>
            <w:vAlign w:val="center"/>
          </w:tcPr>
          <w:p w14:paraId="15D32015">
            <w:pPr>
              <w:spacing w:line="360" w:lineRule="auto"/>
              <w:jc w:val="center"/>
              <w:rPr>
                <w:rFonts w:cs="Calibri"/>
                <w:color w:val="auto"/>
                <w:szCs w:val="21"/>
                <w:highlight w:val="none"/>
              </w:rPr>
            </w:pPr>
            <w:r>
              <w:rPr>
                <w:rFonts w:hint="eastAsia" w:cs="Calibri"/>
                <w:color w:val="auto"/>
                <w:szCs w:val="21"/>
                <w:highlight w:val="none"/>
              </w:rPr>
              <w:t>1</w:t>
            </w:r>
          </w:p>
        </w:tc>
        <w:tc>
          <w:tcPr>
            <w:tcW w:w="1335" w:type="dxa"/>
            <w:vAlign w:val="center"/>
          </w:tcPr>
          <w:p w14:paraId="5F8281CB">
            <w:pPr>
              <w:spacing w:line="360" w:lineRule="auto"/>
              <w:jc w:val="center"/>
              <w:rPr>
                <w:rFonts w:cs="Calibri"/>
                <w:color w:val="auto"/>
                <w:szCs w:val="21"/>
                <w:highlight w:val="none"/>
              </w:rPr>
            </w:pPr>
          </w:p>
        </w:tc>
        <w:tc>
          <w:tcPr>
            <w:tcW w:w="997" w:type="dxa"/>
            <w:vAlign w:val="center"/>
          </w:tcPr>
          <w:p w14:paraId="2CBA437B">
            <w:pPr>
              <w:spacing w:line="360" w:lineRule="auto"/>
              <w:jc w:val="center"/>
              <w:rPr>
                <w:rFonts w:cs="Calibri"/>
                <w:color w:val="auto"/>
                <w:szCs w:val="21"/>
                <w:highlight w:val="none"/>
              </w:rPr>
            </w:pPr>
          </w:p>
        </w:tc>
        <w:tc>
          <w:tcPr>
            <w:tcW w:w="997" w:type="dxa"/>
            <w:vAlign w:val="center"/>
          </w:tcPr>
          <w:p w14:paraId="00BB8D65">
            <w:pPr>
              <w:spacing w:line="360" w:lineRule="auto"/>
              <w:jc w:val="center"/>
              <w:rPr>
                <w:rFonts w:cs="Calibri"/>
                <w:color w:val="auto"/>
                <w:szCs w:val="21"/>
                <w:highlight w:val="none"/>
              </w:rPr>
            </w:pPr>
          </w:p>
        </w:tc>
        <w:tc>
          <w:tcPr>
            <w:tcW w:w="997" w:type="dxa"/>
            <w:vAlign w:val="center"/>
          </w:tcPr>
          <w:p w14:paraId="362C08A6">
            <w:pPr>
              <w:spacing w:line="360" w:lineRule="auto"/>
              <w:jc w:val="center"/>
              <w:rPr>
                <w:rFonts w:cs="Calibri"/>
                <w:color w:val="auto"/>
                <w:szCs w:val="21"/>
                <w:highlight w:val="none"/>
              </w:rPr>
            </w:pPr>
          </w:p>
        </w:tc>
        <w:tc>
          <w:tcPr>
            <w:tcW w:w="1247" w:type="dxa"/>
            <w:vAlign w:val="center"/>
          </w:tcPr>
          <w:p w14:paraId="5254A18B">
            <w:pPr>
              <w:spacing w:line="360" w:lineRule="auto"/>
              <w:jc w:val="center"/>
              <w:rPr>
                <w:rFonts w:cs="Calibri"/>
                <w:color w:val="auto"/>
                <w:szCs w:val="21"/>
                <w:highlight w:val="none"/>
              </w:rPr>
            </w:pPr>
          </w:p>
        </w:tc>
        <w:tc>
          <w:tcPr>
            <w:tcW w:w="1110" w:type="dxa"/>
            <w:vAlign w:val="center"/>
          </w:tcPr>
          <w:p w14:paraId="13C6439D">
            <w:pPr>
              <w:spacing w:line="360" w:lineRule="auto"/>
              <w:jc w:val="center"/>
              <w:rPr>
                <w:rFonts w:cs="Calibri"/>
                <w:color w:val="auto"/>
                <w:szCs w:val="21"/>
                <w:highlight w:val="none"/>
              </w:rPr>
            </w:pPr>
          </w:p>
        </w:tc>
        <w:tc>
          <w:tcPr>
            <w:tcW w:w="1230" w:type="dxa"/>
            <w:vAlign w:val="center"/>
          </w:tcPr>
          <w:p w14:paraId="381CAA03">
            <w:pPr>
              <w:spacing w:line="360" w:lineRule="auto"/>
              <w:jc w:val="center"/>
              <w:rPr>
                <w:rFonts w:cs="Calibri"/>
                <w:color w:val="auto"/>
                <w:szCs w:val="21"/>
                <w:highlight w:val="none"/>
              </w:rPr>
            </w:pPr>
          </w:p>
        </w:tc>
        <w:tc>
          <w:tcPr>
            <w:tcW w:w="670" w:type="dxa"/>
            <w:vAlign w:val="center"/>
          </w:tcPr>
          <w:p w14:paraId="3EB315F9">
            <w:pPr>
              <w:spacing w:line="360" w:lineRule="auto"/>
              <w:jc w:val="center"/>
              <w:rPr>
                <w:rFonts w:cs="Calibri"/>
                <w:color w:val="auto"/>
                <w:szCs w:val="21"/>
                <w:highlight w:val="none"/>
              </w:rPr>
            </w:pPr>
          </w:p>
        </w:tc>
      </w:tr>
      <w:tr w14:paraId="5EC4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33" w:type="dxa"/>
            <w:vAlign w:val="center"/>
          </w:tcPr>
          <w:p w14:paraId="09DDDD78">
            <w:pPr>
              <w:spacing w:line="360" w:lineRule="auto"/>
              <w:jc w:val="center"/>
              <w:rPr>
                <w:rFonts w:cs="Calibri"/>
                <w:color w:val="auto"/>
                <w:szCs w:val="21"/>
                <w:highlight w:val="none"/>
              </w:rPr>
            </w:pPr>
            <w:r>
              <w:rPr>
                <w:rFonts w:hint="eastAsia" w:cs="Calibri"/>
                <w:color w:val="auto"/>
                <w:szCs w:val="21"/>
                <w:highlight w:val="none"/>
              </w:rPr>
              <w:t>2</w:t>
            </w:r>
          </w:p>
        </w:tc>
        <w:tc>
          <w:tcPr>
            <w:tcW w:w="1335" w:type="dxa"/>
            <w:vAlign w:val="center"/>
          </w:tcPr>
          <w:p w14:paraId="1F85E963">
            <w:pPr>
              <w:spacing w:line="360" w:lineRule="auto"/>
              <w:jc w:val="center"/>
              <w:rPr>
                <w:rFonts w:cs="Calibri"/>
                <w:color w:val="auto"/>
                <w:szCs w:val="21"/>
                <w:highlight w:val="none"/>
              </w:rPr>
            </w:pPr>
          </w:p>
        </w:tc>
        <w:tc>
          <w:tcPr>
            <w:tcW w:w="997" w:type="dxa"/>
            <w:vAlign w:val="center"/>
          </w:tcPr>
          <w:p w14:paraId="6F57358E">
            <w:pPr>
              <w:spacing w:line="360" w:lineRule="auto"/>
              <w:jc w:val="center"/>
              <w:rPr>
                <w:rFonts w:cs="Calibri"/>
                <w:color w:val="auto"/>
                <w:szCs w:val="21"/>
                <w:highlight w:val="none"/>
              </w:rPr>
            </w:pPr>
          </w:p>
        </w:tc>
        <w:tc>
          <w:tcPr>
            <w:tcW w:w="997" w:type="dxa"/>
            <w:vAlign w:val="center"/>
          </w:tcPr>
          <w:p w14:paraId="7FAE8A6F">
            <w:pPr>
              <w:spacing w:line="360" w:lineRule="auto"/>
              <w:jc w:val="center"/>
              <w:rPr>
                <w:rFonts w:cs="Calibri"/>
                <w:color w:val="auto"/>
                <w:szCs w:val="21"/>
                <w:highlight w:val="none"/>
              </w:rPr>
            </w:pPr>
          </w:p>
        </w:tc>
        <w:tc>
          <w:tcPr>
            <w:tcW w:w="997" w:type="dxa"/>
            <w:vAlign w:val="center"/>
          </w:tcPr>
          <w:p w14:paraId="6601BC48">
            <w:pPr>
              <w:spacing w:line="360" w:lineRule="auto"/>
              <w:jc w:val="center"/>
              <w:rPr>
                <w:rFonts w:cs="Calibri"/>
                <w:color w:val="auto"/>
                <w:szCs w:val="21"/>
                <w:highlight w:val="none"/>
              </w:rPr>
            </w:pPr>
          </w:p>
        </w:tc>
        <w:tc>
          <w:tcPr>
            <w:tcW w:w="1247" w:type="dxa"/>
            <w:vAlign w:val="center"/>
          </w:tcPr>
          <w:p w14:paraId="6BA10F03">
            <w:pPr>
              <w:spacing w:line="360" w:lineRule="auto"/>
              <w:jc w:val="center"/>
              <w:rPr>
                <w:rFonts w:cs="Calibri"/>
                <w:color w:val="auto"/>
                <w:szCs w:val="21"/>
                <w:highlight w:val="none"/>
              </w:rPr>
            </w:pPr>
          </w:p>
        </w:tc>
        <w:tc>
          <w:tcPr>
            <w:tcW w:w="1110" w:type="dxa"/>
            <w:vAlign w:val="center"/>
          </w:tcPr>
          <w:p w14:paraId="1CC9E5C5">
            <w:pPr>
              <w:spacing w:line="360" w:lineRule="auto"/>
              <w:jc w:val="center"/>
              <w:rPr>
                <w:rFonts w:cs="Calibri"/>
                <w:color w:val="auto"/>
                <w:szCs w:val="21"/>
                <w:highlight w:val="none"/>
              </w:rPr>
            </w:pPr>
          </w:p>
        </w:tc>
        <w:tc>
          <w:tcPr>
            <w:tcW w:w="1230" w:type="dxa"/>
            <w:vAlign w:val="center"/>
          </w:tcPr>
          <w:p w14:paraId="08807DD4">
            <w:pPr>
              <w:spacing w:line="360" w:lineRule="auto"/>
              <w:jc w:val="center"/>
              <w:rPr>
                <w:rFonts w:cs="Calibri"/>
                <w:color w:val="auto"/>
                <w:szCs w:val="21"/>
                <w:highlight w:val="none"/>
              </w:rPr>
            </w:pPr>
          </w:p>
        </w:tc>
        <w:tc>
          <w:tcPr>
            <w:tcW w:w="670" w:type="dxa"/>
            <w:vAlign w:val="center"/>
          </w:tcPr>
          <w:p w14:paraId="4467D787">
            <w:pPr>
              <w:spacing w:line="360" w:lineRule="auto"/>
              <w:jc w:val="center"/>
              <w:rPr>
                <w:rFonts w:cs="Calibri"/>
                <w:color w:val="auto"/>
                <w:szCs w:val="21"/>
                <w:highlight w:val="none"/>
              </w:rPr>
            </w:pPr>
          </w:p>
        </w:tc>
      </w:tr>
      <w:tr w14:paraId="352F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33" w:type="dxa"/>
            <w:vAlign w:val="center"/>
          </w:tcPr>
          <w:p w14:paraId="254B9B59">
            <w:pPr>
              <w:spacing w:line="360" w:lineRule="auto"/>
              <w:jc w:val="center"/>
              <w:rPr>
                <w:rFonts w:cs="Calibri"/>
                <w:color w:val="auto"/>
                <w:szCs w:val="21"/>
                <w:highlight w:val="none"/>
              </w:rPr>
            </w:pPr>
            <w:r>
              <w:rPr>
                <w:rFonts w:ascii="Arial" w:hAnsi="Arial" w:cs="Arial"/>
                <w:color w:val="auto"/>
                <w:szCs w:val="21"/>
                <w:highlight w:val="none"/>
              </w:rPr>
              <w:t>…</w:t>
            </w:r>
          </w:p>
        </w:tc>
        <w:tc>
          <w:tcPr>
            <w:tcW w:w="1335" w:type="dxa"/>
            <w:vAlign w:val="center"/>
          </w:tcPr>
          <w:p w14:paraId="60936817">
            <w:pPr>
              <w:spacing w:line="360" w:lineRule="auto"/>
              <w:jc w:val="center"/>
              <w:rPr>
                <w:rFonts w:cs="Calibri"/>
                <w:color w:val="auto"/>
                <w:szCs w:val="21"/>
                <w:highlight w:val="none"/>
              </w:rPr>
            </w:pPr>
          </w:p>
        </w:tc>
        <w:tc>
          <w:tcPr>
            <w:tcW w:w="997" w:type="dxa"/>
            <w:vAlign w:val="center"/>
          </w:tcPr>
          <w:p w14:paraId="120D347E">
            <w:pPr>
              <w:spacing w:line="360" w:lineRule="auto"/>
              <w:jc w:val="center"/>
              <w:rPr>
                <w:rFonts w:cs="Calibri"/>
                <w:color w:val="auto"/>
                <w:szCs w:val="21"/>
                <w:highlight w:val="none"/>
              </w:rPr>
            </w:pPr>
          </w:p>
        </w:tc>
        <w:tc>
          <w:tcPr>
            <w:tcW w:w="997" w:type="dxa"/>
            <w:vAlign w:val="center"/>
          </w:tcPr>
          <w:p w14:paraId="1FA37C19">
            <w:pPr>
              <w:spacing w:line="360" w:lineRule="auto"/>
              <w:jc w:val="center"/>
              <w:rPr>
                <w:rFonts w:cs="Calibri"/>
                <w:color w:val="auto"/>
                <w:szCs w:val="21"/>
                <w:highlight w:val="none"/>
              </w:rPr>
            </w:pPr>
          </w:p>
        </w:tc>
        <w:tc>
          <w:tcPr>
            <w:tcW w:w="997" w:type="dxa"/>
            <w:vAlign w:val="center"/>
          </w:tcPr>
          <w:p w14:paraId="5DDC9902">
            <w:pPr>
              <w:spacing w:line="360" w:lineRule="auto"/>
              <w:jc w:val="center"/>
              <w:rPr>
                <w:rFonts w:cs="Calibri"/>
                <w:color w:val="auto"/>
                <w:szCs w:val="21"/>
                <w:highlight w:val="none"/>
              </w:rPr>
            </w:pPr>
          </w:p>
        </w:tc>
        <w:tc>
          <w:tcPr>
            <w:tcW w:w="1247" w:type="dxa"/>
            <w:vAlign w:val="center"/>
          </w:tcPr>
          <w:p w14:paraId="72E6B7F7">
            <w:pPr>
              <w:spacing w:line="360" w:lineRule="auto"/>
              <w:jc w:val="center"/>
              <w:rPr>
                <w:rFonts w:cs="Calibri"/>
                <w:color w:val="auto"/>
                <w:szCs w:val="21"/>
                <w:highlight w:val="none"/>
              </w:rPr>
            </w:pPr>
          </w:p>
        </w:tc>
        <w:tc>
          <w:tcPr>
            <w:tcW w:w="1110" w:type="dxa"/>
            <w:vAlign w:val="center"/>
          </w:tcPr>
          <w:p w14:paraId="182C818F">
            <w:pPr>
              <w:spacing w:line="360" w:lineRule="auto"/>
              <w:jc w:val="center"/>
              <w:rPr>
                <w:rFonts w:cs="Calibri"/>
                <w:color w:val="auto"/>
                <w:szCs w:val="21"/>
                <w:highlight w:val="none"/>
              </w:rPr>
            </w:pPr>
          </w:p>
        </w:tc>
        <w:tc>
          <w:tcPr>
            <w:tcW w:w="1230" w:type="dxa"/>
            <w:vAlign w:val="center"/>
          </w:tcPr>
          <w:p w14:paraId="7E73041E">
            <w:pPr>
              <w:spacing w:line="360" w:lineRule="auto"/>
              <w:jc w:val="center"/>
              <w:rPr>
                <w:rFonts w:cs="Calibri"/>
                <w:color w:val="auto"/>
                <w:szCs w:val="21"/>
                <w:highlight w:val="none"/>
              </w:rPr>
            </w:pPr>
          </w:p>
        </w:tc>
        <w:tc>
          <w:tcPr>
            <w:tcW w:w="670" w:type="dxa"/>
            <w:vAlign w:val="center"/>
          </w:tcPr>
          <w:p w14:paraId="1D71E371">
            <w:pPr>
              <w:spacing w:line="360" w:lineRule="auto"/>
              <w:jc w:val="center"/>
              <w:rPr>
                <w:rFonts w:cs="Calibri"/>
                <w:color w:val="auto"/>
                <w:szCs w:val="21"/>
                <w:highlight w:val="none"/>
              </w:rPr>
            </w:pPr>
          </w:p>
        </w:tc>
      </w:tr>
      <w:tr w14:paraId="15D5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216" w:type="dxa"/>
            <w:gridSpan w:val="7"/>
            <w:vAlign w:val="center"/>
          </w:tcPr>
          <w:p w14:paraId="6FB5EAE1">
            <w:pPr>
              <w:spacing w:line="360" w:lineRule="auto"/>
              <w:jc w:val="center"/>
              <w:rPr>
                <w:color w:val="auto"/>
                <w:szCs w:val="21"/>
                <w:highlight w:val="none"/>
              </w:rPr>
            </w:pPr>
            <w:r>
              <w:rPr>
                <w:rFonts w:hint="eastAsia" w:cs="Calibri"/>
                <w:color w:val="auto"/>
                <w:szCs w:val="21"/>
                <w:highlight w:val="none"/>
              </w:rPr>
              <w:t>总价差调整金额</w:t>
            </w:r>
            <w:r>
              <w:rPr>
                <w:rFonts w:cs="Calibri"/>
                <w:color w:val="auto"/>
                <w:szCs w:val="21"/>
                <w:highlight w:val="none"/>
              </w:rPr>
              <w:t>△P</w:t>
            </w:r>
            <w:r>
              <w:rPr>
                <w:rFonts w:hint="eastAsia" w:cs="Calibri"/>
                <w:color w:val="auto"/>
                <w:szCs w:val="21"/>
                <w:highlight w:val="none"/>
              </w:rPr>
              <w:t>（元）</w:t>
            </w:r>
          </w:p>
        </w:tc>
        <w:tc>
          <w:tcPr>
            <w:tcW w:w="1230" w:type="dxa"/>
            <w:vAlign w:val="center"/>
          </w:tcPr>
          <w:p w14:paraId="3100A483">
            <w:pPr>
              <w:spacing w:line="360" w:lineRule="auto"/>
              <w:jc w:val="center"/>
              <w:rPr>
                <w:rFonts w:cs="Calibri"/>
                <w:color w:val="auto"/>
                <w:szCs w:val="21"/>
                <w:highlight w:val="none"/>
              </w:rPr>
            </w:pPr>
          </w:p>
        </w:tc>
        <w:tc>
          <w:tcPr>
            <w:tcW w:w="670" w:type="dxa"/>
            <w:vAlign w:val="center"/>
          </w:tcPr>
          <w:p w14:paraId="00B4094A">
            <w:pPr>
              <w:spacing w:line="360" w:lineRule="auto"/>
              <w:jc w:val="center"/>
              <w:rPr>
                <w:rFonts w:cs="Calibri"/>
                <w:color w:val="auto"/>
                <w:szCs w:val="21"/>
                <w:highlight w:val="none"/>
              </w:rPr>
            </w:pPr>
          </w:p>
        </w:tc>
      </w:tr>
    </w:tbl>
    <w:p w14:paraId="291CF536">
      <w:pPr>
        <w:snapToGrid w:val="0"/>
        <w:spacing w:line="360" w:lineRule="auto"/>
        <w:rPr>
          <w:color w:val="auto"/>
          <w:sz w:val="21"/>
          <w:szCs w:val="21"/>
          <w:highlight w:val="none"/>
        </w:rPr>
      </w:pPr>
      <w:r>
        <w:rPr>
          <w:rFonts w:hint="eastAsia"/>
          <w:color w:val="auto"/>
          <w:sz w:val="21"/>
          <w:szCs w:val="21"/>
          <w:highlight w:val="none"/>
        </w:rPr>
        <w:t>注：1.按《浙江省房屋建筑和市政基础设施项目工程总承包计价规则》价差调整原则1综合造价指数计算，总价差调整金额△P</w:t>
      </w:r>
      <w:r>
        <w:rPr>
          <w:color w:val="auto"/>
          <w:sz w:val="21"/>
          <w:szCs w:val="21"/>
          <w:highlight w:val="none"/>
        </w:rPr>
        <w:t>=</w:t>
      </w:r>
      <w:r>
        <w:rPr>
          <w:rFonts w:hint="eastAsia"/>
          <w:color w:val="auto"/>
          <w:position w:val="-24"/>
          <w:sz w:val="21"/>
          <w:szCs w:val="21"/>
          <w:highlight w:val="none"/>
        </w:rPr>
        <w:object>
          <v:shape id="_x0000_i1026" o:spt="75" type="#_x0000_t75" style="height:32.9pt;width:44.8pt;" o:ole="t" filled="f" o:preferrelative="t" stroked="f" coordsize="21600,21600">
            <v:path/>
            <v:fill on="f" focussize="0,0"/>
            <v:stroke on="f" joinstyle="miter"/>
            <v:imagedata r:id="rId18" o:title=""/>
            <o:lock v:ext="edit" aspectratio="t"/>
            <w10:wrap type="none"/>
            <w10:anchorlock/>
          </v:shape>
          <o:OLEObject Type="Embed" ProgID="Equations" ShapeID="_x0000_i1026" DrawAspect="Content" ObjectID="_1468075725" r:id="rId17">
            <o:LockedField>false</o:LockedField>
          </o:OLEObject>
        </w:object>
      </w:r>
      <w:r>
        <w:rPr>
          <w:rFonts w:hint="eastAsia"/>
          <w:color w:val="auto"/>
          <w:sz w:val="21"/>
          <w:szCs w:val="21"/>
          <w:highlight w:val="none"/>
        </w:rPr>
        <w:t>。</w:t>
      </w:r>
    </w:p>
    <w:p w14:paraId="56F7D39F">
      <w:pPr>
        <w:snapToGrid w:val="0"/>
        <w:spacing w:line="360" w:lineRule="auto"/>
        <w:ind w:firstLine="420" w:firstLineChars="200"/>
        <w:rPr>
          <w:color w:val="auto"/>
          <w:position w:val="-28"/>
          <w:sz w:val="21"/>
          <w:szCs w:val="21"/>
          <w:highlight w:val="none"/>
        </w:rPr>
      </w:pPr>
      <w:r>
        <w:rPr>
          <w:rFonts w:hint="eastAsia"/>
          <w:color w:val="auto"/>
          <w:sz w:val="21"/>
          <w:szCs w:val="21"/>
          <w:highlight w:val="none"/>
        </w:rPr>
        <w:t>2.按《浙江省房屋建筑和市政基础设施项目工程总承包计价规则》价差调整原则2要素价格指数计算，总价差调整金额△P</w:t>
      </w:r>
      <w:r>
        <w:rPr>
          <w:color w:val="auto"/>
          <w:sz w:val="21"/>
          <w:szCs w:val="21"/>
          <w:highlight w:val="none"/>
        </w:rPr>
        <w:t>=</w:t>
      </w:r>
      <w:r>
        <w:rPr>
          <w:rFonts w:hint="eastAsia"/>
          <w:color w:val="auto"/>
          <w:position w:val="-28"/>
          <w:sz w:val="21"/>
          <w:szCs w:val="21"/>
          <w:highlight w:val="none"/>
        </w:rPr>
        <w:object>
          <v:shape id="_x0000_i1027" o:spt="75" type="#_x0000_t75" style="height:34.6pt;width:39.1pt;" o:ole="t" filled="f" o:preferrelative="t" stroked="f" coordsize="21600,21600">
            <v:path/>
            <v:fill on="f" focussize="0,0"/>
            <v:stroke on="f" joinstyle="miter"/>
            <v:imagedata r:id="rId20" o:title=""/>
            <o:lock v:ext="edit" aspectratio="t"/>
            <w10:wrap type="none"/>
            <w10:anchorlock/>
          </v:shape>
          <o:OLEObject Type="Embed" ProgID="Equations" ShapeID="_x0000_i1027" DrawAspect="Content" ObjectID="_1468075726" r:id="rId19">
            <o:LockedField>false</o:LockedField>
          </o:OLEObject>
        </w:object>
      </w:r>
      <w:r>
        <w:rPr>
          <w:color w:val="auto"/>
          <w:sz w:val="21"/>
          <w:szCs w:val="21"/>
          <w:highlight w:val="none"/>
        </w:rPr>
        <w:t>=</w:t>
      </w:r>
      <w:r>
        <w:rPr>
          <w:rFonts w:hint="eastAsia"/>
          <w:color w:val="auto"/>
          <w:position w:val="-28"/>
          <w:sz w:val="21"/>
          <w:szCs w:val="21"/>
          <w:highlight w:val="none"/>
        </w:rPr>
        <w:object>
          <v:shape id="_x0000_i1028" o:spt="75" type="#_x0000_t75" style="height:34.6pt;width:86.75pt;" o:ole="t" filled="f" o:preferrelative="t" stroked="f" coordsize="21600,21600">
            <v:path/>
            <v:fill on="f" focussize="0,0"/>
            <v:stroke on="f" joinstyle="miter"/>
            <v:imagedata r:id="rId22" o:title=""/>
            <o:lock v:ext="edit" aspectratio="t"/>
            <w10:wrap type="none"/>
            <w10:anchorlock/>
          </v:shape>
          <o:OLEObject Type="Embed" ProgID="Equations" ShapeID="_x0000_i1028" DrawAspect="Content" ObjectID="_1468075727" r:id="rId21">
            <o:LockedField>false</o:LockedField>
          </o:OLEObject>
        </w:object>
      </w:r>
    </w:p>
    <w:p w14:paraId="7C7E6964">
      <w:pPr>
        <w:snapToGrid w:val="0"/>
        <w:spacing w:line="360" w:lineRule="auto"/>
        <w:ind w:firstLine="420" w:firstLineChars="200"/>
        <w:rPr>
          <w:color w:val="auto"/>
          <w:sz w:val="21"/>
          <w:szCs w:val="21"/>
          <w:highlight w:val="none"/>
        </w:rPr>
      </w:pPr>
      <w:r>
        <w:rPr>
          <w:rFonts w:hint="eastAsia"/>
          <w:color w:val="auto"/>
          <w:sz w:val="21"/>
          <w:szCs w:val="21"/>
          <w:highlight w:val="none"/>
        </w:rPr>
        <w:t>3.上述ARn取值：</w:t>
      </w:r>
    </w:p>
    <w:p w14:paraId="189E15C5">
      <w:pPr>
        <w:snapToGrid w:val="0"/>
        <w:spacing w:line="360" w:lineRule="auto"/>
        <w:ind w:firstLine="420" w:firstLineChars="200"/>
        <w:rPr>
          <w:color w:val="auto"/>
          <w:sz w:val="21"/>
          <w:szCs w:val="21"/>
          <w:highlight w:val="none"/>
        </w:rPr>
      </w:pPr>
      <w:r>
        <w:rPr>
          <w:rFonts w:hint="eastAsia"/>
          <w:color w:val="auto"/>
          <w:sz w:val="21"/>
          <w:szCs w:val="21"/>
          <w:highlight w:val="none"/>
        </w:rPr>
        <w:t>当</w:t>
      </w:r>
      <w:r>
        <w:rPr>
          <w:rFonts w:hint="eastAsia"/>
          <w:color w:val="auto"/>
          <w:position w:val="-28"/>
          <w:sz w:val="21"/>
          <w:szCs w:val="21"/>
          <w:highlight w:val="none"/>
        </w:rPr>
        <w:object>
          <v:shape id="_x0000_i1029" o:spt="75" type="#_x0000_t75" style="height:34.6pt;width:111.1pt;" o:ole="t" filled="f" o:preferrelative="t" stroked="f" coordsize="21600,21600">
            <v:path/>
            <v:fill on="f" focussize="0,0"/>
            <v:stroke on="f" joinstyle="miter"/>
            <v:imagedata r:id="rId24" o:title=""/>
            <o:lock v:ext="edit" aspectratio="t"/>
            <w10:wrap type="none"/>
            <w10:anchorlock/>
          </v:shape>
          <o:OLEObject Type="Embed" ProgID="Equations" ShapeID="_x0000_i1029" DrawAspect="Content" ObjectID="_1468075728" r:id="rId23">
            <o:LockedField>false</o:LockedField>
          </o:OLEObject>
        </w:object>
      </w:r>
      <w:r>
        <w:rPr>
          <w:rFonts w:hint="eastAsia"/>
          <w:color w:val="auto"/>
          <w:sz w:val="21"/>
          <w:szCs w:val="21"/>
          <w:highlight w:val="none"/>
        </w:rPr>
        <w:t>时，</w:t>
      </w:r>
      <w:r>
        <w:rPr>
          <w:rFonts w:hint="eastAsia"/>
          <w:color w:val="auto"/>
          <w:position w:val="-28"/>
          <w:sz w:val="21"/>
          <w:szCs w:val="21"/>
          <w:highlight w:val="none"/>
        </w:rPr>
        <w:object>
          <v:shape id="_x0000_i1030" o:spt="75" type="#_x0000_t75" style="height:34.6pt;width:145.15pt;" o:ole="t" filled="f" o:preferrelative="t" stroked="f" coordsize="21600,21600">
            <v:path/>
            <v:fill on="f" focussize="0,0"/>
            <v:stroke on="f" joinstyle="miter"/>
            <v:imagedata r:id="rId26" o:title=""/>
            <o:lock v:ext="edit" aspectratio="t"/>
            <w10:wrap type="none"/>
            <w10:anchorlock/>
          </v:shape>
          <o:OLEObject Type="Embed" ProgID="Equations" ShapeID="_x0000_i1030" DrawAspect="Content" ObjectID="_1468075729" r:id="rId25">
            <o:LockedField>false</o:LockedField>
          </o:OLEObject>
        </w:object>
      </w:r>
      <w:r>
        <w:rPr>
          <w:rFonts w:hint="eastAsia"/>
          <w:color w:val="auto"/>
          <w:sz w:val="21"/>
          <w:szCs w:val="21"/>
          <w:highlight w:val="none"/>
        </w:rPr>
        <w:t>；</w:t>
      </w:r>
    </w:p>
    <w:p w14:paraId="03B5E489">
      <w:pPr>
        <w:snapToGrid w:val="0"/>
        <w:spacing w:line="360" w:lineRule="auto"/>
        <w:ind w:firstLine="420" w:firstLineChars="200"/>
        <w:rPr>
          <w:color w:val="auto"/>
          <w:sz w:val="21"/>
          <w:szCs w:val="21"/>
          <w:highlight w:val="none"/>
        </w:rPr>
      </w:pPr>
      <w:r>
        <w:rPr>
          <w:rFonts w:hint="eastAsia"/>
          <w:color w:val="auto"/>
          <w:sz w:val="21"/>
          <w:szCs w:val="21"/>
          <w:highlight w:val="none"/>
        </w:rPr>
        <w:t>当</w:t>
      </w:r>
      <w:r>
        <w:rPr>
          <w:rFonts w:hint="eastAsia"/>
          <w:color w:val="auto"/>
          <w:position w:val="-28"/>
          <w:sz w:val="21"/>
          <w:szCs w:val="21"/>
          <w:highlight w:val="none"/>
        </w:rPr>
        <w:object>
          <v:shape id="_x0000_i1031" o:spt="75" type="#_x0000_t75" style="height:34.6pt;width:104.9pt;" o:ole="t" filled="f" o:preferrelative="t" stroked="f" coordsize="21600,21600">
            <v:path/>
            <v:fill on="f" focussize="0,0"/>
            <v:stroke on="f" joinstyle="miter"/>
            <v:imagedata r:id="rId28" o:title=""/>
            <o:lock v:ext="edit" aspectratio="t"/>
            <w10:wrap type="none"/>
            <w10:anchorlock/>
          </v:shape>
          <o:OLEObject Type="Embed" ProgID="Equations" ShapeID="_x0000_i1031" DrawAspect="Content" ObjectID="_1468075730" r:id="rId27">
            <o:LockedField>false</o:LockedField>
          </o:OLEObject>
        </w:object>
      </w:r>
      <w:r>
        <w:rPr>
          <w:rFonts w:hint="eastAsia"/>
          <w:color w:val="auto"/>
          <w:sz w:val="21"/>
          <w:szCs w:val="21"/>
          <w:highlight w:val="none"/>
        </w:rPr>
        <w:t>时，</w:t>
      </w:r>
      <w:r>
        <w:rPr>
          <w:rFonts w:hint="eastAsia"/>
          <w:color w:val="auto"/>
          <w:position w:val="-6"/>
          <w:sz w:val="21"/>
          <w:szCs w:val="21"/>
          <w:highlight w:val="none"/>
        </w:rPr>
        <w:object>
          <v:shape id="_x0000_i1032" o:spt="75" type="#_x0000_t75" style="height:14.15pt;width:44.8pt;" o:ole="t" filled="f" o:preferrelative="t" stroked="f" coordsize="21600,21600">
            <v:path/>
            <v:fill on="f" focussize="0,0"/>
            <v:stroke on="f" joinstyle="miter"/>
            <v:imagedata r:id="rId30" o:title=""/>
            <o:lock v:ext="edit" aspectratio="t"/>
            <w10:wrap type="none"/>
            <w10:anchorlock/>
          </v:shape>
          <o:OLEObject Type="Embed" ProgID="Equations" ShapeID="_x0000_i1032" DrawAspect="Content" ObjectID="_1468075731" r:id="rId29">
            <o:LockedField>false</o:LockedField>
          </o:OLEObject>
        </w:object>
      </w:r>
      <w:r>
        <w:rPr>
          <w:rFonts w:hint="eastAsia"/>
          <w:color w:val="auto"/>
          <w:sz w:val="21"/>
          <w:szCs w:val="21"/>
          <w:highlight w:val="none"/>
        </w:rPr>
        <w:t>；</w:t>
      </w:r>
    </w:p>
    <w:p w14:paraId="740D178F">
      <w:pPr>
        <w:snapToGrid w:val="0"/>
        <w:spacing w:line="360" w:lineRule="auto"/>
        <w:ind w:firstLine="420" w:firstLineChars="200"/>
        <w:rPr>
          <w:color w:val="auto"/>
          <w:sz w:val="21"/>
          <w:highlight w:val="none"/>
        </w:rPr>
      </w:pPr>
      <w:r>
        <w:rPr>
          <w:rFonts w:hint="eastAsia"/>
          <w:color w:val="auto"/>
          <w:sz w:val="21"/>
          <w:szCs w:val="21"/>
          <w:highlight w:val="none"/>
        </w:rPr>
        <w:t>当</w:t>
      </w:r>
      <w:r>
        <w:rPr>
          <w:rFonts w:hint="eastAsia"/>
          <w:color w:val="auto"/>
          <w:position w:val="-28"/>
          <w:sz w:val="21"/>
          <w:szCs w:val="21"/>
          <w:highlight w:val="none"/>
        </w:rPr>
        <w:object>
          <v:shape id="_x0000_i1033" o:spt="75" type="#_x0000_t75" style="height:34.6pt;width:118.5pt;" o:ole="t" filled="f" o:preferrelative="t" stroked="f" coordsize="21600,21600">
            <v:path/>
            <v:fill on="f" focussize="0,0"/>
            <v:stroke on="f" joinstyle="miter"/>
            <v:imagedata r:id="rId32" o:title=""/>
            <o:lock v:ext="edit" aspectratio="t"/>
            <w10:wrap type="none"/>
            <w10:anchorlock/>
          </v:shape>
          <o:OLEObject Type="Embed" ProgID="Equations" ShapeID="_x0000_i1033" DrawAspect="Content" ObjectID="_1468075732" r:id="rId31">
            <o:LockedField>false</o:LockedField>
          </o:OLEObject>
        </w:object>
      </w:r>
      <w:r>
        <w:rPr>
          <w:rFonts w:hint="eastAsia"/>
          <w:color w:val="auto"/>
          <w:sz w:val="21"/>
          <w:szCs w:val="21"/>
          <w:highlight w:val="none"/>
        </w:rPr>
        <w:t>时，</w:t>
      </w:r>
      <w:r>
        <w:rPr>
          <w:rFonts w:hint="eastAsia"/>
          <w:color w:val="auto"/>
          <w:position w:val="-28"/>
          <w:sz w:val="21"/>
          <w:szCs w:val="21"/>
          <w:highlight w:val="none"/>
        </w:rPr>
        <w:object>
          <v:shape id="_x0000_i1034" o:spt="75" type="#_x0000_t75" style="height:34.6pt;width:145.15pt;" o:ole="t" filled="f" o:preferrelative="t" stroked="f" coordsize="21600,21600">
            <v:path/>
            <v:fill on="f" focussize="0,0"/>
            <v:stroke on="f" joinstyle="miter"/>
            <v:imagedata r:id="rId34" o:title=""/>
            <o:lock v:ext="edit" aspectratio="t"/>
            <w10:wrap type="none"/>
            <w10:anchorlock/>
          </v:shape>
          <o:OLEObject Type="Embed" ProgID="Equations" ShapeID="_x0000_i1034" DrawAspect="Content" ObjectID="_1468075733" r:id="rId33">
            <o:LockedField>false</o:LockedField>
          </o:OLEObject>
        </w:object>
      </w:r>
      <w:r>
        <w:rPr>
          <w:rFonts w:hint="eastAsia"/>
          <w:color w:val="auto"/>
          <w:sz w:val="21"/>
          <w:szCs w:val="21"/>
          <w:highlight w:val="none"/>
        </w:rPr>
        <w:t>。</w:t>
      </w:r>
    </w:p>
    <w:p w14:paraId="354DC734">
      <w:pPr>
        <w:autoSpaceDE/>
        <w:autoSpaceDN/>
        <w:adjustRightInd/>
        <w:snapToGrid w:val="0"/>
        <w:spacing w:line="360" w:lineRule="auto"/>
        <w:ind w:firstLine="420" w:firstLineChars="200"/>
        <w:rPr>
          <w:color w:val="auto"/>
          <w:highlight w:val="none"/>
        </w:rPr>
      </w:pPr>
      <w:r>
        <w:rPr>
          <w:rFonts w:hint="eastAsia"/>
          <w:color w:val="auto"/>
          <w:sz w:val="21"/>
          <w:szCs w:val="21"/>
          <w:highlight w:val="none"/>
        </w:rPr>
        <w:t>4.造价管理机构未发布相应要素价格指数的，可令基期价格指数F0n为1，以计算期信息价（或市场价）除以基期信息价（或市场价）为计算期价格指数Ftn。</w:t>
      </w:r>
    </w:p>
    <w:p w14:paraId="03DFF248">
      <w:pPr>
        <w:pStyle w:val="17"/>
        <w:ind w:firstLine="420" w:firstLineChars="200"/>
        <w:jc w:val="both"/>
        <w:rPr>
          <w:rFonts w:ascii="Calibri" w:hAnsi="Calibri"/>
          <w:color w:val="auto"/>
          <w:sz w:val="21"/>
          <w:szCs w:val="21"/>
          <w:highlight w:val="none"/>
        </w:rPr>
        <w:sectPr>
          <w:headerReference r:id="rId4" w:type="default"/>
          <w:footerReference r:id="rId5" w:type="default"/>
          <w:pgSz w:w="11850" w:h="16783"/>
          <w:pgMar w:top="1361" w:right="1100" w:bottom="1100" w:left="1582" w:header="851" w:footer="992" w:gutter="0"/>
          <w:cols w:space="720" w:num="1"/>
          <w:docGrid w:type="lines" w:linePitch="312" w:charSpace="0"/>
        </w:sectPr>
      </w:pPr>
      <w:r>
        <w:rPr>
          <w:rFonts w:hint="eastAsia" w:ascii="Calibri" w:hAnsi="Calibri"/>
          <w:color w:val="auto"/>
          <w:sz w:val="21"/>
          <w:szCs w:val="21"/>
          <w:highlight w:val="none"/>
        </w:rPr>
        <w:t>5.占工程材料费比重较大的材料应当列入价格要素。</w:t>
      </w:r>
    </w:p>
    <w:p w14:paraId="415E6635">
      <w:pPr>
        <w:spacing w:line="360" w:lineRule="auto"/>
        <w:jc w:val="center"/>
        <w:rPr>
          <w:rFonts w:hint="eastAsia" w:ascii="仿宋" w:hAnsi="仿宋" w:eastAsia="仿宋" w:cs="宋体"/>
          <w:b/>
          <w:bCs/>
          <w:color w:val="auto"/>
          <w:sz w:val="30"/>
          <w:szCs w:val="30"/>
          <w:highlight w:val="none"/>
        </w:rPr>
      </w:pPr>
      <w:r>
        <w:rPr>
          <w:rFonts w:hint="eastAsia" w:ascii="仿宋" w:hAnsi="仿宋" w:eastAsia="仿宋" w:cs="宋体"/>
          <w:b/>
          <w:bCs/>
          <w:color w:val="auto"/>
          <w:sz w:val="30"/>
          <w:szCs w:val="30"/>
          <w:highlight w:val="none"/>
        </w:rPr>
        <w:t xml:space="preserve">附件3   </w:t>
      </w:r>
      <w:r>
        <w:rPr>
          <w:rFonts w:hint="eastAsia"/>
          <w:color w:val="auto"/>
          <w:highlight w:val="none"/>
        </w:rPr>
        <w:t>□</w:t>
      </w:r>
      <w:r>
        <w:rPr>
          <w:rFonts w:hint="eastAsia" w:ascii="仿宋" w:hAnsi="仿宋" w:eastAsia="仿宋" w:cs="宋体"/>
          <w:b/>
          <w:bCs/>
          <w:color w:val="auto"/>
          <w:sz w:val="30"/>
          <w:szCs w:val="30"/>
          <w:highlight w:val="none"/>
        </w:rPr>
        <w:t>里程碑进度计划支付表</w:t>
      </w:r>
    </w:p>
    <w:tbl>
      <w:tblPr>
        <w:tblStyle w:val="23"/>
        <w:tblW w:w="0" w:type="auto"/>
        <w:tblInd w:w="53" w:type="dxa"/>
        <w:tblLayout w:type="fixed"/>
        <w:tblCellMar>
          <w:top w:w="0" w:type="dxa"/>
          <w:left w:w="108" w:type="dxa"/>
          <w:bottom w:w="0" w:type="dxa"/>
          <w:right w:w="108" w:type="dxa"/>
        </w:tblCellMar>
      </w:tblPr>
      <w:tblGrid>
        <w:gridCol w:w="750"/>
        <w:gridCol w:w="2147"/>
        <w:gridCol w:w="803"/>
        <w:gridCol w:w="815"/>
        <w:gridCol w:w="748"/>
        <w:gridCol w:w="776"/>
        <w:gridCol w:w="794"/>
        <w:gridCol w:w="796"/>
        <w:gridCol w:w="744"/>
        <w:gridCol w:w="797"/>
        <w:gridCol w:w="767"/>
        <w:gridCol w:w="758"/>
        <w:gridCol w:w="776"/>
        <w:gridCol w:w="746"/>
        <w:gridCol w:w="766"/>
        <w:gridCol w:w="1007"/>
        <w:gridCol w:w="814"/>
      </w:tblGrid>
      <w:tr w14:paraId="0982B608">
        <w:tblPrEx>
          <w:tblCellMar>
            <w:top w:w="0" w:type="dxa"/>
            <w:left w:w="108" w:type="dxa"/>
            <w:bottom w:w="0" w:type="dxa"/>
            <w:right w:w="108" w:type="dxa"/>
          </w:tblCellMar>
        </w:tblPrEx>
        <w:trPr>
          <w:trHeight w:val="480" w:hRule="atLeast"/>
        </w:trPr>
        <w:tc>
          <w:tcPr>
            <w:tcW w:w="750" w:type="dxa"/>
            <w:vMerge w:val="restart"/>
            <w:tcBorders>
              <w:top w:val="single" w:color="auto" w:sz="4" w:space="0"/>
              <w:left w:val="single" w:color="auto" w:sz="4" w:space="0"/>
              <w:bottom w:val="single" w:color="000000" w:sz="4" w:space="0"/>
              <w:right w:val="single" w:color="auto" w:sz="4" w:space="0"/>
            </w:tcBorders>
            <w:vAlign w:val="center"/>
          </w:tcPr>
          <w:p w14:paraId="5D83E5FB">
            <w:pPr>
              <w:widowControl/>
              <w:autoSpaceDE/>
              <w:autoSpaceDN/>
              <w:adjustRightInd/>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序号</w:t>
            </w:r>
          </w:p>
        </w:tc>
        <w:tc>
          <w:tcPr>
            <w:tcW w:w="2147" w:type="dxa"/>
            <w:vMerge w:val="restart"/>
            <w:tcBorders>
              <w:top w:val="single" w:color="auto" w:sz="4" w:space="0"/>
              <w:left w:val="single" w:color="auto" w:sz="4" w:space="0"/>
              <w:bottom w:val="single" w:color="000000" w:sz="4" w:space="0"/>
              <w:right w:val="single" w:color="auto" w:sz="4" w:space="0"/>
            </w:tcBorders>
            <w:vAlign w:val="center"/>
          </w:tcPr>
          <w:p w14:paraId="281AA926">
            <w:pPr>
              <w:widowControl/>
              <w:autoSpaceDE/>
              <w:autoSpaceDN/>
              <w:adjustRightInd/>
              <w:spacing w:line="360" w:lineRule="auto"/>
              <w:ind w:right="540" w:rightChars="225"/>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项目名称</w:t>
            </w:r>
          </w:p>
        </w:tc>
        <w:tc>
          <w:tcPr>
            <w:tcW w:w="1618" w:type="dxa"/>
            <w:gridSpan w:val="2"/>
            <w:tcBorders>
              <w:top w:val="single" w:color="auto" w:sz="4" w:space="0"/>
              <w:left w:val="nil"/>
              <w:bottom w:val="single" w:color="auto" w:sz="4" w:space="0"/>
              <w:right w:val="nil"/>
            </w:tcBorders>
            <w:vAlign w:val="center"/>
          </w:tcPr>
          <w:p w14:paraId="21D7DDEA">
            <w:pPr>
              <w:widowControl/>
              <w:autoSpaceDE/>
              <w:autoSpaceDN/>
              <w:adjustRightInd/>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费用总额</w:t>
            </w:r>
          </w:p>
        </w:tc>
        <w:tc>
          <w:tcPr>
            <w:tcW w:w="8468" w:type="dxa"/>
            <w:gridSpan w:val="11"/>
            <w:tcBorders>
              <w:top w:val="single" w:color="auto" w:sz="4" w:space="0"/>
              <w:left w:val="single" w:color="auto" w:sz="4" w:space="0"/>
              <w:bottom w:val="single" w:color="auto" w:sz="4" w:space="0"/>
              <w:right w:val="nil"/>
            </w:tcBorders>
            <w:vAlign w:val="center"/>
          </w:tcPr>
          <w:p w14:paraId="71691BF1">
            <w:pPr>
              <w:widowControl/>
              <w:autoSpaceDE/>
              <w:autoSpaceDN/>
              <w:adjustRightInd/>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进度款支付</w:t>
            </w:r>
          </w:p>
        </w:tc>
        <w:tc>
          <w:tcPr>
            <w:tcW w:w="1007" w:type="dxa"/>
            <w:vMerge w:val="restart"/>
            <w:tcBorders>
              <w:top w:val="single" w:color="auto" w:sz="4" w:space="0"/>
              <w:left w:val="single" w:color="auto" w:sz="4" w:space="0"/>
              <w:bottom w:val="single" w:color="000000" w:sz="4" w:space="0"/>
              <w:right w:val="single" w:color="000000" w:sz="4" w:space="0"/>
            </w:tcBorders>
            <w:vAlign w:val="center"/>
          </w:tcPr>
          <w:p w14:paraId="6861E6C2">
            <w:pPr>
              <w:widowControl/>
              <w:autoSpaceDE/>
              <w:autoSpaceDN/>
              <w:adjustRightInd/>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竣工及终期支付</w:t>
            </w:r>
          </w:p>
        </w:tc>
        <w:tc>
          <w:tcPr>
            <w:tcW w:w="814" w:type="dxa"/>
            <w:vMerge w:val="restart"/>
            <w:tcBorders>
              <w:top w:val="single" w:color="auto" w:sz="4" w:space="0"/>
              <w:left w:val="nil"/>
              <w:bottom w:val="nil"/>
              <w:right w:val="single" w:color="auto" w:sz="4" w:space="0"/>
            </w:tcBorders>
            <w:vAlign w:val="center"/>
          </w:tcPr>
          <w:p w14:paraId="0EDE8436">
            <w:pPr>
              <w:widowControl/>
              <w:autoSpaceDE/>
              <w:autoSpaceDN/>
              <w:adjustRightInd/>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合计</w:t>
            </w:r>
          </w:p>
        </w:tc>
      </w:tr>
      <w:tr w14:paraId="1CBA7DA0">
        <w:tblPrEx>
          <w:tblCellMar>
            <w:top w:w="0" w:type="dxa"/>
            <w:left w:w="108" w:type="dxa"/>
            <w:bottom w:w="0" w:type="dxa"/>
            <w:right w:w="108" w:type="dxa"/>
          </w:tblCellMar>
        </w:tblPrEx>
        <w:trPr>
          <w:trHeight w:val="90"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14:paraId="768DFD09">
            <w:pPr>
              <w:widowControl/>
              <w:autoSpaceDE/>
              <w:autoSpaceDN/>
              <w:adjustRightInd/>
              <w:spacing w:line="360" w:lineRule="auto"/>
              <w:rPr>
                <w:rFonts w:hint="eastAsia" w:ascii="宋体" w:hAnsi="宋体" w:cs="宋体"/>
                <w:color w:val="auto"/>
                <w:sz w:val="21"/>
                <w:szCs w:val="21"/>
                <w:highlight w:val="none"/>
              </w:rPr>
            </w:pPr>
          </w:p>
        </w:tc>
        <w:tc>
          <w:tcPr>
            <w:tcW w:w="2147" w:type="dxa"/>
            <w:vMerge w:val="continue"/>
            <w:tcBorders>
              <w:top w:val="single" w:color="auto" w:sz="4" w:space="0"/>
              <w:left w:val="single" w:color="auto" w:sz="4" w:space="0"/>
              <w:bottom w:val="single" w:color="000000" w:sz="4" w:space="0"/>
              <w:right w:val="single" w:color="auto" w:sz="4" w:space="0"/>
            </w:tcBorders>
            <w:vAlign w:val="center"/>
          </w:tcPr>
          <w:p w14:paraId="403141F3">
            <w:pPr>
              <w:widowControl/>
              <w:autoSpaceDE/>
              <w:autoSpaceDN/>
              <w:adjustRightInd/>
              <w:spacing w:line="360" w:lineRule="auto"/>
              <w:rPr>
                <w:rFonts w:hint="eastAsia" w:ascii="宋体" w:hAnsi="宋体" w:cs="宋体"/>
                <w:color w:val="auto"/>
                <w:sz w:val="21"/>
                <w:szCs w:val="21"/>
                <w:highlight w:val="none"/>
              </w:rPr>
            </w:pPr>
          </w:p>
        </w:tc>
        <w:tc>
          <w:tcPr>
            <w:tcW w:w="803" w:type="dxa"/>
            <w:tcBorders>
              <w:top w:val="nil"/>
              <w:left w:val="nil"/>
              <w:bottom w:val="single" w:color="auto" w:sz="4" w:space="0"/>
              <w:right w:val="single" w:color="auto" w:sz="4" w:space="0"/>
            </w:tcBorders>
            <w:vAlign w:val="center"/>
          </w:tcPr>
          <w:p w14:paraId="3CBBCE89">
            <w:pPr>
              <w:widowControl/>
              <w:autoSpaceDE/>
              <w:autoSpaceDN/>
              <w:adjustRightInd/>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权重</w:t>
            </w:r>
          </w:p>
        </w:tc>
        <w:tc>
          <w:tcPr>
            <w:tcW w:w="815" w:type="dxa"/>
            <w:tcBorders>
              <w:top w:val="nil"/>
              <w:left w:val="nil"/>
              <w:bottom w:val="single" w:color="auto" w:sz="4" w:space="0"/>
              <w:right w:val="single" w:color="auto" w:sz="4" w:space="0"/>
            </w:tcBorders>
            <w:vAlign w:val="center"/>
          </w:tcPr>
          <w:p w14:paraId="0BEF2DA6">
            <w:pPr>
              <w:widowControl/>
              <w:autoSpaceDE/>
              <w:autoSpaceDN/>
              <w:adjustRightInd/>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金额</w:t>
            </w:r>
          </w:p>
        </w:tc>
        <w:tc>
          <w:tcPr>
            <w:tcW w:w="748" w:type="dxa"/>
            <w:tcBorders>
              <w:top w:val="single" w:color="auto" w:sz="4" w:space="0"/>
              <w:left w:val="nil"/>
              <w:bottom w:val="nil"/>
              <w:right w:val="single" w:color="000000" w:sz="4" w:space="0"/>
            </w:tcBorders>
            <w:vAlign w:val="center"/>
          </w:tcPr>
          <w:p w14:paraId="71B6DE8B">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第1月</w:t>
            </w:r>
          </w:p>
        </w:tc>
        <w:tc>
          <w:tcPr>
            <w:tcW w:w="776" w:type="dxa"/>
            <w:tcBorders>
              <w:top w:val="single" w:color="auto" w:sz="4" w:space="0"/>
              <w:left w:val="nil"/>
              <w:bottom w:val="nil"/>
              <w:right w:val="single" w:color="000000" w:sz="4" w:space="0"/>
            </w:tcBorders>
            <w:vAlign w:val="center"/>
          </w:tcPr>
          <w:p w14:paraId="0F845EE7">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第2月</w:t>
            </w:r>
          </w:p>
        </w:tc>
        <w:tc>
          <w:tcPr>
            <w:tcW w:w="794" w:type="dxa"/>
            <w:tcBorders>
              <w:top w:val="single" w:color="auto" w:sz="4" w:space="0"/>
              <w:left w:val="nil"/>
              <w:bottom w:val="nil"/>
              <w:right w:val="single" w:color="000000" w:sz="4" w:space="0"/>
            </w:tcBorders>
            <w:vAlign w:val="center"/>
          </w:tcPr>
          <w:p w14:paraId="643986AD">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第3月</w:t>
            </w:r>
          </w:p>
        </w:tc>
        <w:tc>
          <w:tcPr>
            <w:tcW w:w="796" w:type="dxa"/>
            <w:tcBorders>
              <w:top w:val="single" w:color="auto" w:sz="4" w:space="0"/>
              <w:left w:val="nil"/>
              <w:bottom w:val="nil"/>
              <w:right w:val="single" w:color="000000" w:sz="4" w:space="0"/>
            </w:tcBorders>
            <w:vAlign w:val="center"/>
          </w:tcPr>
          <w:p w14:paraId="0DF094FC">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第4月</w:t>
            </w:r>
          </w:p>
        </w:tc>
        <w:tc>
          <w:tcPr>
            <w:tcW w:w="744" w:type="dxa"/>
            <w:tcBorders>
              <w:top w:val="single" w:color="auto" w:sz="4" w:space="0"/>
              <w:left w:val="nil"/>
              <w:bottom w:val="nil"/>
              <w:right w:val="single" w:color="000000" w:sz="4" w:space="0"/>
            </w:tcBorders>
            <w:vAlign w:val="center"/>
          </w:tcPr>
          <w:p w14:paraId="61903DDE">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第5月</w:t>
            </w:r>
          </w:p>
        </w:tc>
        <w:tc>
          <w:tcPr>
            <w:tcW w:w="797" w:type="dxa"/>
            <w:tcBorders>
              <w:top w:val="single" w:color="auto" w:sz="4" w:space="0"/>
              <w:left w:val="nil"/>
              <w:bottom w:val="nil"/>
              <w:right w:val="single" w:color="000000" w:sz="4" w:space="0"/>
            </w:tcBorders>
            <w:vAlign w:val="center"/>
          </w:tcPr>
          <w:p w14:paraId="75A261EF">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第6月</w:t>
            </w:r>
          </w:p>
        </w:tc>
        <w:tc>
          <w:tcPr>
            <w:tcW w:w="767" w:type="dxa"/>
            <w:tcBorders>
              <w:top w:val="single" w:color="auto" w:sz="4" w:space="0"/>
              <w:left w:val="nil"/>
              <w:bottom w:val="nil"/>
              <w:right w:val="single" w:color="000000" w:sz="4" w:space="0"/>
            </w:tcBorders>
            <w:vAlign w:val="center"/>
          </w:tcPr>
          <w:p w14:paraId="71940A6D">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第7月</w:t>
            </w:r>
          </w:p>
        </w:tc>
        <w:tc>
          <w:tcPr>
            <w:tcW w:w="758" w:type="dxa"/>
            <w:tcBorders>
              <w:top w:val="single" w:color="auto" w:sz="4" w:space="0"/>
              <w:left w:val="nil"/>
              <w:bottom w:val="nil"/>
              <w:right w:val="single" w:color="000000" w:sz="4" w:space="0"/>
            </w:tcBorders>
            <w:vAlign w:val="center"/>
          </w:tcPr>
          <w:p w14:paraId="5760FA7F">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第8月</w:t>
            </w:r>
          </w:p>
        </w:tc>
        <w:tc>
          <w:tcPr>
            <w:tcW w:w="776" w:type="dxa"/>
            <w:tcBorders>
              <w:top w:val="single" w:color="auto" w:sz="4" w:space="0"/>
              <w:left w:val="nil"/>
              <w:bottom w:val="nil"/>
              <w:right w:val="single" w:color="000000" w:sz="4" w:space="0"/>
            </w:tcBorders>
            <w:vAlign w:val="center"/>
          </w:tcPr>
          <w:p w14:paraId="3E76C090">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第9月</w:t>
            </w:r>
          </w:p>
        </w:tc>
        <w:tc>
          <w:tcPr>
            <w:tcW w:w="746" w:type="dxa"/>
            <w:tcBorders>
              <w:top w:val="single" w:color="auto" w:sz="4" w:space="0"/>
              <w:left w:val="nil"/>
              <w:bottom w:val="nil"/>
              <w:right w:val="single" w:color="000000" w:sz="4" w:space="0"/>
            </w:tcBorders>
            <w:vAlign w:val="center"/>
          </w:tcPr>
          <w:p w14:paraId="6CC639C3">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第10月</w:t>
            </w:r>
          </w:p>
        </w:tc>
        <w:tc>
          <w:tcPr>
            <w:tcW w:w="766" w:type="dxa"/>
            <w:tcBorders>
              <w:top w:val="single" w:color="auto" w:sz="4" w:space="0"/>
              <w:left w:val="nil"/>
              <w:bottom w:val="nil"/>
              <w:right w:val="nil"/>
            </w:tcBorders>
            <w:vAlign w:val="center"/>
          </w:tcPr>
          <w:p w14:paraId="0BA2EBCC">
            <w:pPr>
              <w:widowControl/>
              <w:autoSpaceDE/>
              <w:autoSpaceDN/>
              <w:adjustRightInd/>
              <w:spacing w:line="360" w:lineRule="auto"/>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小计</w:t>
            </w:r>
          </w:p>
        </w:tc>
        <w:tc>
          <w:tcPr>
            <w:tcW w:w="1007" w:type="dxa"/>
            <w:vMerge w:val="continue"/>
            <w:tcBorders>
              <w:top w:val="single" w:color="auto" w:sz="4" w:space="0"/>
              <w:left w:val="single" w:color="auto" w:sz="4" w:space="0"/>
              <w:bottom w:val="single" w:color="000000" w:sz="4" w:space="0"/>
              <w:right w:val="single" w:color="000000" w:sz="4" w:space="0"/>
            </w:tcBorders>
            <w:vAlign w:val="center"/>
          </w:tcPr>
          <w:p w14:paraId="043CB1A0">
            <w:pPr>
              <w:widowControl/>
              <w:autoSpaceDE/>
              <w:autoSpaceDN/>
              <w:adjustRightInd/>
              <w:spacing w:line="360" w:lineRule="auto"/>
              <w:rPr>
                <w:rFonts w:hint="eastAsia" w:ascii="宋体" w:hAnsi="宋体" w:cs="宋体"/>
                <w:color w:val="auto"/>
                <w:sz w:val="21"/>
                <w:szCs w:val="21"/>
                <w:highlight w:val="none"/>
              </w:rPr>
            </w:pPr>
          </w:p>
        </w:tc>
        <w:tc>
          <w:tcPr>
            <w:tcW w:w="814" w:type="dxa"/>
            <w:vMerge w:val="continue"/>
            <w:tcBorders>
              <w:top w:val="single" w:color="auto" w:sz="4" w:space="0"/>
              <w:left w:val="nil"/>
              <w:bottom w:val="nil"/>
              <w:right w:val="single" w:color="auto" w:sz="4" w:space="0"/>
            </w:tcBorders>
            <w:vAlign w:val="center"/>
          </w:tcPr>
          <w:p w14:paraId="277709AA">
            <w:pPr>
              <w:widowControl/>
              <w:autoSpaceDE/>
              <w:autoSpaceDN/>
              <w:adjustRightInd/>
              <w:spacing w:line="360" w:lineRule="auto"/>
              <w:rPr>
                <w:rFonts w:hint="eastAsia" w:ascii="宋体" w:hAnsi="宋体" w:cs="宋体"/>
                <w:color w:val="auto"/>
                <w:sz w:val="21"/>
                <w:szCs w:val="21"/>
                <w:highlight w:val="none"/>
              </w:rPr>
            </w:pPr>
          </w:p>
        </w:tc>
      </w:tr>
      <w:tr w14:paraId="6B05689D">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397225D0">
            <w:pPr>
              <w:widowControl/>
              <w:autoSpaceDE/>
              <w:autoSpaceDN/>
              <w:adjustRightInd/>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2147" w:type="dxa"/>
            <w:tcBorders>
              <w:top w:val="nil"/>
              <w:left w:val="nil"/>
              <w:bottom w:val="single" w:color="auto" w:sz="4" w:space="0"/>
              <w:right w:val="single" w:color="auto" w:sz="4" w:space="0"/>
            </w:tcBorders>
            <w:vAlign w:val="center"/>
          </w:tcPr>
          <w:p w14:paraId="6B21695D">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设计费</w:t>
            </w:r>
          </w:p>
        </w:tc>
        <w:tc>
          <w:tcPr>
            <w:tcW w:w="803" w:type="dxa"/>
            <w:tcBorders>
              <w:top w:val="nil"/>
              <w:left w:val="nil"/>
              <w:bottom w:val="single" w:color="auto" w:sz="4" w:space="0"/>
              <w:right w:val="single" w:color="auto" w:sz="4" w:space="0"/>
            </w:tcBorders>
            <w:vAlign w:val="center"/>
          </w:tcPr>
          <w:p w14:paraId="7BD3F597">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2.2%</w:t>
            </w:r>
          </w:p>
        </w:tc>
        <w:tc>
          <w:tcPr>
            <w:tcW w:w="815" w:type="dxa"/>
            <w:tcBorders>
              <w:top w:val="nil"/>
              <w:left w:val="nil"/>
              <w:bottom w:val="single" w:color="auto" w:sz="4" w:space="0"/>
              <w:right w:val="nil"/>
            </w:tcBorders>
            <w:vAlign w:val="center"/>
          </w:tcPr>
          <w:p w14:paraId="0D8195C6">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220</w:t>
            </w:r>
          </w:p>
        </w:tc>
        <w:tc>
          <w:tcPr>
            <w:tcW w:w="748" w:type="dxa"/>
            <w:tcBorders>
              <w:top w:val="single" w:color="auto" w:sz="4" w:space="0"/>
              <w:left w:val="single" w:color="auto" w:sz="4" w:space="0"/>
              <w:bottom w:val="single" w:color="auto" w:sz="4" w:space="0"/>
              <w:right w:val="single" w:color="000000" w:sz="4" w:space="0"/>
            </w:tcBorders>
            <w:vAlign w:val="center"/>
          </w:tcPr>
          <w:p w14:paraId="3F5B8068">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3459E774">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7811268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44FFFDA2">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2BB1FB9B">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660E3549">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4A1F126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2511CDF0">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371645D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6C81C774">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49CDAD7E">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72859A74">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single" w:color="auto" w:sz="4" w:space="0"/>
              <w:left w:val="single" w:color="auto" w:sz="4" w:space="0"/>
              <w:bottom w:val="single" w:color="auto" w:sz="4" w:space="0"/>
              <w:right w:val="single" w:color="auto" w:sz="4" w:space="0"/>
            </w:tcBorders>
            <w:vAlign w:val="center"/>
          </w:tcPr>
          <w:p w14:paraId="0A8352A0">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7FAD0560">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498B3A7B">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1.1</w:t>
            </w:r>
          </w:p>
        </w:tc>
        <w:tc>
          <w:tcPr>
            <w:tcW w:w="2147" w:type="dxa"/>
            <w:tcBorders>
              <w:top w:val="nil"/>
              <w:left w:val="nil"/>
              <w:bottom w:val="single" w:color="auto" w:sz="4" w:space="0"/>
              <w:right w:val="single" w:color="auto" w:sz="4" w:space="0"/>
            </w:tcBorders>
            <w:vAlign w:val="center"/>
          </w:tcPr>
          <w:p w14:paraId="7D4F6CC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施工图设计费</w:t>
            </w:r>
          </w:p>
        </w:tc>
        <w:tc>
          <w:tcPr>
            <w:tcW w:w="803" w:type="dxa"/>
            <w:tcBorders>
              <w:top w:val="nil"/>
              <w:left w:val="nil"/>
              <w:bottom w:val="single" w:color="auto" w:sz="4" w:space="0"/>
              <w:right w:val="single" w:color="auto" w:sz="4" w:space="0"/>
            </w:tcBorders>
            <w:vAlign w:val="center"/>
          </w:tcPr>
          <w:p w14:paraId="6B0DF8CB">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1.9%</w:t>
            </w:r>
          </w:p>
        </w:tc>
        <w:tc>
          <w:tcPr>
            <w:tcW w:w="815" w:type="dxa"/>
            <w:tcBorders>
              <w:top w:val="nil"/>
              <w:left w:val="nil"/>
              <w:bottom w:val="single" w:color="auto" w:sz="4" w:space="0"/>
              <w:right w:val="nil"/>
            </w:tcBorders>
            <w:vAlign w:val="center"/>
          </w:tcPr>
          <w:p w14:paraId="120E7B8F">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190</w:t>
            </w:r>
          </w:p>
        </w:tc>
        <w:tc>
          <w:tcPr>
            <w:tcW w:w="748" w:type="dxa"/>
            <w:tcBorders>
              <w:top w:val="single" w:color="auto" w:sz="4" w:space="0"/>
              <w:left w:val="single" w:color="auto" w:sz="4" w:space="0"/>
              <w:bottom w:val="single" w:color="auto" w:sz="4" w:space="0"/>
              <w:right w:val="single" w:color="000000" w:sz="4" w:space="0"/>
            </w:tcBorders>
            <w:vAlign w:val="center"/>
          </w:tcPr>
          <w:p w14:paraId="50A6E18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76" w:type="dxa"/>
            <w:tcBorders>
              <w:top w:val="single" w:color="auto" w:sz="4" w:space="0"/>
              <w:left w:val="nil"/>
              <w:bottom w:val="single" w:color="auto" w:sz="4" w:space="0"/>
              <w:right w:val="single" w:color="000000" w:sz="4" w:space="0"/>
            </w:tcBorders>
            <w:vAlign w:val="center"/>
          </w:tcPr>
          <w:p w14:paraId="2D2619C9">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29B7FA8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1212E3F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79C022D0">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5B048C9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5892164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776CAB8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30%</w:t>
            </w:r>
          </w:p>
        </w:tc>
        <w:tc>
          <w:tcPr>
            <w:tcW w:w="776" w:type="dxa"/>
            <w:tcBorders>
              <w:top w:val="single" w:color="auto" w:sz="4" w:space="0"/>
              <w:left w:val="nil"/>
              <w:bottom w:val="single" w:color="auto" w:sz="4" w:space="0"/>
              <w:right w:val="single" w:color="000000" w:sz="4" w:space="0"/>
            </w:tcBorders>
            <w:vAlign w:val="center"/>
          </w:tcPr>
          <w:p w14:paraId="1EFE4EA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1D1C8EC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nil"/>
              <w:left w:val="nil"/>
              <w:bottom w:val="single" w:color="auto" w:sz="4" w:space="0"/>
              <w:right w:val="single" w:color="auto" w:sz="4" w:space="0"/>
            </w:tcBorders>
            <w:vAlign w:val="center"/>
          </w:tcPr>
          <w:p w14:paraId="6B9E128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85%</w:t>
            </w:r>
          </w:p>
        </w:tc>
        <w:tc>
          <w:tcPr>
            <w:tcW w:w="1007" w:type="dxa"/>
            <w:tcBorders>
              <w:top w:val="single" w:color="auto" w:sz="4" w:space="0"/>
              <w:left w:val="nil"/>
              <w:bottom w:val="single" w:color="auto" w:sz="4" w:space="0"/>
              <w:right w:val="nil"/>
            </w:tcBorders>
            <w:vAlign w:val="center"/>
          </w:tcPr>
          <w:p w14:paraId="2A3A962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814" w:type="dxa"/>
            <w:tcBorders>
              <w:top w:val="nil"/>
              <w:left w:val="single" w:color="auto" w:sz="4" w:space="0"/>
              <w:bottom w:val="single" w:color="auto" w:sz="4" w:space="0"/>
              <w:right w:val="single" w:color="auto" w:sz="4" w:space="0"/>
            </w:tcBorders>
            <w:vAlign w:val="center"/>
          </w:tcPr>
          <w:p w14:paraId="249EEB1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190</w:t>
            </w:r>
          </w:p>
        </w:tc>
      </w:tr>
      <w:tr w14:paraId="0A0C5E04">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2BB42D09">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1.2</w:t>
            </w:r>
          </w:p>
        </w:tc>
        <w:tc>
          <w:tcPr>
            <w:tcW w:w="2147" w:type="dxa"/>
            <w:tcBorders>
              <w:top w:val="nil"/>
              <w:left w:val="nil"/>
              <w:bottom w:val="single" w:color="auto" w:sz="4" w:space="0"/>
              <w:right w:val="single" w:color="auto" w:sz="4" w:space="0"/>
            </w:tcBorders>
            <w:vAlign w:val="center"/>
          </w:tcPr>
          <w:p w14:paraId="3A30812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深化（专项）设计费</w:t>
            </w:r>
          </w:p>
        </w:tc>
        <w:tc>
          <w:tcPr>
            <w:tcW w:w="803" w:type="dxa"/>
            <w:tcBorders>
              <w:top w:val="nil"/>
              <w:left w:val="nil"/>
              <w:bottom w:val="single" w:color="auto" w:sz="4" w:space="0"/>
              <w:right w:val="single" w:color="auto" w:sz="4" w:space="0"/>
            </w:tcBorders>
            <w:vAlign w:val="center"/>
          </w:tcPr>
          <w:p w14:paraId="71D832B9">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0.3%</w:t>
            </w:r>
          </w:p>
        </w:tc>
        <w:tc>
          <w:tcPr>
            <w:tcW w:w="815" w:type="dxa"/>
            <w:tcBorders>
              <w:top w:val="nil"/>
              <w:left w:val="nil"/>
              <w:bottom w:val="single" w:color="auto" w:sz="4" w:space="0"/>
              <w:right w:val="nil"/>
            </w:tcBorders>
            <w:vAlign w:val="center"/>
          </w:tcPr>
          <w:p w14:paraId="0E1ED6D3">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30</w:t>
            </w:r>
          </w:p>
        </w:tc>
        <w:tc>
          <w:tcPr>
            <w:tcW w:w="748" w:type="dxa"/>
            <w:tcBorders>
              <w:top w:val="single" w:color="auto" w:sz="4" w:space="0"/>
              <w:left w:val="single" w:color="auto" w:sz="4" w:space="0"/>
              <w:bottom w:val="single" w:color="auto" w:sz="4" w:space="0"/>
              <w:right w:val="single" w:color="000000" w:sz="4" w:space="0"/>
            </w:tcBorders>
            <w:vAlign w:val="center"/>
          </w:tcPr>
          <w:p w14:paraId="50241A9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141E018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5E2E7C7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386A30A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5CD8884C">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79F1B674">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48F18118">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85%</w:t>
            </w:r>
          </w:p>
        </w:tc>
        <w:tc>
          <w:tcPr>
            <w:tcW w:w="758" w:type="dxa"/>
            <w:tcBorders>
              <w:top w:val="single" w:color="auto" w:sz="4" w:space="0"/>
              <w:left w:val="nil"/>
              <w:bottom w:val="single" w:color="auto" w:sz="4" w:space="0"/>
              <w:right w:val="single" w:color="000000" w:sz="4" w:space="0"/>
            </w:tcBorders>
            <w:vAlign w:val="center"/>
          </w:tcPr>
          <w:p w14:paraId="73F2406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2F9E4CB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66F3093C">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nil"/>
              <w:left w:val="nil"/>
              <w:bottom w:val="single" w:color="auto" w:sz="4" w:space="0"/>
              <w:right w:val="single" w:color="auto" w:sz="4" w:space="0"/>
            </w:tcBorders>
            <w:vAlign w:val="center"/>
          </w:tcPr>
          <w:p w14:paraId="14B63870">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85%</w:t>
            </w:r>
          </w:p>
        </w:tc>
        <w:tc>
          <w:tcPr>
            <w:tcW w:w="1007" w:type="dxa"/>
            <w:tcBorders>
              <w:top w:val="single" w:color="auto" w:sz="4" w:space="0"/>
              <w:left w:val="nil"/>
              <w:bottom w:val="single" w:color="auto" w:sz="4" w:space="0"/>
              <w:right w:val="nil"/>
            </w:tcBorders>
            <w:vAlign w:val="center"/>
          </w:tcPr>
          <w:p w14:paraId="2D9FDAE9">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814" w:type="dxa"/>
            <w:tcBorders>
              <w:top w:val="nil"/>
              <w:left w:val="single" w:color="auto" w:sz="4" w:space="0"/>
              <w:bottom w:val="single" w:color="auto" w:sz="4" w:space="0"/>
              <w:right w:val="single" w:color="auto" w:sz="4" w:space="0"/>
            </w:tcBorders>
            <w:vAlign w:val="center"/>
          </w:tcPr>
          <w:p w14:paraId="689DD54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30</w:t>
            </w:r>
          </w:p>
        </w:tc>
      </w:tr>
      <w:tr w14:paraId="7AC21F18">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177F62AC">
            <w:pPr>
              <w:widowControl/>
              <w:autoSpaceDE/>
              <w:autoSpaceDN/>
              <w:adjustRightInd/>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2147" w:type="dxa"/>
            <w:tcBorders>
              <w:top w:val="nil"/>
              <w:left w:val="nil"/>
              <w:bottom w:val="single" w:color="auto" w:sz="4" w:space="0"/>
              <w:right w:val="single" w:color="auto" w:sz="4" w:space="0"/>
            </w:tcBorders>
            <w:vAlign w:val="center"/>
          </w:tcPr>
          <w:p w14:paraId="0CF92233">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设备购置费</w:t>
            </w:r>
          </w:p>
        </w:tc>
        <w:tc>
          <w:tcPr>
            <w:tcW w:w="803" w:type="dxa"/>
            <w:tcBorders>
              <w:top w:val="nil"/>
              <w:left w:val="nil"/>
              <w:bottom w:val="single" w:color="auto" w:sz="4" w:space="0"/>
              <w:right w:val="single" w:color="auto" w:sz="4" w:space="0"/>
            </w:tcBorders>
            <w:vAlign w:val="center"/>
          </w:tcPr>
          <w:p w14:paraId="4CA1BD77">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815" w:type="dxa"/>
            <w:tcBorders>
              <w:top w:val="nil"/>
              <w:left w:val="nil"/>
              <w:bottom w:val="single" w:color="auto" w:sz="4" w:space="0"/>
              <w:right w:val="nil"/>
            </w:tcBorders>
            <w:vAlign w:val="center"/>
          </w:tcPr>
          <w:p w14:paraId="73EE6E3F">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1000</w:t>
            </w:r>
          </w:p>
        </w:tc>
        <w:tc>
          <w:tcPr>
            <w:tcW w:w="748" w:type="dxa"/>
            <w:tcBorders>
              <w:top w:val="single" w:color="auto" w:sz="4" w:space="0"/>
              <w:left w:val="single" w:color="auto" w:sz="4" w:space="0"/>
              <w:bottom w:val="single" w:color="auto" w:sz="4" w:space="0"/>
              <w:right w:val="single" w:color="000000" w:sz="4" w:space="0"/>
            </w:tcBorders>
            <w:vAlign w:val="center"/>
          </w:tcPr>
          <w:p w14:paraId="1D0855EF">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3D56CCA">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0DBB7FB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6D1F4C6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64C2B261">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1C421E7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2F976BEF">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5F148C36">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3253CC09">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53C735A2">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1C6162D1">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5F18B308">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5199223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56BCF011">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042FE5BE">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2.1</w:t>
            </w:r>
          </w:p>
        </w:tc>
        <w:tc>
          <w:tcPr>
            <w:tcW w:w="2147" w:type="dxa"/>
            <w:tcBorders>
              <w:top w:val="nil"/>
              <w:left w:val="nil"/>
              <w:bottom w:val="single" w:color="auto" w:sz="4" w:space="0"/>
              <w:right w:val="single" w:color="auto" w:sz="4" w:space="0"/>
            </w:tcBorders>
            <w:vAlign w:val="center"/>
          </w:tcPr>
          <w:p w14:paraId="3C8D4D9D">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工程设备1</w:t>
            </w:r>
          </w:p>
        </w:tc>
        <w:tc>
          <w:tcPr>
            <w:tcW w:w="803" w:type="dxa"/>
            <w:tcBorders>
              <w:top w:val="nil"/>
              <w:left w:val="nil"/>
              <w:bottom w:val="single" w:color="auto" w:sz="4" w:space="0"/>
              <w:right w:val="single" w:color="auto" w:sz="4" w:space="0"/>
            </w:tcBorders>
            <w:vAlign w:val="center"/>
          </w:tcPr>
          <w:p w14:paraId="13E76498">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4.0%</w:t>
            </w:r>
          </w:p>
        </w:tc>
        <w:tc>
          <w:tcPr>
            <w:tcW w:w="815" w:type="dxa"/>
            <w:tcBorders>
              <w:top w:val="nil"/>
              <w:left w:val="nil"/>
              <w:bottom w:val="single" w:color="auto" w:sz="4" w:space="0"/>
              <w:right w:val="nil"/>
            </w:tcBorders>
            <w:vAlign w:val="center"/>
          </w:tcPr>
          <w:p w14:paraId="2F0AC58E">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400</w:t>
            </w:r>
          </w:p>
        </w:tc>
        <w:tc>
          <w:tcPr>
            <w:tcW w:w="748" w:type="dxa"/>
            <w:tcBorders>
              <w:top w:val="single" w:color="auto" w:sz="4" w:space="0"/>
              <w:left w:val="single" w:color="auto" w:sz="4" w:space="0"/>
              <w:bottom w:val="single" w:color="auto" w:sz="4" w:space="0"/>
              <w:right w:val="single" w:color="000000" w:sz="4" w:space="0"/>
            </w:tcBorders>
            <w:vAlign w:val="center"/>
          </w:tcPr>
          <w:p w14:paraId="4B49A41D">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329C9F8">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55361C57">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17EA090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0868253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X*30%</w:t>
            </w:r>
          </w:p>
        </w:tc>
        <w:tc>
          <w:tcPr>
            <w:tcW w:w="797" w:type="dxa"/>
            <w:tcBorders>
              <w:top w:val="single" w:color="auto" w:sz="4" w:space="0"/>
              <w:left w:val="nil"/>
              <w:bottom w:val="single" w:color="auto" w:sz="4" w:space="0"/>
              <w:right w:val="single" w:color="000000" w:sz="4" w:space="0"/>
            </w:tcBorders>
            <w:vAlign w:val="center"/>
          </w:tcPr>
          <w:p w14:paraId="1E6844C9">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2123A76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X*70%</w:t>
            </w:r>
          </w:p>
        </w:tc>
        <w:tc>
          <w:tcPr>
            <w:tcW w:w="758" w:type="dxa"/>
            <w:tcBorders>
              <w:top w:val="single" w:color="auto" w:sz="4" w:space="0"/>
              <w:left w:val="nil"/>
              <w:bottom w:val="single" w:color="auto" w:sz="4" w:space="0"/>
              <w:right w:val="single" w:color="000000" w:sz="4" w:space="0"/>
            </w:tcBorders>
            <w:vAlign w:val="center"/>
          </w:tcPr>
          <w:p w14:paraId="6FD96F08">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03857F98">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337C9D19">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4EA3885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72B3788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6A22DE7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400</w:t>
            </w:r>
          </w:p>
        </w:tc>
      </w:tr>
      <w:tr w14:paraId="31449BDD">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2952938B">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2.2</w:t>
            </w:r>
          </w:p>
        </w:tc>
        <w:tc>
          <w:tcPr>
            <w:tcW w:w="2147" w:type="dxa"/>
            <w:tcBorders>
              <w:top w:val="nil"/>
              <w:left w:val="nil"/>
              <w:bottom w:val="single" w:color="auto" w:sz="4" w:space="0"/>
              <w:right w:val="single" w:color="auto" w:sz="4" w:space="0"/>
            </w:tcBorders>
            <w:vAlign w:val="center"/>
          </w:tcPr>
          <w:p w14:paraId="5FF30D6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工程设备2</w:t>
            </w:r>
          </w:p>
        </w:tc>
        <w:tc>
          <w:tcPr>
            <w:tcW w:w="803" w:type="dxa"/>
            <w:tcBorders>
              <w:top w:val="nil"/>
              <w:left w:val="nil"/>
              <w:bottom w:val="single" w:color="auto" w:sz="4" w:space="0"/>
              <w:right w:val="single" w:color="auto" w:sz="4" w:space="0"/>
            </w:tcBorders>
            <w:vAlign w:val="center"/>
          </w:tcPr>
          <w:p w14:paraId="0A55A3A0">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6.0%</w:t>
            </w:r>
          </w:p>
        </w:tc>
        <w:tc>
          <w:tcPr>
            <w:tcW w:w="815" w:type="dxa"/>
            <w:tcBorders>
              <w:top w:val="nil"/>
              <w:left w:val="nil"/>
              <w:bottom w:val="single" w:color="auto" w:sz="4" w:space="0"/>
              <w:right w:val="nil"/>
            </w:tcBorders>
            <w:vAlign w:val="center"/>
          </w:tcPr>
          <w:p w14:paraId="1272F2FD">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600</w:t>
            </w:r>
          </w:p>
        </w:tc>
        <w:tc>
          <w:tcPr>
            <w:tcW w:w="748" w:type="dxa"/>
            <w:tcBorders>
              <w:top w:val="single" w:color="auto" w:sz="4" w:space="0"/>
              <w:left w:val="single" w:color="auto" w:sz="4" w:space="0"/>
              <w:bottom w:val="single" w:color="auto" w:sz="4" w:space="0"/>
              <w:right w:val="single" w:color="000000" w:sz="4" w:space="0"/>
            </w:tcBorders>
            <w:vAlign w:val="center"/>
          </w:tcPr>
          <w:p w14:paraId="5EE0A0C9">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A8526CB">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112E298B">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32FC6D4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X*50%</w:t>
            </w:r>
          </w:p>
        </w:tc>
        <w:tc>
          <w:tcPr>
            <w:tcW w:w="744" w:type="dxa"/>
            <w:tcBorders>
              <w:top w:val="single" w:color="auto" w:sz="4" w:space="0"/>
              <w:left w:val="nil"/>
              <w:bottom w:val="single" w:color="auto" w:sz="4" w:space="0"/>
              <w:right w:val="single" w:color="000000" w:sz="4" w:space="0"/>
            </w:tcBorders>
            <w:vAlign w:val="center"/>
          </w:tcPr>
          <w:p w14:paraId="18F8DD9D">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X*50%</w:t>
            </w:r>
          </w:p>
        </w:tc>
        <w:tc>
          <w:tcPr>
            <w:tcW w:w="797" w:type="dxa"/>
            <w:tcBorders>
              <w:top w:val="single" w:color="auto" w:sz="4" w:space="0"/>
              <w:left w:val="nil"/>
              <w:bottom w:val="single" w:color="auto" w:sz="4" w:space="0"/>
              <w:right w:val="single" w:color="000000" w:sz="4" w:space="0"/>
            </w:tcBorders>
            <w:vAlign w:val="center"/>
          </w:tcPr>
          <w:p w14:paraId="1E5A98F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14AA2547">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5E64D275">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5CEABF2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34B3FD2E">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7804A885">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65C1FC3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5DF5943C">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600</w:t>
            </w:r>
          </w:p>
        </w:tc>
      </w:tr>
      <w:tr w14:paraId="70503D9C">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301C2D80">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2.3</w:t>
            </w:r>
          </w:p>
        </w:tc>
        <w:tc>
          <w:tcPr>
            <w:tcW w:w="2147" w:type="dxa"/>
            <w:tcBorders>
              <w:top w:val="nil"/>
              <w:left w:val="nil"/>
              <w:bottom w:val="single" w:color="auto" w:sz="4" w:space="0"/>
              <w:right w:val="single" w:color="auto" w:sz="4" w:space="0"/>
            </w:tcBorders>
            <w:vAlign w:val="center"/>
          </w:tcPr>
          <w:p w14:paraId="440A5487">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暂估价</w:t>
            </w:r>
          </w:p>
        </w:tc>
        <w:tc>
          <w:tcPr>
            <w:tcW w:w="803" w:type="dxa"/>
            <w:tcBorders>
              <w:top w:val="nil"/>
              <w:left w:val="nil"/>
              <w:bottom w:val="single" w:color="auto" w:sz="4" w:space="0"/>
              <w:right w:val="single" w:color="auto" w:sz="4" w:space="0"/>
            </w:tcBorders>
            <w:vAlign w:val="center"/>
          </w:tcPr>
          <w:p w14:paraId="5B598E64">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5" w:type="dxa"/>
            <w:tcBorders>
              <w:top w:val="nil"/>
              <w:left w:val="nil"/>
              <w:bottom w:val="single" w:color="auto" w:sz="4" w:space="0"/>
              <w:right w:val="nil"/>
            </w:tcBorders>
            <w:vAlign w:val="center"/>
          </w:tcPr>
          <w:p w14:paraId="15B879E2">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8" w:type="dxa"/>
            <w:tcBorders>
              <w:top w:val="single" w:color="auto" w:sz="4" w:space="0"/>
              <w:left w:val="single" w:color="auto" w:sz="4" w:space="0"/>
              <w:bottom w:val="single" w:color="auto" w:sz="4" w:space="0"/>
              <w:right w:val="single" w:color="000000" w:sz="4" w:space="0"/>
            </w:tcBorders>
            <w:vAlign w:val="center"/>
          </w:tcPr>
          <w:p w14:paraId="612887A0">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AE7EBA0">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5E47458B">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6F43DF67">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19DE609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032B4EC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2F78FECE">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4FD4039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139BD2FD">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5BFA00C9">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20FD06CC">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25FA898B">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177B4D4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6210B8A9">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515878F1">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2.4</w:t>
            </w:r>
          </w:p>
        </w:tc>
        <w:tc>
          <w:tcPr>
            <w:tcW w:w="2147" w:type="dxa"/>
            <w:tcBorders>
              <w:top w:val="nil"/>
              <w:left w:val="nil"/>
              <w:bottom w:val="single" w:color="auto" w:sz="4" w:space="0"/>
              <w:right w:val="single" w:color="auto" w:sz="4" w:space="0"/>
            </w:tcBorders>
            <w:vAlign w:val="center"/>
          </w:tcPr>
          <w:p w14:paraId="4A248559">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暂列金额</w:t>
            </w:r>
          </w:p>
        </w:tc>
        <w:tc>
          <w:tcPr>
            <w:tcW w:w="803" w:type="dxa"/>
            <w:tcBorders>
              <w:top w:val="nil"/>
              <w:left w:val="nil"/>
              <w:bottom w:val="single" w:color="auto" w:sz="4" w:space="0"/>
              <w:right w:val="single" w:color="auto" w:sz="4" w:space="0"/>
            </w:tcBorders>
            <w:vAlign w:val="center"/>
          </w:tcPr>
          <w:p w14:paraId="761C9254">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5" w:type="dxa"/>
            <w:tcBorders>
              <w:top w:val="nil"/>
              <w:left w:val="nil"/>
              <w:bottom w:val="single" w:color="auto" w:sz="4" w:space="0"/>
              <w:right w:val="nil"/>
            </w:tcBorders>
            <w:vAlign w:val="center"/>
          </w:tcPr>
          <w:p w14:paraId="4126890A">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8" w:type="dxa"/>
            <w:tcBorders>
              <w:top w:val="single" w:color="auto" w:sz="4" w:space="0"/>
              <w:left w:val="single" w:color="auto" w:sz="4" w:space="0"/>
              <w:bottom w:val="single" w:color="auto" w:sz="4" w:space="0"/>
              <w:right w:val="single" w:color="000000" w:sz="4" w:space="0"/>
            </w:tcBorders>
            <w:vAlign w:val="center"/>
          </w:tcPr>
          <w:p w14:paraId="7E642D7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430BFC3">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3D398929">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634FC442">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0628F41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6C27ECB7">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52B11FB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7019A2D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2288EE45">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7A2990B9">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27A20A3C">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0E6F718C">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6463C1DA">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2E59959F">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36891DE3">
            <w:pPr>
              <w:widowControl/>
              <w:autoSpaceDE/>
              <w:autoSpaceDN/>
              <w:adjustRightInd/>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2147" w:type="dxa"/>
            <w:tcBorders>
              <w:top w:val="nil"/>
              <w:left w:val="nil"/>
              <w:bottom w:val="single" w:color="auto" w:sz="4" w:space="0"/>
              <w:right w:val="single" w:color="auto" w:sz="4" w:space="0"/>
            </w:tcBorders>
            <w:vAlign w:val="center"/>
          </w:tcPr>
          <w:p w14:paraId="454C55EC">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建筑安装工程费</w:t>
            </w:r>
          </w:p>
        </w:tc>
        <w:tc>
          <w:tcPr>
            <w:tcW w:w="803" w:type="dxa"/>
            <w:tcBorders>
              <w:top w:val="nil"/>
              <w:left w:val="nil"/>
              <w:bottom w:val="single" w:color="auto" w:sz="4" w:space="0"/>
              <w:right w:val="single" w:color="auto" w:sz="4" w:space="0"/>
            </w:tcBorders>
            <w:vAlign w:val="center"/>
          </w:tcPr>
          <w:p w14:paraId="1C890B04">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77.4%</w:t>
            </w:r>
          </w:p>
        </w:tc>
        <w:tc>
          <w:tcPr>
            <w:tcW w:w="815" w:type="dxa"/>
            <w:tcBorders>
              <w:top w:val="nil"/>
              <w:left w:val="nil"/>
              <w:bottom w:val="single" w:color="auto" w:sz="4" w:space="0"/>
              <w:right w:val="nil"/>
            </w:tcBorders>
            <w:vAlign w:val="center"/>
          </w:tcPr>
          <w:p w14:paraId="5078487B">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7740</w:t>
            </w:r>
          </w:p>
        </w:tc>
        <w:tc>
          <w:tcPr>
            <w:tcW w:w="748" w:type="dxa"/>
            <w:tcBorders>
              <w:top w:val="single" w:color="auto" w:sz="4" w:space="0"/>
              <w:left w:val="single" w:color="auto" w:sz="4" w:space="0"/>
              <w:bottom w:val="single" w:color="auto" w:sz="4" w:space="0"/>
              <w:right w:val="single" w:color="000000" w:sz="4" w:space="0"/>
            </w:tcBorders>
            <w:vAlign w:val="center"/>
          </w:tcPr>
          <w:p w14:paraId="3181811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5041D9C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094C3DED">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4CF05B0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3BE102A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422F4B62">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2B6BC778">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60D00A6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282BFA0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3A235B2C">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796D7A2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77F41BD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6ADCA958">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04CCC0D7">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3DCDC9F5">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3.1</w:t>
            </w:r>
          </w:p>
        </w:tc>
        <w:tc>
          <w:tcPr>
            <w:tcW w:w="2147" w:type="dxa"/>
            <w:tcBorders>
              <w:top w:val="nil"/>
              <w:left w:val="nil"/>
              <w:bottom w:val="single" w:color="auto" w:sz="4" w:space="0"/>
              <w:right w:val="single" w:color="auto" w:sz="4" w:space="0"/>
            </w:tcBorders>
            <w:vAlign w:val="center"/>
          </w:tcPr>
          <w:p w14:paraId="1AC983A3">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工程费用</w:t>
            </w:r>
          </w:p>
        </w:tc>
        <w:tc>
          <w:tcPr>
            <w:tcW w:w="803" w:type="dxa"/>
            <w:tcBorders>
              <w:top w:val="nil"/>
              <w:left w:val="nil"/>
              <w:bottom w:val="single" w:color="auto" w:sz="4" w:space="0"/>
              <w:right w:val="single" w:color="auto" w:sz="4" w:space="0"/>
            </w:tcBorders>
            <w:vAlign w:val="center"/>
          </w:tcPr>
          <w:p w14:paraId="3FCBD091">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69.0%</w:t>
            </w:r>
          </w:p>
        </w:tc>
        <w:tc>
          <w:tcPr>
            <w:tcW w:w="815" w:type="dxa"/>
            <w:tcBorders>
              <w:top w:val="nil"/>
              <w:left w:val="nil"/>
              <w:bottom w:val="single" w:color="auto" w:sz="4" w:space="0"/>
              <w:right w:val="nil"/>
            </w:tcBorders>
            <w:vAlign w:val="center"/>
          </w:tcPr>
          <w:p w14:paraId="090D280A">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6900</w:t>
            </w:r>
          </w:p>
        </w:tc>
        <w:tc>
          <w:tcPr>
            <w:tcW w:w="748" w:type="dxa"/>
            <w:tcBorders>
              <w:top w:val="single" w:color="auto" w:sz="4" w:space="0"/>
              <w:left w:val="single" w:color="auto" w:sz="4" w:space="0"/>
              <w:bottom w:val="single" w:color="auto" w:sz="4" w:space="0"/>
              <w:right w:val="single" w:color="000000" w:sz="4" w:space="0"/>
            </w:tcBorders>
            <w:vAlign w:val="center"/>
          </w:tcPr>
          <w:p w14:paraId="58C5C78C">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36851D60">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2BC4CBB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37C7C4C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05D5FBD0">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7D2A206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5429A79E">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5D104C03">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5540F358">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37C45228">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0190A48C">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2505446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561F2B4B">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3552E21C">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3E0EB925">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3.1.1</w:t>
            </w:r>
          </w:p>
        </w:tc>
        <w:tc>
          <w:tcPr>
            <w:tcW w:w="2147" w:type="dxa"/>
            <w:tcBorders>
              <w:top w:val="nil"/>
              <w:left w:val="nil"/>
              <w:bottom w:val="single" w:color="auto" w:sz="4" w:space="0"/>
              <w:right w:val="single" w:color="auto" w:sz="4" w:space="0"/>
            </w:tcBorders>
            <w:vAlign w:val="center"/>
          </w:tcPr>
          <w:p w14:paraId="55E18D64">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里程碑工程1（例：桩基工程）</w:t>
            </w:r>
          </w:p>
        </w:tc>
        <w:tc>
          <w:tcPr>
            <w:tcW w:w="803" w:type="dxa"/>
            <w:tcBorders>
              <w:top w:val="nil"/>
              <w:left w:val="nil"/>
              <w:bottom w:val="single" w:color="auto" w:sz="4" w:space="0"/>
              <w:right w:val="single" w:color="auto" w:sz="4" w:space="0"/>
            </w:tcBorders>
            <w:vAlign w:val="center"/>
          </w:tcPr>
          <w:p w14:paraId="48FA2412">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7.0%</w:t>
            </w:r>
          </w:p>
        </w:tc>
        <w:tc>
          <w:tcPr>
            <w:tcW w:w="815" w:type="dxa"/>
            <w:tcBorders>
              <w:top w:val="nil"/>
              <w:left w:val="nil"/>
              <w:bottom w:val="single" w:color="auto" w:sz="4" w:space="0"/>
              <w:right w:val="nil"/>
            </w:tcBorders>
            <w:vAlign w:val="center"/>
          </w:tcPr>
          <w:p w14:paraId="3F46B236">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700</w:t>
            </w:r>
          </w:p>
        </w:tc>
        <w:tc>
          <w:tcPr>
            <w:tcW w:w="748" w:type="dxa"/>
            <w:tcBorders>
              <w:top w:val="single" w:color="auto" w:sz="4" w:space="0"/>
              <w:left w:val="single" w:color="auto" w:sz="4" w:space="0"/>
              <w:bottom w:val="single" w:color="auto" w:sz="4" w:space="0"/>
              <w:right w:val="single" w:color="000000" w:sz="4" w:space="0"/>
            </w:tcBorders>
            <w:vAlign w:val="center"/>
          </w:tcPr>
          <w:p w14:paraId="162F9C2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3B85880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X*60%</w:t>
            </w:r>
          </w:p>
        </w:tc>
        <w:tc>
          <w:tcPr>
            <w:tcW w:w="794" w:type="dxa"/>
            <w:tcBorders>
              <w:top w:val="single" w:color="auto" w:sz="4" w:space="0"/>
              <w:left w:val="nil"/>
              <w:bottom w:val="single" w:color="auto" w:sz="4" w:space="0"/>
              <w:right w:val="single" w:color="000000" w:sz="4" w:space="0"/>
            </w:tcBorders>
            <w:vAlign w:val="center"/>
          </w:tcPr>
          <w:p w14:paraId="0CBFB5C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X*40%</w:t>
            </w:r>
          </w:p>
        </w:tc>
        <w:tc>
          <w:tcPr>
            <w:tcW w:w="796" w:type="dxa"/>
            <w:tcBorders>
              <w:top w:val="single" w:color="auto" w:sz="4" w:space="0"/>
              <w:left w:val="nil"/>
              <w:bottom w:val="single" w:color="auto" w:sz="4" w:space="0"/>
              <w:right w:val="single" w:color="000000" w:sz="4" w:space="0"/>
            </w:tcBorders>
            <w:vAlign w:val="center"/>
          </w:tcPr>
          <w:p w14:paraId="31AC7EB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4185DE8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47B7267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584C080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77DE1D4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1F175530">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5D2BE51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78003DE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3C52C61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4E873D98">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700</w:t>
            </w:r>
          </w:p>
        </w:tc>
      </w:tr>
      <w:tr w14:paraId="55F48BF6">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47B9299B">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3.1.2</w:t>
            </w:r>
          </w:p>
        </w:tc>
        <w:tc>
          <w:tcPr>
            <w:tcW w:w="2147" w:type="dxa"/>
            <w:tcBorders>
              <w:top w:val="nil"/>
              <w:left w:val="nil"/>
              <w:bottom w:val="single" w:color="auto" w:sz="4" w:space="0"/>
              <w:right w:val="single" w:color="auto" w:sz="4" w:space="0"/>
            </w:tcBorders>
            <w:vAlign w:val="center"/>
          </w:tcPr>
          <w:p w14:paraId="257E0C8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里程碑工程2（例：土方及地下室工程）</w:t>
            </w:r>
          </w:p>
        </w:tc>
        <w:tc>
          <w:tcPr>
            <w:tcW w:w="803" w:type="dxa"/>
            <w:tcBorders>
              <w:top w:val="nil"/>
              <w:left w:val="nil"/>
              <w:bottom w:val="single" w:color="auto" w:sz="4" w:space="0"/>
              <w:right w:val="single" w:color="auto" w:sz="4" w:space="0"/>
            </w:tcBorders>
            <w:vAlign w:val="center"/>
          </w:tcPr>
          <w:p w14:paraId="6FB476FB">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15.0%</w:t>
            </w:r>
          </w:p>
        </w:tc>
        <w:tc>
          <w:tcPr>
            <w:tcW w:w="815" w:type="dxa"/>
            <w:tcBorders>
              <w:top w:val="nil"/>
              <w:left w:val="nil"/>
              <w:bottom w:val="single" w:color="auto" w:sz="4" w:space="0"/>
              <w:right w:val="nil"/>
            </w:tcBorders>
            <w:vAlign w:val="center"/>
          </w:tcPr>
          <w:p w14:paraId="79455B63">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1500</w:t>
            </w:r>
          </w:p>
        </w:tc>
        <w:tc>
          <w:tcPr>
            <w:tcW w:w="748" w:type="dxa"/>
            <w:tcBorders>
              <w:top w:val="single" w:color="auto" w:sz="4" w:space="0"/>
              <w:left w:val="single" w:color="auto" w:sz="4" w:space="0"/>
              <w:bottom w:val="single" w:color="auto" w:sz="4" w:space="0"/>
              <w:right w:val="single" w:color="000000" w:sz="4" w:space="0"/>
            </w:tcBorders>
            <w:vAlign w:val="center"/>
          </w:tcPr>
          <w:p w14:paraId="74CFEDD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7E4E55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534015E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X*20%</w:t>
            </w:r>
          </w:p>
        </w:tc>
        <w:tc>
          <w:tcPr>
            <w:tcW w:w="796" w:type="dxa"/>
            <w:tcBorders>
              <w:top w:val="single" w:color="auto" w:sz="4" w:space="0"/>
              <w:left w:val="nil"/>
              <w:bottom w:val="single" w:color="auto" w:sz="4" w:space="0"/>
              <w:right w:val="single" w:color="000000" w:sz="4" w:space="0"/>
            </w:tcBorders>
            <w:vAlign w:val="center"/>
          </w:tcPr>
          <w:p w14:paraId="5C94EEB9">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X*80%</w:t>
            </w:r>
          </w:p>
        </w:tc>
        <w:tc>
          <w:tcPr>
            <w:tcW w:w="744" w:type="dxa"/>
            <w:tcBorders>
              <w:top w:val="single" w:color="auto" w:sz="4" w:space="0"/>
              <w:left w:val="nil"/>
              <w:bottom w:val="single" w:color="auto" w:sz="4" w:space="0"/>
              <w:right w:val="single" w:color="000000" w:sz="4" w:space="0"/>
            </w:tcBorders>
            <w:vAlign w:val="center"/>
          </w:tcPr>
          <w:p w14:paraId="589704B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349C2A88">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661885A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55CB9D1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7F55BA1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16D0FC8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6A75217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2A9171D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28C984B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1500</w:t>
            </w:r>
          </w:p>
        </w:tc>
      </w:tr>
      <w:tr w14:paraId="73DF8E7C">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21AA3A68">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3.1.3</w:t>
            </w:r>
          </w:p>
        </w:tc>
        <w:tc>
          <w:tcPr>
            <w:tcW w:w="2147" w:type="dxa"/>
            <w:tcBorders>
              <w:top w:val="nil"/>
              <w:left w:val="nil"/>
              <w:bottom w:val="single" w:color="auto" w:sz="4" w:space="0"/>
              <w:right w:val="single" w:color="auto" w:sz="4" w:space="0"/>
            </w:tcBorders>
            <w:vAlign w:val="center"/>
          </w:tcPr>
          <w:p w14:paraId="1A8F59B0">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里程碑工程3（例：主体结构工程）</w:t>
            </w:r>
          </w:p>
        </w:tc>
        <w:tc>
          <w:tcPr>
            <w:tcW w:w="803" w:type="dxa"/>
            <w:tcBorders>
              <w:top w:val="nil"/>
              <w:left w:val="nil"/>
              <w:bottom w:val="single" w:color="auto" w:sz="4" w:space="0"/>
              <w:right w:val="single" w:color="auto" w:sz="4" w:space="0"/>
            </w:tcBorders>
            <w:vAlign w:val="center"/>
          </w:tcPr>
          <w:p w14:paraId="0870675E">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20.0%</w:t>
            </w:r>
          </w:p>
        </w:tc>
        <w:tc>
          <w:tcPr>
            <w:tcW w:w="815" w:type="dxa"/>
            <w:tcBorders>
              <w:top w:val="nil"/>
              <w:left w:val="nil"/>
              <w:bottom w:val="single" w:color="auto" w:sz="4" w:space="0"/>
              <w:right w:val="nil"/>
            </w:tcBorders>
            <w:vAlign w:val="center"/>
          </w:tcPr>
          <w:p w14:paraId="5B3A3DFD">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2000</w:t>
            </w:r>
          </w:p>
        </w:tc>
        <w:tc>
          <w:tcPr>
            <w:tcW w:w="748" w:type="dxa"/>
            <w:tcBorders>
              <w:top w:val="single" w:color="auto" w:sz="4" w:space="0"/>
              <w:left w:val="single" w:color="auto" w:sz="4" w:space="0"/>
              <w:bottom w:val="single" w:color="auto" w:sz="4" w:space="0"/>
              <w:right w:val="single" w:color="000000" w:sz="4" w:space="0"/>
            </w:tcBorders>
            <w:vAlign w:val="center"/>
          </w:tcPr>
          <w:p w14:paraId="6468FFA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2B23B2D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13906C1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268ECE7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X*20%</w:t>
            </w:r>
          </w:p>
        </w:tc>
        <w:tc>
          <w:tcPr>
            <w:tcW w:w="744" w:type="dxa"/>
            <w:tcBorders>
              <w:top w:val="single" w:color="auto" w:sz="4" w:space="0"/>
              <w:left w:val="nil"/>
              <w:bottom w:val="single" w:color="auto" w:sz="4" w:space="0"/>
              <w:right w:val="single" w:color="000000" w:sz="4" w:space="0"/>
            </w:tcBorders>
            <w:vAlign w:val="center"/>
          </w:tcPr>
          <w:p w14:paraId="4F92D86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X*30%</w:t>
            </w:r>
          </w:p>
        </w:tc>
        <w:tc>
          <w:tcPr>
            <w:tcW w:w="797" w:type="dxa"/>
            <w:tcBorders>
              <w:top w:val="single" w:color="auto" w:sz="4" w:space="0"/>
              <w:left w:val="nil"/>
              <w:bottom w:val="single" w:color="auto" w:sz="4" w:space="0"/>
              <w:right w:val="single" w:color="000000" w:sz="4" w:space="0"/>
            </w:tcBorders>
            <w:vAlign w:val="center"/>
          </w:tcPr>
          <w:p w14:paraId="4F85FF2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X*20%</w:t>
            </w:r>
          </w:p>
        </w:tc>
        <w:tc>
          <w:tcPr>
            <w:tcW w:w="767" w:type="dxa"/>
            <w:tcBorders>
              <w:top w:val="single" w:color="auto" w:sz="4" w:space="0"/>
              <w:left w:val="nil"/>
              <w:bottom w:val="single" w:color="auto" w:sz="4" w:space="0"/>
              <w:right w:val="single" w:color="000000" w:sz="4" w:space="0"/>
            </w:tcBorders>
            <w:vAlign w:val="center"/>
          </w:tcPr>
          <w:p w14:paraId="629B4DE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X*20%</w:t>
            </w:r>
          </w:p>
        </w:tc>
        <w:tc>
          <w:tcPr>
            <w:tcW w:w="758" w:type="dxa"/>
            <w:tcBorders>
              <w:top w:val="single" w:color="auto" w:sz="4" w:space="0"/>
              <w:left w:val="nil"/>
              <w:bottom w:val="single" w:color="auto" w:sz="4" w:space="0"/>
              <w:right w:val="single" w:color="000000" w:sz="4" w:space="0"/>
            </w:tcBorders>
            <w:vAlign w:val="center"/>
          </w:tcPr>
          <w:p w14:paraId="7B0911C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X*10%</w:t>
            </w:r>
          </w:p>
        </w:tc>
        <w:tc>
          <w:tcPr>
            <w:tcW w:w="776" w:type="dxa"/>
            <w:tcBorders>
              <w:top w:val="single" w:color="auto" w:sz="4" w:space="0"/>
              <w:left w:val="nil"/>
              <w:bottom w:val="single" w:color="auto" w:sz="4" w:space="0"/>
              <w:right w:val="single" w:color="000000" w:sz="4" w:space="0"/>
            </w:tcBorders>
            <w:vAlign w:val="center"/>
          </w:tcPr>
          <w:p w14:paraId="25FBDE3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4A89364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0CF5230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334CC0F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2292C6C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2000</w:t>
            </w:r>
          </w:p>
        </w:tc>
      </w:tr>
      <w:tr w14:paraId="08C10892">
        <w:tblPrEx>
          <w:tblCellMar>
            <w:top w:w="0" w:type="dxa"/>
            <w:left w:w="108" w:type="dxa"/>
            <w:bottom w:w="0" w:type="dxa"/>
            <w:right w:w="108" w:type="dxa"/>
          </w:tblCellMar>
        </w:tblPrEx>
        <w:trPr>
          <w:trHeight w:val="480" w:hRule="atLeast"/>
        </w:trPr>
        <w:tc>
          <w:tcPr>
            <w:tcW w:w="750" w:type="dxa"/>
            <w:tcBorders>
              <w:top w:val="single" w:color="auto" w:sz="4" w:space="0"/>
              <w:left w:val="single" w:color="auto" w:sz="4" w:space="0"/>
              <w:bottom w:val="single" w:color="auto" w:sz="4" w:space="0"/>
              <w:right w:val="single" w:color="auto" w:sz="4" w:space="0"/>
            </w:tcBorders>
            <w:vAlign w:val="center"/>
          </w:tcPr>
          <w:p w14:paraId="626A29F9">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3.1.4</w:t>
            </w:r>
          </w:p>
        </w:tc>
        <w:tc>
          <w:tcPr>
            <w:tcW w:w="2147" w:type="dxa"/>
            <w:tcBorders>
              <w:top w:val="single" w:color="auto" w:sz="4" w:space="0"/>
              <w:left w:val="single" w:color="auto" w:sz="4" w:space="0"/>
              <w:bottom w:val="single" w:color="auto" w:sz="4" w:space="0"/>
              <w:right w:val="single" w:color="auto" w:sz="4" w:space="0"/>
            </w:tcBorders>
            <w:vAlign w:val="center"/>
          </w:tcPr>
          <w:p w14:paraId="1DD92A4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里程碑工程4（例：机电工程）</w:t>
            </w:r>
          </w:p>
        </w:tc>
        <w:tc>
          <w:tcPr>
            <w:tcW w:w="803" w:type="dxa"/>
            <w:tcBorders>
              <w:top w:val="single" w:color="auto" w:sz="4" w:space="0"/>
              <w:left w:val="single" w:color="auto" w:sz="4" w:space="0"/>
              <w:bottom w:val="single" w:color="auto" w:sz="4" w:space="0"/>
              <w:right w:val="single" w:color="auto" w:sz="4" w:space="0"/>
            </w:tcBorders>
            <w:vAlign w:val="center"/>
          </w:tcPr>
          <w:p w14:paraId="2F3779BA">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14.0%</w:t>
            </w:r>
          </w:p>
        </w:tc>
        <w:tc>
          <w:tcPr>
            <w:tcW w:w="815" w:type="dxa"/>
            <w:tcBorders>
              <w:top w:val="single" w:color="auto" w:sz="4" w:space="0"/>
              <w:left w:val="single" w:color="auto" w:sz="4" w:space="0"/>
              <w:bottom w:val="single" w:color="auto" w:sz="4" w:space="0"/>
              <w:right w:val="single" w:color="auto" w:sz="4" w:space="0"/>
            </w:tcBorders>
            <w:vAlign w:val="center"/>
          </w:tcPr>
          <w:p w14:paraId="7E45942E">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1400</w:t>
            </w:r>
          </w:p>
        </w:tc>
        <w:tc>
          <w:tcPr>
            <w:tcW w:w="748" w:type="dxa"/>
            <w:tcBorders>
              <w:top w:val="single" w:color="auto" w:sz="4" w:space="0"/>
              <w:left w:val="single" w:color="auto" w:sz="4" w:space="0"/>
              <w:bottom w:val="single" w:color="auto" w:sz="4" w:space="0"/>
              <w:right w:val="single" w:color="auto" w:sz="4" w:space="0"/>
            </w:tcBorders>
            <w:vAlign w:val="center"/>
          </w:tcPr>
          <w:p w14:paraId="4E52B114">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single" w:color="auto" w:sz="4" w:space="0"/>
              <w:bottom w:val="single" w:color="auto" w:sz="4" w:space="0"/>
              <w:right w:val="single" w:color="auto" w:sz="4" w:space="0"/>
            </w:tcBorders>
            <w:vAlign w:val="center"/>
          </w:tcPr>
          <w:p w14:paraId="55603C9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single" w:color="auto" w:sz="4" w:space="0"/>
              <w:bottom w:val="single" w:color="auto" w:sz="4" w:space="0"/>
              <w:right w:val="single" w:color="auto" w:sz="4" w:space="0"/>
            </w:tcBorders>
            <w:vAlign w:val="center"/>
          </w:tcPr>
          <w:p w14:paraId="680104A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single" w:color="auto" w:sz="4" w:space="0"/>
              <w:bottom w:val="single" w:color="auto" w:sz="4" w:space="0"/>
              <w:right w:val="single" w:color="auto" w:sz="4" w:space="0"/>
            </w:tcBorders>
            <w:vAlign w:val="center"/>
          </w:tcPr>
          <w:p w14:paraId="0A1D7E4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single" w:color="auto" w:sz="4" w:space="0"/>
              <w:bottom w:val="single" w:color="auto" w:sz="4" w:space="0"/>
              <w:right w:val="single" w:color="auto" w:sz="4" w:space="0"/>
            </w:tcBorders>
            <w:vAlign w:val="center"/>
          </w:tcPr>
          <w:p w14:paraId="28820EF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single" w:color="auto" w:sz="4" w:space="0"/>
              <w:bottom w:val="single" w:color="auto" w:sz="4" w:space="0"/>
              <w:right w:val="single" w:color="auto" w:sz="4" w:space="0"/>
            </w:tcBorders>
            <w:vAlign w:val="center"/>
          </w:tcPr>
          <w:p w14:paraId="2084AA7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X*20%</w:t>
            </w:r>
          </w:p>
        </w:tc>
        <w:tc>
          <w:tcPr>
            <w:tcW w:w="767" w:type="dxa"/>
            <w:tcBorders>
              <w:top w:val="single" w:color="auto" w:sz="4" w:space="0"/>
              <w:left w:val="single" w:color="auto" w:sz="4" w:space="0"/>
              <w:bottom w:val="single" w:color="auto" w:sz="4" w:space="0"/>
              <w:right w:val="single" w:color="auto" w:sz="4" w:space="0"/>
            </w:tcBorders>
            <w:vAlign w:val="center"/>
          </w:tcPr>
          <w:p w14:paraId="1C8B77E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X*50%</w:t>
            </w:r>
          </w:p>
        </w:tc>
        <w:tc>
          <w:tcPr>
            <w:tcW w:w="758" w:type="dxa"/>
            <w:tcBorders>
              <w:top w:val="single" w:color="auto" w:sz="4" w:space="0"/>
              <w:left w:val="single" w:color="auto" w:sz="4" w:space="0"/>
              <w:bottom w:val="single" w:color="auto" w:sz="4" w:space="0"/>
              <w:right w:val="single" w:color="auto" w:sz="4" w:space="0"/>
            </w:tcBorders>
            <w:vAlign w:val="center"/>
          </w:tcPr>
          <w:p w14:paraId="2D84DF39">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X*30%</w:t>
            </w:r>
          </w:p>
        </w:tc>
        <w:tc>
          <w:tcPr>
            <w:tcW w:w="776" w:type="dxa"/>
            <w:tcBorders>
              <w:top w:val="single" w:color="auto" w:sz="4" w:space="0"/>
              <w:left w:val="single" w:color="auto" w:sz="4" w:space="0"/>
              <w:bottom w:val="single" w:color="auto" w:sz="4" w:space="0"/>
              <w:right w:val="single" w:color="auto" w:sz="4" w:space="0"/>
            </w:tcBorders>
            <w:vAlign w:val="center"/>
          </w:tcPr>
          <w:p w14:paraId="5D74478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single" w:color="auto" w:sz="4" w:space="0"/>
              <w:bottom w:val="single" w:color="auto" w:sz="4" w:space="0"/>
              <w:right w:val="single" w:color="auto" w:sz="4" w:space="0"/>
            </w:tcBorders>
            <w:vAlign w:val="center"/>
          </w:tcPr>
          <w:p w14:paraId="50E9CEC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single" w:color="auto" w:sz="4" w:space="0"/>
              <w:bottom w:val="single" w:color="auto" w:sz="4" w:space="0"/>
              <w:right w:val="single" w:color="auto" w:sz="4" w:space="0"/>
            </w:tcBorders>
            <w:vAlign w:val="center"/>
          </w:tcPr>
          <w:p w14:paraId="34AD967C">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single" w:color="auto" w:sz="4" w:space="0"/>
              <w:bottom w:val="single" w:color="auto" w:sz="4" w:space="0"/>
              <w:right w:val="single" w:color="auto" w:sz="4" w:space="0"/>
            </w:tcBorders>
            <w:vAlign w:val="center"/>
          </w:tcPr>
          <w:p w14:paraId="0272DAC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single" w:color="auto" w:sz="4" w:space="0"/>
              <w:left w:val="single" w:color="auto" w:sz="4" w:space="0"/>
              <w:bottom w:val="single" w:color="auto" w:sz="4" w:space="0"/>
              <w:right w:val="single" w:color="auto" w:sz="4" w:space="0"/>
            </w:tcBorders>
            <w:vAlign w:val="center"/>
          </w:tcPr>
          <w:p w14:paraId="0B3EF170">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1400</w:t>
            </w:r>
          </w:p>
        </w:tc>
      </w:tr>
      <w:tr w14:paraId="1BB1F045">
        <w:tblPrEx>
          <w:tblCellMar>
            <w:top w:w="0" w:type="dxa"/>
            <w:left w:w="108" w:type="dxa"/>
            <w:bottom w:w="0" w:type="dxa"/>
            <w:right w:w="108" w:type="dxa"/>
          </w:tblCellMar>
        </w:tblPrEx>
        <w:trPr>
          <w:trHeight w:val="480" w:hRule="atLeast"/>
        </w:trPr>
        <w:tc>
          <w:tcPr>
            <w:tcW w:w="750" w:type="dxa"/>
            <w:tcBorders>
              <w:top w:val="single" w:color="auto" w:sz="4" w:space="0"/>
              <w:left w:val="single" w:color="auto" w:sz="4" w:space="0"/>
              <w:bottom w:val="single" w:color="auto" w:sz="4" w:space="0"/>
              <w:right w:val="single" w:color="auto" w:sz="4" w:space="0"/>
            </w:tcBorders>
            <w:vAlign w:val="center"/>
          </w:tcPr>
          <w:p w14:paraId="707279F5">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3.1.5</w:t>
            </w:r>
          </w:p>
        </w:tc>
        <w:tc>
          <w:tcPr>
            <w:tcW w:w="2147" w:type="dxa"/>
            <w:tcBorders>
              <w:top w:val="single" w:color="auto" w:sz="4" w:space="0"/>
              <w:left w:val="nil"/>
              <w:bottom w:val="single" w:color="auto" w:sz="4" w:space="0"/>
              <w:right w:val="single" w:color="auto" w:sz="4" w:space="0"/>
            </w:tcBorders>
            <w:vAlign w:val="center"/>
          </w:tcPr>
          <w:p w14:paraId="72BD8E09">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里程碑工程5（例：附属工程）</w:t>
            </w:r>
          </w:p>
        </w:tc>
        <w:tc>
          <w:tcPr>
            <w:tcW w:w="803" w:type="dxa"/>
            <w:tcBorders>
              <w:top w:val="single" w:color="auto" w:sz="4" w:space="0"/>
              <w:left w:val="nil"/>
              <w:bottom w:val="single" w:color="auto" w:sz="4" w:space="0"/>
              <w:right w:val="single" w:color="auto" w:sz="4" w:space="0"/>
            </w:tcBorders>
            <w:vAlign w:val="center"/>
          </w:tcPr>
          <w:p w14:paraId="6CFEE714">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13.0%</w:t>
            </w:r>
          </w:p>
        </w:tc>
        <w:tc>
          <w:tcPr>
            <w:tcW w:w="815" w:type="dxa"/>
            <w:tcBorders>
              <w:top w:val="single" w:color="auto" w:sz="4" w:space="0"/>
              <w:left w:val="nil"/>
              <w:bottom w:val="single" w:color="auto" w:sz="4" w:space="0"/>
              <w:right w:val="nil"/>
            </w:tcBorders>
            <w:vAlign w:val="center"/>
          </w:tcPr>
          <w:p w14:paraId="09F3D531">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1300</w:t>
            </w:r>
          </w:p>
        </w:tc>
        <w:tc>
          <w:tcPr>
            <w:tcW w:w="748" w:type="dxa"/>
            <w:tcBorders>
              <w:top w:val="single" w:color="auto" w:sz="4" w:space="0"/>
              <w:left w:val="single" w:color="auto" w:sz="4" w:space="0"/>
              <w:bottom w:val="single" w:color="auto" w:sz="4" w:space="0"/>
              <w:right w:val="single" w:color="000000" w:sz="4" w:space="0"/>
            </w:tcBorders>
            <w:vAlign w:val="center"/>
          </w:tcPr>
          <w:p w14:paraId="6A46741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2BDFA404">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3DA40040">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57AA661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3F1AC40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00DF850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19FE5B3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4DFF383C">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X*20%</w:t>
            </w:r>
          </w:p>
        </w:tc>
        <w:tc>
          <w:tcPr>
            <w:tcW w:w="776" w:type="dxa"/>
            <w:tcBorders>
              <w:top w:val="single" w:color="auto" w:sz="4" w:space="0"/>
              <w:left w:val="nil"/>
              <w:bottom w:val="single" w:color="auto" w:sz="4" w:space="0"/>
              <w:right w:val="single" w:color="000000" w:sz="4" w:space="0"/>
            </w:tcBorders>
            <w:vAlign w:val="center"/>
          </w:tcPr>
          <w:p w14:paraId="531D2B8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X*40%</w:t>
            </w:r>
          </w:p>
        </w:tc>
        <w:tc>
          <w:tcPr>
            <w:tcW w:w="746" w:type="dxa"/>
            <w:tcBorders>
              <w:top w:val="single" w:color="auto" w:sz="4" w:space="0"/>
              <w:left w:val="nil"/>
              <w:bottom w:val="single" w:color="auto" w:sz="4" w:space="0"/>
              <w:right w:val="single" w:color="000000" w:sz="4" w:space="0"/>
            </w:tcBorders>
            <w:vAlign w:val="center"/>
          </w:tcPr>
          <w:p w14:paraId="211CA8F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X*40%</w:t>
            </w:r>
          </w:p>
        </w:tc>
        <w:tc>
          <w:tcPr>
            <w:tcW w:w="766" w:type="dxa"/>
            <w:tcBorders>
              <w:top w:val="single" w:color="auto" w:sz="4" w:space="0"/>
              <w:left w:val="nil"/>
              <w:bottom w:val="single" w:color="auto" w:sz="4" w:space="0"/>
              <w:right w:val="single" w:color="000000" w:sz="4" w:space="0"/>
            </w:tcBorders>
            <w:vAlign w:val="center"/>
          </w:tcPr>
          <w:p w14:paraId="638B2FB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6DB3A3A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single" w:color="auto" w:sz="4" w:space="0"/>
              <w:left w:val="single" w:color="auto" w:sz="4" w:space="0"/>
              <w:bottom w:val="single" w:color="auto" w:sz="4" w:space="0"/>
              <w:right w:val="single" w:color="auto" w:sz="4" w:space="0"/>
            </w:tcBorders>
            <w:vAlign w:val="center"/>
          </w:tcPr>
          <w:p w14:paraId="1F9B1644">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1300</w:t>
            </w:r>
          </w:p>
        </w:tc>
      </w:tr>
      <w:tr w14:paraId="40293E84">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145B3813">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3.2</w:t>
            </w:r>
          </w:p>
        </w:tc>
        <w:tc>
          <w:tcPr>
            <w:tcW w:w="2147" w:type="dxa"/>
            <w:tcBorders>
              <w:top w:val="nil"/>
              <w:left w:val="nil"/>
              <w:bottom w:val="single" w:color="auto" w:sz="4" w:space="0"/>
              <w:right w:val="single" w:color="auto" w:sz="4" w:space="0"/>
            </w:tcBorders>
            <w:vAlign w:val="center"/>
          </w:tcPr>
          <w:p w14:paraId="0A82DC70">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安全文明施工费</w:t>
            </w:r>
          </w:p>
        </w:tc>
        <w:tc>
          <w:tcPr>
            <w:tcW w:w="803" w:type="dxa"/>
            <w:tcBorders>
              <w:top w:val="nil"/>
              <w:left w:val="nil"/>
              <w:bottom w:val="single" w:color="auto" w:sz="4" w:space="0"/>
              <w:right w:val="single" w:color="auto" w:sz="4" w:space="0"/>
            </w:tcBorders>
            <w:vAlign w:val="center"/>
          </w:tcPr>
          <w:p w14:paraId="594F7C9E">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815" w:type="dxa"/>
            <w:tcBorders>
              <w:top w:val="nil"/>
              <w:left w:val="nil"/>
              <w:bottom w:val="single" w:color="auto" w:sz="4" w:space="0"/>
              <w:right w:val="nil"/>
            </w:tcBorders>
            <w:vAlign w:val="center"/>
          </w:tcPr>
          <w:p w14:paraId="596CA19F">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150</w:t>
            </w:r>
          </w:p>
        </w:tc>
        <w:tc>
          <w:tcPr>
            <w:tcW w:w="7702" w:type="dxa"/>
            <w:gridSpan w:val="10"/>
            <w:tcBorders>
              <w:top w:val="single" w:color="auto" w:sz="4" w:space="0"/>
              <w:left w:val="single" w:color="auto" w:sz="4" w:space="0"/>
              <w:bottom w:val="single" w:color="auto" w:sz="4" w:space="0"/>
              <w:right w:val="single" w:color="000000" w:sz="4" w:space="0"/>
            </w:tcBorders>
            <w:vAlign w:val="center"/>
          </w:tcPr>
          <w:p w14:paraId="3781440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首期支付50%其余按计划工期均分</w:t>
            </w:r>
          </w:p>
        </w:tc>
        <w:tc>
          <w:tcPr>
            <w:tcW w:w="766" w:type="dxa"/>
            <w:tcBorders>
              <w:top w:val="single" w:color="auto" w:sz="4" w:space="0"/>
              <w:left w:val="nil"/>
              <w:bottom w:val="single" w:color="auto" w:sz="4" w:space="0"/>
              <w:right w:val="single" w:color="000000" w:sz="4" w:space="0"/>
            </w:tcBorders>
            <w:vAlign w:val="center"/>
          </w:tcPr>
          <w:p w14:paraId="751A9BC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18D6EABA">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07F79559">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150</w:t>
            </w:r>
          </w:p>
        </w:tc>
      </w:tr>
      <w:tr w14:paraId="4853AA04">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095016DD">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3.3</w:t>
            </w:r>
          </w:p>
        </w:tc>
        <w:tc>
          <w:tcPr>
            <w:tcW w:w="2147" w:type="dxa"/>
            <w:tcBorders>
              <w:top w:val="nil"/>
              <w:left w:val="nil"/>
              <w:bottom w:val="single" w:color="auto" w:sz="4" w:space="0"/>
              <w:right w:val="single" w:color="auto" w:sz="4" w:space="0"/>
            </w:tcBorders>
            <w:vAlign w:val="center"/>
          </w:tcPr>
          <w:p w14:paraId="6089C5A5">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暂估价</w:t>
            </w:r>
          </w:p>
        </w:tc>
        <w:tc>
          <w:tcPr>
            <w:tcW w:w="803" w:type="dxa"/>
            <w:tcBorders>
              <w:top w:val="nil"/>
              <w:left w:val="nil"/>
              <w:bottom w:val="single" w:color="auto" w:sz="4" w:space="0"/>
              <w:right w:val="single" w:color="auto" w:sz="4" w:space="0"/>
            </w:tcBorders>
            <w:vAlign w:val="center"/>
          </w:tcPr>
          <w:p w14:paraId="20702EF9">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1.9%</w:t>
            </w:r>
          </w:p>
        </w:tc>
        <w:tc>
          <w:tcPr>
            <w:tcW w:w="815" w:type="dxa"/>
            <w:tcBorders>
              <w:top w:val="nil"/>
              <w:left w:val="nil"/>
              <w:bottom w:val="single" w:color="auto" w:sz="4" w:space="0"/>
              <w:right w:val="nil"/>
            </w:tcBorders>
            <w:vAlign w:val="center"/>
          </w:tcPr>
          <w:p w14:paraId="0AC6CCBE">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190</w:t>
            </w:r>
          </w:p>
        </w:tc>
        <w:tc>
          <w:tcPr>
            <w:tcW w:w="748" w:type="dxa"/>
            <w:tcBorders>
              <w:top w:val="single" w:color="auto" w:sz="4" w:space="0"/>
              <w:left w:val="single" w:color="auto" w:sz="4" w:space="0"/>
              <w:bottom w:val="single" w:color="auto" w:sz="4" w:space="0"/>
              <w:right w:val="single" w:color="000000" w:sz="4" w:space="0"/>
            </w:tcBorders>
            <w:vAlign w:val="center"/>
          </w:tcPr>
          <w:p w14:paraId="07A9570A">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067CCF1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7D213829">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7E746D6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539734E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6AD6872B">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430C6E5D">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4EF2B56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50274062">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0CDDE05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36F55E2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7E29B623">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213D50DB">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6A443A8D">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4CAE27BB">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3.3.1</w:t>
            </w:r>
          </w:p>
        </w:tc>
        <w:tc>
          <w:tcPr>
            <w:tcW w:w="2147" w:type="dxa"/>
            <w:tcBorders>
              <w:top w:val="nil"/>
              <w:left w:val="nil"/>
              <w:bottom w:val="single" w:color="auto" w:sz="4" w:space="0"/>
              <w:right w:val="single" w:color="auto" w:sz="4" w:space="0"/>
            </w:tcBorders>
            <w:vAlign w:val="center"/>
          </w:tcPr>
          <w:p w14:paraId="5037075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工程暂估价</w:t>
            </w:r>
          </w:p>
        </w:tc>
        <w:tc>
          <w:tcPr>
            <w:tcW w:w="803" w:type="dxa"/>
            <w:tcBorders>
              <w:top w:val="nil"/>
              <w:left w:val="nil"/>
              <w:bottom w:val="single" w:color="auto" w:sz="4" w:space="0"/>
              <w:right w:val="single" w:color="auto" w:sz="4" w:space="0"/>
            </w:tcBorders>
            <w:vAlign w:val="center"/>
          </w:tcPr>
          <w:p w14:paraId="6A20E58C">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815" w:type="dxa"/>
            <w:tcBorders>
              <w:top w:val="nil"/>
              <w:left w:val="nil"/>
              <w:bottom w:val="single" w:color="auto" w:sz="4" w:space="0"/>
              <w:right w:val="nil"/>
            </w:tcBorders>
            <w:vAlign w:val="center"/>
          </w:tcPr>
          <w:p w14:paraId="0B13295E">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150</w:t>
            </w:r>
          </w:p>
        </w:tc>
        <w:tc>
          <w:tcPr>
            <w:tcW w:w="748" w:type="dxa"/>
            <w:tcBorders>
              <w:top w:val="single" w:color="auto" w:sz="4" w:space="0"/>
              <w:left w:val="single" w:color="auto" w:sz="4" w:space="0"/>
              <w:bottom w:val="single" w:color="auto" w:sz="4" w:space="0"/>
              <w:right w:val="single" w:color="000000" w:sz="4" w:space="0"/>
            </w:tcBorders>
            <w:vAlign w:val="center"/>
          </w:tcPr>
          <w:p w14:paraId="7926B82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5D73115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226E50B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7D1A4E58">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753C811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2D30A08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3D8B20C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X*50%</w:t>
            </w:r>
          </w:p>
        </w:tc>
        <w:tc>
          <w:tcPr>
            <w:tcW w:w="758" w:type="dxa"/>
            <w:tcBorders>
              <w:top w:val="single" w:color="auto" w:sz="4" w:space="0"/>
              <w:left w:val="nil"/>
              <w:bottom w:val="single" w:color="auto" w:sz="4" w:space="0"/>
              <w:right w:val="single" w:color="000000" w:sz="4" w:space="0"/>
            </w:tcBorders>
            <w:vAlign w:val="center"/>
          </w:tcPr>
          <w:p w14:paraId="1D76366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X*50%</w:t>
            </w:r>
          </w:p>
        </w:tc>
        <w:tc>
          <w:tcPr>
            <w:tcW w:w="776" w:type="dxa"/>
            <w:tcBorders>
              <w:top w:val="single" w:color="auto" w:sz="4" w:space="0"/>
              <w:left w:val="nil"/>
              <w:bottom w:val="single" w:color="auto" w:sz="4" w:space="0"/>
              <w:right w:val="single" w:color="000000" w:sz="4" w:space="0"/>
            </w:tcBorders>
            <w:vAlign w:val="center"/>
          </w:tcPr>
          <w:p w14:paraId="5B13119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0597DDA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2E1FF25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1A9FD74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0113A8E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150</w:t>
            </w:r>
          </w:p>
        </w:tc>
      </w:tr>
      <w:tr w14:paraId="1D0073FE">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568724BD">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3.3.2</w:t>
            </w:r>
          </w:p>
        </w:tc>
        <w:tc>
          <w:tcPr>
            <w:tcW w:w="2147" w:type="dxa"/>
            <w:tcBorders>
              <w:top w:val="nil"/>
              <w:left w:val="nil"/>
              <w:bottom w:val="single" w:color="auto" w:sz="4" w:space="0"/>
              <w:right w:val="single" w:color="auto" w:sz="4" w:space="0"/>
            </w:tcBorders>
            <w:vAlign w:val="center"/>
          </w:tcPr>
          <w:p w14:paraId="1999531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材料暂估价</w:t>
            </w:r>
          </w:p>
        </w:tc>
        <w:tc>
          <w:tcPr>
            <w:tcW w:w="803" w:type="dxa"/>
            <w:tcBorders>
              <w:top w:val="nil"/>
              <w:left w:val="nil"/>
              <w:bottom w:val="single" w:color="auto" w:sz="4" w:space="0"/>
              <w:right w:val="single" w:color="auto" w:sz="4" w:space="0"/>
            </w:tcBorders>
            <w:vAlign w:val="center"/>
          </w:tcPr>
          <w:p w14:paraId="2A15201A">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0.4%</w:t>
            </w:r>
          </w:p>
        </w:tc>
        <w:tc>
          <w:tcPr>
            <w:tcW w:w="815" w:type="dxa"/>
            <w:tcBorders>
              <w:top w:val="nil"/>
              <w:left w:val="nil"/>
              <w:bottom w:val="single" w:color="auto" w:sz="4" w:space="0"/>
              <w:right w:val="nil"/>
            </w:tcBorders>
            <w:vAlign w:val="center"/>
          </w:tcPr>
          <w:p w14:paraId="077D4643">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40</w:t>
            </w:r>
          </w:p>
        </w:tc>
        <w:tc>
          <w:tcPr>
            <w:tcW w:w="748" w:type="dxa"/>
            <w:tcBorders>
              <w:top w:val="single" w:color="auto" w:sz="4" w:space="0"/>
              <w:left w:val="single" w:color="auto" w:sz="4" w:space="0"/>
              <w:bottom w:val="single" w:color="auto" w:sz="4" w:space="0"/>
              <w:right w:val="single" w:color="000000" w:sz="4" w:space="0"/>
            </w:tcBorders>
            <w:vAlign w:val="center"/>
          </w:tcPr>
          <w:p w14:paraId="6BFD306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B361AB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15AB7C6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6ECF5AF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23E2C699">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4DE9AD0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189FD06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758" w:type="dxa"/>
            <w:tcBorders>
              <w:top w:val="single" w:color="auto" w:sz="4" w:space="0"/>
              <w:left w:val="nil"/>
              <w:bottom w:val="single" w:color="auto" w:sz="4" w:space="0"/>
              <w:right w:val="single" w:color="000000" w:sz="4" w:space="0"/>
            </w:tcBorders>
            <w:vAlign w:val="center"/>
          </w:tcPr>
          <w:p w14:paraId="460A66E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181B1001">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6141A68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2E9EF478">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23156E7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083CBBE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40</w:t>
            </w:r>
          </w:p>
        </w:tc>
      </w:tr>
      <w:tr w14:paraId="07F8216B">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356E952A">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3.4</w:t>
            </w:r>
          </w:p>
        </w:tc>
        <w:tc>
          <w:tcPr>
            <w:tcW w:w="2147" w:type="dxa"/>
            <w:tcBorders>
              <w:top w:val="nil"/>
              <w:left w:val="nil"/>
              <w:bottom w:val="single" w:color="auto" w:sz="4" w:space="0"/>
              <w:right w:val="single" w:color="auto" w:sz="4" w:space="0"/>
            </w:tcBorders>
            <w:vAlign w:val="center"/>
          </w:tcPr>
          <w:p w14:paraId="6E5D477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暂列金额</w:t>
            </w:r>
          </w:p>
        </w:tc>
        <w:tc>
          <w:tcPr>
            <w:tcW w:w="803" w:type="dxa"/>
            <w:tcBorders>
              <w:top w:val="nil"/>
              <w:left w:val="nil"/>
              <w:bottom w:val="single" w:color="auto" w:sz="4" w:space="0"/>
              <w:right w:val="single" w:color="auto" w:sz="4" w:space="0"/>
            </w:tcBorders>
            <w:vAlign w:val="center"/>
          </w:tcPr>
          <w:p w14:paraId="0B8ABC6E">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815" w:type="dxa"/>
            <w:tcBorders>
              <w:top w:val="nil"/>
              <w:left w:val="nil"/>
              <w:bottom w:val="single" w:color="auto" w:sz="4" w:space="0"/>
              <w:right w:val="nil"/>
            </w:tcBorders>
            <w:vAlign w:val="center"/>
          </w:tcPr>
          <w:p w14:paraId="646B7D88">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500</w:t>
            </w:r>
          </w:p>
        </w:tc>
        <w:tc>
          <w:tcPr>
            <w:tcW w:w="748" w:type="dxa"/>
            <w:tcBorders>
              <w:top w:val="single" w:color="auto" w:sz="4" w:space="0"/>
              <w:left w:val="single" w:color="auto" w:sz="4" w:space="0"/>
              <w:bottom w:val="single" w:color="auto" w:sz="4" w:space="0"/>
              <w:right w:val="single" w:color="000000" w:sz="4" w:space="0"/>
            </w:tcBorders>
            <w:vAlign w:val="center"/>
          </w:tcPr>
          <w:p w14:paraId="0ABBC5BE">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09DBCC0">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1E5EEA78">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3A55B378">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04D2CD1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26121A83">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1F8FC77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69E30833">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45BE77AD">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3701F7F2">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6191DF6C">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34350A47">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71D809AD">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74C5C55F">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5526CB2E">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3.4.1</w:t>
            </w:r>
          </w:p>
        </w:tc>
        <w:tc>
          <w:tcPr>
            <w:tcW w:w="2147" w:type="dxa"/>
            <w:tcBorders>
              <w:top w:val="nil"/>
              <w:left w:val="nil"/>
              <w:bottom w:val="single" w:color="auto" w:sz="4" w:space="0"/>
              <w:right w:val="single" w:color="auto" w:sz="4" w:space="0"/>
            </w:tcBorders>
            <w:vAlign w:val="center"/>
          </w:tcPr>
          <w:p w14:paraId="4C4D7E39">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标化工地增加费</w:t>
            </w:r>
          </w:p>
        </w:tc>
        <w:tc>
          <w:tcPr>
            <w:tcW w:w="803" w:type="dxa"/>
            <w:tcBorders>
              <w:top w:val="nil"/>
              <w:left w:val="nil"/>
              <w:bottom w:val="single" w:color="auto" w:sz="4" w:space="0"/>
              <w:right w:val="single" w:color="auto" w:sz="4" w:space="0"/>
            </w:tcBorders>
            <w:vAlign w:val="center"/>
          </w:tcPr>
          <w:p w14:paraId="53F03ABB">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3.0%</w:t>
            </w:r>
          </w:p>
        </w:tc>
        <w:tc>
          <w:tcPr>
            <w:tcW w:w="815" w:type="dxa"/>
            <w:tcBorders>
              <w:top w:val="nil"/>
              <w:left w:val="nil"/>
              <w:bottom w:val="single" w:color="auto" w:sz="4" w:space="0"/>
              <w:right w:val="nil"/>
            </w:tcBorders>
            <w:vAlign w:val="center"/>
          </w:tcPr>
          <w:p w14:paraId="4209F299">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300</w:t>
            </w:r>
          </w:p>
        </w:tc>
        <w:tc>
          <w:tcPr>
            <w:tcW w:w="748" w:type="dxa"/>
            <w:tcBorders>
              <w:top w:val="single" w:color="auto" w:sz="4" w:space="0"/>
              <w:left w:val="single" w:color="auto" w:sz="4" w:space="0"/>
              <w:bottom w:val="single" w:color="auto" w:sz="4" w:space="0"/>
              <w:right w:val="single" w:color="000000" w:sz="4" w:space="0"/>
            </w:tcBorders>
            <w:vAlign w:val="center"/>
          </w:tcPr>
          <w:p w14:paraId="12ACA92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04E31C2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17BB16B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7F629C6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05171149">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60FEC65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290C6AA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5C652B9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30470BC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309C117C">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6E57985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317D0B3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814" w:type="dxa"/>
            <w:tcBorders>
              <w:top w:val="nil"/>
              <w:left w:val="single" w:color="auto" w:sz="4" w:space="0"/>
              <w:bottom w:val="single" w:color="auto" w:sz="4" w:space="0"/>
              <w:right w:val="single" w:color="auto" w:sz="4" w:space="0"/>
            </w:tcBorders>
            <w:vAlign w:val="center"/>
          </w:tcPr>
          <w:p w14:paraId="2524185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300</w:t>
            </w:r>
          </w:p>
        </w:tc>
      </w:tr>
      <w:tr w14:paraId="695B7BF2">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6231C791">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3.4.2</w:t>
            </w:r>
          </w:p>
        </w:tc>
        <w:tc>
          <w:tcPr>
            <w:tcW w:w="2147" w:type="dxa"/>
            <w:tcBorders>
              <w:top w:val="nil"/>
              <w:left w:val="nil"/>
              <w:bottom w:val="single" w:color="auto" w:sz="4" w:space="0"/>
              <w:right w:val="single" w:color="auto" w:sz="4" w:space="0"/>
            </w:tcBorders>
            <w:vAlign w:val="center"/>
          </w:tcPr>
          <w:p w14:paraId="2AC201D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优质工程增加费</w:t>
            </w:r>
          </w:p>
        </w:tc>
        <w:tc>
          <w:tcPr>
            <w:tcW w:w="803" w:type="dxa"/>
            <w:tcBorders>
              <w:top w:val="nil"/>
              <w:left w:val="nil"/>
              <w:bottom w:val="single" w:color="auto" w:sz="4" w:space="0"/>
              <w:right w:val="single" w:color="auto" w:sz="4" w:space="0"/>
            </w:tcBorders>
            <w:vAlign w:val="center"/>
          </w:tcPr>
          <w:p w14:paraId="6FCD2164">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815" w:type="dxa"/>
            <w:tcBorders>
              <w:top w:val="nil"/>
              <w:left w:val="nil"/>
              <w:bottom w:val="single" w:color="auto" w:sz="4" w:space="0"/>
              <w:right w:val="nil"/>
            </w:tcBorders>
            <w:vAlign w:val="center"/>
          </w:tcPr>
          <w:p w14:paraId="2B86F171">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150</w:t>
            </w:r>
          </w:p>
        </w:tc>
        <w:tc>
          <w:tcPr>
            <w:tcW w:w="748" w:type="dxa"/>
            <w:tcBorders>
              <w:top w:val="single" w:color="auto" w:sz="4" w:space="0"/>
              <w:left w:val="single" w:color="auto" w:sz="4" w:space="0"/>
              <w:bottom w:val="single" w:color="auto" w:sz="4" w:space="0"/>
              <w:right w:val="single" w:color="000000" w:sz="4" w:space="0"/>
            </w:tcBorders>
            <w:vAlign w:val="center"/>
          </w:tcPr>
          <w:p w14:paraId="72E9361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77CE145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37EEEF6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6462F2E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430D2909">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6AEC230C">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000968F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040C8AE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703951C0">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62022316">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0708DFD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7A7FA3E0">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814" w:type="dxa"/>
            <w:tcBorders>
              <w:top w:val="nil"/>
              <w:left w:val="single" w:color="auto" w:sz="4" w:space="0"/>
              <w:bottom w:val="single" w:color="auto" w:sz="4" w:space="0"/>
              <w:right w:val="single" w:color="auto" w:sz="4" w:space="0"/>
            </w:tcBorders>
            <w:vAlign w:val="center"/>
          </w:tcPr>
          <w:p w14:paraId="0DBEBCB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150</w:t>
            </w:r>
          </w:p>
        </w:tc>
      </w:tr>
      <w:tr w14:paraId="342B3FE2">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75AED238">
            <w:pPr>
              <w:widowControl/>
              <w:autoSpaceDE/>
              <w:autoSpaceDN/>
              <w:adjustRightInd/>
              <w:spacing w:line="360" w:lineRule="auto"/>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3.4.3</w:t>
            </w:r>
          </w:p>
        </w:tc>
        <w:tc>
          <w:tcPr>
            <w:tcW w:w="2147" w:type="dxa"/>
            <w:tcBorders>
              <w:top w:val="nil"/>
              <w:left w:val="nil"/>
              <w:bottom w:val="single" w:color="auto" w:sz="4" w:space="0"/>
              <w:right w:val="single" w:color="auto" w:sz="4" w:space="0"/>
            </w:tcBorders>
            <w:vAlign w:val="center"/>
          </w:tcPr>
          <w:p w14:paraId="4EC3B058">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其他暂列金额</w:t>
            </w:r>
          </w:p>
        </w:tc>
        <w:tc>
          <w:tcPr>
            <w:tcW w:w="803" w:type="dxa"/>
            <w:tcBorders>
              <w:top w:val="nil"/>
              <w:left w:val="nil"/>
              <w:bottom w:val="single" w:color="auto" w:sz="4" w:space="0"/>
              <w:right w:val="single" w:color="auto" w:sz="4" w:space="0"/>
            </w:tcBorders>
            <w:vAlign w:val="center"/>
          </w:tcPr>
          <w:p w14:paraId="4450FF81">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0.5%</w:t>
            </w:r>
          </w:p>
        </w:tc>
        <w:tc>
          <w:tcPr>
            <w:tcW w:w="815" w:type="dxa"/>
            <w:tcBorders>
              <w:top w:val="nil"/>
              <w:left w:val="nil"/>
              <w:bottom w:val="single" w:color="auto" w:sz="4" w:space="0"/>
              <w:right w:val="nil"/>
            </w:tcBorders>
            <w:vAlign w:val="center"/>
          </w:tcPr>
          <w:p w14:paraId="7266C20A">
            <w:pPr>
              <w:widowControl/>
              <w:autoSpaceDE/>
              <w:autoSpaceDN/>
              <w:adjustRightInd/>
              <w:spacing w:line="360" w:lineRule="auto"/>
              <w:jc w:val="right"/>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48" w:type="dxa"/>
            <w:tcBorders>
              <w:top w:val="single" w:color="auto" w:sz="4" w:space="0"/>
              <w:left w:val="single" w:color="auto" w:sz="4" w:space="0"/>
              <w:bottom w:val="single" w:color="auto" w:sz="4" w:space="0"/>
              <w:right w:val="single" w:color="000000" w:sz="4" w:space="0"/>
            </w:tcBorders>
            <w:vAlign w:val="center"/>
          </w:tcPr>
          <w:p w14:paraId="6B2EF31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0330A422">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7C1559A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5A1E644B">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5AFA7A5F">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56356248">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590840D7">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2CAC6C65">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776" w:type="dxa"/>
            <w:tcBorders>
              <w:top w:val="single" w:color="auto" w:sz="4" w:space="0"/>
              <w:left w:val="nil"/>
              <w:bottom w:val="single" w:color="auto" w:sz="4" w:space="0"/>
              <w:right w:val="single" w:color="000000" w:sz="4" w:space="0"/>
            </w:tcBorders>
            <w:vAlign w:val="center"/>
          </w:tcPr>
          <w:p w14:paraId="6DC734E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0E46914A">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44407D0E">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nil"/>
            </w:tcBorders>
            <w:vAlign w:val="center"/>
          </w:tcPr>
          <w:p w14:paraId="790A4C43">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1B1C9FCD">
            <w:pPr>
              <w:widowControl/>
              <w:autoSpaceDE/>
              <w:autoSpaceDN/>
              <w:adjustRightInd/>
              <w:spacing w:line="360" w:lineRule="auto"/>
              <w:jc w:val="center"/>
              <w:outlineLvl w:val="1"/>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r>
      <w:tr w14:paraId="170A957C">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7A3E94B8">
            <w:pPr>
              <w:widowControl/>
              <w:autoSpaceDE/>
              <w:autoSpaceDN/>
              <w:adjustRightInd/>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c>
          <w:tcPr>
            <w:tcW w:w="2147" w:type="dxa"/>
            <w:tcBorders>
              <w:top w:val="nil"/>
              <w:left w:val="nil"/>
              <w:bottom w:val="single" w:color="auto" w:sz="4" w:space="0"/>
              <w:right w:val="single" w:color="auto" w:sz="4" w:space="0"/>
            </w:tcBorders>
            <w:vAlign w:val="center"/>
          </w:tcPr>
          <w:p w14:paraId="4DDC4BF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总承包其他费</w:t>
            </w:r>
          </w:p>
        </w:tc>
        <w:tc>
          <w:tcPr>
            <w:tcW w:w="803" w:type="dxa"/>
            <w:tcBorders>
              <w:top w:val="nil"/>
              <w:left w:val="nil"/>
              <w:bottom w:val="single" w:color="auto" w:sz="4" w:space="0"/>
              <w:right w:val="single" w:color="auto" w:sz="4" w:space="0"/>
            </w:tcBorders>
            <w:vAlign w:val="center"/>
          </w:tcPr>
          <w:p w14:paraId="175ACC40">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10.4%</w:t>
            </w:r>
          </w:p>
        </w:tc>
        <w:tc>
          <w:tcPr>
            <w:tcW w:w="815" w:type="dxa"/>
            <w:tcBorders>
              <w:top w:val="nil"/>
              <w:left w:val="nil"/>
              <w:bottom w:val="single" w:color="auto" w:sz="4" w:space="0"/>
              <w:right w:val="nil"/>
            </w:tcBorders>
            <w:vAlign w:val="center"/>
          </w:tcPr>
          <w:p w14:paraId="115A695A">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8" w:type="dxa"/>
            <w:tcBorders>
              <w:top w:val="single" w:color="auto" w:sz="4" w:space="0"/>
              <w:left w:val="single" w:color="auto" w:sz="4" w:space="0"/>
              <w:bottom w:val="single" w:color="auto" w:sz="4" w:space="0"/>
              <w:right w:val="single" w:color="000000" w:sz="4" w:space="0"/>
            </w:tcBorders>
            <w:vAlign w:val="center"/>
          </w:tcPr>
          <w:p w14:paraId="54885AB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0E0D011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23EF845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36B47477">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43E4CCED">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3B9675D1">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1632A4FA">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2FEFBA53">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1ACBE223">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1AAF2658">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4C5EB856">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68D2A830">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748B1752">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24F75E4B">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0C1570B8">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4.1</w:t>
            </w:r>
          </w:p>
        </w:tc>
        <w:tc>
          <w:tcPr>
            <w:tcW w:w="2147" w:type="dxa"/>
            <w:tcBorders>
              <w:top w:val="nil"/>
              <w:left w:val="nil"/>
              <w:bottom w:val="single" w:color="auto" w:sz="4" w:space="0"/>
              <w:right w:val="single" w:color="auto" w:sz="4" w:space="0"/>
            </w:tcBorders>
            <w:vAlign w:val="center"/>
          </w:tcPr>
          <w:p w14:paraId="2D91FEF0">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总承包管理费</w:t>
            </w:r>
          </w:p>
        </w:tc>
        <w:tc>
          <w:tcPr>
            <w:tcW w:w="803" w:type="dxa"/>
            <w:tcBorders>
              <w:top w:val="nil"/>
              <w:left w:val="nil"/>
              <w:bottom w:val="single" w:color="auto" w:sz="4" w:space="0"/>
              <w:right w:val="single" w:color="auto" w:sz="4" w:space="0"/>
            </w:tcBorders>
            <w:vAlign w:val="center"/>
          </w:tcPr>
          <w:p w14:paraId="54EE0A96">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815" w:type="dxa"/>
            <w:tcBorders>
              <w:top w:val="nil"/>
              <w:left w:val="nil"/>
              <w:bottom w:val="single" w:color="auto" w:sz="4" w:space="0"/>
              <w:right w:val="nil"/>
            </w:tcBorders>
            <w:vAlign w:val="center"/>
          </w:tcPr>
          <w:p w14:paraId="4B190EAF">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150</w:t>
            </w:r>
          </w:p>
        </w:tc>
        <w:tc>
          <w:tcPr>
            <w:tcW w:w="7702" w:type="dxa"/>
            <w:gridSpan w:val="10"/>
            <w:tcBorders>
              <w:top w:val="single" w:color="auto" w:sz="4" w:space="0"/>
              <w:left w:val="single" w:color="auto" w:sz="4" w:space="0"/>
              <w:bottom w:val="single" w:color="auto" w:sz="4" w:space="0"/>
              <w:right w:val="single" w:color="000000" w:sz="4" w:space="0"/>
            </w:tcBorders>
            <w:vAlign w:val="center"/>
          </w:tcPr>
          <w:p w14:paraId="1B552286">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X/计划工期均分</w:t>
            </w:r>
          </w:p>
        </w:tc>
        <w:tc>
          <w:tcPr>
            <w:tcW w:w="766" w:type="dxa"/>
            <w:tcBorders>
              <w:top w:val="single" w:color="auto" w:sz="4" w:space="0"/>
              <w:left w:val="nil"/>
              <w:bottom w:val="single" w:color="auto" w:sz="4" w:space="0"/>
              <w:right w:val="single" w:color="000000" w:sz="4" w:space="0"/>
            </w:tcBorders>
            <w:vAlign w:val="center"/>
          </w:tcPr>
          <w:p w14:paraId="2C1A251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nil"/>
              <w:bottom w:val="single" w:color="auto" w:sz="4" w:space="0"/>
              <w:right w:val="single" w:color="auto" w:sz="4" w:space="0"/>
            </w:tcBorders>
            <w:vAlign w:val="center"/>
          </w:tcPr>
          <w:p w14:paraId="020D452A">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nil"/>
              <w:left w:val="single" w:color="auto" w:sz="4" w:space="0"/>
              <w:bottom w:val="single" w:color="auto" w:sz="4" w:space="0"/>
              <w:right w:val="single" w:color="auto" w:sz="4" w:space="0"/>
            </w:tcBorders>
            <w:vAlign w:val="center"/>
          </w:tcPr>
          <w:p w14:paraId="5223080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150</w:t>
            </w:r>
          </w:p>
        </w:tc>
      </w:tr>
      <w:tr w14:paraId="47151349">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40E92FC0">
            <w:pPr>
              <w:widowControl/>
              <w:autoSpaceDE/>
              <w:autoSpaceDN/>
              <w:adjustRightInd/>
              <w:spacing w:line="360" w:lineRule="auto"/>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4.2</w:t>
            </w:r>
          </w:p>
        </w:tc>
        <w:tc>
          <w:tcPr>
            <w:tcW w:w="2147" w:type="dxa"/>
            <w:tcBorders>
              <w:top w:val="nil"/>
              <w:left w:val="nil"/>
              <w:bottom w:val="single" w:color="auto" w:sz="4" w:space="0"/>
              <w:right w:val="single" w:color="auto" w:sz="4" w:space="0"/>
            </w:tcBorders>
            <w:vAlign w:val="center"/>
          </w:tcPr>
          <w:p w14:paraId="4CD99DA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工程总承包专项费</w:t>
            </w:r>
          </w:p>
        </w:tc>
        <w:tc>
          <w:tcPr>
            <w:tcW w:w="803" w:type="dxa"/>
            <w:tcBorders>
              <w:top w:val="nil"/>
              <w:left w:val="nil"/>
              <w:bottom w:val="single" w:color="auto" w:sz="4" w:space="0"/>
              <w:right w:val="single" w:color="auto" w:sz="4" w:space="0"/>
            </w:tcBorders>
            <w:vAlign w:val="center"/>
          </w:tcPr>
          <w:p w14:paraId="5383209C">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8.9%</w:t>
            </w:r>
          </w:p>
        </w:tc>
        <w:tc>
          <w:tcPr>
            <w:tcW w:w="815" w:type="dxa"/>
            <w:tcBorders>
              <w:top w:val="nil"/>
              <w:left w:val="nil"/>
              <w:bottom w:val="single" w:color="auto" w:sz="4" w:space="0"/>
              <w:right w:val="nil"/>
            </w:tcBorders>
            <w:vAlign w:val="center"/>
          </w:tcPr>
          <w:p w14:paraId="6886D8EF">
            <w:pPr>
              <w:widowControl/>
              <w:autoSpaceDE/>
              <w:autoSpaceDN/>
              <w:adjustRightInd/>
              <w:spacing w:line="360" w:lineRule="auto"/>
              <w:jc w:val="right"/>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890</w:t>
            </w:r>
          </w:p>
        </w:tc>
        <w:tc>
          <w:tcPr>
            <w:tcW w:w="748" w:type="dxa"/>
            <w:tcBorders>
              <w:top w:val="single" w:color="auto" w:sz="4" w:space="0"/>
              <w:left w:val="single" w:color="auto" w:sz="4" w:space="0"/>
              <w:bottom w:val="single" w:color="auto" w:sz="4" w:space="0"/>
              <w:right w:val="single" w:color="000000" w:sz="4" w:space="0"/>
            </w:tcBorders>
            <w:vAlign w:val="center"/>
          </w:tcPr>
          <w:p w14:paraId="183D47FB">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01FF2508">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343C43E7">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0705BDE7">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02530E41">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47568417">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5D16543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3CA9244F">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3FE2C73C">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7A022F25">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40D7A34A">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2BA029AC">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3A6B7284">
            <w:pPr>
              <w:widowControl/>
              <w:autoSpaceDE/>
              <w:autoSpaceDN/>
              <w:adjustRightInd/>
              <w:spacing w:line="360" w:lineRule="auto"/>
              <w:jc w:val="center"/>
              <w:outlineLvl w:val="0"/>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r>
      <w:tr w14:paraId="26B573F0">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0E91AF7D">
            <w:pPr>
              <w:widowControl/>
              <w:autoSpaceDE/>
              <w:autoSpaceDN/>
              <w:adjustRightInd/>
              <w:spacing w:line="360" w:lineRule="auto"/>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4.2.1</w:t>
            </w:r>
          </w:p>
        </w:tc>
        <w:tc>
          <w:tcPr>
            <w:tcW w:w="2147" w:type="dxa"/>
            <w:tcBorders>
              <w:top w:val="nil"/>
              <w:left w:val="nil"/>
              <w:bottom w:val="single" w:color="auto" w:sz="4" w:space="0"/>
              <w:right w:val="single" w:color="auto" w:sz="4" w:space="0"/>
            </w:tcBorders>
            <w:vAlign w:val="center"/>
          </w:tcPr>
          <w:p w14:paraId="06060B55">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工程保险费</w:t>
            </w:r>
          </w:p>
        </w:tc>
        <w:tc>
          <w:tcPr>
            <w:tcW w:w="803" w:type="dxa"/>
            <w:tcBorders>
              <w:top w:val="nil"/>
              <w:left w:val="nil"/>
              <w:bottom w:val="single" w:color="auto" w:sz="4" w:space="0"/>
              <w:right w:val="single" w:color="auto" w:sz="4" w:space="0"/>
            </w:tcBorders>
            <w:vAlign w:val="center"/>
          </w:tcPr>
          <w:p w14:paraId="30ED62D8">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0.2%</w:t>
            </w:r>
          </w:p>
        </w:tc>
        <w:tc>
          <w:tcPr>
            <w:tcW w:w="815" w:type="dxa"/>
            <w:tcBorders>
              <w:top w:val="nil"/>
              <w:left w:val="nil"/>
              <w:bottom w:val="single" w:color="auto" w:sz="4" w:space="0"/>
              <w:right w:val="nil"/>
            </w:tcBorders>
            <w:vAlign w:val="center"/>
          </w:tcPr>
          <w:p w14:paraId="1DF5BD55">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20</w:t>
            </w:r>
          </w:p>
        </w:tc>
        <w:tc>
          <w:tcPr>
            <w:tcW w:w="748" w:type="dxa"/>
            <w:tcBorders>
              <w:top w:val="single" w:color="auto" w:sz="4" w:space="0"/>
              <w:left w:val="single" w:color="auto" w:sz="4" w:space="0"/>
              <w:bottom w:val="single" w:color="auto" w:sz="4" w:space="0"/>
              <w:right w:val="single" w:color="000000" w:sz="4" w:space="0"/>
            </w:tcBorders>
            <w:vAlign w:val="center"/>
          </w:tcPr>
          <w:p w14:paraId="776D1694">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776" w:type="dxa"/>
            <w:tcBorders>
              <w:top w:val="single" w:color="auto" w:sz="4" w:space="0"/>
              <w:left w:val="nil"/>
              <w:bottom w:val="single" w:color="auto" w:sz="4" w:space="0"/>
              <w:right w:val="single" w:color="000000" w:sz="4" w:space="0"/>
            </w:tcBorders>
            <w:vAlign w:val="center"/>
          </w:tcPr>
          <w:p w14:paraId="2F082E84">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67ED5671">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171A1AC0">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5F80E83A">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6F59E6EA">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66FC83C9">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00589BB4">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259E829">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2E2C4756">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73B97951">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1007" w:type="dxa"/>
            <w:tcBorders>
              <w:top w:val="single" w:color="auto" w:sz="4" w:space="0"/>
              <w:left w:val="nil"/>
              <w:bottom w:val="single" w:color="auto" w:sz="4" w:space="0"/>
              <w:right w:val="nil"/>
            </w:tcBorders>
            <w:vAlign w:val="center"/>
          </w:tcPr>
          <w:p w14:paraId="2D7018C8">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407369FA">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20</w:t>
            </w:r>
          </w:p>
        </w:tc>
      </w:tr>
      <w:tr w14:paraId="60D57A64">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1A2D890B">
            <w:pPr>
              <w:widowControl/>
              <w:autoSpaceDE/>
              <w:autoSpaceDN/>
              <w:adjustRightInd/>
              <w:spacing w:line="360" w:lineRule="auto"/>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4.2.2</w:t>
            </w:r>
          </w:p>
        </w:tc>
        <w:tc>
          <w:tcPr>
            <w:tcW w:w="2147" w:type="dxa"/>
            <w:tcBorders>
              <w:top w:val="nil"/>
              <w:left w:val="nil"/>
              <w:bottom w:val="single" w:color="auto" w:sz="4" w:space="0"/>
              <w:right w:val="single" w:color="auto" w:sz="4" w:space="0"/>
            </w:tcBorders>
            <w:vAlign w:val="center"/>
          </w:tcPr>
          <w:p w14:paraId="5FEF3014">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场地准备及临时设施费</w:t>
            </w:r>
          </w:p>
        </w:tc>
        <w:tc>
          <w:tcPr>
            <w:tcW w:w="803" w:type="dxa"/>
            <w:tcBorders>
              <w:top w:val="nil"/>
              <w:left w:val="nil"/>
              <w:bottom w:val="single" w:color="auto" w:sz="4" w:space="0"/>
              <w:right w:val="single" w:color="auto" w:sz="4" w:space="0"/>
            </w:tcBorders>
            <w:vAlign w:val="center"/>
          </w:tcPr>
          <w:p w14:paraId="76145B3C">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2.0%</w:t>
            </w:r>
          </w:p>
        </w:tc>
        <w:tc>
          <w:tcPr>
            <w:tcW w:w="815" w:type="dxa"/>
            <w:tcBorders>
              <w:top w:val="nil"/>
              <w:left w:val="nil"/>
              <w:bottom w:val="single" w:color="auto" w:sz="4" w:space="0"/>
              <w:right w:val="nil"/>
            </w:tcBorders>
            <w:vAlign w:val="center"/>
          </w:tcPr>
          <w:p w14:paraId="05FD0330">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200</w:t>
            </w:r>
          </w:p>
        </w:tc>
        <w:tc>
          <w:tcPr>
            <w:tcW w:w="748" w:type="dxa"/>
            <w:tcBorders>
              <w:top w:val="single" w:color="auto" w:sz="4" w:space="0"/>
              <w:left w:val="single" w:color="auto" w:sz="4" w:space="0"/>
              <w:bottom w:val="single" w:color="auto" w:sz="4" w:space="0"/>
              <w:right w:val="single" w:color="000000" w:sz="4" w:space="0"/>
            </w:tcBorders>
            <w:vAlign w:val="center"/>
          </w:tcPr>
          <w:p w14:paraId="566FFB9D">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76" w:type="dxa"/>
            <w:tcBorders>
              <w:top w:val="single" w:color="auto" w:sz="4" w:space="0"/>
              <w:left w:val="nil"/>
              <w:bottom w:val="single" w:color="auto" w:sz="4" w:space="0"/>
              <w:right w:val="single" w:color="000000" w:sz="4" w:space="0"/>
            </w:tcBorders>
            <w:vAlign w:val="center"/>
          </w:tcPr>
          <w:p w14:paraId="21149233">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94" w:type="dxa"/>
            <w:tcBorders>
              <w:top w:val="single" w:color="auto" w:sz="4" w:space="0"/>
              <w:left w:val="nil"/>
              <w:bottom w:val="single" w:color="auto" w:sz="4" w:space="0"/>
              <w:right w:val="single" w:color="000000" w:sz="4" w:space="0"/>
            </w:tcBorders>
            <w:vAlign w:val="center"/>
          </w:tcPr>
          <w:p w14:paraId="2D39720A">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0FD8B65D">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07D8C144">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217AF904">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05AFC17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429E59E9">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4FEC0B65">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2D7E1409">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58D357CA">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1007" w:type="dxa"/>
            <w:tcBorders>
              <w:top w:val="single" w:color="auto" w:sz="4" w:space="0"/>
              <w:left w:val="nil"/>
              <w:bottom w:val="single" w:color="auto" w:sz="4" w:space="0"/>
              <w:right w:val="nil"/>
            </w:tcBorders>
            <w:vAlign w:val="center"/>
          </w:tcPr>
          <w:p w14:paraId="3EDBB4E7">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0DB7D790">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200</w:t>
            </w:r>
          </w:p>
        </w:tc>
      </w:tr>
      <w:tr w14:paraId="189A1B11">
        <w:tblPrEx>
          <w:tblCellMar>
            <w:top w:w="0" w:type="dxa"/>
            <w:left w:w="108" w:type="dxa"/>
            <w:bottom w:w="0" w:type="dxa"/>
            <w:right w:w="108" w:type="dxa"/>
          </w:tblCellMar>
        </w:tblPrEx>
        <w:trPr>
          <w:trHeight w:val="480" w:hRule="atLeast"/>
        </w:trPr>
        <w:tc>
          <w:tcPr>
            <w:tcW w:w="750" w:type="dxa"/>
            <w:tcBorders>
              <w:top w:val="single" w:color="auto" w:sz="4" w:space="0"/>
              <w:left w:val="single" w:color="auto" w:sz="4" w:space="0"/>
              <w:bottom w:val="single" w:color="auto" w:sz="4" w:space="0"/>
              <w:right w:val="single" w:color="auto" w:sz="4" w:space="0"/>
            </w:tcBorders>
            <w:vAlign w:val="center"/>
          </w:tcPr>
          <w:p w14:paraId="78C52850">
            <w:pPr>
              <w:widowControl/>
              <w:autoSpaceDE/>
              <w:autoSpaceDN/>
              <w:adjustRightInd/>
              <w:spacing w:line="360" w:lineRule="auto"/>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4.2.3</w:t>
            </w:r>
          </w:p>
        </w:tc>
        <w:tc>
          <w:tcPr>
            <w:tcW w:w="2147" w:type="dxa"/>
            <w:tcBorders>
              <w:top w:val="single" w:color="auto" w:sz="4" w:space="0"/>
              <w:left w:val="single" w:color="auto" w:sz="4" w:space="0"/>
              <w:bottom w:val="single" w:color="auto" w:sz="4" w:space="0"/>
              <w:right w:val="single" w:color="auto" w:sz="4" w:space="0"/>
            </w:tcBorders>
            <w:vAlign w:val="center"/>
          </w:tcPr>
          <w:p w14:paraId="3EA88B09">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BIM技术应用费</w:t>
            </w:r>
          </w:p>
        </w:tc>
        <w:tc>
          <w:tcPr>
            <w:tcW w:w="803" w:type="dxa"/>
            <w:tcBorders>
              <w:top w:val="single" w:color="auto" w:sz="4" w:space="0"/>
              <w:left w:val="single" w:color="auto" w:sz="4" w:space="0"/>
              <w:bottom w:val="single" w:color="auto" w:sz="4" w:space="0"/>
              <w:right w:val="single" w:color="auto" w:sz="4" w:space="0"/>
            </w:tcBorders>
            <w:vAlign w:val="center"/>
          </w:tcPr>
          <w:p w14:paraId="62EAA96A">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0.2%</w:t>
            </w:r>
          </w:p>
        </w:tc>
        <w:tc>
          <w:tcPr>
            <w:tcW w:w="815" w:type="dxa"/>
            <w:tcBorders>
              <w:top w:val="single" w:color="auto" w:sz="4" w:space="0"/>
              <w:left w:val="single" w:color="auto" w:sz="4" w:space="0"/>
              <w:bottom w:val="single" w:color="auto" w:sz="4" w:space="0"/>
              <w:right w:val="single" w:color="auto" w:sz="4" w:space="0"/>
            </w:tcBorders>
            <w:vAlign w:val="center"/>
          </w:tcPr>
          <w:p w14:paraId="5F723CD8">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20</w:t>
            </w:r>
          </w:p>
        </w:tc>
        <w:tc>
          <w:tcPr>
            <w:tcW w:w="7702" w:type="dxa"/>
            <w:gridSpan w:val="10"/>
            <w:tcBorders>
              <w:top w:val="single" w:color="auto" w:sz="4" w:space="0"/>
              <w:left w:val="single" w:color="auto" w:sz="4" w:space="0"/>
              <w:bottom w:val="single" w:color="auto" w:sz="4" w:space="0"/>
              <w:right w:val="single" w:color="auto" w:sz="4" w:space="0"/>
            </w:tcBorders>
            <w:vAlign w:val="center"/>
          </w:tcPr>
          <w:p w14:paraId="3C95158B">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X/计划工期均分</w:t>
            </w:r>
          </w:p>
        </w:tc>
        <w:tc>
          <w:tcPr>
            <w:tcW w:w="766" w:type="dxa"/>
            <w:tcBorders>
              <w:top w:val="single" w:color="auto" w:sz="4" w:space="0"/>
              <w:left w:val="single" w:color="auto" w:sz="4" w:space="0"/>
              <w:bottom w:val="single" w:color="auto" w:sz="4" w:space="0"/>
              <w:right w:val="single" w:color="auto" w:sz="4" w:space="0"/>
            </w:tcBorders>
            <w:vAlign w:val="center"/>
          </w:tcPr>
          <w:p w14:paraId="3E683EA0">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X</w:t>
            </w:r>
          </w:p>
        </w:tc>
        <w:tc>
          <w:tcPr>
            <w:tcW w:w="1007" w:type="dxa"/>
            <w:tcBorders>
              <w:top w:val="single" w:color="auto" w:sz="4" w:space="0"/>
              <w:left w:val="single" w:color="auto" w:sz="4" w:space="0"/>
              <w:bottom w:val="single" w:color="auto" w:sz="4" w:space="0"/>
              <w:right w:val="single" w:color="auto" w:sz="4" w:space="0"/>
            </w:tcBorders>
            <w:vAlign w:val="center"/>
          </w:tcPr>
          <w:p w14:paraId="403764C1">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1-X</w:t>
            </w:r>
          </w:p>
        </w:tc>
        <w:tc>
          <w:tcPr>
            <w:tcW w:w="814" w:type="dxa"/>
            <w:tcBorders>
              <w:top w:val="single" w:color="auto" w:sz="4" w:space="0"/>
              <w:left w:val="single" w:color="auto" w:sz="4" w:space="0"/>
              <w:bottom w:val="single" w:color="auto" w:sz="4" w:space="0"/>
              <w:right w:val="single" w:color="auto" w:sz="4" w:space="0"/>
            </w:tcBorders>
            <w:vAlign w:val="center"/>
          </w:tcPr>
          <w:p w14:paraId="282117C8">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20</w:t>
            </w:r>
          </w:p>
        </w:tc>
      </w:tr>
      <w:tr w14:paraId="4F09FEC3">
        <w:tblPrEx>
          <w:tblCellMar>
            <w:top w:w="0" w:type="dxa"/>
            <w:left w:w="108" w:type="dxa"/>
            <w:bottom w:w="0" w:type="dxa"/>
            <w:right w:w="108" w:type="dxa"/>
          </w:tblCellMar>
        </w:tblPrEx>
        <w:trPr>
          <w:trHeight w:val="480" w:hRule="atLeast"/>
        </w:trPr>
        <w:tc>
          <w:tcPr>
            <w:tcW w:w="750" w:type="dxa"/>
            <w:tcBorders>
              <w:top w:val="single" w:color="auto" w:sz="4" w:space="0"/>
              <w:left w:val="single" w:color="auto" w:sz="4" w:space="0"/>
              <w:bottom w:val="single" w:color="auto" w:sz="4" w:space="0"/>
              <w:right w:val="single" w:color="auto" w:sz="4" w:space="0"/>
            </w:tcBorders>
            <w:vAlign w:val="center"/>
          </w:tcPr>
          <w:p w14:paraId="6B0D129F">
            <w:pPr>
              <w:widowControl/>
              <w:autoSpaceDE/>
              <w:autoSpaceDN/>
              <w:adjustRightInd/>
              <w:spacing w:line="360" w:lineRule="auto"/>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4.2.4</w:t>
            </w:r>
          </w:p>
        </w:tc>
        <w:tc>
          <w:tcPr>
            <w:tcW w:w="2147" w:type="dxa"/>
            <w:tcBorders>
              <w:top w:val="single" w:color="auto" w:sz="4" w:space="0"/>
              <w:left w:val="nil"/>
              <w:bottom w:val="single" w:color="auto" w:sz="4" w:space="0"/>
              <w:right w:val="single" w:color="auto" w:sz="4" w:space="0"/>
            </w:tcBorders>
            <w:vAlign w:val="center"/>
          </w:tcPr>
          <w:p w14:paraId="6F90477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管线迁改费</w:t>
            </w:r>
          </w:p>
        </w:tc>
        <w:tc>
          <w:tcPr>
            <w:tcW w:w="803" w:type="dxa"/>
            <w:tcBorders>
              <w:top w:val="single" w:color="auto" w:sz="4" w:space="0"/>
              <w:left w:val="nil"/>
              <w:bottom w:val="single" w:color="auto" w:sz="4" w:space="0"/>
              <w:right w:val="single" w:color="auto" w:sz="4" w:space="0"/>
            </w:tcBorders>
            <w:vAlign w:val="center"/>
          </w:tcPr>
          <w:p w14:paraId="0D134547">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2.7%</w:t>
            </w:r>
          </w:p>
        </w:tc>
        <w:tc>
          <w:tcPr>
            <w:tcW w:w="815" w:type="dxa"/>
            <w:tcBorders>
              <w:top w:val="single" w:color="auto" w:sz="4" w:space="0"/>
              <w:left w:val="nil"/>
              <w:bottom w:val="single" w:color="auto" w:sz="4" w:space="0"/>
              <w:right w:val="nil"/>
            </w:tcBorders>
            <w:vAlign w:val="center"/>
          </w:tcPr>
          <w:p w14:paraId="3755778E">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270</w:t>
            </w:r>
          </w:p>
        </w:tc>
        <w:tc>
          <w:tcPr>
            <w:tcW w:w="748" w:type="dxa"/>
            <w:tcBorders>
              <w:top w:val="single" w:color="auto" w:sz="4" w:space="0"/>
              <w:left w:val="single" w:color="auto" w:sz="4" w:space="0"/>
              <w:bottom w:val="single" w:color="auto" w:sz="4" w:space="0"/>
              <w:right w:val="single" w:color="000000" w:sz="4" w:space="0"/>
            </w:tcBorders>
            <w:vAlign w:val="center"/>
          </w:tcPr>
          <w:p w14:paraId="64D8565B">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76" w:type="dxa"/>
            <w:tcBorders>
              <w:top w:val="single" w:color="auto" w:sz="4" w:space="0"/>
              <w:left w:val="nil"/>
              <w:bottom w:val="single" w:color="auto" w:sz="4" w:space="0"/>
              <w:right w:val="single" w:color="000000" w:sz="4" w:space="0"/>
            </w:tcBorders>
            <w:vAlign w:val="center"/>
          </w:tcPr>
          <w:p w14:paraId="5A75BDBE">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94" w:type="dxa"/>
            <w:tcBorders>
              <w:top w:val="single" w:color="auto" w:sz="4" w:space="0"/>
              <w:left w:val="nil"/>
              <w:bottom w:val="single" w:color="auto" w:sz="4" w:space="0"/>
              <w:right w:val="single" w:color="000000" w:sz="4" w:space="0"/>
            </w:tcBorders>
            <w:vAlign w:val="center"/>
          </w:tcPr>
          <w:p w14:paraId="71FD164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154DD14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656379D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3447465D">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2D633C45">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530BFEC7">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0E39FEB9">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61EDBE4B">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78AA4133">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1007" w:type="dxa"/>
            <w:tcBorders>
              <w:top w:val="single" w:color="auto" w:sz="4" w:space="0"/>
              <w:left w:val="nil"/>
              <w:bottom w:val="single" w:color="auto" w:sz="4" w:space="0"/>
              <w:right w:val="nil"/>
            </w:tcBorders>
            <w:vAlign w:val="center"/>
          </w:tcPr>
          <w:p w14:paraId="36942854">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single" w:color="auto" w:sz="4" w:space="0"/>
              <w:left w:val="single" w:color="auto" w:sz="4" w:space="0"/>
              <w:bottom w:val="single" w:color="auto" w:sz="4" w:space="0"/>
              <w:right w:val="single" w:color="auto" w:sz="4" w:space="0"/>
            </w:tcBorders>
            <w:vAlign w:val="center"/>
          </w:tcPr>
          <w:p w14:paraId="6CDC0072">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270</w:t>
            </w:r>
          </w:p>
        </w:tc>
      </w:tr>
      <w:tr w14:paraId="149B89FF">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4D7F67AA">
            <w:pPr>
              <w:widowControl/>
              <w:autoSpaceDE/>
              <w:autoSpaceDN/>
              <w:adjustRightInd/>
              <w:spacing w:line="360" w:lineRule="auto"/>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4.2.5</w:t>
            </w:r>
          </w:p>
        </w:tc>
        <w:tc>
          <w:tcPr>
            <w:tcW w:w="2147" w:type="dxa"/>
            <w:tcBorders>
              <w:top w:val="nil"/>
              <w:left w:val="nil"/>
              <w:bottom w:val="single" w:color="auto" w:sz="4" w:space="0"/>
              <w:right w:val="single" w:color="auto" w:sz="4" w:space="0"/>
            </w:tcBorders>
            <w:vAlign w:val="center"/>
          </w:tcPr>
          <w:p w14:paraId="2BB8C305">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苗木迁移费</w:t>
            </w:r>
          </w:p>
        </w:tc>
        <w:tc>
          <w:tcPr>
            <w:tcW w:w="803" w:type="dxa"/>
            <w:tcBorders>
              <w:top w:val="nil"/>
              <w:left w:val="nil"/>
              <w:bottom w:val="single" w:color="auto" w:sz="4" w:space="0"/>
              <w:right w:val="single" w:color="auto" w:sz="4" w:space="0"/>
            </w:tcBorders>
            <w:vAlign w:val="center"/>
          </w:tcPr>
          <w:p w14:paraId="6A1E5D9F">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1.6%</w:t>
            </w:r>
          </w:p>
        </w:tc>
        <w:tc>
          <w:tcPr>
            <w:tcW w:w="815" w:type="dxa"/>
            <w:tcBorders>
              <w:top w:val="nil"/>
              <w:left w:val="nil"/>
              <w:bottom w:val="single" w:color="auto" w:sz="4" w:space="0"/>
              <w:right w:val="nil"/>
            </w:tcBorders>
            <w:vAlign w:val="center"/>
          </w:tcPr>
          <w:p w14:paraId="29FA8F8E">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160</w:t>
            </w:r>
          </w:p>
        </w:tc>
        <w:tc>
          <w:tcPr>
            <w:tcW w:w="748" w:type="dxa"/>
            <w:tcBorders>
              <w:top w:val="single" w:color="auto" w:sz="4" w:space="0"/>
              <w:left w:val="single" w:color="auto" w:sz="4" w:space="0"/>
              <w:bottom w:val="single" w:color="auto" w:sz="4" w:space="0"/>
              <w:right w:val="single" w:color="000000" w:sz="4" w:space="0"/>
            </w:tcBorders>
            <w:vAlign w:val="center"/>
          </w:tcPr>
          <w:p w14:paraId="0C61F88E">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76" w:type="dxa"/>
            <w:tcBorders>
              <w:top w:val="single" w:color="auto" w:sz="4" w:space="0"/>
              <w:left w:val="nil"/>
              <w:bottom w:val="single" w:color="auto" w:sz="4" w:space="0"/>
              <w:right w:val="single" w:color="000000" w:sz="4" w:space="0"/>
            </w:tcBorders>
            <w:vAlign w:val="center"/>
          </w:tcPr>
          <w:p w14:paraId="25891B61">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94" w:type="dxa"/>
            <w:tcBorders>
              <w:top w:val="single" w:color="auto" w:sz="4" w:space="0"/>
              <w:left w:val="nil"/>
              <w:bottom w:val="single" w:color="auto" w:sz="4" w:space="0"/>
              <w:right w:val="single" w:color="000000" w:sz="4" w:space="0"/>
            </w:tcBorders>
            <w:vAlign w:val="center"/>
          </w:tcPr>
          <w:p w14:paraId="17EC3022">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5AFF3E4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0D05E16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35A5B0B8">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30795D6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3B0235F4">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5EDCA82E">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522CE50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1F5BCC43">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1007" w:type="dxa"/>
            <w:tcBorders>
              <w:top w:val="single" w:color="auto" w:sz="4" w:space="0"/>
              <w:left w:val="nil"/>
              <w:bottom w:val="single" w:color="auto" w:sz="4" w:space="0"/>
              <w:right w:val="nil"/>
            </w:tcBorders>
            <w:vAlign w:val="center"/>
          </w:tcPr>
          <w:p w14:paraId="1FB7E415">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6CB5C6E1">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160</w:t>
            </w:r>
          </w:p>
        </w:tc>
      </w:tr>
      <w:tr w14:paraId="51F1BD4F">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2E09B09D">
            <w:pPr>
              <w:widowControl/>
              <w:autoSpaceDE/>
              <w:autoSpaceDN/>
              <w:adjustRightInd/>
              <w:spacing w:line="360" w:lineRule="auto"/>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4.2.6</w:t>
            </w:r>
          </w:p>
        </w:tc>
        <w:tc>
          <w:tcPr>
            <w:tcW w:w="2147" w:type="dxa"/>
            <w:tcBorders>
              <w:top w:val="nil"/>
              <w:left w:val="nil"/>
              <w:bottom w:val="nil"/>
              <w:right w:val="nil"/>
            </w:tcBorders>
            <w:vAlign w:val="center"/>
          </w:tcPr>
          <w:p w14:paraId="44C93A9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联合试运转费</w:t>
            </w:r>
          </w:p>
        </w:tc>
        <w:tc>
          <w:tcPr>
            <w:tcW w:w="803" w:type="dxa"/>
            <w:tcBorders>
              <w:top w:val="nil"/>
              <w:left w:val="single" w:color="auto" w:sz="4" w:space="0"/>
              <w:bottom w:val="single" w:color="auto" w:sz="4" w:space="0"/>
              <w:right w:val="single" w:color="auto" w:sz="4" w:space="0"/>
            </w:tcBorders>
            <w:vAlign w:val="center"/>
          </w:tcPr>
          <w:p w14:paraId="76DAB974">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0.7%</w:t>
            </w:r>
          </w:p>
        </w:tc>
        <w:tc>
          <w:tcPr>
            <w:tcW w:w="815" w:type="dxa"/>
            <w:tcBorders>
              <w:top w:val="nil"/>
              <w:left w:val="nil"/>
              <w:bottom w:val="single" w:color="auto" w:sz="4" w:space="0"/>
              <w:right w:val="nil"/>
            </w:tcBorders>
            <w:vAlign w:val="center"/>
          </w:tcPr>
          <w:p w14:paraId="40099339">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70</w:t>
            </w:r>
          </w:p>
        </w:tc>
        <w:tc>
          <w:tcPr>
            <w:tcW w:w="748" w:type="dxa"/>
            <w:tcBorders>
              <w:top w:val="single" w:color="auto" w:sz="4" w:space="0"/>
              <w:left w:val="single" w:color="auto" w:sz="4" w:space="0"/>
              <w:bottom w:val="single" w:color="auto" w:sz="4" w:space="0"/>
              <w:right w:val="single" w:color="000000" w:sz="4" w:space="0"/>
            </w:tcBorders>
            <w:vAlign w:val="center"/>
          </w:tcPr>
          <w:p w14:paraId="4A61C3C1">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239F98F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3CBCB52B">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2E7F0040">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5939519E">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06FD0759">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340F98DB">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5567D3E3">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0B388C80">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1372C698">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766" w:type="dxa"/>
            <w:tcBorders>
              <w:top w:val="single" w:color="auto" w:sz="4" w:space="0"/>
              <w:left w:val="nil"/>
              <w:bottom w:val="single" w:color="auto" w:sz="4" w:space="0"/>
              <w:right w:val="single" w:color="000000" w:sz="4" w:space="0"/>
            </w:tcBorders>
            <w:vAlign w:val="center"/>
          </w:tcPr>
          <w:p w14:paraId="3539829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1007" w:type="dxa"/>
            <w:tcBorders>
              <w:top w:val="single" w:color="auto" w:sz="4" w:space="0"/>
              <w:left w:val="nil"/>
              <w:bottom w:val="single" w:color="auto" w:sz="4" w:space="0"/>
              <w:right w:val="nil"/>
            </w:tcBorders>
            <w:vAlign w:val="center"/>
          </w:tcPr>
          <w:p w14:paraId="7A54D996">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242C48CE">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70</w:t>
            </w:r>
          </w:p>
        </w:tc>
      </w:tr>
      <w:tr w14:paraId="3D2912C2">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41F85B90">
            <w:pPr>
              <w:widowControl/>
              <w:autoSpaceDE/>
              <w:autoSpaceDN/>
              <w:adjustRightInd/>
              <w:spacing w:line="360" w:lineRule="auto"/>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4.2.7</w:t>
            </w:r>
          </w:p>
        </w:tc>
        <w:tc>
          <w:tcPr>
            <w:tcW w:w="2147" w:type="dxa"/>
            <w:tcBorders>
              <w:top w:val="single" w:color="auto" w:sz="4" w:space="0"/>
              <w:left w:val="nil"/>
              <w:bottom w:val="single" w:color="auto" w:sz="4" w:space="0"/>
              <w:right w:val="single" w:color="auto" w:sz="4" w:space="0"/>
            </w:tcBorders>
            <w:vAlign w:val="center"/>
          </w:tcPr>
          <w:p w14:paraId="6FDD714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引进技术和引进设备其他费</w:t>
            </w:r>
          </w:p>
        </w:tc>
        <w:tc>
          <w:tcPr>
            <w:tcW w:w="803" w:type="dxa"/>
            <w:tcBorders>
              <w:top w:val="nil"/>
              <w:left w:val="nil"/>
              <w:bottom w:val="single" w:color="auto" w:sz="4" w:space="0"/>
              <w:right w:val="single" w:color="auto" w:sz="4" w:space="0"/>
            </w:tcBorders>
            <w:vAlign w:val="center"/>
          </w:tcPr>
          <w:p w14:paraId="1D50E747">
            <w:pPr>
              <w:widowControl/>
              <w:autoSpaceDE/>
              <w:autoSpaceDN/>
              <w:adjustRightInd/>
              <w:spacing w:line="360" w:lineRule="auto"/>
              <w:jc w:val="right"/>
              <w:outlineLvl w:val="2"/>
              <w:rPr>
                <w:rFonts w:hint="eastAsia" w:ascii="宋体" w:hAnsi="宋体" w:cs="宋体"/>
                <w:color w:val="auto"/>
                <w:sz w:val="21"/>
                <w:szCs w:val="21"/>
                <w:highlight w:val="none"/>
              </w:rPr>
            </w:pPr>
          </w:p>
        </w:tc>
        <w:tc>
          <w:tcPr>
            <w:tcW w:w="815" w:type="dxa"/>
            <w:tcBorders>
              <w:top w:val="nil"/>
              <w:left w:val="nil"/>
              <w:bottom w:val="single" w:color="auto" w:sz="4" w:space="0"/>
              <w:right w:val="nil"/>
            </w:tcBorders>
            <w:vAlign w:val="center"/>
          </w:tcPr>
          <w:p w14:paraId="43C540C5">
            <w:pPr>
              <w:widowControl/>
              <w:autoSpaceDE/>
              <w:autoSpaceDN/>
              <w:adjustRightInd/>
              <w:spacing w:line="360" w:lineRule="auto"/>
              <w:jc w:val="right"/>
              <w:outlineLvl w:val="2"/>
              <w:rPr>
                <w:rFonts w:hint="eastAsia" w:ascii="宋体" w:hAnsi="宋体" w:cs="宋体"/>
                <w:color w:val="auto"/>
                <w:sz w:val="21"/>
                <w:szCs w:val="21"/>
                <w:highlight w:val="none"/>
              </w:rPr>
            </w:pPr>
          </w:p>
        </w:tc>
        <w:tc>
          <w:tcPr>
            <w:tcW w:w="748" w:type="dxa"/>
            <w:tcBorders>
              <w:top w:val="single" w:color="auto" w:sz="4" w:space="0"/>
              <w:left w:val="single" w:color="auto" w:sz="4" w:space="0"/>
              <w:bottom w:val="single" w:color="auto" w:sz="4" w:space="0"/>
              <w:right w:val="single" w:color="000000" w:sz="4" w:space="0"/>
            </w:tcBorders>
            <w:vAlign w:val="center"/>
          </w:tcPr>
          <w:p w14:paraId="0152A554">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76" w:type="dxa"/>
            <w:tcBorders>
              <w:top w:val="single" w:color="auto" w:sz="4" w:space="0"/>
              <w:left w:val="nil"/>
              <w:bottom w:val="single" w:color="auto" w:sz="4" w:space="0"/>
              <w:right w:val="single" w:color="000000" w:sz="4" w:space="0"/>
            </w:tcBorders>
            <w:vAlign w:val="center"/>
          </w:tcPr>
          <w:p w14:paraId="5A9D403C">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94" w:type="dxa"/>
            <w:tcBorders>
              <w:top w:val="single" w:color="auto" w:sz="4" w:space="0"/>
              <w:left w:val="nil"/>
              <w:bottom w:val="single" w:color="auto" w:sz="4" w:space="0"/>
              <w:right w:val="single" w:color="000000" w:sz="4" w:space="0"/>
            </w:tcBorders>
            <w:vAlign w:val="center"/>
          </w:tcPr>
          <w:p w14:paraId="5DB62AE4">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96" w:type="dxa"/>
            <w:tcBorders>
              <w:top w:val="single" w:color="auto" w:sz="4" w:space="0"/>
              <w:left w:val="nil"/>
              <w:bottom w:val="single" w:color="auto" w:sz="4" w:space="0"/>
              <w:right w:val="single" w:color="000000" w:sz="4" w:space="0"/>
            </w:tcBorders>
            <w:vAlign w:val="center"/>
          </w:tcPr>
          <w:p w14:paraId="3098641D">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44" w:type="dxa"/>
            <w:tcBorders>
              <w:top w:val="single" w:color="auto" w:sz="4" w:space="0"/>
              <w:left w:val="nil"/>
              <w:bottom w:val="single" w:color="auto" w:sz="4" w:space="0"/>
              <w:right w:val="single" w:color="000000" w:sz="4" w:space="0"/>
            </w:tcBorders>
            <w:vAlign w:val="center"/>
          </w:tcPr>
          <w:p w14:paraId="61458CF7">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97" w:type="dxa"/>
            <w:tcBorders>
              <w:top w:val="single" w:color="auto" w:sz="4" w:space="0"/>
              <w:left w:val="nil"/>
              <w:bottom w:val="single" w:color="auto" w:sz="4" w:space="0"/>
              <w:right w:val="single" w:color="000000" w:sz="4" w:space="0"/>
            </w:tcBorders>
            <w:vAlign w:val="center"/>
          </w:tcPr>
          <w:p w14:paraId="443DD72B">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67" w:type="dxa"/>
            <w:tcBorders>
              <w:top w:val="single" w:color="auto" w:sz="4" w:space="0"/>
              <w:left w:val="nil"/>
              <w:bottom w:val="single" w:color="auto" w:sz="4" w:space="0"/>
              <w:right w:val="single" w:color="000000" w:sz="4" w:space="0"/>
            </w:tcBorders>
            <w:vAlign w:val="center"/>
          </w:tcPr>
          <w:p w14:paraId="137454A1">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58" w:type="dxa"/>
            <w:tcBorders>
              <w:top w:val="single" w:color="auto" w:sz="4" w:space="0"/>
              <w:left w:val="nil"/>
              <w:bottom w:val="single" w:color="auto" w:sz="4" w:space="0"/>
              <w:right w:val="single" w:color="000000" w:sz="4" w:space="0"/>
            </w:tcBorders>
            <w:vAlign w:val="center"/>
          </w:tcPr>
          <w:p w14:paraId="70DF6D51">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76" w:type="dxa"/>
            <w:tcBorders>
              <w:top w:val="single" w:color="auto" w:sz="4" w:space="0"/>
              <w:left w:val="nil"/>
              <w:bottom w:val="single" w:color="auto" w:sz="4" w:space="0"/>
              <w:right w:val="single" w:color="000000" w:sz="4" w:space="0"/>
            </w:tcBorders>
            <w:vAlign w:val="center"/>
          </w:tcPr>
          <w:p w14:paraId="4671AB8B">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46" w:type="dxa"/>
            <w:tcBorders>
              <w:top w:val="single" w:color="auto" w:sz="4" w:space="0"/>
              <w:left w:val="nil"/>
              <w:bottom w:val="single" w:color="auto" w:sz="4" w:space="0"/>
              <w:right w:val="single" w:color="000000" w:sz="4" w:space="0"/>
            </w:tcBorders>
            <w:vAlign w:val="center"/>
          </w:tcPr>
          <w:p w14:paraId="11CEDBB9">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766" w:type="dxa"/>
            <w:tcBorders>
              <w:top w:val="single" w:color="auto" w:sz="4" w:space="0"/>
              <w:left w:val="nil"/>
              <w:bottom w:val="single" w:color="auto" w:sz="4" w:space="0"/>
              <w:right w:val="single" w:color="000000" w:sz="4" w:space="0"/>
            </w:tcBorders>
            <w:vAlign w:val="center"/>
          </w:tcPr>
          <w:p w14:paraId="47D01515">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1007" w:type="dxa"/>
            <w:tcBorders>
              <w:top w:val="single" w:color="auto" w:sz="4" w:space="0"/>
              <w:left w:val="nil"/>
              <w:bottom w:val="single" w:color="auto" w:sz="4" w:space="0"/>
              <w:right w:val="nil"/>
            </w:tcBorders>
            <w:vAlign w:val="center"/>
          </w:tcPr>
          <w:p w14:paraId="14C5AE68">
            <w:pPr>
              <w:widowControl/>
              <w:autoSpaceDE/>
              <w:autoSpaceDN/>
              <w:adjustRightInd/>
              <w:spacing w:line="360" w:lineRule="auto"/>
              <w:jc w:val="center"/>
              <w:outlineLvl w:val="2"/>
              <w:rPr>
                <w:rFonts w:hint="eastAsia" w:ascii="宋体" w:hAnsi="宋体" w:cs="宋体"/>
                <w:color w:val="auto"/>
                <w:sz w:val="21"/>
                <w:szCs w:val="21"/>
                <w:highlight w:val="none"/>
              </w:rPr>
            </w:pPr>
          </w:p>
        </w:tc>
        <w:tc>
          <w:tcPr>
            <w:tcW w:w="814" w:type="dxa"/>
            <w:tcBorders>
              <w:top w:val="nil"/>
              <w:left w:val="single" w:color="auto" w:sz="4" w:space="0"/>
              <w:bottom w:val="single" w:color="auto" w:sz="4" w:space="0"/>
              <w:right w:val="single" w:color="auto" w:sz="4" w:space="0"/>
            </w:tcBorders>
            <w:vAlign w:val="center"/>
          </w:tcPr>
          <w:p w14:paraId="7EC09535">
            <w:pPr>
              <w:widowControl/>
              <w:autoSpaceDE/>
              <w:autoSpaceDN/>
              <w:adjustRightInd/>
              <w:spacing w:line="360" w:lineRule="auto"/>
              <w:jc w:val="center"/>
              <w:outlineLvl w:val="2"/>
              <w:rPr>
                <w:rFonts w:hint="eastAsia" w:ascii="宋体" w:hAnsi="宋体" w:cs="宋体"/>
                <w:color w:val="auto"/>
                <w:sz w:val="21"/>
                <w:szCs w:val="21"/>
                <w:highlight w:val="none"/>
              </w:rPr>
            </w:pPr>
          </w:p>
        </w:tc>
      </w:tr>
      <w:tr w14:paraId="4D529E4E">
        <w:tblPrEx>
          <w:tblCellMar>
            <w:top w:w="0" w:type="dxa"/>
            <w:left w:w="108" w:type="dxa"/>
            <w:bottom w:w="0" w:type="dxa"/>
            <w:right w:w="108" w:type="dxa"/>
          </w:tblCellMar>
        </w:tblPrEx>
        <w:trPr>
          <w:trHeight w:val="831" w:hRule="atLeast"/>
        </w:trPr>
        <w:tc>
          <w:tcPr>
            <w:tcW w:w="750" w:type="dxa"/>
            <w:tcBorders>
              <w:top w:val="nil"/>
              <w:left w:val="single" w:color="auto" w:sz="4" w:space="0"/>
              <w:bottom w:val="single" w:color="auto" w:sz="4" w:space="0"/>
              <w:right w:val="single" w:color="auto" w:sz="4" w:space="0"/>
            </w:tcBorders>
            <w:vAlign w:val="center"/>
          </w:tcPr>
          <w:p w14:paraId="6BC163BB">
            <w:pPr>
              <w:widowControl/>
              <w:autoSpaceDE/>
              <w:autoSpaceDN/>
              <w:adjustRightInd/>
              <w:spacing w:line="360" w:lineRule="auto"/>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4.2.8</w:t>
            </w:r>
          </w:p>
        </w:tc>
        <w:tc>
          <w:tcPr>
            <w:tcW w:w="2147" w:type="dxa"/>
            <w:tcBorders>
              <w:top w:val="nil"/>
              <w:left w:val="nil"/>
              <w:bottom w:val="single" w:color="auto" w:sz="4" w:space="0"/>
              <w:right w:val="single" w:color="auto" w:sz="4" w:space="0"/>
            </w:tcBorders>
            <w:vAlign w:val="center"/>
          </w:tcPr>
          <w:p w14:paraId="751BF32B">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测绘费</w:t>
            </w:r>
          </w:p>
        </w:tc>
        <w:tc>
          <w:tcPr>
            <w:tcW w:w="803" w:type="dxa"/>
            <w:tcBorders>
              <w:top w:val="nil"/>
              <w:left w:val="nil"/>
              <w:bottom w:val="single" w:color="auto" w:sz="4" w:space="0"/>
              <w:right w:val="single" w:color="auto" w:sz="4" w:space="0"/>
            </w:tcBorders>
            <w:vAlign w:val="center"/>
          </w:tcPr>
          <w:p w14:paraId="4C4CAABD">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0.5%　</w:t>
            </w:r>
          </w:p>
        </w:tc>
        <w:tc>
          <w:tcPr>
            <w:tcW w:w="815" w:type="dxa"/>
            <w:tcBorders>
              <w:top w:val="nil"/>
              <w:left w:val="nil"/>
              <w:bottom w:val="single" w:color="auto" w:sz="4" w:space="0"/>
              <w:right w:val="nil"/>
            </w:tcBorders>
            <w:vAlign w:val="center"/>
          </w:tcPr>
          <w:p w14:paraId="343EE0B7">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48" w:type="dxa"/>
            <w:tcBorders>
              <w:top w:val="single" w:color="auto" w:sz="4" w:space="0"/>
              <w:left w:val="single" w:color="auto" w:sz="4" w:space="0"/>
              <w:bottom w:val="single" w:color="auto" w:sz="4" w:space="0"/>
              <w:right w:val="single" w:color="000000" w:sz="4" w:space="0"/>
            </w:tcBorders>
            <w:vAlign w:val="center"/>
          </w:tcPr>
          <w:p w14:paraId="6B3F8DF7">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0036337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3A623EDE">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6612992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728B22FE">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5ECA6DB2">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16DF3695">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0C3DC1B5">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383CEC7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14491F93">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766" w:type="dxa"/>
            <w:tcBorders>
              <w:top w:val="single" w:color="auto" w:sz="4" w:space="0"/>
              <w:left w:val="nil"/>
              <w:bottom w:val="single" w:color="auto" w:sz="4" w:space="0"/>
              <w:right w:val="single" w:color="000000" w:sz="4" w:space="0"/>
            </w:tcBorders>
            <w:vAlign w:val="center"/>
          </w:tcPr>
          <w:p w14:paraId="544D0BAA">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1007" w:type="dxa"/>
            <w:tcBorders>
              <w:top w:val="single" w:color="auto" w:sz="4" w:space="0"/>
              <w:left w:val="nil"/>
              <w:bottom w:val="single" w:color="auto" w:sz="4" w:space="0"/>
              <w:right w:val="nil"/>
            </w:tcBorders>
            <w:vAlign w:val="center"/>
          </w:tcPr>
          <w:p w14:paraId="2AC55A9E">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70321B6A">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r>
      <w:tr w14:paraId="561A73A0">
        <w:tblPrEx>
          <w:tblCellMar>
            <w:top w:w="0" w:type="dxa"/>
            <w:left w:w="108" w:type="dxa"/>
            <w:bottom w:w="0" w:type="dxa"/>
            <w:right w:w="108" w:type="dxa"/>
          </w:tblCellMar>
        </w:tblPrEx>
        <w:trPr>
          <w:trHeight w:val="480" w:hRule="atLeast"/>
        </w:trPr>
        <w:tc>
          <w:tcPr>
            <w:tcW w:w="750" w:type="dxa"/>
            <w:tcBorders>
              <w:top w:val="nil"/>
              <w:left w:val="single" w:color="auto" w:sz="4" w:space="0"/>
              <w:bottom w:val="single" w:color="auto" w:sz="4" w:space="0"/>
              <w:right w:val="single" w:color="auto" w:sz="4" w:space="0"/>
            </w:tcBorders>
            <w:vAlign w:val="center"/>
          </w:tcPr>
          <w:p w14:paraId="758FE648">
            <w:pPr>
              <w:widowControl/>
              <w:autoSpaceDE/>
              <w:autoSpaceDN/>
              <w:adjustRightInd/>
              <w:spacing w:line="360" w:lineRule="auto"/>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4.2.9</w:t>
            </w:r>
          </w:p>
        </w:tc>
        <w:tc>
          <w:tcPr>
            <w:tcW w:w="2147" w:type="dxa"/>
            <w:tcBorders>
              <w:top w:val="nil"/>
              <w:left w:val="nil"/>
              <w:bottom w:val="single" w:color="auto" w:sz="4" w:space="0"/>
              <w:right w:val="single" w:color="auto" w:sz="4" w:space="0"/>
            </w:tcBorders>
            <w:vAlign w:val="center"/>
          </w:tcPr>
          <w:p w14:paraId="2C825118">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专利及专有技术使用费</w:t>
            </w:r>
          </w:p>
        </w:tc>
        <w:tc>
          <w:tcPr>
            <w:tcW w:w="803" w:type="dxa"/>
            <w:tcBorders>
              <w:top w:val="nil"/>
              <w:left w:val="nil"/>
              <w:bottom w:val="single" w:color="auto" w:sz="4" w:space="0"/>
              <w:right w:val="single" w:color="auto" w:sz="4" w:space="0"/>
            </w:tcBorders>
            <w:vAlign w:val="center"/>
          </w:tcPr>
          <w:p w14:paraId="1E6DBFCA">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w:t>
            </w:r>
          </w:p>
        </w:tc>
        <w:tc>
          <w:tcPr>
            <w:tcW w:w="815" w:type="dxa"/>
            <w:tcBorders>
              <w:top w:val="nil"/>
              <w:left w:val="nil"/>
              <w:bottom w:val="single" w:color="auto" w:sz="4" w:space="0"/>
              <w:right w:val="nil"/>
            </w:tcBorders>
            <w:vAlign w:val="center"/>
          </w:tcPr>
          <w:p w14:paraId="73637974">
            <w:pPr>
              <w:widowControl/>
              <w:autoSpaceDE/>
              <w:autoSpaceDN/>
              <w:adjustRightInd/>
              <w:spacing w:line="360" w:lineRule="auto"/>
              <w:jc w:val="right"/>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748" w:type="dxa"/>
            <w:tcBorders>
              <w:top w:val="single" w:color="auto" w:sz="4" w:space="0"/>
              <w:left w:val="single" w:color="auto" w:sz="4" w:space="0"/>
              <w:bottom w:val="single" w:color="auto" w:sz="4" w:space="0"/>
              <w:right w:val="single" w:color="000000" w:sz="4" w:space="0"/>
            </w:tcBorders>
            <w:vAlign w:val="center"/>
          </w:tcPr>
          <w:p w14:paraId="4A374582">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45727B7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94" w:type="dxa"/>
            <w:tcBorders>
              <w:top w:val="single" w:color="auto" w:sz="4" w:space="0"/>
              <w:left w:val="nil"/>
              <w:bottom w:val="single" w:color="auto" w:sz="4" w:space="0"/>
              <w:right w:val="single" w:color="000000" w:sz="4" w:space="0"/>
            </w:tcBorders>
            <w:vAlign w:val="center"/>
          </w:tcPr>
          <w:p w14:paraId="53F886D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005A89F5">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2C6B1BED">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241B151D">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50%</w:t>
            </w:r>
          </w:p>
        </w:tc>
        <w:tc>
          <w:tcPr>
            <w:tcW w:w="767" w:type="dxa"/>
            <w:tcBorders>
              <w:top w:val="single" w:color="auto" w:sz="4" w:space="0"/>
              <w:left w:val="nil"/>
              <w:bottom w:val="single" w:color="auto" w:sz="4" w:space="0"/>
              <w:right w:val="single" w:color="000000" w:sz="4" w:space="0"/>
            </w:tcBorders>
            <w:vAlign w:val="center"/>
          </w:tcPr>
          <w:p w14:paraId="3E05BC5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7D18633F">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2BA466D1">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5D092E60">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4444F988">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c>
          <w:tcPr>
            <w:tcW w:w="1007" w:type="dxa"/>
            <w:tcBorders>
              <w:top w:val="single" w:color="auto" w:sz="4" w:space="0"/>
              <w:left w:val="nil"/>
              <w:bottom w:val="single" w:color="auto" w:sz="4" w:space="0"/>
              <w:right w:val="nil"/>
            </w:tcBorders>
            <w:vAlign w:val="center"/>
          </w:tcPr>
          <w:p w14:paraId="2525BC63">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33B8DD9C">
            <w:pPr>
              <w:widowControl/>
              <w:autoSpaceDE/>
              <w:autoSpaceDN/>
              <w:adjustRightInd/>
              <w:spacing w:line="360" w:lineRule="auto"/>
              <w:jc w:val="center"/>
              <w:outlineLvl w:val="2"/>
              <w:rPr>
                <w:rFonts w:hint="eastAsia" w:ascii="宋体" w:hAnsi="宋体" w:cs="宋体"/>
                <w:color w:val="auto"/>
                <w:sz w:val="21"/>
                <w:szCs w:val="21"/>
                <w:highlight w:val="none"/>
              </w:rPr>
            </w:pPr>
            <w:r>
              <w:rPr>
                <w:rFonts w:hint="eastAsia" w:ascii="宋体" w:hAnsi="宋体" w:cs="宋体"/>
                <w:color w:val="auto"/>
                <w:sz w:val="21"/>
                <w:szCs w:val="21"/>
                <w:highlight w:val="none"/>
              </w:rPr>
              <w:t>100</w:t>
            </w:r>
          </w:p>
        </w:tc>
      </w:tr>
      <w:tr w14:paraId="1C7C174C">
        <w:tblPrEx>
          <w:tblCellMar>
            <w:top w:w="0" w:type="dxa"/>
            <w:left w:w="108" w:type="dxa"/>
            <w:bottom w:w="0" w:type="dxa"/>
            <w:right w:w="108" w:type="dxa"/>
          </w:tblCellMar>
        </w:tblPrEx>
        <w:trPr>
          <w:trHeight w:val="621" w:hRule="atLeast"/>
        </w:trPr>
        <w:tc>
          <w:tcPr>
            <w:tcW w:w="750" w:type="dxa"/>
            <w:tcBorders>
              <w:top w:val="nil"/>
              <w:left w:val="single" w:color="auto" w:sz="4" w:space="0"/>
              <w:bottom w:val="single" w:color="auto" w:sz="4" w:space="0"/>
              <w:right w:val="single" w:color="auto" w:sz="4" w:space="0"/>
            </w:tcBorders>
            <w:vAlign w:val="center"/>
          </w:tcPr>
          <w:p w14:paraId="4FD2A5AE">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5</w:t>
            </w:r>
          </w:p>
        </w:tc>
        <w:tc>
          <w:tcPr>
            <w:tcW w:w="2147" w:type="dxa"/>
            <w:tcBorders>
              <w:top w:val="nil"/>
              <w:left w:val="nil"/>
              <w:bottom w:val="single" w:color="auto" w:sz="4" w:space="0"/>
              <w:right w:val="single" w:color="auto" w:sz="4" w:space="0"/>
            </w:tcBorders>
            <w:vAlign w:val="center"/>
          </w:tcPr>
          <w:p w14:paraId="5F2AD4E8">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总价</w:t>
            </w:r>
          </w:p>
        </w:tc>
        <w:tc>
          <w:tcPr>
            <w:tcW w:w="803" w:type="dxa"/>
            <w:tcBorders>
              <w:top w:val="nil"/>
              <w:left w:val="nil"/>
              <w:bottom w:val="single" w:color="auto" w:sz="4" w:space="0"/>
              <w:right w:val="single" w:color="auto" w:sz="4" w:space="0"/>
            </w:tcBorders>
            <w:vAlign w:val="center"/>
          </w:tcPr>
          <w:p w14:paraId="0936BA2D">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100.0%</w:t>
            </w:r>
          </w:p>
        </w:tc>
        <w:tc>
          <w:tcPr>
            <w:tcW w:w="815" w:type="dxa"/>
            <w:tcBorders>
              <w:top w:val="nil"/>
              <w:left w:val="nil"/>
              <w:bottom w:val="single" w:color="auto" w:sz="4" w:space="0"/>
              <w:right w:val="nil"/>
            </w:tcBorders>
            <w:vAlign w:val="center"/>
          </w:tcPr>
          <w:p w14:paraId="1391076C">
            <w:pPr>
              <w:widowControl/>
              <w:autoSpaceDE/>
              <w:autoSpaceDN/>
              <w:adjustRightInd/>
              <w:spacing w:line="360" w:lineRule="auto"/>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∑=合同价</w:t>
            </w:r>
          </w:p>
        </w:tc>
        <w:tc>
          <w:tcPr>
            <w:tcW w:w="748" w:type="dxa"/>
            <w:tcBorders>
              <w:top w:val="single" w:color="auto" w:sz="4" w:space="0"/>
              <w:left w:val="single" w:color="auto" w:sz="4" w:space="0"/>
              <w:bottom w:val="single" w:color="auto" w:sz="4" w:space="0"/>
              <w:right w:val="single" w:color="000000" w:sz="4" w:space="0"/>
            </w:tcBorders>
            <w:vAlign w:val="center"/>
          </w:tcPr>
          <w:p w14:paraId="3DD6811E">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69242F4B">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4" w:type="dxa"/>
            <w:tcBorders>
              <w:top w:val="single" w:color="auto" w:sz="4" w:space="0"/>
              <w:left w:val="nil"/>
              <w:bottom w:val="single" w:color="auto" w:sz="4" w:space="0"/>
              <w:right w:val="single" w:color="000000" w:sz="4" w:space="0"/>
            </w:tcBorders>
            <w:vAlign w:val="center"/>
          </w:tcPr>
          <w:p w14:paraId="2C37307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6" w:type="dxa"/>
            <w:tcBorders>
              <w:top w:val="single" w:color="auto" w:sz="4" w:space="0"/>
              <w:left w:val="nil"/>
              <w:bottom w:val="single" w:color="auto" w:sz="4" w:space="0"/>
              <w:right w:val="single" w:color="000000" w:sz="4" w:space="0"/>
            </w:tcBorders>
            <w:vAlign w:val="center"/>
          </w:tcPr>
          <w:p w14:paraId="5C4AB4AC">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4" w:type="dxa"/>
            <w:tcBorders>
              <w:top w:val="single" w:color="auto" w:sz="4" w:space="0"/>
              <w:left w:val="nil"/>
              <w:bottom w:val="single" w:color="auto" w:sz="4" w:space="0"/>
              <w:right w:val="single" w:color="000000" w:sz="4" w:space="0"/>
            </w:tcBorders>
            <w:vAlign w:val="center"/>
          </w:tcPr>
          <w:p w14:paraId="3901FEDB">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97" w:type="dxa"/>
            <w:tcBorders>
              <w:top w:val="single" w:color="auto" w:sz="4" w:space="0"/>
              <w:left w:val="nil"/>
              <w:bottom w:val="single" w:color="auto" w:sz="4" w:space="0"/>
              <w:right w:val="single" w:color="000000" w:sz="4" w:space="0"/>
            </w:tcBorders>
            <w:vAlign w:val="center"/>
          </w:tcPr>
          <w:p w14:paraId="1C9ADF44">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7" w:type="dxa"/>
            <w:tcBorders>
              <w:top w:val="single" w:color="auto" w:sz="4" w:space="0"/>
              <w:left w:val="nil"/>
              <w:bottom w:val="single" w:color="auto" w:sz="4" w:space="0"/>
              <w:right w:val="single" w:color="000000" w:sz="4" w:space="0"/>
            </w:tcBorders>
            <w:vAlign w:val="center"/>
          </w:tcPr>
          <w:p w14:paraId="7C740705">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58" w:type="dxa"/>
            <w:tcBorders>
              <w:top w:val="single" w:color="auto" w:sz="4" w:space="0"/>
              <w:left w:val="nil"/>
              <w:bottom w:val="single" w:color="auto" w:sz="4" w:space="0"/>
              <w:right w:val="single" w:color="000000" w:sz="4" w:space="0"/>
            </w:tcBorders>
            <w:vAlign w:val="center"/>
          </w:tcPr>
          <w:p w14:paraId="0A3E4A6C">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76" w:type="dxa"/>
            <w:tcBorders>
              <w:top w:val="single" w:color="auto" w:sz="4" w:space="0"/>
              <w:left w:val="nil"/>
              <w:bottom w:val="single" w:color="auto" w:sz="4" w:space="0"/>
              <w:right w:val="single" w:color="000000" w:sz="4" w:space="0"/>
            </w:tcBorders>
            <w:vAlign w:val="center"/>
          </w:tcPr>
          <w:p w14:paraId="12B9D19A">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46" w:type="dxa"/>
            <w:tcBorders>
              <w:top w:val="single" w:color="auto" w:sz="4" w:space="0"/>
              <w:left w:val="nil"/>
              <w:bottom w:val="single" w:color="auto" w:sz="4" w:space="0"/>
              <w:right w:val="single" w:color="000000" w:sz="4" w:space="0"/>
            </w:tcBorders>
            <w:vAlign w:val="center"/>
          </w:tcPr>
          <w:p w14:paraId="7DAAB58B">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766" w:type="dxa"/>
            <w:tcBorders>
              <w:top w:val="single" w:color="auto" w:sz="4" w:space="0"/>
              <w:left w:val="nil"/>
              <w:bottom w:val="single" w:color="auto" w:sz="4" w:space="0"/>
              <w:right w:val="single" w:color="000000" w:sz="4" w:space="0"/>
            </w:tcBorders>
            <w:vAlign w:val="center"/>
          </w:tcPr>
          <w:p w14:paraId="190382F8">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1007" w:type="dxa"/>
            <w:tcBorders>
              <w:top w:val="single" w:color="auto" w:sz="4" w:space="0"/>
              <w:left w:val="nil"/>
              <w:bottom w:val="single" w:color="auto" w:sz="4" w:space="0"/>
              <w:right w:val="nil"/>
            </w:tcBorders>
            <w:vAlign w:val="center"/>
          </w:tcPr>
          <w:p w14:paraId="36C4261B">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p>
        </w:tc>
        <w:tc>
          <w:tcPr>
            <w:tcW w:w="814" w:type="dxa"/>
            <w:tcBorders>
              <w:top w:val="nil"/>
              <w:left w:val="single" w:color="auto" w:sz="4" w:space="0"/>
              <w:bottom w:val="single" w:color="auto" w:sz="4" w:space="0"/>
              <w:right w:val="single" w:color="auto" w:sz="4" w:space="0"/>
            </w:tcBorders>
            <w:vAlign w:val="center"/>
          </w:tcPr>
          <w:p w14:paraId="1DF6B4A0">
            <w:pPr>
              <w:widowControl/>
              <w:autoSpaceDE/>
              <w:autoSpaceDN/>
              <w:adjustRightInd/>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∑=合同价</w:t>
            </w:r>
          </w:p>
        </w:tc>
      </w:tr>
    </w:tbl>
    <w:p w14:paraId="5F9688C9">
      <w:pPr>
        <w:pStyle w:val="17"/>
        <w:adjustRightInd/>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注：1.本表项目名称及费用总额栏的权重由发包人在招标文件中给定，且不因投标人的报价调整。</w:t>
      </w:r>
    </w:p>
    <w:p w14:paraId="2D0A807B">
      <w:pPr>
        <w:pStyle w:val="17"/>
        <w:adjustRightInd/>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2.进度款支付时点可依工程进度计划调整；支付的工程款应根据合同并结合已完工程量比例情况确定。</w:t>
      </w:r>
    </w:p>
    <w:p w14:paraId="06EFB306">
      <w:pPr>
        <w:pStyle w:val="17"/>
        <w:adjustRightInd/>
        <w:ind w:firstLine="36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3.本表未考虑预付款、预付款回扣及工程保修金预留；工程总承包其他费等可根据项目实际发生情况按合同约定支付。</w:t>
      </w:r>
    </w:p>
    <w:p w14:paraId="34B39378">
      <w:pPr>
        <w:rPr>
          <w:rFonts w:eastAsia="仿宋"/>
          <w:color w:val="auto"/>
          <w:highlight w:val="none"/>
          <w:lang w:val="en"/>
        </w:rPr>
      </w:pPr>
      <w:r>
        <w:rPr>
          <w:rFonts w:hint="eastAsia" w:eastAsia="仿宋"/>
          <w:color w:val="auto"/>
          <w:highlight w:val="none"/>
        </w:rPr>
        <w:t xml:space="preserve">  </w:t>
      </w:r>
      <w:r>
        <w:rPr>
          <w:rFonts w:hint="eastAsia" w:ascii="仿宋" w:hAnsi="仿宋" w:eastAsia="仿宋" w:cs="仿宋"/>
          <w:color w:val="auto"/>
          <w:sz w:val="21"/>
          <w:szCs w:val="21"/>
          <w:highlight w:val="none"/>
        </w:rPr>
        <w:t xml:space="preserve"> 4</w:t>
      </w:r>
      <w:r>
        <w:rPr>
          <w:rFonts w:ascii="仿宋" w:hAnsi="仿宋" w:eastAsia="仿宋" w:cs="仿宋"/>
          <w:color w:val="auto"/>
          <w:sz w:val="21"/>
          <w:szCs w:val="21"/>
          <w:highlight w:val="none"/>
          <w:lang w:val="en"/>
        </w:rPr>
        <w:t>.</w:t>
      </w:r>
      <w:r>
        <w:rPr>
          <w:rFonts w:hint="eastAsia" w:ascii="仿宋" w:hAnsi="仿宋" w:eastAsia="仿宋" w:cs="仿宋"/>
          <w:color w:val="auto"/>
          <w:sz w:val="21"/>
          <w:szCs w:val="21"/>
          <w:highlight w:val="none"/>
        </w:rPr>
        <w:t>进度款应按月支付，政府投资项目工程进度款支付比例不低于85%，发包人应当按约定的付款节点，根据实际完成工程量及时足额支付工程进度款。</w:t>
      </w:r>
    </w:p>
    <w:p w14:paraId="682D3576">
      <w:pPr>
        <w:pStyle w:val="17"/>
        <w:rPr>
          <w:rFonts w:hint="eastAsia" w:ascii="仿宋" w:hAnsi="仿宋" w:eastAsia="仿宋" w:cs="宋体"/>
          <w:b/>
          <w:bCs/>
          <w:color w:val="auto"/>
          <w:highlight w:val="none"/>
        </w:rPr>
      </w:pPr>
    </w:p>
    <w:p w14:paraId="2968EC06">
      <w:pPr>
        <w:rPr>
          <w:color w:val="auto"/>
          <w:highlight w:val="none"/>
        </w:rPr>
        <w:sectPr>
          <w:pgSz w:w="16783" w:h="11850" w:orient="landscape"/>
          <w:pgMar w:top="1701" w:right="879" w:bottom="1701" w:left="879" w:header="851" w:footer="992" w:gutter="0"/>
          <w:cols w:space="720" w:num="1"/>
          <w:docGrid w:type="lines" w:linePitch="327" w:charSpace="0"/>
        </w:sectPr>
      </w:pPr>
    </w:p>
    <w:p w14:paraId="39337B32">
      <w:pPr>
        <w:pStyle w:val="2"/>
        <w:spacing w:before="163" w:after="163"/>
        <w:rPr>
          <w:color w:val="auto"/>
          <w:highlight w:val="none"/>
        </w:rPr>
      </w:pPr>
      <w:bookmarkStart w:id="192" w:name="_Toc300835206"/>
    </w:p>
    <w:p w14:paraId="0709FEEA">
      <w:pPr>
        <w:pStyle w:val="2"/>
        <w:spacing w:before="163" w:after="163"/>
        <w:rPr>
          <w:color w:val="auto"/>
          <w:highlight w:val="none"/>
        </w:rPr>
      </w:pPr>
      <w:r>
        <w:rPr>
          <w:rFonts w:hint="eastAsia"/>
          <w:color w:val="auto"/>
          <w:highlight w:val="none"/>
        </w:rPr>
        <w:t>第六章  发包人提供的资料</w:t>
      </w:r>
      <w:bookmarkEnd w:id="192"/>
    </w:p>
    <w:p w14:paraId="25851101">
      <w:pPr>
        <w:rPr>
          <w:color w:val="auto"/>
          <w:highlight w:val="none"/>
        </w:rPr>
      </w:pPr>
    </w:p>
    <w:p w14:paraId="7CEA1D77">
      <w:pPr>
        <w:rPr>
          <w:color w:val="auto"/>
          <w:highlight w:val="none"/>
        </w:rPr>
      </w:pPr>
    </w:p>
    <w:p w14:paraId="3C7950B9">
      <w:pPr>
        <w:pStyle w:val="17"/>
        <w:ind w:firstLine="480" w:firstLineChars="200"/>
        <w:jc w:val="both"/>
        <w:rPr>
          <w:rFonts w:hint="eastAsia"/>
          <w:color w:val="auto"/>
          <w:highlight w:val="none"/>
        </w:rPr>
      </w:pPr>
      <w:r>
        <w:rPr>
          <w:rFonts w:hint="eastAsia"/>
          <w:color w:val="auto"/>
          <w:highlight w:val="none"/>
        </w:rPr>
        <w:t>1、初步设计文件；</w:t>
      </w:r>
    </w:p>
    <w:p w14:paraId="151A91AA">
      <w:pPr>
        <w:pStyle w:val="17"/>
        <w:ind w:firstLine="480" w:firstLineChars="200"/>
        <w:jc w:val="both"/>
        <w:rPr>
          <w:rFonts w:hint="eastAsia"/>
          <w:color w:val="auto"/>
          <w:highlight w:val="none"/>
        </w:rPr>
      </w:pPr>
      <w:r>
        <w:rPr>
          <w:rFonts w:hint="eastAsia"/>
          <w:color w:val="auto"/>
          <w:highlight w:val="none"/>
        </w:rPr>
        <w:t>2、概算；</w:t>
      </w:r>
    </w:p>
    <w:p w14:paraId="3752F309">
      <w:pPr>
        <w:pStyle w:val="17"/>
        <w:ind w:firstLine="480" w:firstLineChars="200"/>
        <w:jc w:val="both"/>
        <w:rPr>
          <w:rFonts w:hint="eastAsia"/>
          <w:color w:val="auto"/>
          <w:highlight w:val="none"/>
        </w:rPr>
      </w:pPr>
    </w:p>
    <w:p w14:paraId="044276AA">
      <w:pPr>
        <w:pStyle w:val="17"/>
        <w:ind w:firstLine="480" w:firstLineChars="200"/>
        <w:jc w:val="both"/>
        <w:rPr>
          <w:rFonts w:hint="eastAsia"/>
          <w:color w:val="auto"/>
          <w:highlight w:val="none"/>
        </w:rPr>
      </w:pPr>
    </w:p>
    <w:p w14:paraId="04CF1BCC">
      <w:pPr>
        <w:rPr>
          <w:color w:val="auto"/>
          <w:highlight w:val="none"/>
        </w:rPr>
      </w:pPr>
    </w:p>
    <w:p w14:paraId="186A11E4">
      <w:pPr>
        <w:rPr>
          <w:color w:val="auto"/>
          <w:highlight w:val="none"/>
        </w:rPr>
      </w:pPr>
    </w:p>
    <w:p w14:paraId="383D14D2">
      <w:pPr>
        <w:rPr>
          <w:color w:val="auto"/>
          <w:highlight w:val="none"/>
        </w:rPr>
      </w:pPr>
    </w:p>
    <w:p w14:paraId="1A549096">
      <w:pPr>
        <w:rPr>
          <w:color w:val="auto"/>
          <w:highlight w:val="none"/>
        </w:rPr>
      </w:pPr>
    </w:p>
    <w:p w14:paraId="393B8B3B">
      <w:pPr>
        <w:rPr>
          <w:color w:val="auto"/>
          <w:highlight w:val="none"/>
        </w:rPr>
      </w:pPr>
    </w:p>
    <w:p w14:paraId="3C592DE0">
      <w:pPr>
        <w:rPr>
          <w:color w:val="auto"/>
          <w:highlight w:val="none"/>
        </w:rPr>
      </w:pPr>
    </w:p>
    <w:p w14:paraId="4441C33D">
      <w:pPr>
        <w:rPr>
          <w:color w:val="auto"/>
          <w:highlight w:val="none"/>
        </w:rPr>
      </w:pPr>
    </w:p>
    <w:p w14:paraId="29EBE556">
      <w:pPr>
        <w:rPr>
          <w:color w:val="auto"/>
          <w:highlight w:val="none"/>
        </w:rPr>
      </w:pPr>
    </w:p>
    <w:p w14:paraId="59C9D67A">
      <w:pPr>
        <w:rPr>
          <w:color w:val="auto"/>
          <w:highlight w:val="none"/>
        </w:rPr>
      </w:pPr>
    </w:p>
    <w:p w14:paraId="2F35F60A">
      <w:pPr>
        <w:rPr>
          <w:color w:val="auto"/>
          <w:highlight w:val="none"/>
        </w:rPr>
      </w:pPr>
    </w:p>
    <w:p w14:paraId="442CB0CE">
      <w:pPr>
        <w:rPr>
          <w:color w:val="auto"/>
          <w:highlight w:val="none"/>
        </w:rPr>
      </w:pPr>
    </w:p>
    <w:p w14:paraId="01879A25">
      <w:pPr>
        <w:rPr>
          <w:color w:val="auto"/>
          <w:highlight w:val="none"/>
        </w:rPr>
      </w:pPr>
    </w:p>
    <w:p w14:paraId="4A311F9C">
      <w:pPr>
        <w:rPr>
          <w:color w:val="auto"/>
          <w:highlight w:val="none"/>
        </w:rPr>
      </w:pPr>
    </w:p>
    <w:p w14:paraId="599676EB">
      <w:pPr>
        <w:rPr>
          <w:color w:val="auto"/>
          <w:highlight w:val="none"/>
        </w:rPr>
      </w:pPr>
    </w:p>
    <w:p w14:paraId="7C5CF31A">
      <w:pPr>
        <w:rPr>
          <w:color w:val="auto"/>
          <w:highlight w:val="none"/>
        </w:rPr>
      </w:pPr>
    </w:p>
    <w:p w14:paraId="14E73591">
      <w:pPr>
        <w:rPr>
          <w:color w:val="auto"/>
          <w:highlight w:val="none"/>
        </w:rPr>
      </w:pPr>
    </w:p>
    <w:p w14:paraId="04FEBEBE">
      <w:pPr>
        <w:rPr>
          <w:color w:val="auto"/>
          <w:highlight w:val="none"/>
        </w:rPr>
      </w:pPr>
    </w:p>
    <w:p w14:paraId="3BE821F1">
      <w:pPr>
        <w:rPr>
          <w:color w:val="auto"/>
          <w:highlight w:val="none"/>
        </w:rPr>
      </w:pPr>
    </w:p>
    <w:p w14:paraId="536AE6C1">
      <w:pPr>
        <w:rPr>
          <w:color w:val="auto"/>
          <w:highlight w:val="none"/>
        </w:rPr>
      </w:pPr>
    </w:p>
    <w:p w14:paraId="4723498A">
      <w:pPr>
        <w:rPr>
          <w:color w:val="auto"/>
          <w:highlight w:val="none"/>
        </w:rPr>
      </w:pPr>
    </w:p>
    <w:p w14:paraId="2FC8FB4A">
      <w:pPr>
        <w:rPr>
          <w:color w:val="auto"/>
          <w:highlight w:val="none"/>
        </w:rPr>
      </w:pPr>
    </w:p>
    <w:p w14:paraId="4C5D1CA6">
      <w:pPr>
        <w:rPr>
          <w:color w:val="auto"/>
          <w:highlight w:val="none"/>
        </w:rPr>
      </w:pPr>
    </w:p>
    <w:p w14:paraId="2B20F32F">
      <w:pPr>
        <w:rPr>
          <w:color w:val="auto"/>
          <w:highlight w:val="none"/>
        </w:rPr>
      </w:pPr>
    </w:p>
    <w:p w14:paraId="2A1E149D">
      <w:pPr>
        <w:rPr>
          <w:color w:val="auto"/>
          <w:highlight w:val="none"/>
        </w:rPr>
      </w:pPr>
    </w:p>
    <w:p w14:paraId="5F0989E6">
      <w:pPr>
        <w:rPr>
          <w:color w:val="auto"/>
          <w:highlight w:val="none"/>
        </w:rPr>
      </w:pPr>
    </w:p>
    <w:p w14:paraId="0BFC259C">
      <w:pPr>
        <w:rPr>
          <w:color w:val="auto"/>
          <w:highlight w:val="none"/>
        </w:rPr>
      </w:pPr>
    </w:p>
    <w:p w14:paraId="633B781C">
      <w:pPr>
        <w:rPr>
          <w:color w:val="auto"/>
          <w:highlight w:val="none"/>
        </w:rPr>
      </w:pPr>
    </w:p>
    <w:p w14:paraId="7B7BAAFA">
      <w:pPr>
        <w:rPr>
          <w:color w:val="auto"/>
          <w:highlight w:val="none"/>
        </w:rPr>
      </w:pPr>
    </w:p>
    <w:p w14:paraId="525B2CBC">
      <w:pPr>
        <w:rPr>
          <w:color w:val="auto"/>
          <w:highlight w:val="none"/>
        </w:rPr>
      </w:pPr>
    </w:p>
    <w:p w14:paraId="0ED00224">
      <w:pPr>
        <w:rPr>
          <w:color w:val="auto"/>
          <w:highlight w:val="none"/>
        </w:rPr>
      </w:pPr>
    </w:p>
    <w:p w14:paraId="5CEECA63">
      <w:pPr>
        <w:rPr>
          <w:color w:val="auto"/>
          <w:highlight w:val="none"/>
        </w:rPr>
      </w:pPr>
    </w:p>
    <w:p w14:paraId="4FD7115B">
      <w:pPr>
        <w:spacing w:line="360" w:lineRule="auto"/>
        <w:ind w:left="3"/>
        <w:jc w:val="center"/>
        <w:outlineLvl w:val="0"/>
        <w:rPr>
          <w:rFonts w:ascii="Times New Roman" w:hAnsi="Times New Roman" w:eastAsia="黑体"/>
          <w:bCs/>
          <w:color w:val="auto"/>
          <w:kern w:val="44"/>
          <w:sz w:val="44"/>
          <w:szCs w:val="44"/>
          <w:highlight w:val="none"/>
        </w:rPr>
      </w:pPr>
      <w:bookmarkStart w:id="193" w:name="_Toc45697247"/>
      <w:bookmarkStart w:id="194" w:name="_Toc67589039"/>
      <w:r>
        <w:rPr>
          <w:rFonts w:hint="eastAsia" w:ascii="Times New Roman" w:hAnsi="Times New Roman" w:eastAsia="黑体"/>
          <w:color w:val="auto"/>
          <w:kern w:val="44"/>
          <w:sz w:val="44"/>
          <w:szCs w:val="44"/>
          <w:highlight w:val="none"/>
        </w:rPr>
        <w:t>第七章</w:t>
      </w:r>
      <w:r>
        <w:rPr>
          <w:rFonts w:ascii="Times New Roman" w:hAnsi="Times New Roman" w:eastAsia="黑体"/>
          <w:color w:val="auto"/>
          <w:kern w:val="44"/>
          <w:sz w:val="44"/>
          <w:szCs w:val="44"/>
          <w:highlight w:val="none"/>
        </w:rPr>
        <w:t xml:space="preserve">  </w:t>
      </w:r>
      <w:r>
        <w:rPr>
          <w:rFonts w:hint="eastAsia" w:ascii="Times New Roman" w:hAnsi="Times New Roman" w:eastAsia="黑体"/>
          <w:color w:val="auto"/>
          <w:kern w:val="44"/>
          <w:sz w:val="44"/>
          <w:szCs w:val="44"/>
          <w:highlight w:val="none"/>
        </w:rPr>
        <w:t>投标文件格式</w:t>
      </w:r>
      <w:bookmarkEnd w:id="193"/>
      <w:bookmarkEnd w:id="194"/>
    </w:p>
    <w:p w14:paraId="08C19E4A">
      <w:pPr>
        <w:spacing w:line="360" w:lineRule="auto"/>
        <w:ind w:firstLine="602"/>
        <w:jc w:val="center"/>
        <w:rPr>
          <w:rFonts w:ascii="宋体" w:hAnsi="Courier New"/>
          <w:b/>
          <w:bCs/>
          <w:color w:val="auto"/>
          <w:sz w:val="30"/>
          <w:szCs w:val="20"/>
          <w:highlight w:val="none"/>
        </w:rPr>
      </w:pPr>
    </w:p>
    <w:p w14:paraId="06E22247">
      <w:pPr>
        <w:spacing w:line="360" w:lineRule="auto"/>
        <w:ind w:firstLine="602"/>
        <w:jc w:val="center"/>
        <w:rPr>
          <w:rFonts w:ascii="宋体" w:hAnsi="Courier New"/>
          <w:b/>
          <w:bCs/>
          <w:color w:val="auto"/>
          <w:sz w:val="36"/>
          <w:szCs w:val="36"/>
          <w:highlight w:val="none"/>
        </w:rPr>
      </w:pPr>
      <w:r>
        <w:rPr>
          <w:rFonts w:hint="eastAsia" w:ascii="宋体" w:hAnsi="Courier New"/>
          <w:b/>
          <w:bCs/>
          <w:color w:val="auto"/>
          <w:sz w:val="36"/>
          <w:szCs w:val="36"/>
          <w:highlight w:val="none"/>
        </w:rPr>
        <w:t>目</w:t>
      </w:r>
      <w:r>
        <w:rPr>
          <w:rFonts w:ascii="宋体" w:hAnsi="Courier New"/>
          <w:b/>
          <w:bCs/>
          <w:color w:val="auto"/>
          <w:sz w:val="36"/>
          <w:szCs w:val="36"/>
          <w:highlight w:val="none"/>
        </w:rPr>
        <w:t xml:space="preserve">    </w:t>
      </w:r>
      <w:r>
        <w:rPr>
          <w:rFonts w:hint="eastAsia" w:ascii="宋体" w:hAnsi="Courier New"/>
          <w:b/>
          <w:bCs/>
          <w:color w:val="auto"/>
          <w:sz w:val="36"/>
          <w:szCs w:val="36"/>
          <w:highlight w:val="none"/>
        </w:rPr>
        <w:t>录</w:t>
      </w:r>
    </w:p>
    <w:p w14:paraId="2C49A369">
      <w:pPr>
        <w:spacing w:line="360" w:lineRule="auto"/>
        <w:ind w:firstLine="602"/>
        <w:jc w:val="center"/>
        <w:rPr>
          <w:rFonts w:ascii="宋体" w:hAnsi="Courier New"/>
          <w:b/>
          <w:bCs/>
          <w:color w:val="auto"/>
          <w:sz w:val="30"/>
          <w:szCs w:val="20"/>
          <w:highlight w:val="none"/>
        </w:rPr>
      </w:pPr>
    </w:p>
    <w:p w14:paraId="200EADAA">
      <w:pPr>
        <w:spacing w:line="480" w:lineRule="auto"/>
        <w:ind w:firstLine="708" w:firstLineChars="253"/>
        <w:rPr>
          <w:rFonts w:ascii="宋体" w:hAnsi="Courier New"/>
          <w:color w:val="auto"/>
          <w:sz w:val="28"/>
          <w:szCs w:val="20"/>
          <w:highlight w:val="none"/>
        </w:rPr>
      </w:pPr>
      <w:r>
        <w:rPr>
          <w:rFonts w:ascii="宋体" w:hAnsi="Courier New"/>
          <w:color w:val="auto"/>
          <w:sz w:val="28"/>
          <w:szCs w:val="20"/>
          <w:highlight w:val="none"/>
        </w:rPr>
        <w:t>1.</w:t>
      </w:r>
      <w:r>
        <w:rPr>
          <w:rFonts w:hint="eastAsia" w:ascii="宋体" w:hAnsi="Courier New"/>
          <w:color w:val="auto"/>
          <w:sz w:val="28"/>
          <w:szCs w:val="20"/>
          <w:highlight w:val="none"/>
        </w:rPr>
        <w:t>投标文件资格审查资料格式</w:t>
      </w:r>
    </w:p>
    <w:p w14:paraId="6E292746">
      <w:pPr>
        <w:spacing w:line="480" w:lineRule="auto"/>
        <w:ind w:firstLine="708" w:firstLineChars="253"/>
        <w:rPr>
          <w:rFonts w:ascii="宋体" w:hAnsi="Courier New"/>
          <w:color w:val="auto"/>
          <w:sz w:val="28"/>
          <w:szCs w:val="20"/>
          <w:highlight w:val="none"/>
        </w:rPr>
      </w:pPr>
      <w:r>
        <w:rPr>
          <w:rFonts w:ascii="宋体" w:hAnsi="Courier New"/>
          <w:color w:val="auto"/>
          <w:sz w:val="28"/>
          <w:szCs w:val="20"/>
          <w:highlight w:val="none"/>
        </w:rPr>
        <w:t>2.</w:t>
      </w:r>
      <w:r>
        <w:rPr>
          <w:rFonts w:hint="eastAsia" w:ascii="宋体" w:hAnsi="Courier New"/>
          <w:color w:val="auto"/>
          <w:sz w:val="28"/>
          <w:szCs w:val="20"/>
          <w:highlight w:val="none"/>
        </w:rPr>
        <w:t>投标文件技术标格式</w:t>
      </w:r>
    </w:p>
    <w:p w14:paraId="3BD4A470">
      <w:pPr>
        <w:spacing w:line="480" w:lineRule="auto"/>
        <w:ind w:firstLine="708" w:firstLineChars="253"/>
        <w:rPr>
          <w:rFonts w:ascii="宋体" w:hAnsi="Courier New"/>
          <w:color w:val="auto"/>
          <w:sz w:val="28"/>
          <w:szCs w:val="20"/>
          <w:highlight w:val="none"/>
        </w:rPr>
      </w:pPr>
      <w:r>
        <w:rPr>
          <w:rFonts w:ascii="宋体" w:hAnsi="Courier New"/>
          <w:color w:val="auto"/>
          <w:sz w:val="28"/>
          <w:szCs w:val="20"/>
          <w:highlight w:val="none"/>
        </w:rPr>
        <w:t>3.</w:t>
      </w:r>
      <w:r>
        <w:rPr>
          <w:rFonts w:hint="eastAsia" w:ascii="宋体" w:hAnsi="Courier New"/>
          <w:color w:val="auto"/>
          <w:sz w:val="28"/>
          <w:szCs w:val="20"/>
          <w:highlight w:val="none"/>
        </w:rPr>
        <w:t>投标文件资信标格式</w:t>
      </w:r>
    </w:p>
    <w:p w14:paraId="67B527D7">
      <w:pPr>
        <w:spacing w:line="480" w:lineRule="auto"/>
        <w:ind w:firstLine="708" w:firstLineChars="253"/>
        <w:rPr>
          <w:rFonts w:ascii="宋体" w:hAnsi="Courier New"/>
          <w:color w:val="auto"/>
          <w:sz w:val="28"/>
          <w:szCs w:val="20"/>
          <w:highlight w:val="none"/>
        </w:rPr>
      </w:pPr>
      <w:r>
        <w:rPr>
          <w:rFonts w:ascii="宋体" w:hAnsi="Courier New"/>
          <w:color w:val="auto"/>
          <w:sz w:val="28"/>
          <w:szCs w:val="20"/>
          <w:highlight w:val="none"/>
        </w:rPr>
        <w:t>4.</w:t>
      </w:r>
      <w:r>
        <w:rPr>
          <w:rFonts w:hint="eastAsia" w:ascii="宋体" w:hAnsi="Courier New"/>
          <w:color w:val="auto"/>
          <w:sz w:val="28"/>
          <w:szCs w:val="20"/>
          <w:highlight w:val="none"/>
        </w:rPr>
        <w:t>投标文件商务标格式</w:t>
      </w:r>
    </w:p>
    <w:p w14:paraId="2BC64410">
      <w:pPr>
        <w:widowControl/>
        <w:rPr>
          <w:rFonts w:ascii="宋体" w:hAnsi="Courier New"/>
          <w:color w:val="auto"/>
          <w:sz w:val="28"/>
          <w:szCs w:val="20"/>
          <w:highlight w:val="none"/>
        </w:rPr>
      </w:pPr>
      <w:r>
        <w:rPr>
          <w:color w:val="auto"/>
          <w:sz w:val="28"/>
          <w:highlight w:val="none"/>
        </w:rPr>
        <w:br w:type="page"/>
      </w:r>
    </w:p>
    <w:p w14:paraId="702DF54C">
      <w:pPr>
        <w:jc w:val="center"/>
        <w:rPr>
          <w:rFonts w:ascii="Microsoft JhengHei" w:hAnsi="Courier New" w:eastAsia="Microsoft JhengHei" w:cs="Microsoft JhengHei"/>
          <w:b/>
          <w:bCs/>
          <w:color w:val="auto"/>
          <w:highlight w:val="none"/>
        </w:rPr>
      </w:pPr>
    </w:p>
    <w:p w14:paraId="2E285C7F">
      <w:pPr>
        <w:widowControl/>
        <w:rPr>
          <w:rFonts w:ascii="宋体" w:hAnsi="Courier New"/>
          <w:color w:val="auto"/>
          <w:sz w:val="28"/>
          <w:szCs w:val="20"/>
          <w:highlight w:val="none"/>
        </w:rPr>
      </w:pPr>
    </w:p>
    <w:p w14:paraId="5D713F97">
      <w:pPr>
        <w:jc w:val="center"/>
        <w:rPr>
          <w:b/>
          <w:bCs/>
          <w:color w:val="auto"/>
          <w:sz w:val="28"/>
          <w:szCs w:val="28"/>
          <w:highlight w:val="none"/>
        </w:rPr>
      </w:pPr>
    </w:p>
    <w:p w14:paraId="5CA15A52">
      <w:pPr>
        <w:jc w:val="center"/>
        <w:rPr>
          <w:b/>
          <w:bCs/>
          <w:color w:val="auto"/>
          <w:sz w:val="72"/>
          <w:highlight w:val="none"/>
        </w:rPr>
      </w:pPr>
      <w:r>
        <w:rPr>
          <w:rFonts w:hint="eastAsia"/>
          <w:b/>
          <w:bCs/>
          <w:color w:val="auto"/>
          <w:sz w:val="72"/>
          <w:highlight w:val="none"/>
        </w:rPr>
        <w:t>工程总承包投标文件</w:t>
      </w:r>
    </w:p>
    <w:p w14:paraId="3512ED28">
      <w:pPr>
        <w:jc w:val="center"/>
        <w:rPr>
          <w:color w:val="auto"/>
          <w:sz w:val="36"/>
          <w:highlight w:val="none"/>
        </w:rPr>
      </w:pPr>
      <w:r>
        <w:rPr>
          <w:rFonts w:hint="eastAsia"/>
          <w:color w:val="auto"/>
          <w:sz w:val="36"/>
          <w:highlight w:val="none"/>
        </w:rPr>
        <w:t>（封面）</w:t>
      </w:r>
    </w:p>
    <w:p w14:paraId="3220EA8E">
      <w:pPr>
        <w:rPr>
          <w:color w:val="auto"/>
          <w:highlight w:val="none"/>
        </w:rPr>
      </w:pPr>
    </w:p>
    <w:p w14:paraId="33D306F4">
      <w:pPr>
        <w:rPr>
          <w:color w:val="auto"/>
          <w:sz w:val="32"/>
          <w:highlight w:val="none"/>
        </w:rPr>
      </w:pPr>
    </w:p>
    <w:p w14:paraId="41BE8F6A">
      <w:pPr>
        <w:rPr>
          <w:color w:val="auto"/>
          <w:sz w:val="32"/>
          <w:highlight w:val="none"/>
        </w:rPr>
      </w:pPr>
    </w:p>
    <w:p w14:paraId="4690A801">
      <w:pPr>
        <w:spacing w:after="490" w:afterLines="150" w:line="480" w:lineRule="auto"/>
        <w:ind w:firstLine="627" w:firstLineChars="196"/>
        <w:rPr>
          <w:rFonts w:hint="eastAsia" w:ascii="宋体" w:hAnsi="宋体"/>
          <w:color w:val="auto"/>
          <w:sz w:val="32"/>
          <w:highlight w:val="none"/>
          <w:u w:val="single"/>
        </w:rPr>
      </w:pPr>
      <w:r>
        <w:rPr>
          <w:rFonts w:hint="eastAsia" w:ascii="宋体" w:hAnsi="宋体"/>
          <w:color w:val="auto"/>
          <w:sz w:val="32"/>
          <w:highlight w:val="none"/>
        </w:rPr>
        <w:t>项目名称：</w:t>
      </w:r>
      <w:r>
        <w:rPr>
          <w:rFonts w:ascii="宋体" w:hAnsi="宋体"/>
          <w:color w:val="auto"/>
          <w:sz w:val="32"/>
          <w:highlight w:val="none"/>
          <w:u w:val="single"/>
        </w:rPr>
        <w:t xml:space="preserve">                                  </w:t>
      </w:r>
    </w:p>
    <w:p w14:paraId="368A07AE">
      <w:pPr>
        <w:tabs>
          <w:tab w:val="left" w:pos="5529"/>
        </w:tabs>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投标文件内容：</w:t>
      </w:r>
      <w:r>
        <w:rPr>
          <w:rFonts w:ascii="宋体" w:hAnsi="宋体"/>
          <w:color w:val="auto"/>
          <w:sz w:val="32"/>
          <w:highlight w:val="none"/>
          <w:u w:val="single"/>
        </w:rPr>
        <w:t xml:space="preserve">      </w:t>
      </w:r>
      <w:r>
        <w:rPr>
          <w:rFonts w:hint="eastAsia" w:ascii="宋体" w:hAnsi="宋体"/>
          <w:color w:val="auto"/>
          <w:sz w:val="32"/>
          <w:highlight w:val="none"/>
          <w:u w:val="single"/>
        </w:rPr>
        <w:t>投标文件资格审查资料</w:t>
      </w:r>
      <w:r>
        <w:rPr>
          <w:rFonts w:ascii="宋体" w:hAnsi="宋体"/>
          <w:color w:val="auto"/>
          <w:sz w:val="32"/>
          <w:highlight w:val="none"/>
          <w:u w:val="single"/>
        </w:rPr>
        <w:t xml:space="preserve">      </w:t>
      </w:r>
    </w:p>
    <w:p w14:paraId="68556577">
      <w:pPr>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投标人：</w:t>
      </w:r>
      <w:r>
        <w:rPr>
          <w:rFonts w:ascii="宋体" w:hAnsi="宋体"/>
          <w:color w:val="auto"/>
          <w:sz w:val="32"/>
          <w:highlight w:val="none"/>
          <w:u w:val="single"/>
        </w:rPr>
        <w:t xml:space="preserve">                         （单位盖章）</w:t>
      </w:r>
    </w:p>
    <w:p w14:paraId="2F227C78">
      <w:pPr>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法定代表人或委托代理人：</w:t>
      </w:r>
      <w:r>
        <w:rPr>
          <w:rFonts w:ascii="宋体" w:hAnsi="宋体"/>
          <w:color w:val="auto"/>
          <w:sz w:val="32"/>
          <w:highlight w:val="none"/>
          <w:u w:val="single"/>
        </w:rPr>
        <w:t xml:space="preserve">       （</w:t>
      </w:r>
      <w:r>
        <w:rPr>
          <w:rFonts w:hint="eastAsia"/>
          <w:color w:val="auto"/>
          <w:highlight w:val="none"/>
          <w:u w:val="single"/>
        </w:rPr>
        <w:t>签字或盖章</w:t>
      </w:r>
      <w:r>
        <w:rPr>
          <w:rFonts w:hint="eastAsia" w:ascii="宋体" w:hAnsi="宋体"/>
          <w:color w:val="auto"/>
          <w:sz w:val="32"/>
          <w:highlight w:val="none"/>
          <w:u w:val="single"/>
        </w:rPr>
        <w:t>）</w:t>
      </w:r>
    </w:p>
    <w:p w14:paraId="590DD332">
      <w:pPr>
        <w:spacing w:after="490" w:afterLines="150" w:line="480" w:lineRule="auto"/>
        <w:ind w:firstLine="627" w:firstLineChars="196"/>
        <w:rPr>
          <w:rFonts w:hint="eastAsia" w:ascii="宋体" w:hAnsi="宋体"/>
          <w:color w:val="auto"/>
          <w:sz w:val="32"/>
          <w:highlight w:val="none"/>
        </w:rPr>
      </w:pPr>
    </w:p>
    <w:p w14:paraId="026C0992">
      <w:pPr>
        <w:spacing w:after="490" w:afterLines="150" w:line="480" w:lineRule="auto"/>
        <w:ind w:firstLine="627" w:firstLineChars="196"/>
        <w:rPr>
          <w:rFonts w:hint="eastAsia" w:ascii="宋体" w:hAnsi="宋体"/>
          <w:color w:val="auto"/>
          <w:sz w:val="32"/>
          <w:highlight w:val="none"/>
        </w:rPr>
      </w:pPr>
    </w:p>
    <w:p w14:paraId="05B7E8CE">
      <w:pPr>
        <w:spacing w:after="490" w:afterLines="150" w:line="480" w:lineRule="auto"/>
        <w:ind w:firstLine="627" w:firstLineChars="196"/>
        <w:jc w:val="center"/>
        <w:rPr>
          <w:rFonts w:hint="eastAsia" w:ascii="宋体" w:hAnsi="宋体"/>
          <w:color w:val="auto"/>
          <w:sz w:val="32"/>
          <w:highlight w:val="none"/>
        </w:rPr>
      </w:pPr>
      <w:r>
        <w:rPr>
          <w:rFonts w:hint="eastAsia" w:ascii="宋体" w:hAnsi="宋体"/>
          <w:color w:val="auto"/>
          <w:sz w:val="32"/>
          <w:highlight w:val="none"/>
        </w:rPr>
        <w:t>日期：</w:t>
      </w:r>
      <w:r>
        <w:rPr>
          <w:rFonts w:ascii="宋体" w:hAnsi="宋体"/>
          <w:color w:val="auto"/>
          <w:sz w:val="32"/>
          <w:highlight w:val="none"/>
          <w:u w:val="single"/>
        </w:rPr>
        <w:t xml:space="preserve">     </w:t>
      </w:r>
      <w:r>
        <w:rPr>
          <w:rFonts w:hint="eastAsia" w:ascii="宋体" w:hAnsi="宋体"/>
          <w:color w:val="auto"/>
          <w:sz w:val="32"/>
          <w:highlight w:val="none"/>
        </w:rPr>
        <w:t>年</w:t>
      </w:r>
      <w:r>
        <w:rPr>
          <w:rFonts w:ascii="宋体" w:hAnsi="宋体"/>
          <w:color w:val="auto"/>
          <w:sz w:val="32"/>
          <w:highlight w:val="none"/>
          <w:u w:val="single"/>
        </w:rPr>
        <w:t xml:space="preserve">     </w:t>
      </w:r>
      <w:r>
        <w:rPr>
          <w:rFonts w:hint="eastAsia" w:ascii="宋体" w:hAnsi="宋体"/>
          <w:color w:val="auto"/>
          <w:sz w:val="32"/>
          <w:highlight w:val="none"/>
        </w:rPr>
        <w:t>月</w:t>
      </w:r>
      <w:r>
        <w:rPr>
          <w:rFonts w:ascii="宋体" w:hAnsi="宋体"/>
          <w:color w:val="auto"/>
          <w:sz w:val="32"/>
          <w:highlight w:val="none"/>
          <w:u w:val="single"/>
        </w:rPr>
        <w:t xml:space="preserve">     </w:t>
      </w:r>
      <w:r>
        <w:rPr>
          <w:rFonts w:hint="eastAsia" w:ascii="宋体" w:hAnsi="宋体"/>
          <w:color w:val="auto"/>
          <w:sz w:val="32"/>
          <w:highlight w:val="none"/>
        </w:rPr>
        <w:t>日</w:t>
      </w:r>
    </w:p>
    <w:p w14:paraId="7B6AD43E">
      <w:pPr>
        <w:spacing w:line="360" w:lineRule="auto"/>
        <w:jc w:val="center"/>
        <w:rPr>
          <w:rFonts w:hint="eastAsia" w:ascii="宋体" w:hAnsi="宋体"/>
          <w:color w:val="auto"/>
          <w:highlight w:val="none"/>
        </w:rPr>
      </w:pPr>
      <w:r>
        <w:rPr>
          <w:rFonts w:ascii="宋体" w:hAnsi="宋体"/>
          <w:color w:val="auto"/>
          <w:highlight w:val="none"/>
        </w:rPr>
        <w:br w:type="page"/>
      </w:r>
    </w:p>
    <w:p w14:paraId="4C5D4234">
      <w:pPr>
        <w:spacing w:line="360" w:lineRule="auto"/>
        <w:jc w:val="center"/>
        <w:rPr>
          <w:rFonts w:ascii="宋体" w:hAnsi="Courier New"/>
          <w:b/>
          <w:bCs/>
          <w:color w:val="auto"/>
          <w:sz w:val="36"/>
          <w:szCs w:val="36"/>
          <w:highlight w:val="none"/>
        </w:rPr>
      </w:pPr>
    </w:p>
    <w:p w14:paraId="30C1A0FB">
      <w:pPr>
        <w:spacing w:line="360" w:lineRule="auto"/>
        <w:jc w:val="center"/>
        <w:rPr>
          <w:rFonts w:ascii="宋体" w:hAnsi="Courier New"/>
          <w:b/>
          <w:bCs/>
          <w:color w:val="auto"/>
          <w:sz w:val="36"/>
          <w:szCs w:val="36"/>
          <w:highlight w:val="none"/>
        </w:rPr>
      </w:pPr>
      <w:r>
        <w:rPr>
          <w:rFonts w:hint="eastAsia" w:ascii="宋体" w:hAnsi="Courier New"/>
          <w:b/>
          <w:bCs/>
          <w:color w:val="auto"/>
          <w:sz w:val="36"/>
          <w:szCs w:val="36"/>
          <w:highlight w:val="none"/>
        </w:rPr>
        <w:t>目</w:t>
      </w:r>
      <w:r>
        <w:rPr>
          <w:rFonts w:ascii="宋体" w:hAnsi="Courier New"/>
          <w:b/>
          <w:bCs/>
          <w:color w:val="auto"/>
          <w:sz w:val="36"/>
          <w:szCs w:val="36"/>
          <w:highlight w:val="none"/>
        </w:rPr>
        <w:t xml:space="preserve">    </w:t>
      </w:r>
      <w:r>
        <w:rPr>
          <w:rFonts w:hint="eastAsia" w:ascii="宋体" w:hAnsi="Courier New"/>
          <w:b/>
          <w:bCs/>
          <w:color w:val="auto"/>
          <w:sz w:val="36"/>
          <w:szCs w:val="36"/>
          <w:highlight w:val="none"/>
        </w:rPr>
        <w:t>录</w:t>
      </w:r>
    </w:p>
    <w:p w14:paraId="0F4979BB">
      <w:pPr>
        <w:spacing w:line="360" w:lineRule="auto"/>
        <w:ind w:firstLine="602"/>
        <w:jc w:val="center"/>
        <w:rPr>
          <w:rFonts w:ascii="宋体" w:hAnsi="Courier New"/>
          <w:b/>
          <w:bCs/>
          <w:color w:val="auto"/>
          <w:sz w:val="36"/>
          <w:szCs w:val="36"/>
          <w:highlight w:val="none"/>
        </w:rPr>
      </w:pPr>
    </w:p>
    <w:p w14:paraId="10CFA56C">
      <w:pPr>
        <w:snapToGrid w:val="0"/>
        <w:spacing w:after="490" w:afterLines="150" w:line="360" w:lineRule="auto"/>
        <w:ind w:firstLine="560" w:firstLineChars="200"/>
        <w:rPr>
          <w:rFonts w:hint="eastAsia" w:ascii="宋体" w:hAnsi="宋体" w:cs="宋体"/>
          <w:bCs/>
          <w:color w:val="auto"/>
          <w:sz w:val="28"/>
          <w:szCs w:val="28"/>
          <w:highlight w:val="none"/>
        </w:rPr>
      </w:pPr>
      <w:r>
        <w:rPr>
          <w:rFonts w:hint="eastAsia" w:ascii="宋体" w:hAnsi="宋体" w:cs="宋体"/>
          <w:bCs/>
          <w:color w:val="auto"/>
          <w:sz w:val="28"/>
          <w:szCs w:val="28"/>
          <w:highlight w:val="none"/>
        </w:rPr>
        <w:t>1</w:t>
      </w:r>
      <w:r>
        <w:rPr>
          <w:rFonts w:ascii="宋体" w:hAnsi="宋体" w:cs="宋体"/>
          <w:bCs/>
          <w:color w:val="auto"/>
          <w:sz w:val="28"/>
          <w:szCs w:val="28"/>
          <w:highlight w:val="none"/>
        </w:rPr>
        <w:t>.</w:t>
      </w:r>
      <w:r>
        <w:rPr>
          <w:rFonts w:hint="eastAsia" w:ascii="宋体" w:hAnsi="宋体" w:cs="宋体"/>
          <w:bCs/>
          <w:color w:val="auto"/>
          <w:sz w:val="28"/>
          <w:szCs w:val="28"/>
          <w:highlight w:val="none"/>
        </w:rPr>
        <w:t>投标函封面；</w:t>
      </w:r>
    </w:p>
    <w:p w14:paraId="0909D357">
      <w:pPr>
        <w:snapToGrid w:val="0"/>
        <w:spacing w:after="490" w:afterLines="150" w:line="360" w:lineRule="auto"/>
        <w:ind w:firstLine="560" w:firstLineChars="200"/>
        <w:rPr>
          <w:rFonts w:hint="eastAsia" w:ascii="宋体" w:hAnsi="宋体" w:cs="宋体"/>
          <w:bCs/>
          <w:color w:val="auto"/>
          <w:sz w:val="28"/>
          <w:szCs w:val="28"/>
          <w:highlight w:val="none"/>
        </w:rPr>
      </w:pPr>
      <w:r>
        <w:rPr>
          <w:rFonts w:ascii="宋体" w:hAnsi="宋体" w:cs="宋体"/>
          <w:bCs/>
          <w:color w:val="auto"/>
          <w:sz w:val="28"/>
          <w:szCs w:val="28"/>
          <w:highlight w:val="none"/>
        </w:rPr>
        <w:t>2.</w:t>
      </w:r>
      <w:r>
        <w:rPr>
          <w:rFonts w:hint="eastAsia" w:ascii="宋体" w:hAnsi="宋体" w:cs="宋体"/>
          <w:bCs/>
          <w:color w:val="auto"/>
          <w:sz w:val="28"/>
          <w:szCs w:val="28"/>
          <w:highlight w:val="none"/>
        </w:rPr>
        <w:t>项目管理班子配备情况；</w:t>
      </w:r>
    </w:p>
    <w:p w14:paraId="58FD5F6F">
      <w:pPr>
        <w:snapToGrid w:val="0"/>
        <w:spacing w:after="490" w:afterLines="150" w:line="360" w:lineRule="auto"/>
        <w:ind w:firstLine="560" w:firstLineChars="200"/>
        <w:rPr>
          <w:rFonts w:hint="eastAsia" w:ascii="宋体" w:hAnsi="宋体" w:cs="宋体"/>
          <w:bCs/>
          <w:color w:val="auto"/>
          <w:sz w:val="28"/>
          <w:szCs w:val="28"/>
          <w:highlight w:val="none"/>
        </w:rPr>
      </w:pPr>
      <w:r>
        <w:rPr>
          <w:rFonts w:hint="eastAsia" w:ascii="宋体" w:hAnsi="宋体" w:cs="宋体"/>
          <w:bCs/>
          <w:color w:val="auto"/>
          <w:sz w:val="28"/>
          <w:szCs w:val="28"/>
          <w:highlight w:val="none"/>
        </w:rPr>
        <w:t>3.资格</w:t>
      </w:r>
      <w:r>
        <w:rPr>
          <w:rFonts w:ascii="宋体" w:hAnsi="宋体" w:cs="宋体"/>
          <w:bCs/>
          <w:color w:val="auto"/>
          <w:sz w:val="28"/>
          <w:szCs w:val="28"/>
          <w:highlight w:val="none"/>
        </w:rPr>
        <w:t>业绩材料</w:t>
      </w:r>
      <w:r>
        <w:rPr>
          <w:rFonts w:hint="eastAsia" w:ascii="宋体" w:hAnsi="宋体" w:cs="宋体"/>
          <w:bCs/>
          <w:color w:val="auto"/>
          <w:sz w:val="28"/>
          <w:szCs w:val="28"/>
          <w:highlight w:val="none"/>
        </w:rPr>
        <w:t>（若有），含业绩汇总表（资格后审业绩条件的汇总）及相关附件；</w:t>
      </w:r>
    </w:p>
    <w:p w14:paraId="0B431353">
      <w:pPr>
        <w:snapToGrid w:val="0"/>
        <w:spacing w:after="490" w:afterLines="150" w:line="360" w:lineRule="auto"/>
        <w:ind w:firstLine="560" w:firstLineChars="200"/>
        <w:rPr>
          <w:rFonts w:hint="eastAsia" w:ascii="宋体" w:hAnsi="宋体" w:cs="宋体"/>
          <w:bCs/>
          <w:strike/>
          <w:color w:val="auto"/>
          <w:sz w:val="28"/>
          <w:szCs w:val="28"/>
          <w:highlight w:val="none"/>
        </w:rPr>
      </w:pPr>
      <w:r>
        <w:rPr>
          <w:rFonts w:hint="eastAsia" w:ascii="宋体" w:hAnsi="宋体" w:cs="宋体"/>
          <w:bCs/>
          <w:strike/>
          <w:color w:val="auto"/>
          <w:sz w:val="28"/>
          <w:szCs w:val="28"/>
          <w:highlight w:val="none"/>
        </w:rPr>
        <w:t>4.中小企业声明函（若有）；</w:t>
      </w:r>
    </w:p>
    <w:p w14:paraId="2748FD25">
      <w:pPr>
        <w:spacing w:after="490" w:afterLines="150" w:line="360" w:lineRule="auto"/>
        <w:rPr>
          <w:rFonts w:hint="eastAsia" w:ascii="宋体" w:hAnsi="宋体" w:cs="宋体"/>
          <w:bCs/>
          <w:color w:val="auto"/>
          <w:sz w:val="28"/>
          <w:szCs w:val="28"/>
          <w:highlight w:val="none"/>
        </w:rPr>
      </w:pPr>
      <w:r>
        <w:rPr>
          <w:rFonts w:ascii="宋体" w:hAnsi="宋体" w:cs="宋体"/>
          <w:bCs/>
          <w:color w:val="auto"/>
          <w:sz w:val="28"/>
          <w:szCs w:val="28"/>
          <w:highlight w:val="none"/>
        </w:rPr>
        <w:t xml:space="preserve"> </w:t>
      </w:r>
      <w:r>
        <w:rPr>
          <w:rFonts w:hint="eastAsia" w:ascii="宋体" w:hAnsi="宋体" w:cs="宋体"/>
          <w:bCs/>
          <w:color w:val="auto"/>
          <w:sz w:val="28"/>
          <w:szCs w:val="28"/>
          <w:highlight w:val="none"/>
        </w:rPr>
        <w:t xml:space="preserve"> </w:t>
      </w:r>
      <w:r>
        <w:rPr>
          <w:rFonts w:ascii="宋体" w:hAnsi="宋体" w:cs="宋体"/>
          <w:bCs/>
          <w:color w:val="auto"/>
          <w:sz w:val="28"/>
          <w:szCs w:val="28"/>
          <w:highlight w:val="none"/>
        </w:rPr>
        <w:t xml:space="preserve">  </w:t>
      </w:r>
      <w:r>
        <w:rPr>
          <w:rFonts w:hint="eastAsia" w:ascii="宋体" w:hAnsi="宋体" w:cs="宋体"/>
          <w:bCs/>
          <w:color w:val="auto"/>
          <w:sz w:val="28"/>
          <w:szCs w:val="28"/>
          <w:highlight w:val="none"/>
        </w:rPr>
        <w:t>5</w:t>
      </w:r>
      <w:r>
        <w:rPr>
          <w:rFonts w:ascii="宋体" w:hAnsi="宋体" w:cs="宋体"/>
          <w:bCs/>
          <w:color w:val="auto"/>
          <w:sz w:val="28"/>
          <w:szCs w:val="28"/>
          <w:highlight w:val="none"/>
        </w:rPr>
        <w:t>.</w:t>
      </w:r>
      <w:r>
        <w:rPr>
          <w:rFonts w:hint="eastAsia" w:ascii="宋体" w:hAnsi="宋体" w:cs="宋体"/>
          <w:bCs/>
          <w:color w:val="auto"/>
          <w:sz w:val="28"/>
          <w:szCs w:val="28"/>
          <w:highlight w:val="none"/>
        </w:rPr>
        <w:t>联合体协议书（若有）；</w:t>
      </w:r>
    </w:p>
    <w:p w14:paraId="36242B71">
      <w:pPr>
        <w:spacing w:after="490" w:afterLines="150" w:line="360" w:lineRule="auto"/>
        <w:ind w:firstLine="560" w:firstLineChars="200"/>
        <w:rPr>
          <w:rFonts w:hint="eastAsia" w:ascii="宋体" w:hAnsi="宋体" w:cs="宋体"/>
          <w:bCs/>
          <w:color w:val="auto"/>
          <w:sz w:val="28"/>
          <w:szCs w:val="28"/>
          <w:highlight w:val="none"/>
        </w:rPr>
      </w:pPr>
      <w:r>
        <w:rPr>
          <w:rFonts w:hint="eastAsia" w:ascii="宋体" w:hAnsi="宋体" w:cs="宋体"/>
          <w:bCs/>
          <w:color w:val="auto"/>
          <w:sz w:val="28"/>
          <w:szCs w:val="28"/>
          <w:highlight w:val="none"/>
        </w:rPr>
        <w:t>6</w:t>
      </w:r>
      <w:r>
        <w:rPr>
          <w:rFonts w:ascii="宋体" w:hAnsi="宋体" w:cs="宋体"/>
          <w:bCs/>
          <w:color w:val="auto"/>
          <w:sz w:val="28"/>
          <w:szCs w:val="28"/>
          <w:highlight w:val="none"/>
        </w:rPr>
        <w:t>.</w:t>
      </w:r>
      <w:r>
        <w:rPr>
          <w:rFonts w:hint="eastAsia" w:ascii="宋体" w:hAnsi="宋体" w:cs="宋体"/>
          <w:bCs/>
          <w:color w:val="auto"/>
          <w:sz w:val="28"/>
          <w:szCs w:val="28"/>
          <w:highlight w:val="none"/>
        </w:rPr>
        <w:t>投标保证金；</w:t>
      </w:r>
    </w:p>
    <w:p w14:paraId="24A34DF7">
      <w:pPr>
        <w:kinsoku w:val="0"/>
        <w:spacing w:after="490" w:afterLines="150" w:line="360" w:lineRule="auto"/>
        <w:ind w:firstLine="560" w:firstLineChars="200"/>
        <w:rPr>
          <w:rFonts w:hint="eastAsia" w:ascii="宋体" w:hAnsi="宋体" w:cs="宋体"/>
          <w:bCs/>
          <w:color w:val="auto"/>
          <w:sz w:val="28"/>
          <w:szCs w:val="28"/>
          <w:highlight w:val="none"/>
        </w:rPr>
      </w:pPr>
      <w:r>
        <w:rPr>
          <w:rFonts w:hint="eastAsia" w:ascii="宋体" w:hAnsi="宋体" w:cs="宋体"/>
          <w:bCs/>
          <w:color w:val="auto"/>
          <w:sz w:val="28"/>
          <w:szCs w:val="28"/>
          <w:highlight w:val="none"/>
        </w:rPr>
        <w:t>7</w:t>
      </w:r>
      <w:r>
        <w:rPr>
          <w:rFonts w:ascii="宋体" w:hAnsi="宋体" w:cs="宋体"/>
          <w:bCs/>
          <w:color w:val="auto"/>
          <w:sz w:val="28"/>
          <w:szCs w:val="28"/>
          <w:highlight w:val="none"/>
        </w:rPr>
        <w:t>.招标文件要求投标人提交的其他</w:t>
      </w:r>
      <w:r>
        <w:rPr>
          <w:rFonts w:hint="eastAsia" w:ascii="宋体" w:hAnsi="宋体" w:cs="宋体"/>
          <w:bCs/>
          <w:color w:val="auto"/>
          <w:sz w:val="28"/>
          <w:szCs w:val="28"/>
          <w:highlight w:val="none"/>
        </w:rPr>
        <w:t>资料</w:t>
      </w:r>
      <w:r>
        <w:rPr>
          <w:rFonts w:ascii="宋体" w:hAnsi="宋体" w:cs="宋体"/>
          <w:bCs/>
          <w:color w:val="auto"/>
          <w:sz w:val="28"/>
          <w:szCs w:val="28"/>
          <w:highlight w:val="none"/>
        </w:rPr>
        <w:t>(详见投标人须知前附表)</w:t>
      </w:r>
    </w:p>
    <w:p w14:paraId="27F2D440">
      <w:pPr>
        <w:spacing w:line="360" w:lineRule="auto"/>
        <w:jc w:val="center"/>
        <w:rPr>
          <w:rFonts w:hint="eastAsia" w:ascii="宋体" w:hAnsi="宋体"/>
          <w:color w:val="auto"/>
          <w:highlight w:val="none"/>
        </w:rPr>
      </w:pPr>
      <w:r>
        <w:rPr>
          <w:rFonts w:ascii="宋体" w:hAnsi="宋体"/>
          <w:color w:val="auto"/>
          <w:highlight w:val="none"/>
        </w:rPr>
        <w:br w:type="page"/>
      </w:r>
    </w:p>
    <w:p w14:paraId="29C554B9">
      <w:pPr>
        <w:widowControl/>
        <w:rPr>
          <w:rFonts w:hint="eastAsia" w:ascii="宋体" w:hAnsi="宋体" w:cs="宋体"/>
          <w:bCs/>
          <w:color w:val="auto"/>
          <w:highlight w:val="none"/>
        </w:rPr>
      </w:pPr>
    </w:p>
    <w:p w14:paraId="124FFCE6">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项目管理班子配备情况表</w:t>
      </w:r>
    </w:p>
    <w:p w14:paraId="21A5C62B">
      <w:pPr>
        <w:spacing w:line="360" w:lineRule="auto"/>
        <w:ind w:firstLine="717" w:firstLineChars="299"/>
        <w:rPr>
          <w:rFonts w:hint="eastAsia" w:hAnsi="宋体" w:cs="宋体"/>
          <w:color w:val="auto"/>
          <w:szCs w:val="28"/>
          <w:highlight w:val="none"/>
        </w:rPr>
      </w:pPr>
      <w:r>
        <w:rPr>
          <w:rFonts w:hint="eastAsia" w:hAnsi="宋体" w:cs="宋体"/>
          <w:color w:val="auto"/>
          <w:szCs w:val="28"/>
          <w:highlight w:val="none"/>
        </w:rPr>
        <w:t>项目名称：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20"/>
        <w:gridCol w:w="720"/>
        <w:gridCol w:w="888"/>
        <w:gridCol w:w="739"/>
        <w:gridCol w:w="760"/>
        <w:gridCol w:w="760"/>
        <w:gridCol w:w="1120"/>
        <w:gridCol w:w="980"/>
        <w:gridCol w:w="1070"/>
      </w:tblGrid>
      <w:tr w14:paraId="328C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restart"/>
            <w:vAlign w:val="center"/>
          </w:tcPr>
          <w:p w14:paraId="6FB02574">
            <w:pPr>
              <w:jc w:val="center"/>
              <w:rPr>
                <w:rFonts w:hint="eastAsia" w:hAnsi="宋体" w:cs="宋体"/>
                <w:color w:val="auto"/>
                <w:szCs w:val="28"/>
                <w:highlight w:val="none"/>
              </w:rPr>
            </w:pPr>
            <w:r>
              <w:rPr>
                <w:rFonts w:hint="eastAsia" w:hAnsi="宋体" w:cs="宋体"/>
                <w:color w:val="auto"/>
                <w:szCs w:val="28"/>
                <w:highlight w:val="none"/>
              </w:rPr>
              <w:t>职务</w:t>
            </w:r>
          </w:p>
        </w:tc>
        <w:tc>
          <w:tcPr>
            <w:tcW w:w="720" w:type="dxa"/>
            <w:vMerge w:val="restart"/>
            <w:vAlign w:val="center"/>
          </w:tcPr>
          <w:p w14:paraId="5399B811">
            <w:pPr>
              <w:jc w:val="center"/>
              <w:rPr>
                <w:rFonts w:hint="eastAsia" w:hAnsi="宋体" w:cs="宋体"/>
                <w:color w:val="auto"/>
                <w:szCs w:val="28"/>
                <w:highlight w:val="none"/>
              </w:rPr>
            </w:pPr>
            <w:r>
              <w:rPr>
                <w:rFonts w:hint="eastAsia" w:hAnsi="宋体" w:cs="宋体"/>
                <w:color w:val="auto"/>
                <w:szCs w:val="28"/>
                <w:highlight w:val="none"/>
              </w:rPr>
              <w:t>姓名</w:t>
            </w:r>
          </w:p>
        </w:tc>
        <w:tc>
          <w:tcPr>
            <w:tcW w:w="720" w:type="dxa"/>
            <w:vMerge w:val="restart"/>
            <w:vAlign w:val="center"/>
          </w:tcPr>
          <w:p w14:paraId="4B3757CA">
            <w:pPr>
              <w:jc w:val="center"/>
              <w:rPr>
                <w:rFonts w:hint="eastAsia" w:hAnsi="宋体" w:cs="宋体"/>
                <w:color w:val="auto"/>
                <w:szCs w:val="28"/>
                <w:highlight w:val="none"/>
              </w:rPr>
            </w:pPr>
            <w:r>
              <w:rPr>
                <w:rFonts w:hint="eastAsia" w:hAnsi="宋体" w:cs="宋体"/>
                <w:color w:val="auto"/>
                <w:szCs w:val="28"/>
                <w:highlight w:val="none"/>
              </w:rPr>
              <w:t>职称</w:t>
            </w:r>
          </w:p>
        </w:tc>
        <w:tc>
          <w:tcPr>
            <w:tcW w:w="4267" w:type="dxa"/>
            <w:gridSpan w:val="5"/>
            <w:vAlign w:val="center"/>
          </w:tcPr>
          <w:p w14:paraId="252FC4A4">
            <w:pPr>
              <w:jc w:val="center"/>
              <w:rPr>
                <w:rFonts w:hint="eastAsia" w:hAnsi="宋体" w:cs="宋体"/>
                <w:color w:val="auto"/>
                <w:szCs w:val="28"/>
                <w:highlight w:val="none"/>
              </w:rPr>
            </w:pPr>
            <w:r>
              <w:rPr>
                <w:rFonts w:hint="eastAsia" w:hAnsi="宋体" w:cs="宋体"/>
                <w:color w:val="auto"/>
                <w:szCs w:val="28"/>
                <w:highlight w:val="none"/>
              </w:rPr>
              <w:t>岗位资格证明</w:t>
            </w:r>
          </w:p>
        </w:tc>
        <w:tc>
          <w:tcPr>
            <w:tcW w:w="2050" w:type="dxa"/>
            <w:gridSpan w:val="2"/>
            <w:vAlign w:val="center"/>
          </w:tcPr>
          <w:p w14:paraId="34977C67">
            <w:pPr>
              <w:jc w:val="center"/>
              <w:rPr>
                <w:rFonts w:hint="eastAsia" w:hAnsi="宋体" w:cs="宋体"/>
                <w:color w:val="auto"/>
                <w:szCs w:val="28"/>
                <w:highlight w:val="none"/>
              </w:rPr>
            </w:pPr>
            <w:r>
              <w:rPr>
                <w:rFonts w:hint="eastAsia" w:hAnsi="宋体" w:cs="宋体"/>
                <w:color w:val="auto"/>
                <w:szCs w:val="28"/>
                <w:highlight w:val="none"/>
              </w:rPr>
              <w:t>已承担在建工程情况</w:t>
            </w:r>
          </w:p>
        </w:tc>
      </w:tr>
      <w:tr w14:paraId="0D75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continue"/>
          </w:tcPr>
          <w:p w14:paraId="4D02F2E6">
            <w:pPr>
              <w:spacing w:line="360" w:lineRule="auto"/>
              <w:rPr>
                <w:rFonts w:hint="eastAsia" w:hAnsi="宋体" w:cs="宋体"/>
                <w:color w:val="auto"/>
                <w:szCs w:val="28"/>
                <w:highlight w:val="none"/>
              </w:rPr>
            </w:pPr>
          </w:p>
        </w:tc>
        <w:tc>
          <w:tcPr>
            <w:tcW w:w="720" w:type="dxa"/>
            <w:vMerge w:val="continue"/>
            <w:tcBorders>
              <w:bottom w:val="single" w:color="auto" w:sz="4" w:space="0"/>
            </w:tcBorders>
          </w:tcPr>
          <w:p w14:paraId="052D3687">
            <w:pPr>
              <w:spacing w:line="360" w:lineRule="auto"/>
              <w:rPr>
                <w:rFonts w:hint="eastAsia" w:hAnsi="宋体" w:cs="宋体"/>
                <w:color w:val="auto"/>
                <w:szCs w:val="28"/>
                <w:highlight w:val="none"/>
              </w:rPr>
            </w:pPr>
          </w:p>
        </w:tc>
        <w:tc>
          <w:tcPr>
            <w:tcW w:w="720" w:type="dxa"/>
            <w:vMerge w:val="continue"/>
          </w:tcPr>
          <w:p w14:paraId="32918BC5">
            <w:pPr>
              <w:spacing w:line="360" w:lineRule="auto"/>
              <w:rPr>
                <w:rFonts w:hint="eastAsia" w:hAnsi="宋体" w:cs="宋体"/>
                <w:color w:val="auto"/>
                <w:szCs w:val="28"/>
                <w:highlight w:val="none"/>
              </w:rPr>
            </w:pPr>
          </w:p>
        </w:tc>
        <w:tc>
          <w:tcPr>
            <w:tcW w:w="888" w:type="dxa"/>
            <w:vAlign w:val="center"/>
          </w:tcPr>
          <w:p w14:paraId="14ABDD49">
            <w:pPr>
              <w:jc w:val="center"/>
              <w:rPr>
                <w:rFonts w:hint="eastAsia" w:hAnsi="宋体" w:cs="宋体"/>
                <w:color w:val="auto"/>
                <w:szCs w:val="28"/>
                <w:highlight w:val="none"/>
              </w:rPr>
            </w:pPr>
            <w:r>
              <w:rPr>
                <w:rFonts w:hint="eastAsia" w:hAnsi="宋体" w:cs="宋体"/>
                <w:color w:val="auto"/>
                <w:szCs w:val="28"/>
                <w:highlight w:val="none"/>
              </w:rPr>
              <w:t>证书</w:t>
            </w:r>
          </w:p>
          <w:p w14:paraId="2054EF65">
            <w:pPr>
              <w:jc w:val="center"/>
              <w:rPr>
                <w:rFonts w:hint="eastAsia" w:hAnsi="宋体" w:cs="宋体"/>
                <w:color w:val="auto"/>
                <w:szCs w:val="28"/>
                <w:highlight w:val="none"/>
              </w:rPr>
            </w:pPr>
            <w:r>
              <w:rPr>
                <w:rFonts w:hint="eastAsia" w:hAnsi="宋体" w:cs="宋体"/>
                <w:color w:val="auto"/>
                <w:szCs w:val="28"/>
                <w:highlight w:val="none"/>
              </w:rPr>
              <w:t>名称</w:t>
            </w:r>
          </w:p>
        </w:tc>
        <w:tc>
          <w:tcPr>
            <w:tcW w:w="739" w:type="dxa"/>
            <w:vAlign w:val="center"/>
          </w:tcPr>
          <w:p w14:paraId="7570C02B">
            <w:pPr>
              <w:jc w:val="center"/>
              <w:rPr>
                <w:rFonts w:hint="eastAsia" w:hAnsi="宋体" w:cs="宋体"/>
                <w:color w:val="auto"/>
                <w:szCs w:val="28"/>
                <w:highlight w:val="none"/>
              </w:rPr>
            </w:pPr>
            <w:r>
              <w:rPr>
                <w:rFonts w:hint="eastAsia" w:hAnsi="宋体" w:cs="宋体"/>
                <w:color w:val="auto"/>
                <w:szCs w:val="28"/>
                <w:highlight w:val="none"/>
              </w:rPr>
              <w:t>级别</w:t>
            </w:r>
          </w:p>
        </w:tc>
        <w:tc>
          <w:tcPr>
            <w:tcW w:w="760" w:type="dxa"/>
            <w:tcBorders>
              <w:bottom w:val="single" w:color="auto" w:sz="4" w:space="0"/>
            </w:tcBorders>
            <w:vAlign w:val="center"/>
          </w:tcPr>
          <w:p w14:paraId="01892098">
            <w:pPr>
              <w:jc w:val="center"/>
              <w:rPr>
                <w:rFonts w:hint="eastAsia" w:hAnsi="宋体" w:cs="宋体"/>
                <w:color w:val="auto"/>
                <w:szCs w:val="28"/>
                <w:highlight w:val="none"/>
              </w:rPr>
            </w:pPr>
            <w:r>
              <w:rPr>
                <w:rFonts w:hint="eastAsia" w:hAnsi="宋体" w:cs="宋体"/>
                <w:color w:val="auto"/>
                <w:szCs w:val="28"/>
                <w:highlight w:val="none"/>
              </w:rPr>
              <w:t>证号</w:t>
            </w:r>
          </w:p>
        </w:tc>
        <w:tc>
          <w:tcPr>
            <w:tcW w:w="760" w:type="dxa"/>
            <w:vAlign w:val="center"/>
          </w:tcPr>
          <w:p w14:paraId="04B41B26">
            <w:pPr>
              <w:jc w:val="center"/>
              <w:rPr>
                <w:rFonts w:hint="eastAsia" w:hAnsi="宋体" w:cs="宋体"/>
                <w:color w:val="auto"/>
                <w:szCs w:val="28"/>
                <w:highlight w:val="none"/>
              </w:rPr>
            </w:pPr>
            <w:r>
              <w:rPr>
                <w:rFonts w:hint="eastAsia" w:hAnsi="宋体" w:cs="宋体"/>
                <w:color w:val="auto"/>
                <w:szCs w:val="28"/>
                <w:highlight w:val="none"/>
              </w:rPr>
              <w:t>专业</w:t>
            </w:r>
          </w:p>
        </w:tc>
        <w:tc>
          <w:tcPr>
            <w:tcW w:w="1120" w:type="dxa"/>
            <w:tcBorders>
              <w:bottom w:val="single" w:color="auto" w:sz="4" w:space="0"/>
            </w:tcBorders>
            <w:vAlign w:val="center"/>
          </w:tcPr>
          <w:p w14:paraId="0C822F91">
            <w:pPr>
              <w:jc w:val="center"/>
              <w:rPr>
                <w:rFonts w:hint="eastAsia" w:hAnsi="宋体" w:cs="宋体"/>
                <w:color w:val="auto"/>
                <w:szCs w:val="28"/>
                <w:highlight w:val="none"/>
              </w:rPr>
            </w:pPr>
            <w:r>
              <w:rPr>
                <w:rFonts w:hint="eastAsia" w:hAnsi="宋体" w:cs="宋体"/>
                <w:color w:val="auto"/>
                <w:szCs w:val="28"/>
                <w:highlight w:val="none"/>
              </w:rPr>
              <w:t>原服务单位</w:t>
            </w:r>
          </w:p>
        </w:tc>
        <w:tc>
          <w:tcPr>
            <w:tcW w:w="980" w:type="dxa"/>
            <w:tcBorders>
              <w:bottom w:val="single" w:color="auto" w:sz="4" w:space="0"/>
            </w:tcBorders>
            <w:vAlign w:val="center"/>
          </w:tcPr>
          <w:p w14:paraId="79677378">
            <w:pPr>
              <w:jc w:val="center"/>
              <w:rPr>
                <w:rFonts w:hint="eastAsia" w:hAnsi="宋体" w:cs="宋体"/>
                <w:color w:val="auto"/>
                <w:szCs w:val="28"/>
                <w:highlight w:val="none"/>
              </w:rPr>
            </w:pPr>
            <w:r>
              <w:rPr>
                <w:rFonts w:hint="eastAsia" w:hAnsi="宋体" w:cs="宋体"/>
                <w:color w:val="auto"/>
                <w:szCs w:val="28"/>
                <w:highlight w:val="none"/>
              </w:rPr>
              <w:t>项目数</w:t>
            </w:r>
          </w:p>
        </w:tc>
        <w:tc>
          <w:tcPr>
            <w:tcW w:w="1070" w:type="dxa"/>
            <w:tcBorders>
              <w:bottom w:val="single" w:color="auto" w:sz="4" w:space="0"/>
            </w:tcBorders>
            <w:vAlign w:val="center"/>
          </w:tcPr>
          <w:p w14:paraId="10C5C075">
            <w:pPr>
              <w:jc w:val="center"/>
              <w:rPr>
                <w:rFonts w:hint="eastAsia" w:hAnsi="宋体" w:cs="宋体"/>
                <w:color w:val="auto"/>
                <w:szCs w:val="28"/>
                <w:highlight w:val="none"/>
              </w:rPr>
            </w:pPr>
            <w:r>
              <w:rPr>
                <w:rFonts w:hint="eastAsia" w:hAnsi="宋体" w:cs="宋体"/>
                <w:color w:val="auto"/>
                <w:szCs w:val="28"/>
                <w:highlight w:val="none"/>
              </w:rPr>
              <w:t>主要项目名称</w:t>
            </w:r>
          </w:p>
        </w:tc>
      </w:tr>
      <w:tr w14:paraId="7FD8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5E0A45CD">
            <w:pPr>
              <w:spacing w:line="360" w:lineRule="auto"/>
              <w:rPr>
                <w:rFonts w:hint="eastAsia" w:hAnsi="宋体" w:cs="宋体"/>
                <w:color w:val="auto"/>
                <w:szCs w:val="28"/>
                <w:highlight w:val="none"/>
              </w:rPr>
            </w:pPr>
          </w:p>
        </w:tc>
        <w:tc>
          <w:tcPr>
            <w:tcW w:w="720" w:type="dxa"/>
            <w:tcBorders>
              <w:bottom w:val="single" w:color="auto" w:sz="4" w:space="0"/>
            </w:tcBorders>
          </w:tcPr>
          <w:p w14:paraId="4B24A39C">
            <w:pPr>
              <w:spacing w:line="360" w:lineRule="auto"/>
              <w:rPr>
                <w:rFonts w:hint="eastAsia" w:hAnsi="宋体" w:cs="宋体"/>
                <w:color w:val="auto"/>
                <w:szCs w:val="28"/>
                <w:highlight w:val="none"/>
              </w:rPr>
            </w:pPr>
          </w:p>
        </w:tc>
        <w:tc>
          <w:tcPr>
            <w:tcW w:w="720" w:type="dxa"/>
          </w:tcPr>
          <w:p w14:paraId="57A58537">
            <w:pPr>
              <w:spacing w:line="360" w:lineRule="auto"/>
              <w:rPr>
                <w:rFonts w:hint="eastAsia" w:hAnsi="宋体" w:cs="宋体"/>
                <w:color w:val="auto"/>
                <w:szCs w:val="28"/>
                <w:highlight w:val="none"/>
              </w:rPr>
            </w:pPr>
          </w:p>
        </w:tc>
        <w:tc>
          <w:tcPr>
            <w:tcW w:w="888" w:type="dxa"/>
            <w:vAlign w:val="center"/>
          </w:tcPr>
          <w:p w14:paraId="03F47E41">
            <w:pPr>
              <w:jc w:val="center"/>
              <w:rPr>
                <w:rFonts w:hint="eastAsia" w:hAnsi="宋体" w:cs="宋体"/>
                <w:color w:val="auto"/>
                <w:szCs w:val="28"/>
                <w:highlight w:val="none"/>
              </w:rPr>
            </w:pPr>
          </w:p>
        </w:tc>
        <w:tc>
          <w:tcPr>
            <w:tcW w:w="739" w:type="dxa"/>
            <w:vAlign w:val="center"/>
          </w:tcPr>
          <w:p w14:paraId="559C2CF9">
            <w:pPr>
              <w:jc w:val="center"/>
              <w:rPr>
                <w:rFonts w:hint="eastAsia" w:hAnsi="宋体" w:cs="宋体"/>
                <w:color w:val="auto"/>
                <w:szCs w:val="28"/>
                <w:highlight w:val="none"/>
              </w:rPr>
            </w:pPr>
          </w:p>
        </w:tc>
        <w:tc>
          <w:tcPr>
            <w:tcW w:w="760" w:type="dxa"/>
            <w:tcBorders>
              <w:bottom w:val="single" w:color="auto" w:sz="4" w:space="0"/>
            </w:tcBorders>
            <w:vAlign w:val="center"/>
          </w:tcPr>
          <w:p w14:paraId="6376307C">
            <w:pPr>
              <w:jc w:val="center"/>
              <w:rPr>
                <w:rFonts w:hint="eastAsia" w:hAnsi="宋体" w:cs="宋体"/>
                <w:color w:val="auto"/>
                <w:szCs w:val="28"/>
                <w:highlight w:val="none"/>
              </w:rPr>
            </w:pPr>
          </w:p>
        </w:tc>
        <w:tc>
          <w:tcPr>
            <w:tcW w:w="760" w:type="dxa"/>
            <w:vAlign w:val="center"/>
          </w:tcPr>
          <w:p w14:paraId="482EF1B1">
            <w:pPr>
              <w:jc w:val="center"/>
              <w:rPr>
                <w:rFonts w:hint="eastAsia" w:hAnsi="宋体" w:cs="宋体"/>
                <w:color w:val="auto"/>
                <w:szCs w:val="28"/>
                <w:highlight w:val="none"/>
              </w:rPr>
            </w:pPr>
          </w:p>
        </w:tc>
        <w:tc>
          <w:tcPr>
            <w:tcW w:w="1120" w:type="dxa"/>
            <w:tcBorders>
              <w:bottom w:val="single" w:color="auto" w:sz="4" w:space="0"/>
            </w:tcBorders>
            <w:vAlign w:val="center"/>
          </w:tcPr>
          <w:p w14:paraId="4BFAFBAD">
            <w:pPr>
              <w:jc w:val="center"/>
              <w:rPr>
                <w:rFonts w:hint="eastAsia" w:hAnsi="宋体" w:cs="宋体"/>
                <w:color w:val="auto"/>
                <w:szCs w:val="28"/>
                <w:highlight w:val="none"/>
              </w:rPr>
            </w:pPr>
          </w:p>
        </w:tc>
        <w:tc>
          <w:tcPr>
            <w:tcW w:w="980" w:type="dxa"/>
            <w:tcBorders>
              <w:bottom w:val="single" w:color="auto" w:sz="4" w:space="0"/>
            </w:tcBorders>
            <w:vAlign w:val="center"/>
          </w:tcPr>
          <w:p w14:paraId="7695F6A8">
            <w:pPr>
              <w:jc w:val="center"/>
              <w:rPr>
                <w:rFonts w:hint="eastAsia" w:hAnsi="宋体" w:cs="宋体"/>
                <w:color w:val="auto"/>
                <w:szCs w:val="28"/>
                <w:highlight w:val="none"/>
              </w:rPr>
            </w:pPr>
          </w:p>
        </w:tc>
        <w:tc>
          <w:tcPr>
            <w:tcW w:w="1070" w:type="dxa"/>
            <w:tcBorders>
              <w:bottom w:val="single" w:color="auto" w:sz="4" w:space="0"/>
            </w:tcBorders>
            <w:vAlign w:val="center"/>
          </w:tcPr>
          <w:p w14:paraId="722490ED">
            <w:pPr>
              <w:jc w:val="center"/>
              <w:rPr>
                <w:rFonts w:hint="eastAsia" w:hAnsi="宋体" w:cs="宋体"/>
                <w:color w:val="auto"/>
                <w:szCs w:val="28"/>
                <w:highlight w:val="none"/>
              </w:rPr>
            </w:pPr>
          </w:p>
        </w:tc>
      </w:tr>
      <w:tr w14:paraId="2A53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39FF7A9F">
            <w:pPr>
              <w:spacing w:line="360" w:lineRule="auto"/>
              <w:rPr>
                <w:rFonts w:hint="eastAsia" w:hAnsi="宋体" w:cs="宋体"/>
                <w:color w:val="auto"/>
                <w:szCs w:val="28"/>
                <w:highlight w:val="none"/>
              </w:rPr>
            </w:pPr>
          </w:p>
        </w:tc>
        <w:tc>
          <w:tcPr>
            <w:tcW w:w="720" w:type="dxa"/>
            <w:tcBorders>
              <w:bottom w:val="single" w:color="auto" w:sz="4" w:space="0"/>
            </w:tcBorders>
          </w:tcPr>
          <w:p w14:paraId="190FED05">
            <w:pPr>
              <w:spacing w:line="360" w:lineRule="auto"/>
              <w:rPr>
                <w:rFonts w:hint="eastAsia" w:hAnsi="宋体" w:cs="宋体"/>
                <w:color w:val="auto"/>
                <w:szCs w:val="28"/>
                <w:highlight w:val="none"/>
              </w:rPr>
            </w:pPr>
          </w:p>
        </w:tc>
        <w:tc>
          <w:tcPr>
            <w:tcW w:w="720" w:type="dxa"/>
          </w:tcPr>
          <w:p w14:paraId="1304A8B1">
            <w:pPr>
              <w:spacing w:line="360" w:lineRule="auto"/>
              <w:rPr>
                <w:rFonts w:hint="eastAsia" w:hAnsi="宋体" w:cs="宋体"/>
                <w:color w:val="auto"/>
                <w:szCs w:val="28"/>
                <w:highlight w:val="none"/>
              </w:rPr>
            </w:pPr>
          </w:p>
        </w:tc>
        <w:tc>
          <w:tcPr>
            <w:tcW w:w="888" w:type="dxa"/>
            <w:vAlign w:val="center"/>
          </w:tcPr>
          <w:p w14:paraId="34C859E8">
            <w:pPr>
              <w:jc w:val="center"/>
              <w:rPr>
                <w:rFonts w:hint="eastAsia" w:hAnsi="宋体" w:cs="宋体"/>
                <w:color w:val="auto"/>
                <w:szCs w:val="28"/>
                <w:highlight w:val="none"/>
              </w:rPr>
            </w:pPr>
          </w:p>
        </w:tc>
        <w:tc>
          <w:tcPr>
            <w:tcW w:w="739" w:type="dxa"/>
            <w:vAlign w:val="center"/>
          </w:tcPr>
          <w:p w14:paraId="052DD753">
            <w:pPr>
              <w:jc w:val="center"/>
              <w:rPr>
                <w:rFonts w:hint="eastAsia" w:hAnsi="宋体" w:cs="宋体"/>
                <w:color w:val="auto"/>
                <w:szCs w:val="28"/>
                <w:highlight w:val="none"/>
              </w:rPr>
            </w:pPr>
          </w:p>
        </w:tc>
        <w:tc>
          <w:tcPr>
            <w:tcW w:w="760" w:type="dxa"/>
            <w:tcBorders>
              <w:bottom w:val="single" w:color="auto" w:sz="4" w:space="0"/>
            </w:tcBorders>
            <w:vAlign w:val="center"/>
          </w:tcPr>
          <w:p w14:paraId="4AAA4DEA">
            <w:pPr>
              <w:jc w:val="center"/>
              <w:rPr>
                <w:rFonts w:hint="eastAsia" w:hAnsi="宋体" w:cs="宋体"/>
                <w:color w:val="auto"/>
                <w:szCs w:val="28"/>
                <w:highlight w:val="none"/>
              </w:rPr>
            </w:pPr>
          </w:p>
        </w:tc>
        <w:tc>
          <w:tcPr>
            <w:tcW w:w="760" w:type="dxa"/>
            <w:vAlign w:val="center"/>
          </w:tcPr>
          <w:p w14:paraId="027BDDC8">
            <w:pPr>
              <w:jc w:val="center"/>
              <w:rPr>
                <w:rFonts w:hint="eastAsia" w:hAnsi="宋体" w:cs="宋体"/>
                <w:color w:val="auto"/>
                <w:szCs w:val="28"/>
                <w:highlight w:val="none"/>
              </w:rPr>
            </w:pPr>
          </w:p>
        </w:tc>
        <w:tc>
          <w:tcPr>
            <w:tcW w:w="1120" w:type="dxa"/>
            <w:tcBorders>
              <w:bottom w:val="single" w:color="auto" w:sz="4" w:space="0"/>
            </w:tcBorders>
            <w:vAlign w:val="center"/>
          </w:tcPr>
          <w:p w14:paraId="64F7F7FA">
            <w:pPr>
              <w:jc w:val="center"/>
              <w:rPr>
                <w:rFonts w:hint="eastAsia" w:hAnsi="宋体" w:cs="宋体"/>
                <w:color w:val="auto"/>
                <w:szCs w:val="28"/>
                <w:highlight w:val="none"/>
              </w:rPr>
            </w:pPr>
          </w:p>
        </w:tc>
        <w:tc>
          <w:tcPr>
            <w:tcW w:w="980" w:type="dxa"/>
            <w:tcBorders>
              <w:bottom w:val="single" w:color="auto" w:sz="4" w:space="0"/>
            </w:tcBorders>
            <w:vAlign w:val="center"/>
          </w:tcPr>
          <w:p w14:paraId="17F1261D">
            <w:pPr>
              <w:jc w:val="center"/>
              <w:rPr>
                <w:rFonts w:hint="eastAsia" w:hAnsi="宋体" w:cs="宋体"/>
                <w:color w:val="auto"/>
                <w:szCs w:val="28"/>
                <w:highlight w:val="none"/>
              </w:rPr>
            </w:pPr>
          </w:p>
        </w:tc>
        <w:tc>
          <w:tcPr>
            <w:tcW w:w="1070" w:type="dxa"/>
            <w:tcBorders>
              <w:bottom w:val="single" w:color="auto" w:sz="4" w:space="0"/>
            </w:tcBorders>
            <w:vAlign w:val="center"/>
          </w:tcPr>
          <w:p w14:paraId="194FED6C">
            <w:pPr>
              <w:jc w:val="center"/>
              <w:rPr>
                <w:rFonts w:hint="eastAsia" w:hAnsi="宋体" w:cs="宋体"/>
                <w:color w:val="auto"/>
                <w:szCs w:val="28"/>
                <w:highlight w:val="none"/>
              </w:rPr>
            </w:pPr>
          </w:p>
        </w:tc>
      </w:tr>
      <w:tr w14:paraId="467C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71F511E9">
            <w:pPr>
              <w:spacing w:line="360" w:lineRule="auto"/>
              <w:rPr>
                <w:rFonts w:hint="eastAsia" w:hAnsi="宋体" w:cs="宋体"/>
                <w:color w:val="auto"/>
                <w:szCs w:val="28"/>
                <w:highlight w:val="none"/>
              </w:rPr>
            </w:pPr>
          </w:p>
        </w:tc>
        <w:tc>
          <w:tcPr>
            <w:tcW w:w="720" w:type="dxa"/>
            <w:tcBorders>
              <w:bottom w:val="single" w:color="auto" w:sz="4" w:space="0"/>
            </w:tcBorders>
          </w:tcPr>
          <w:p w14:paraId="61BCFA2C">
            <w:pPr>
              <w:spacing w:line="360" w:lineRule="auto"/>
              <w:rPr>
                <w:rFonts w:hint="eastAsia" w:hAnsi="宋体" w:cs="宋体"/>
                <w:color w:val="auto"/>
                <w:szCs w:val="28"/>
                <w:highlight w:val="none"/>
              </w:rPr>
            </w:pPr>
          </w:p>
        </w:tc>
        <w:tc>
          <w:tcPr>
            <w:tcW w:w="720" w:type="dxa"/>
          </w:tcPr>
          <w:p w14:paraId="29D664CB">
            <w:pPr>
              <w:spacing w:line="360" w:lineRule="auto"/>
              <w:rPr>
                <w:rFonts w:hint="eastAsia" w:hAnsi="宋体" w:cs="宋体"/>
                <w:color w:val="auto"/>
                <w:szCs w:val="28"/>
                <w:highlight w:val="none"/>
              </w:rPr>
            </w:pPr>
          </w:p>
        </w:tc>
        <w:tc>
          <w:tcPr>
            <w:tcW w:w="888" w:type="dxa"/>
            <w:vAlign w:val="center"/>
          </w:tcPr>
          <w:p w14:paraId="20E58E6C">
            <w:pPr>
              <w:jc w:val="center"/>
              <w:rPr>
                <w:rFonts w:hint="eastAsia" w:hAnsi="宋体" w:cs="宋体"/>
                <w:color w:val="auto"/>
                <w:szCs w:val="28"/>
                <w:highlight w:val="none"/>
              </w:rPr>
            </w:pPr>
          </w:p>
        </w:tc>
        <w:tc>
          <w:tcPr>
            <w:tcW w:w="739" w:type="dxa"/>
            <w:vAlign w:val="center"/>
          </w:tcPr>
          <w:p w14:paraId="21959470">
            <w:pPr>
              <w:jc w:val="center"/>
              <w:rPr>
                <w:rFonts w:hint="eastAsia" w:hAnsi="宋体" w:cs="宋体"/>
                <w:color w:val="auto"/>
                <w:szCs w:val="28"/>
                <w:highlight w:val="none"/>
              </w:rPr>
            </w:pPr>
          </w:p>
        </w:tc>
        <w:tc>
          <w:tcPr>
            <w:tcW w:w="760" w:type="dxa"/>
            <w:tcBorders>
              <w:bottom w:val="single" w:color="auto" w:sz="4" w:space="0"/>
            </w:tcBorders>
            <w:vAlign w:val="center"/>
          </w:tcPr>
          <w:p w14:paraId="026C3FF1">
            <w:pPr>
              <w:jc w:val="center"/>
              <w:rPr>
                <w:rFonts w:hint="eastAsia" w:hAnsi="宋体" w:cs="宋体"/>
                <w:color w:val="auto"/>
                <w:szCs w:val="28"/>
                <w:highlight w:val="none"/>
              </w:rPr>
            </w:pPr>
          </w:p>
        </w:tc>
        <w:tc>
          <w:tcPr>
            <w:tcW w:w="760" w:type="dxa"/>
            <w:vAlign w:val="center"/>
          </w:tcPr>
          <w:p w14:paraId="0DDDBD52">
            <w:pPr>
              <w:jc w:val="center"/>
              <w:rPr>
                <w:rFonts w:hint="eastAsia" w:hAnsi="宋体" w:cs="宋体"/>
                <w:color w:val="auto"/>
                <w:szCs w:val="28"/>
                <w:highlight w:val="none"/>
              </w:rPr>
            </w:pPr>
          </w:p>
        </w:tc>
        <w:tc>
          <w:tcPr>
            <w:tcW w:w="1120" w:type="dxa"/>
            <w:tcBorders>
              <w:bottom w:val="single" w:color="auto" w:sz="4" w:space="0"/>
            </w:tcBorders>
            <w:vAlign w:val="center"/>
          </w:tcPr>
          <w:p w14:paraId="0EB4B22F">
            <w:pPr>
              <w:jc w:val="center"/>
              <w:rPr>
                <w:rFonts w:hint="eastAsia" w:hAnsi="宋体" w:cs="宋体"/>
                <w:color w:val="auto"/>
                <w:szCs w:val="28"/>
                <w:highlight w:val="none"/>
              </w:rPr>
            </w:pPr>
          </w:p>
        </w:tc>
        <w:tc>
          <w:tcPr>
            <w:tcW w:w="980" w:type="dxa"/>
            <w:tcBorders>
              <w:bottom w:val="single" w:color="auto" w:sz="4" w:space="0"/>
            </w:tcBorders>
            <w:vAlign w:val="center"/>
          </w:tcPr>
          <w:p w14:paraId="452472D1">
            <w:pPr>
              <w:jc w:val="center"/>
              <w:rPr>
                <w:rFonts w:hint="eastAsia" w:hAnsi="宋体" w:cs="宋体"/>
                <w:color w:val="auto"/>
                <w:szCs w:val="28"/>
                <w:highlight w:val="none"/>
              </w:rPr>
            </w:pPr>
          </w:p>
        </w:tc>
        <w:tc>
          <w:tcPr>
            <w:tcW w:w="1070" w:type="dxa"/>
            <w:tcBorders>
              <w:bottom w:val="single" w:color="auto" w:sz="4" w:space="0"/>
            </w:tcBorders>
            <w:vAlign w:val="center"/>
          </w:tcPr>
          <w:p w14:paraId="2255892E">
            <w:pPr>
              <w:jc w:val="center"/>
              <w:rPr>
                <w:rFonts w:hint="eastAsia" w:hAnsi="宋体" w:cs="宋体"/>
                <w:color w:val="auto"/>
                <w:szCs w:val="28"/>
                <w:highlight w:val="none"/>
              </w:rPr>
            </w:pPr>
          </w:p>
        </w:tc>
      </w:tr>
      <w:tr w14:paraId="7C39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2D9F5A22">
            <w:pPr>
              <w:spacing w:line="360" w:lineRule="auto"/>
              <w:rPr>
                <w:rFonts w:hint="eastAsia" w:hAnsi="宋体" w:cs="宋体"/>
                <w:color w:val="auto"/>
                <w:szCs w:val="28"/>
                <w:highlight w:val="none"/>
              </w:rPr>
            </w:pPr>
          </w:p>
        </w:tc>
        <w:tc>
          <w:tcPr>
            <w:tcW w:w="720" w:type="dxa"/>
            <w:tcBorders>
              <w:bottom w:val="single" w:color="auto" w:sz="4" w:space="0"/>
            </w:tcBorders>
          </w:tcPr>
          <w:p w14:paraId="5551A65D">
            <w:pPr>
              <w:spacing w:line="360" w:lineRule="auto"/>
              <w:rPr>
                <w:rFonts w:hint="eastAsia" w:hAnsi="宋体" w:cs="宋体"/>
                <w:color w:val="auto"/>
                <w:szCs w:val="28"/>
                <w:highlight w:val="none"/>
              </w:rPr>
            </w:pPr>
          </w:p>
        </w:tc>
        <w:tc>
          <w:tcPr>
            <w:tcW w:w="720" w:type="dxa"/>
          </w:tcPr>
          <w:p w14:paraId="386819B9">
            <w:pPr>
              <w:spacing w:line="360" w:lineRule="auto"/>
              <w:rPr>
                <w:rFonts w:hint="eastAsia" w:hAnsi="宋体" w:cs="宋体"/>
                <w:color w:val="auto"/>
                <w:szCs w:val="28"/>
                <w:highlight w:val="none"/>
              </w:rPr>
            </w:pPr>
          </w:p>
        </w:tc>
        <w:tc>
          <w:tcPr>
            <w:tcW w:w="888" w:type="dxa"/>
            <w:vAlign w:val="center"/>
          </w:tcPr>
          <w:p w14:paraId="0CAFA32E">
            <w:pPr>
              <w:jc w:val="center"/>
              <w:rPr>
                <w:rFonts w:hint="eastAsia" w:hAnsi="宋体" w:cs="宋体"/>
                <w:color w:val="auto"/>
                <w:szCs w:val="28"/>
                <w:highlight w:val="none"/>
              </w:rPr>
            </w:pPr>
          </w:p>
        </w:tc>
        <w:tc>
          <w:tcPr>
            <w:tcW w:w="739" w:type="dxa"/>
            <w:vAlign w:val="center"/>
          </w:tcPr>
          <w:p w14:paraId="4913CE70">
            <w:pPr>
              <w:jc w:val="center"/>
              <w:rPr>
                <w:rFonts w:hint="eastAsia" w:hAnsi="宋体" w:cs="宋体"/>
                <w:color w:val="auto"/>
                <w:szCs w:val="28"/>
                <w:highlight w:val="none"/>
              </w:rPr>
            </w:pPr>
          </w:p>
        </w:tc>
        <w:tc>
          <w:tcPr>
            <w:tcW w:w="760" w:type="dxa"/>
            <w:tcBorders>
              <w:bottom w:val="single" w:color="auto" w:sz="4" w:space="0"/>
            </w:tcBorders>
            <w:vAlign w:val="center"/>
          </w:tcPr>
          <w:p w14:paraId="17E37768">
            <w:pPr>
              <w:jc w:val="center"/>
              <w:rPr>
                <w:rFonts w:hint="eastAsia" w:hAnsi="宋体" w:cs="宋体"/>
                <w:color w:val="auto"/>
                <w:szCs w:val="28"/>
                <w:highlight w:val="none"/>
              </w:rPr>
            </w:pPr>
          </w:p>
        </w:tc>
        <w:tc>
          <w:tcPr>
            <w:tcW w:w="760" w:type="dxa"/>
            <w:vAlign w:val="center"/>
          </w:tcPr>
          <w:p w14:paraId="0C6886A8">
            <w:pPr>
              <w:jc w:val="center"/>
              <w:rPr>
                <w:rFonts w:hint="eastAsia" w:hAnsi="宋体" w:cs="宋体"/>
                <w:color w:val="auto"/>
                <w:szCs w:val="28"/>
                <w:highlight w:val="none"/>
              </w:rPr>
            </w:pPr>
          </w:p>
        </w:tc>
        <w:tc>
          <w:tcPr>
            <w:tcW w:w="1120" w:type="dxa"/>
            <w:tcBorders>
              <w:bottom w:val="single" w:color="auto" w:sz="4" w:space="0"/>
            </w:tcBorders>
            <w:vAlign w:val="center"/>
          </w:tcPr>
          <w:p w14:paraId="2102A583">
            <w:pPr>
              <w:jc w:val="center"/>
              <w:rPr>
                <w:rFonts w:hint="eastAsia" w:hAnsi="宋体" w:cs="宋体"/>
                <w:color w:val="auto"/>
                <w:szCs w:val="28"/>
                <w:highlight w:val="none"/>
              </w:rPr>
            </w:pPr>
          </w:p>
        </w:tc>
        <w:tc>
          <w:tcPr>
            <w:tcW w:w="980" w:type="dxa"/>
            <w:tcBorders>
              <w:bottom w:val="single" w:color="auto" w:sz="4" w:space="0"/>
            </w:tcBorders>
            <w:vAlign w:val="center"/>
          </w:tcPr>
          <w:p w14:paraId="7D945B31">
            <w:pPr>
              <w:jc w:val="center"/>
              <w:rPr>
                <w:rFonts w:hint="eastAsia" w:hAnsi="宋体" w:cs="宋体"/>
                <w:color w:val="auto"/>
                <w:szCs w:val="28"/>
                <w:highlight w:val="none"/>
              </w:rPr>
            </w:pPr>
          </w:p>
        </w:tc>
        <w:tc>
          <w:tcPr>
            <w:tcW w:w="1070" w:type="dxa"/>
            <w:tcBorders>
              <w:bottom w:val="single" w:color="auto" w:sz="4" w:space="0"/>
            </w:tcBorders>
            <w:vAlign w:val="center"/>
          </w:tcPr>
          <w:p w14:paraId="3F7B6761">
            <w:pPr>
              <w:jc w:val="center"/>
              <w:rPr>
                <w:rFonts w:hint="eastAsia" w:hAnsi="宋体" w:cs="宋体"/>
                <w:color w:val="auto"/>
                <w:szCs w:val="28"/>
                <w:highlight w:val="none"/>
              </w:rPr>
            </w:pPr>
          </w:p>
        </w:tc>
      </w:tr>
      <w:tr w14:paraId="1840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4EE33B1D">
            <w:pPr>
              <w:spacing w:line="360" w:lineRule="auto"/>
              <w:rPr>
                <w:rFonts w:hint="eastAsia" w:hAnsi="宋体" w:cs="宋体"/>
                <w:color w:val="auto"/>
                <w:szCs w:val="28"/>
                <w:highlight w:val="none"/>
              </w:rPr>
            </w:pPr>
          </w:p>
        </w:tc>
        <w:tc>
          <w:tcPr>
            <w:tcW w:w="720" w:type="dxa"/>
            <w:tcBorders>
              <w:bottom w:val="single" w:color="auto" w:sz="4" w:space="0"/>
            </w:tcBorders>
          </w:tcPr>
          <w:p w14:paraId="7E5F97C8">
            <w:pPr>
              <w:spacing w:line="360" w:lineRule="auto"/>
              <w:rPr>
                <w:rFonts w:hint="eastAsia" w:hAnsi="宋体" w:cs="宋体"/>
                <w:color w:val="auto"/>
                <w:szCs w:val="28"/>
                <w:highlight w:val="none"/>
              </w:rPr>
            </w:pPr>
          </w:p>
        </w:tc>
        <w:tc>
          <w:tcPr>
            <w:tcW w:w="720" w:type="dxa"/>
          </w:tcPr>
          <w:p w14:paraId="344EC21A">
            <w:pPr>
              <w:spacing w:line="360" w:lineRule="auto"/>
              <w:rPr>
                <w:rFonts w:hint="eastAsia" w:hAnsi="宋体" w:cs="宋体"/>
                <w:color w:val="auto"/>
                <w:szCs w:val="28"/>
                <w:highlight w:val="none"/>
              </w:rPr>
            </w:pPr>
          </w:p>
        </w:tc>
        <w:tc>
          <w:tcPr>
            <w:tcW w:w="888" w:type="dxa"/>
            <w:vAlign w:val="center"/>
          </w:tcPr>
          <w:p w14:paraId="4C792F65">
            <w:pPr>
              <w:jc w:val="center"/>
              <w:rPr>
                <w:rFonts w:hint="eastAsia" w:hAnsi="宋体" w:cs="宋体"/>
                <w:color w:val="auto"/>
                <w:szCs w:val="28"/>
                <w:highlight w:val="none"/>
              </w:rPr>
            </w:pPr>
          </w:p>
        </w:tc>
        <w:tc>
          <w:tcPr>
            <w:tcW w:w="739" w:type="dxa"/>
            <w:vAlign w:val="center"/>
          </w:tcPr>
          <w:p w14:paraId="601C0843">
            <w:pPr>
              <w:jc w:val="center"/>
              <w:rPr>
                <w:rFonts w:hint="eastAsia" w:hAnsi="宋体" w:cs="宋体"/>
                <w:color w:val="auto"/>
                <w:szCs w:val="28"/>
                <w:highlight w:val="none"/>
              </w:rPr>
            </w:pPr>
          </w:p>
        </w:tc>
        <w:tc>
          <w:tcPr>
            <w:tcW w:w="760" w:type="dxa"/>
            <w:tcBorders>
              <w:bottom w:val="single" w:color="auto" w:sz="4" w:space="0"/>
            </w:tcBorders>
            <w:vAlign w:val="center"/>
          </w:tcPr>
          <w:p w14:paraId="2E75D2A0">
            <w:pPr>
              <w:jc w:val="center"/>
              <w:rPr>
                <w:rFonts w:hint="eastAsia" w:hAnsi="宋体" w:cs="宋体"/>
                <w:color w:val="auto"/>
                <w:szCs w:val="28"/>
                <w:highlight w:val="none"/>
              </w:rPr>
            </w:pPr>
          </w:p>
        </w:tc>
        <w:tc>
          <w:tcPr>
            <w:tcW w:w="760" w:type="dxa"/>
            <w:vAlign w:val="center"/>
          </w:tcPr>
          <w:p w14:paraId="791E0742">
            <w:pPr>
              <w:jc w:val="center"/>
              <w:rPr>
                <w:rFonts w:hint="eastAsia" w:hAnsi="宋体" w:cs="宋体"/>
                <w:color w:val="auto"/>
                <w:szCs w:val="28"/>
                <w:highlight w:val="none"/>
              </w:rPr>
            </w:pPr>
          </w:p>
        </w:tc>
        <w:tc>
          <w:tcPr>
            <w:tcW w:w="1120" w:type="dxa"/>
            <w:tcBorders>
              <w:bottom w:val="single" w:color="auto" w:sz="4" w:space="0"/>
            </w:tcBorders>
            <w:vAlign w:val="center"/>
          </w:tcPr>
          <w:p w14:paraId="10096597">
            <w:pPr>
              <w:jc w:val="center"/>
              <w:rPr>
                <w:rFonts w:hint="eastAsia" w:hAnsi="宋体" w:cs="宋体"/>
                <w:color w:val="auto"/>
                <w:szCs w:val="28"/>
                <w:highlight w:val="none"/>
              </w:rPr>
            </w:pPr>
          </w:p>
        </w:tc>
        <w:tc>
          <w:tcPr>
            <w:tcW w:w="980" w:type="dxa"/>
            <w:tcBorders>
              <w:bottom w:val="single" w:color="auto" w:sz="4" w:space="0"/>
            </w:tcBorders>
            <w:vAlign w:val="center"/>
          </w:tcPr>
          <w:p w14:paraId="538B1A03">
            <w:pPr>
              <w:jc w:val="center"/>
              <w:rPr>
                <w:rFonts w:hint="eastAsia" w:hAnsi="宋体" w:cs="宋体"/>
                <w:color w:val="auto"/>
                <w:szCs w:val="28"/>
                <w:highlight w:val="none"/>
              </w:rPr>
            </w:pPr>
          </w:p>
        </w:tc>
        <w:tc>
          <w:tcPr>
            <w:tcW w:w="1070" w:type="dxa"/>
            <w:tcBorders>
              <w:bottom w:val="single" w:color="auto" w:sz="4" w:space="0"/>
            </w:tcBorders>
            <w:vAlign w:val="center"/>
          </w:tcPr>
          <w:p w14:paraId="1A71BBDC">
            <w:pPr>
              <w:jc w:val="center"/>
              <w:rPr>
                <w:rFonts w:hint="eastAsia" w:hAnsi="宋体" w:cs="宋体"/>
                <w:color w:val="auto"/>
                <w:szCs w:val="28"/>
                <w:highlight w:val="none"/>
              </w:rPr>
            </w:pPr>
          </w:p>
        </w:tc>
      </w:tr>
      <w:tr w14:paraId="6025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0364363A">
            <w:pPr>
              <w:spacing w:line="360" w:lineRule="auto"/>
              <w:rPr>
                <w:rFonts w:hint="eastAsia" w:hAnsi="宋体" w:cs="宋体"/>
                <w:color w:val="auto"/>
                <w:szCs w:val="28"/>
                <w:highlight w:val="none"/>
              </w:rPr>
            </w:pPr>
          </w:p>
        </w:tc>
        <w:tc>
          <w:tcPr>
            <w:tcW w:w="720" w:type="dxa"/>
            <w:tcBorders>
              <w:bottom w:val="single" w:color="auto" w:sz="4" w:space="0"/>
            </w:tcBorders>
          </w:tcPr>
          <w:p w14:paraId="36810DF0">
            <w:pPr>
              <w:spacing w:line="360" w:lineRule="auto"/>
              <w:rPr>
                <w:rFonts w:hint="eastAsia" w:hAnsi="宋体" w:cs="宋体"/>
                <w:color w:val="auto"/>
                <w:szCs w:val="28"/>
                <w:highlight w:val="none"/>
              </w:rPr>
            </w:pPr>
          </w:p>
        </w:tc>
        <w:tc>
          <w:tcPr>
            <w:tcW w:w="720" w:type="dxa"/>
          </w:tcPr>
          <w:p w14:paraId="100072E0">
            <w:pPr>
              <w:spacing w:line="360" w:lineRule="auto"/>
              <w:rPr>
                <w:rFonts w:hint="eastAsia" w:hAnsi="宋体" w:cs="宋体"/>
                <w:color w:val="auto"/>
                <w:szCs w:val="28"/>
                <w:highlight w:val="none"/>
              </w:rPr>
            </w:pPr>
          </w:p>
        </w:tc>
        <w:tc>
          <w:tcPr>
            <w:tcW w:w="888" w:type="dxa"/>
            <w:vAlign w:val="center"/>
          </w:tcPr>
          <w:p w14:paraId="7C43C82C">
            <w:pPr>
              <w:jc w:val="center"/>
              <w:rPr>
                <w:rFonts w:hint="eastAsia" w:hAnsi="宋体" w:cs="宋体"/>
                <w:color w:val="auto"/>
                <w:szCs w:val="28"/>
                <w:highlight w:val="none"/>
              </w:rPr>
            </w:pPr>
          </w:p>
        </w:tc>
        <w:tc>
          <w:tcPr>
            <w:tcW w:w="739" w:type="dxa"/>
            <w:vAlign w:val="center"/>
          </w:tcPr>
          <w:p w14:paraId="4F634728">
            <w:pPr>
              <w:jc w:val="center"/>
              <w:rPr>
                <w:rFonts w:hint="eastAsia" w:hAnsi="宋体" w:cs="宋体"/>
                <w:color w:val="auto"/>
                <w:szCs w:val="28"/>
                <w:highlight w:val="none"/>
              </w:rPr>
            </w:pPr>
          </w:p>
        </w:tc>
        <w:tc>
          <w:tcPr>
            <w:tcW w:w="760" w:type="dxa"/>
            <w:tcBorders>
              <w:bottom w:val="single" w:color="auto" w:sz="4" w:space="0"/>
            </w:tcBorders>
            <w:vAlign w:val="center"/>
          </w:tcPr>
          <w:p w14:paraId="2EAD9715">
            <w:pPr>
              <w:jc w:val="center"/>
              <w:rPr>
                <w:rFonts w:hint="eastAsia" w:hAnsi="宋体" w:cs="宋体"/>
                <w:color w:val="auto"/>
                <w:szCs w:val="28"/>
                <w:highlight w:val="none"/>
              </w:rPr>
            </w:pPr>
          </w:p>
        </w:tc>
        <w:tc>
          <w:tcPr>
            <w:tcW w:w="760" w:type="dxa"/>
            <w:vAlign w:val="center"/>
          </w:tcPr>
          <w:p w14:paraId="5489DA64">
            <w:pPr>
              <w:jc w:val="center"/>
              <w:rPr>
                <w:rFonts w:hint="eastAsia" w:hAnsi="宋体" w:cs="宋体"/>
                <w:color w:val="auto"/>
                <w:szCs w:val="28"/>
                <w:highlight w:val="none"/>
              </w:rPr>
            </w:pPr>
          </w:p>
        </w:tc>
        <w:tc>
          <w:tcPr>
            <w:tcW w:w="1120" w:type="dxa"/>
            <w:tcBorders>
              <w:bottom w:val="single" w:color="auto" w:sz="4" w:space="0"/>
            </w:tcBorders>
            <w:vAlign w:val="center"/>
          </w:tcPr>
          <w:p w14:paraId="478C1F65">
            <w:pPr>
              <w:jc w:val="center"/>
              <w:rPr>
                <w:rFonts w:hint="eastAsia" w:hAnsi="宋体" w:cs="宋体"/>
                <w:color w:val="auto"/>
                <w:szCs w:val="28"/>
                <w:highlight w:val="none"/>
              </w:rPr>
            </w:pPr>
          </w:p>
        </w:tc>
        <w:tc>
          <w:tcPr>
            <w:tcW w:w="980" w:type="dxa"/>
            <w:tcBorders>
              <w:bottom w:val="single" w:color="auto" w:sz="4" w:space="0"/>
            </w:tcBorders>
            <w:vAlign w:val="center"/>
          </w:tcPr>
          <w:p w14:paraId="659D4333">
            <w:pPr>
              <w:jc w:val="center"/>
              <w:rPr>
                <w:rFonts w:hint="eastAsia" w:hAnsi="宋体" w:cs="宋体"/>
                <w:color w:val="auto"/>
                <w:szCs w:val="28"/>
                <w:highlight w:val="none"/>
              </w:rPr>
            </w:pPr>
          </w:p>
        </w:tc>
        <w:tc>
          <w:tcPr>
            <w:tcW w:w="1070" w:type="dxa"/>
            <w:tcBorders>
              <w:bottom w:val="single" w:color="auto" w:sz="4" w:space="0"/>
            </w:tcBorders>
            <w:vAlign w:val="center"/>
          </w:tcPr>
          <w:p w14:paraId="5D27EFBD">
            <w:pPr>
              <w:jc w:val="center"/>
              <w:rPr>
                <w:rFonts w:hint="eastAsia" w:hAnsi="宋体" w:cs="宋体"/>
                <w:color w:val="auto"/>
                <w:szCs w:val="28"/>
                <w:highlight w:val="none"/>
              </w:rPr>
            </w:pPr>
          </w:p>
        </w:tc>
      </w:tr>
      <w:tr w14:paraId="0615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0A951332">
            <w:pPr>
              <w:spacing w:line="360" w:lineRule="auto"/>
              <w:rPr>
                <w:rFonts w:hint="eastAsia" w:hAnsi="宋体" w:cs="宋体"/>
                <w:color w:val="auto"/>
                <w:szCs w:val="28"/>
                <w:highlight w:val="none"/>
              </w:rPr>
            </w:pPr>
          </w:p>
        </w:tc>
        <w:tc>
          <w:tcPr>
            <w:tcW w:w="720" w:type="dxa"/>
            <w:tcBorders>
              <w:bottom w:val="single" w:color="auto" w:sz="4" w:space="0"/>
            </w:tcBorders>
          </w:tcPr>
          <w:p w14:paraId="140E1DD0">
            <w:pPr>
              <w:spacing w:line="360" w:lineRule="auto"/>
              <w:rPr>
                <w:rFonts w:hint="eastAsia" w:hAnsi="宋体" w:cs="宋体"/>
                <w:color w:val="auto"/>
                <w:szCs w:val="28"/>
                <w:highlight w:val="none"/>
              </w:rPr>
            </w:pPr>
          </w:p>
        </w:tc>
        <w:tc>
          <w:tcPr>
            <w:tcW w:w="720" w:type="dxa"/>
          </w:tcPr>
          <w:p w14:paraId="7C9A7453">
            <w:pPr>
              <w:spacing w:line="360" w:lineRule="auto"/>
              <w:rPr>
                <w:rFonts w:hint="eastAsia" w:hAnsi="宋体" w:cs="宋体"/>
                <w:color w:val="auto"/>
                <w:szCs w:val="28"/>
                <w:highlight w:val="none"/>
              </w:rPr>
            </w:pPr>
          </w:p>
        </w:tc>
        <w:tc>
          <w:tcPr>
            <w:tcW w:w="888" w:type="dxa"/>
            <w:vAlign w:val="center"/>
          </w:tcPr>
          <w:p w14:paraId="4C6D8418">
            <w:pPr>
              <w:jc w:val="center"/>
              <w:rPr>
                <w:rFonts w:hint="eastAsia" w:hAnsi="宋体" w:cs="宋体"/>
                <w:color w:val="auto"/>
                <w:szCs w:val="28"/>
                <w:highlight w:val="none"/>
              </w:rPr>
            </w:pPr>
          </w:p>
        </w:tc>
        <w:tc>
          <w:tcPr>
            <w:tcW w:w="739" w:type="dxa"/>
            <w:vAlign w:val="center"/>
          </w:tcPr>
          <w:p w14:paraId="207174F2">
            <w:pPr>
              <w:jc w:val="center"/>
              <w:rPr>
                <w:rFonts w:hint="eastAsia" w:hAnsi="宋体" w:cs="宋体"/>
                <w:color w:val="auto"/>
                <w:szCs w:val="28"/>
                <w:highlight w:val="none"/>
              </w:rPr>
            </w:pPr>
          </w:p>
        </w:tc>
        <w:tc>
          <w:tcPr>
            <w:tcW w:w="760" w:type="dxa"/>
            <w:tcBorders>
              <w:bottom w:val="single" w:color="auto" w:sz="4" w:space="0"/>
            </w:tcBorders>
            <w:vAlign w:val="center"/>
          </w:tcPr>
          <w:p w14:paraId="3BA034CB">
            <w:pPr>
              <w:jc w:val="center"/>
              <w:rPr>
                <w:rFonts w:hint="eastAsia" w:hAnsi="宋体" w:cs="宋体"/>
                <w:color w:val="auto"/>
                <w:szCs w:val="28"/>
                <w:highlight w:val="none"/>
              </w:rPr>
            </w:pPr>
          </w:p>
        </w:tc>
        <w:tc>
          <w:tcPr>
            <w:tcW w:w="760" w:type="dxa"/>
            <w:vAlign w:val="center"/>
          </w:tcPr>
          <w:p w14:paraId="0C161129">
            <w:pPr>
              <w:jc w:val="center"/>
              <w:rPr>
                <w:rFonts w:hint="eastAsia" w:hAnsi="宋体" w:cs="宋体"/>
                <w:color w:val="auto"/>
                <w:szCs w:val="28"/>
                <w:highlight w:val="none"/>
              </w:rPr>
            </w:pPr>
          </w:p>
        </w:tc>
        <w:tc>
          <w:tcPr>
            <w:tcW w:w="1120" w:type="dxa"/>
            <w:tcBorders>
              <w:bottom w:val="single" w:color="auto" w:sz="4" w:space="0"/>
            </w:tcBorders>
            <w:vAlign w:val="center"/>
          </w:tcPr>
          <w:p w14:paraId="459D1B53">
            <w:pPr>
              <w:jc w:val="center"/>
              <w:rPr>
                <w:rFonts w:hint="eastAsia" w:hAnsi="宋体" w:cs="宋体"/>
                <w:color w:val="auto"/>
                <w:szCs w:val="28"/>
                <w:highlight w:val="none"/>
              </w:rPr>
            </w:pPr>
          </w:p>
        </w:tc>
        <w:tc>
          <w:tcPr>
            <w:tcW w:w="980" w:type="dxa"/>
            <w:tcBorders>
              <w:bottom w:val="single" w:color="auto" w:sz="4" w:space="0"/>
            </w:tcBorders>
            <w:vAlign w:val="center"/>
          </w:tcPr>
          <w:p w14:paraId="372E194B">
            <w:pPr>
              <w:jc w:val="center"/>
              <w:rPr>
                <w:rFonts w:hint="eastAsia" w:hAnsi="宋体" w:cs="宋体"/>
                <w:color w:val="auto"/>
                <w:szCs w:val="28"/>
                <w:highlight w:val="none"/>
              </w:rPr>
            </w:pPr>
          </w:p>
        </w:tc>
        <w:tc>
          <w:tcPr>
            <w:tcW w:w="1070" w:type="dxa"/>
            <w:tcBorders>
              <w:bottom w:val="single" w:color="auto" w:sz="4" w:space="0"/>
            </w:tcBorders>
            <w:vAlign w:val="center"/>
          </w:tcPr>
          <w:p w14:paraId="7E8D196D">
            <w:pPr>
              <w:jc w:val="center"/>
              <w:rPr>
                <w:rFonts w:hint="eastAsia" w:hAnsi="宋体" w:cs="宋体"/>
                <w:color w:val="auto"/>
                <w:szCs w:val="28"/>
                <w:highlight w:val="none"/>
              </w:rPr>
            </w:pPr>
          </w:p>
        </w:tc>
      </w:tr>
      <w:tr w14:paraId="3CF6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7C256972">
            <w:pPr>
              <w:spacing w:line="360" w:lineRule="auto"/>
              <w:rPr>
                <w:rFonts w:hint="eastAsia" w:hAnsi="宋体" w:cs="宋体"/>
                <w:color w:val="auto"/>
                <w:szCs w:val="28"/>
                <w:highlight w:val="none"/>
              </w:rPr>
            </w:pPr>
          </w:p>
        </w:tc>
        <w:tc>
          <w:tcPr>
            <w:tcW w:w="720" w:type="dxa"/>
            <w:tcBorders>
              <w:bottom w:val="single" w:color="auto" w:sz="4" w:space="0"/>
            </w:tcBorders>
          </w:tcPr>
          <w:p w14:paraId="424B2569">
            <w:pPr>
              <w:spacing w:line="360" w:lineRule="auto"/>
              <w:rPr>
                <w:rFonts w:hint="eastAsia" w:hAnsi="宋体" w:cs="宋体"/>
                <w:color w:val="auto"/>
                <w:szCs w:val="28"/>
                <w:highlight w:val="none"/>
              </w:rPr>
            </w:pPr>
          </w:p>
        </w:tc>
        <w:tc>
          <w:tcPr>
            <w:tcW w:w="720" w:type="dxa"/>
          </w:tcPr>
          <w:p w14:paraId="57E715AB">
            <w:pPr>
              <w:spacing w:line="360" w:lineRule="auto"/>
              <w:rPr>
                <w:rFonts w:hint="eastAsia" w:hAnsi="宋体" w:cs="宋体"/>
                <w:color w:val="auto"/>
                <w:szCs w:val="28"/>
                <w:highlight w:val="none"/>
              </w:rPr>
            </w:pPr>
          </w:p>
        </w:tc>
        <w:tc>
          <w:tcPr>
            <w:tcW w:w="888" w:type="dxa"/>
            <w:vAlign w:val="center"/>
          </w:tcPr>
          <w:p w14:paraId="573729DF">
            <w:pPr>
              <w:jc w:val="center"/>
              <w:rPr>
                <w:rFonts w:hint="eastAsia" w:hAnsi="宋体" w:cs="宋体"/>
                <w:color w:val="auto"/>
                <w:szCs w:val="28"/>
                <w:highlight w:val="none"/>
              </w:rPr>
            </w:pPr>
          </w:p>
        </w:tc>
        <w:tc>
          <w:tcPr>
            <w:tcW w:w="739" w:type="dxa"/>
            <w:vAlign w:val="center"/>
          </w:tcPr>
          <w:p w14:paraId="7A4E274D">
            <w:pPr>
              <w:jc w:val="center"/>
              <w:rPr>
                <w:rFonts w:hint="eastAsia" w:hAnsi="宋体" w:cs="宋体"/>
                <w:color w:val="auto"/>
                <w:szCs w:val="28"/>
                <w:highlight w:val="none"/>
              </w:rPr>
            </w:pPr>
          </w:p>
        </w:tc>
        <w:tc>
          <w:tcPr>
            <w:tcW w:w="760" w:type="dxa"/>
            <w:tcBorders>
              <w:bottom w:val="single" w:color="auto" w:sz="4" w:space="0"/>
            </w:tcBorders>
            <w:vAlign w:val="center"/>
          </w:tcPr>
          <w:p w14:paraId="2346A644">
            <w:pPr>
              <w:jc w:val="center"/>
              <w:rPr>
                <w:rFonts w:hint="eastAsia" w:hAnsi="宋体" w:cs="宋体"/>
                <w:color w:val="auto"/>
                <w:szCs w:val="28"/>
                <w:highlight w:val="none"/>
              </w:rPr>
            </w:pPr>
          </w:p>
        </w:tc>
        <w:tc>
          <w:tcPr>
            <w:tcW w:w="760" w:type="dxa"/>
            <w:vAlign w:val="center"/>
          </w:tcPr>
          <w:p w14:paraId="68654AC1">
            <w:pPr>
              <w:jc w:val="center"/>
              <w:rPr>
                <w:rFonts w:hint="eastAsia" w:hAnsi="宋体" w:cs="宋体"/>
                <w:color w:val="auto"/>
                <w:szCs w:val="28"/>
                <w:highlight w:val="none"/>
              </w:rPr>
            </w:pPr>
          </w:p>
        </w:tc>
        <w:tc>
          <w:tcPr>
            <w:tcW w:w="1120" w:type="dxa"/>
            <w:tcBorders>
              <w:bottom w:val="single" w:color="auto" w:sz="4" w:space="0"/>
            </w:tcBorders>
            <w:vAlign w:val="center"/>
          </w:tcPr>
          <w:p w14:paraId="10F1B5F8">
            <w:pPr>
              <w:jc w:val="center"/>
              <w:rPr>
                <w:rFonts w:hint="eastAsia" w:hAnsi="宋体" w:cs="宋体"/>
                <w:color w:val="auto"/>
                <w:szCs w:val="28"/>
                <w:highlight w:val="none"/>
              </w:rPr>
            </w:pPr>
          </w:p>
        </w:tc>
        <w:tc>
          <w:tcPr>
            <w:tcW w:w="980" w:type="dxa"/>
            <w:tcBorders>
              <w:bottom w:val="single" w:color="auto" w:sz="4" w:space="0"/>
            </w:tcBorders>
            <w:vAlign w:val="center"/>
          </w:tcPr>
          <w:p w14:paraId="23DE9521">
            <w:pPr>
              <w:jc w:val="center"/>
              <w:rPr>
                <w:rFonts w:hint="eastAsia" w:hAnsi="宋体" w:cs="宋体"/>
                <w:color w:val="auto"/>
                <w:szCs w:val="28"/>
                <w:highlight w:val="none"/>
              </w:rPr>
            </w:pPr>
          </w:p>
        </w:tc>
        <w:tc>
          <w:tcPr>
            <w:tcW w:w="1070" w:type="dxa"/>
            <w:tcBorders>
              <w:bottom w:val="single" w:color="auto" w:sz="4" w:space="0"/>
            </w:tcBorders>
            <w:vAlign w:val="center"/>
          </w:tcPr>
          <w:p w14:paraId="2D0BE902">
            <w:pPr>
              <w:jc w:val="center"/>
              <w:rPr>
                <w:rFonts w:hint="eastAsia" w:hAnsi="宋体" w:cs="宋体"/>
                <w:color w:val="auto"/>
                <w:szCs w:val="28"/>
                <w:highlight w:val="none"/>
              </w:rPr>
            </w:pPr>
          </w:p>
        </w:tc>
      </w:tr>
      <w:tr w14:paraId="1B0E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602EEAE7">
            <w:pPr>
              <w:spacing w:line="360" w:lineRule="auto"/>
              <w:rPr>
                <w:rFonts w:hint="eastAsia" w:hAnsi="宋体" w:cs="宋体"/>
                <w:color w:val="auto"/>
                <w:szCs w:val="28"/>
                <w:highlight w:val="none"/>
              </w:rPr>
            </w:pPr>
          </w:p>
        </w:tc>
        <w:tc>
          <w:tcPr>
            <w:tcW w:w="720" w:type="dxa"/>
            <w:tcBorders>
              <w:bottom w:val="single" w:color="auto" w:sz="4" w:space="0"/>
            </w:tcBorders>
          </w:tcPr>
          <w:p w14:paraId="02F68167">
            <w:pPr>
              <w:spacing w:line="360" w:lineRule="auto"/>
              <w:rPr>
                <w:rFonts w:hint="eastAsia" w:hAnsi="宋体" w:cs="宋体"/>
                <w:color w:val="auto"/>
                <w:szCs w:val="28"/>
                <w:highlight w:val="none"/>
              </w:rPr>
            </w:pPr>
          </w:p>
        </w:tc>
        <w:tc>
          <w:tcPr>
            <w:tcW w:w="720" w:type="dxa"/>
          </w:tcPr>
          <w:p w14:paraId="45CF0BF5">
            <w:pPr>
              <w:spacing w:line="360" w:lineRule="auto"/>
              <w:rPr>
                <w:rFonts w:hint="eastAsia" w:hAnsi="宋体" w:cs="宋体"/>
                <w:color w:val="auto"/>
                <w:szCs w:val="28"/>
                <w:highlight w:val="none"/>
              </w:rPr>
            </w:pPr>
          </w:p>
        </w:tc>
        <w:tc>
          <w:tcPr>
            <w:tcW w:w="888" w:type="dxa"/>
            <w:vAlign w:val="center"/>
          </w:tcPr>
          <w:p w14:paraId="330A910C">
            <w:pPr>
              <w:jc w:val="center"/>
              <w:rPr>
                <w:rFonts w:hint="eastAsia" w:hAnsi="宋体" w:cs="宋体"/>
                <w:color w:val="auto"/>
                <w:szCs w:val="28"/>
                <w:highlight w:val="none"/>
              </w:rPr>
            </w:pPr>
          </w:p>
        </w:tc>
        <w:tc>
          <w:tcPr>
            <w:tcW w:w="739" w:type="dxa"/>
            <w:vAlign w:val="center"/>
          </w:tcPr>
          <w:p w14:paraId="376B3813">
            <w:pPr>
              <w:jc w:val="center"/>
              <w:rPr>
                <w:rFonts w:hint="eastAsia" w:hAnsi="宋体" w:cs="宋体"/>
                <w:color w:val="auto"/>
                <w:szCs w:val="28"/>
                <w:highlight w:val="none"/>
              </w:rPr>
            </w:pPr>
          </w:p>
        </w:tc>
        <w:tc>
          <w:tcPr>
            <w:tcW w:w="760" w:type="dxa"/>
            <w:tcBorders>
              <w:bottom w:val="single" w:color="auto" w:sz="4" w:space="0"/>
            </w:tcBorders>
            <w:vAlign w:val="center"/>
          </w:tcPr>
          <w:p w14:paraId="27530C04">
            <w:pPr>
              <w:jc w:val="center"/>
              <w:rPr>
                <w:rFonts w:hint="eastAsia" w:hAnsi="宋体" w:cs="宋体"/>
                <w:color w:val="auto"/>
                <w:szCs w:val="28"/>
                <w:highlight w:val="none"/>
              </w:rPr>
            </w:pPr>
          </w:p>
        </w:tc>
        <w:tc>
          <w:tcPr>
            <w:tcW w:w="760" w:type="dxa"/>
            <w:vAlign w:val="center"/>
          </w:tcPr>
          <w:p w14:paraId="3800CA7F">
            <w:pPr>
              <w:jc w:val="center"/>
              <w:rPr>
                <w:rFonts w:hint="eastAsia" w:hAnsi="宋体" w:cs="宋体"/>
                <w:color w:val="auto"/>
                <w:szCs w:val="28"/>
                <w:highlight w:val="none"/>
              </w:rPr>
            </w:pPr>
          </w:p>
        </w:tc>
        <w:tc>
          <w:tcPr>
            <w:tcW w:w="1120" w:type="dxa"/>
            <w:tcBorders>
              <w:bottom w:val="single" w:color="auto" w:sz="4" w:space="0"/>
            </w:tcBorders>
            <w:vAlign w:val="center"/>
          </w:tcPr>
          <w:p w14:paraId="11654A33">
            <w:pPr>
              <w:jc w:val="center"/>
              <w:rPr>
                <w:rFonts w:hint="eastAsia" w:hAnsi="宋体" w:cs="宋体"/>
                <w:color w:val="auto"/>
                <w:szCs w:val="28"/>
                <w:highlight w:val="none"/>
              </w:rPr>
            </w:pPr>
          </w:p>
        </w:tc>
        <w:tc>
          <w:tcPr>
            <w:tcW w:w="980" w:type="dxa"/>
            <w:tcBorders>
              <w:bottom w:val="single" w:color="auto" w:sz="4" w:space="0"/>
            </w:tcBorders>
            <w:vAlign w:val="center"/>
          </w:tcPr>
          <w:p w14:paraId="75DC34C1">
            <w:pPr>
              <w:jc w:val="center"/>
              <w:rPr>
                <w:rFonts w:hint="eastAsia" w:hAnsi="宋体" w:cs="宋体"/>
                <w:color w:val="auto"/>
                <w:szCs w:val="28"/>
                <w:highlight w:val="none"/>
              </w:rPr>
            </w:pPr>
          </w:p>
        </w:tc>
        <w:tc>
          <w:tcPr>
            <w:tcW w:w="1070" w:type="dxa"/>
            <w:tcBorders>
              <w:bottom w:val="single" w:color="auto" w:sz="4" w:space="0"/>
            </w:tcBorders>
            <w:vAlign w:val="center"/>
          </w:tcPr>
          <w:p w14:paraId="1BE0D317">
            <w:pPr>
              <w:jc w:val="center"/>
              <w:rPr>
                <w:rFonts w:hint="eastAsia" w:hAnsi="宋体" w:cs="宋体"/>
                <w:color w:val="auto"/>
                <w:szCs w:val="28"/>
                <w:highlight w:val="none"/>
              </w:rPr>
            </w:pPr>
          </w:p>
        </w:tc>
      </w:tr>
      <w:tr w14:paraId="3026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24C0376E">
            <w:pPr>
              <w:spacing w:line="360" w:lineRule="auto"/>
              <w:rPr>
                <w:rFonts w:hint="eastAsia" w:hAnsi="宋体" w:cs="宋体"/>
                <w:color w:val="auto"/>
                <w:szCs w:val="28"/>
                <w:highlight w:val="none"/>
              </w:rPr>
            </w:pPr>
          </w:p>
        </w:tc>
        <w:tc>
          <w:tcPr>
            <w:tcW w:w="720" w:type="dxa"/>
            <w:tcBorders>
              <w:bottom w:val="single" w:color="auto" w:sz="4" w:space="0"/>
            </w:tcBorders>
          </w:tcPr>
          <w:p w14:paraId="7D1B2CAE">
            <w:pPr>
              <w:spacing w:line="360" w:lineRule="auto"/>
              <w:rPr>
                <w:rFonts w:hint="eastAsia" w:hAnsi="宋体" w:cs="宋体"/>
                <w:color w:val="auto"/>
                <w:szCs w:val="28"/>
                <w:highlight w:val="none"/>
              </w:rPr>
            </w:pPr>
          </w:p>
        </w:tc>
        <w:tc>
          <w:tcPr>
            <w:tcW w:w="720" w:type="dxa"/>
          </w:tcPr>
          <w:p w14:paraId="168E187B">
            <w:pPr>
              <w:spacing w:line="360" w:lineRule="auto"/>
              <w:rPr>
                <w:rFonts w:hint="eastAsia" w:hAnsi="宋体" w:cs="宋体"/>
                <w:color w:val="auto"/>
                <w:szCs w:val="28"/>
                <w:highlight w:val="none"/>
              </w:rPr>
            </w:pPr>
          </w:p>
        </w:tc>
        <w:tc>
          <w:tcPr>
            <w:tcW w:w="888" w:type="dxa"/>
            <w:vAlign w:val="center"/>
          </w:tcPr>
          <w:p w14:paraId="644DF788">
            <w:pPr>
              <w:jc w:val="center"/>
              <w:rPr>
                <w:rFonts w:hint="eastAsia" w:hAnsi="宋体" w:cs="宋体"/>
                <w:color w:val="auto"/>
                <w:szCs w:val="28"/>
                <w:highlight w:val="none"/>
              </w:rPr>
            </w:pPr>
          </w:p>
        </w:tc>
        <w:tc>
          <w:tcPr>
            <w:tcW w:w="739" w:type="dxa"/>
            <w:vAlign w:val="center"/>
          </w:tcPr>
          <w:p w14:paraId="1E1DF5DF">
            <w:pPr>
              <w:jc w:val="center"/>
              <w:rPr>
                <w:rFonts w:hint="eastAsia" w:hAnsi="宋体" w:cs="宋体"/>
                <w:color w:val="auto"/>
                <w:szCs w:val="28"/>
                <w:highlight w:val="none"/>
              </w:rPr>
            </w:pPr>
          </w:p>
        </w:tc>
        <w:tc>
          <w:tcPr>
            <w:tcW w:w="760" w:type="dxa"/>
            <w:tcBorders>
              <w:bottom w:val="single" w:color="auto" w:sz="4" w:space="0"/>
            </w:tcBorders>
            <w:vAlign w:val="center"/>
          </w:tcPr>
          <w:p w14:paraId="7E6E4134">
            <w:pPr>
              <w:jc w:val="center"/>
              <w:rPr>
                <w:rFonts w:hint="eastAsia" w:hAnsi="宋体" w:cs="宋体"/>
                <w:color w:val="auto"/>
                <w:szCs w:val="28"/>
                <w:highlight w:val="none"/>
              </w:rPr>
            </w:pPr>
          </w:p>
        </w:tc>
        <w:tc>
          <w:tcPr>
            <w:tcW w:w="760" w:type="dxa"/>
            <w:vAlign w:val="center"/>
          </w:tcPr>
          <w:p w14:paraId="66C855E2">
            <w:pPr>
              <w:jc w:val="center"/>
              <w:rPr>
                <w:rFonts w:hint="eastAsia" w:hAnsi="宋体" w:cs="宋体"/>
                <w:color w:val="auto"/>
                <w:szCs w:val="28"/>
                <w:highlight w:val="none"/>
              </w:rPr>
            </w:pPr>
          </w:p>
        </w:tc>
        <w:tc>
          <w:tcPr>
            <w:tcW w:w="1120" w:type="dxa"/>
            <w:tcBorders>
              <w:bottom w:val="single" w:color="auto" w:sz="4" w:space="0"/>
            </w:tcBorders>
            <w:vAlign w:val="center"/>
          </w:tcPr>
          <w:p w14:paraId="2E93B1D1">
            <w:pPr>
              <w:jc w:val="center"/>
              <w:rPr>
                <w:rFonts w:hint="eastAsia" w:hAnsi="宋体" w:cs="宋体"/>
                <w:color w:val="auto"/>
                <w:szCs w:val="28"/>
                <w:highlight w:val="none"/>
              </w:rPr>
            </w:pPr>
          </w:p>
        </w:tc>
        <w:tc>
          <w:tcPr>
            <w:tcW w:w="980" w:type="dxa"/>
            <w:tcBorders>
              <w:bottom w:val="single" w:color="auto" w:sz="4" w:space="0"/>
            </w:tcBorders>
            <w:vAlign w:val="center"/>
          </w:tcPr>
          <w:p w14:paraId="73197C49">
            <w:pPr>
              <w:jc w:val="center"/>
              <w:rPr>
                <w:rFonts w:hint="eastAsia" w:hAnsi="宋体" w:cs="宋体"/>
                <w:color w:val="auto"/>
                <w:szCs w:val="28"/>
                <w:highlight w:val="none"/>
              </w:rPr>
            </w:pPr>
          </w:p>
        </w:tc>
        <w:tc>
          <w:tcPr>
            <w:tcW w:w="1070" w:type="dxa"/>
            <w:tcBorders>
              <w:bottom w:val="single" w:color="auto" w:sz="4" w:space="0"/>
            </w:tcBorders>
            <w:vAlign w:val="center"/>
          </w:tcPr>
          <w:p w14:paraId="33C1E2CC">
            <w:pPr>
              <w:jc w:val="center"/>
              <w:rPr>
                <w:rFonts w:hint="eastAsia" w:hAnsi="宋体" w:cs="宋体"/>
                <w:color w:val="auto"/>
                <w:szCs w:val="28"/>
                <w:highlight w:val="none"/>
              </w:rPr>
            </w:pPr>
          </w:p>
        </w:tc>
      </w:tr>
      <w:tr w14:paraId="058A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509750D4">
            <w:pPr>
              <w:spacing w:line="360" w:lineRule="auto"/>
              <w:rPr>
                <w:rFonts w:hint="eastAsia" w:hAnsi="宋体" w:cs="宋体"/>
                <w:color w:val="auto"/>
                <w:szCs w:val="28"/>
                <w:highlight w:val="none"/>
              </w:rPr>
            </w:pPr>
          </w:p>
        </w:tc>
        <w:tc>
          <w:tcPr>
            <w:tcW w:w="720" w:type="dxa"/>
            <w:tcBorders>
              <w:bottom w:val="single" w:color="auto" w:sz="4" w:space="0"/>
            </w:tcBorders>
          </w:tcPr>
          <w:p w14:paraId="5804B6F2">
            <w:pPr>
              <w:spacing w:line="360" w:lineRule="auto"/>
              <w:rPr>
                <w:rFonts w:hint="eastAsia" w:hAnsi="宋体" w:cs="宋体"/>
                <w:color w:val="auto"/>
                <w:szCs w:val="28"/>
                <w:highlight w:val="none"/>
              </w:rPr>
            </w:pPr>
          </w:p>
        </w:tc>
        <w:tc>
          <w:tcPr>
            <w:tcW w:w="720" w:type="dxa"/>
          </w:tcPr>
          <w:p w14:paraId="47EB4B43">
            <w:pPr>
              <w:spacing w:line="360" w:lineRule="auto"/>
              <w:rPr>
                <w:rFonts w:hint="eastAsia" w:hAnsi="宋体" w:cs="宋体"/>
                <w:color w:val="auto"/>
                <w:szCs w:val="28"/>
                <w:highlight w:val="none"/>
              </w:rPr>
            </w:pPr>
          </w:p>
        </w:tc>
        <w:tc>
          <w:tcPr>
            <w:tcW w:w="888" w:type="dxa"/>
            <w:vAlign w:val="center"/>
          </w:tcPr>
          <w:p w14:paraId="28B33204">
            <w:pPr>
              <w:jc w:val="center"/>
              <w:rPr>
                <w:rFonts w:hint="eastAsia" w:hAnsi="宋体" w:cs="宋体"/>
                <w:color w:val="auto"/>
                <w:szCs w:val="28"/>
                <w:highlight w:val="none"/>
              </w:rPr>
            </w:pPr>
          </w:p>
        </w:tc>
        <w:tc>
          <w:tcPr>
            <w:tcW w:w="739" w:type="dxa"/>
            <w:vAlign w:val="center"/>
          </w:tcPr>
          <w:p w14:paraId="7D9293C6">
            <w:pPr>
              <w:jc w:val="center"/>
              <w:rPr>
                <w:rFonts w:hint="eastAsia" w:hAnsi="宋体" w:cs="宋体"/>
                <w:color w:val="auto"/>
                <w:szCs w:val="28"/>
                <w:highlight w:val="none"/>
              </w:rPr>
            </w:pPr>
          </w:p>
        </w:tc>
        <w:tc>
          <w:tcPr>
            <w:tcW w:w="760" w:type="dxa"/>
            <w:tcBorders>
              <w:bottom w:val="single" w:color="auto" w:sz="4" w:space="0"/>
            </w:tcBorders>
            <w:vAlign w:val="center"/>
          </w:tcPr>
          <w:p w14:paraId="7B3C0857">
            <w:pPr>
              <w:jc w:val="center"/>
              <w:rPr>
                <w:rFonts w:hint="eastAsia" w:hAnsi="宋体" w:cs="宋体"/>
                <w:color w:val="auto"/>
                <w:szCs w:val="28"/>
                <w:highlight w:val="none"/>
              </w:rPr>
            </w:pPr>
          </w:p>
        </w:tc>
        <w:tc>
          <w:tcPr>
            <w:tcW w:w="760" w:type="dxa"/>
            <w:vAlign w:val="center"/>
          </w:tcPr>
          <w:p w14:paraId="4918E3B9">
            <w:pPr>
              <w:jc w:val="center"/>
              <w:rPr>
                <w:rFonts w:hint="eastAsia" w:hAnsi="宋体" w:cs="宋体"/>
                <w:color w:val="auto"/>
                <w:szCs w:val="28"/>
                <w:highlight w:val="none"/>
              </w:rPr>
            </w:pPr>
          </w:p>
        </w:tc>
        <w:tc>
          <w:tcPr>
            <w:tcW w:w="1120" w:type="dxa"/>
            <w:tcBorders>
              <w:bottom w:val="single" w:color="auto" w:sz="4" w:space="0"/>
            </w:tcBorders>
            <w:vAlign w:val="center"/>
          </w:tcPr>
          <w:p w14:paraId="5AE4FC42">
            <w:pPr>
              <w:jc w:val="center"/>
              <w:rPr>
                <w:rFonts w:hint="eastAsia" w:hAnsi="宋体" w:cs="宋体"/>
                <w:color w:val="auto"/>
                <w:szCs w:val="28"/>
                <w:highlight w:val="none"/>
              </w:rPr>
            </w:pPr>
          </w:p>
        </w:tc>
        <w:tc>
          <w:tcPr>
            <w:tcW w:w="980" w:type="dxa"/>
            <w:tcBorders>
              <w:bottom w:val="single" w:color="auto" w:sz="4" w:space="0"/>
            </w:tcBorders>
            <w:vAlign w:val="center"/>
          </w:tcPr>
          <w:p w14:paraId="1DAE57D4">
            <w:pPr>
              <w:jc w:val="center"/>
              <w:rPr>
                <w:rFonts w:hint="eastAsia" w:hAnsi="宋体" w:cs="宋体"/>
                <w:color w:val="auto"/>
                <w:szCs w:val="28"/>
                <w:highlight w:val="none"/>
              </w:rPr>
            </w:pPr>
          </w:p>
        </w:tc>
        <w:tc>
          <w:tcPr>
            <w:tcW w:w="1070" w:type="dxa"/>
            <w:tcBorders>
              <w:bottom w:val="single" w:color="auto" w:sz="4" w:space="0"/>
            </w:tcBorders>
            <w:vAlign w:val="center"/>
          </w:tcPr>
          <w:p w14:paraId="446C306A">
            <w:pPr>
              <w:jc w:val="center"/>
              <w:rPr>
                <w:rFonts w:hint="eastAsia" w:hAnsi="宋体" w:cs="宋体"/>
                <w:color w:val="auto"/>
                <w:szCs w:val="28"/>
                <w:highlight w:val="none"/>
              </w:rPr>
            </w:pPr>
          </w:p>
        </w:tc>
      </w:tr>
      <w:tr w14:paraId="73FB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20418A9A">
            <w:pPr>
              <w:spacing w:line="360" w:lineRule="auto"/>
              <w:rPr>
                <w:rFonts w:hint="eastAsia" w:hAnsi="宋体" w:cs="宋体"/>
                <w:color w:val="auto"/>
                <w:szCs w:val="28"/>
                <w:highlight w:val="none"/>
              </w:rPr>
            </w:pPr>
          </w:p>
        </w:tc>
        <w:tc>
          <w:tcPr>
            <w:tcW w:w="720" w:type="dxa"/>
            <w:tcBorders>
              <w:bottom w:val="single" w:color="auto" w:sz="4" w:space="0"/>
            </w:tcBorders>
          </w:tcPr>
          <w:p w14:paraId="0D6EFB55">
            <w:pPr>
              <w:spacing w:line="360" w:lineRule="auto"/>
              <w:rPr>
                <w:rFonts w:hint="eastAsia" w:hAnsi="宋体" w:cs="宋体"/>
                <w:color w:val="auto"/>
                <w:szCs w:val="28"/>
                <w:highlight w:val="none"/>
              </w:rPr>
            </w:pPr>
          </w:p>
        </w:tc>
        <w:tc>
          <w:tcPr>
            <w:tcW w:w="720" w:type="dxa"/>
          </w:tcPr>
          <w:p w14:paraId="75ACA6FF">
            <w:pPr>
              <w:spacing w:line="360" w:lineRule="auto"/>
              <w:rPr>
                <w:rFonts w:hint="eastAsia" w:hAnsi="宋体" w:cs="宋体"/>
                <w:color w:val="auto"/>
                <w:szCs w:val="28"/>
                <w:highlight w:val="none"/>
              </w:rPr>
            </w:pPr>
          </w:p>
        </w:tc>
        <w:tc>
          <w:tcPr>
            <w:tcW w:w="888" w:type="dxa"/>
            <w:vAlign w:val="center"/>
          </w:tcPr>
          <w:p w14:paraId="7B8F6A89">
            <w:pPr>
              <w:jc w:val="center"/>
              <w:rPr>
                <w:rFonts w:hint="eastAsia" w:hAnsi="宋体" w:cs="宋体"/>
                <w:color w:val="auto"/>
                <w:szCs w:val="28"/>
                <w:highlight w:val="none"/>
              </w:rPr>
            </w:pPr>
          </w:p>
        </w:tc>
        <w:tc>
          <w:tcPr>
            <w:tcW w:w="739" w:type="dxa"/>
            <w:vAlign w:val="center"/>
          </w:tcPr>
          <w:p w14:paraId="47F70B2C">
            <w:pPr>
              <w:jc w:val="center"/>
              <w:rPr>
                <w:rFonts w:hint="eastAsia" w:hAnsi="宋体" w:cs="宋体"/>
                <w:color w:val="auto"/>
                <w:szCs w:val="28"/>
                <w:highlight w:val="none"/>
              </w:rPr>
            </w:pPr>
          </w:p>
        </w:tc>
        <w:tc>
          <w:tcPr>
            <w:tcW w:w="760" w:type="dxa"/>
            <w:tcBorders>
              <w:bottom w:val="single" w:color="auto" w:sz="4" w:space="0"/>
            </w:tcBorders>
            <w:vAlign w:val="center"/>
          </w:tcPr>
          <w:p w14:paraId="6B746522">
            <w:pPr>
              <w:jc w:val="center"/>
              <w:rPr>
                <w:rFonts w:hint="eastAsia" w:hAnsi="宋体" w:cs="宋体"/>
                <w:color w:val="auto"/>
                <w:szCs w:val="28"/>
                <w:highlight w:val="none"/>
              </w:rPr>
            </w:pPr>
          </w:p>
        </w:tc>
        <w:tc>
          <w:tcPr>
            <w:tcW w:w="760" w:type="dxa"/>
            <w:vAlign w:val="center"/>
          </w:tcPr>
          <w:p w14:paraId="6B58B47F">
            <w:pPr>
              <w:jc w:val="center"/>
              <w:rPr>
                <w:rFonts w:hint="eastAsia" w:hAnsi="宋体" w:cs="宋体"/>
                <w:color w:val="auto"/>
                <w:szCs w:val="28"/>
                <w:highlight w:val="none"/>
              </w:rPr>
            </w:pPr>
          </w:p>
        </w:tc>
        <w:tc>
          <w:tcPr>
            <w:tcW w:w="1120" w:type="dxa"/>
            <w:tcBorders>
              <w:bottom w:val="single" w:color="auto" w:sz="4" w:space="0"/>
            </w:tcBorders>
            <w:vAlign w:val="center"/>
          </w:tcPr>
          <w:p w14:paraId="451162C0">
            <w:pPr>
              <w:jc w:val="center"/>
              <w:rPr>
                <w:rFonts w:hint="eastAsia" w:hAnsi="宋体" w:cs="宋体"/>
                <w:color w:val="auto"/>
                <w:szCs w:val="28"/>
                <w:highlight w:val="none"/>
              </w:rPr>
            </w:pPr>
          </w:p>
        </w:tc>
        <w:tc>
          <w:tcPr>
            <w:tcW w:w="980" w:type="dxa"/>
            <w:tcBorders>
              <w:bottom w:val="single" w:color="auto" w:sz="4" w:space="0"/>
            </w:tcBorders>
            <w:vAlign w:val="center"/>
          </w:tcPr>
          <w:p w14:paraId="470627E8">
            <w:pPr>
              <w:jc w:val="center"/>
              <w:rPr>
                <w:rFonts w:hint="eastAsia" w:hAnsi="宋体" w:cs="宋体"/>
                <w:color w:val="auto"/>
                <w:szCs w:val="28"/>
                <w:highlight w:val="none"/>
              </w:rPr>
            </w:pPr>
          </w:p>
        </w:tc>
        <w:tc>
          <w:tcPr>
            <w:tcW w:w="1070" w:type="dxa"/>
            <w:tcBorders>
              <w:bottom w:val="single" w:color="auto" w:sz="4" w:space="0"/>
            </w:tcBorders>
            <w:vAlign w:val="center"/>
          </w:tcPr>
          <w:p w14:paraId="5235C60C">
            <w:pPr>
              <w:jc w:val="center"/>
              <w:rPr>
                <w:rFonts w:hint="eastAsia" w:hAnsi="宋体" w:cs="宋体"/>
                <w:color w:val="auto"/>
                <w:szCs w:val="28"/>
                <w:highlight w:val="none"/>
              </w:rPr>
            </w:pPr>
          </w:p>
        </w:tc>
      </w:tr>
      <w:tr w14:paraId="27AE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8" w:hRule="exact"/>
        </w:trPr>
        <w:tc>
          <w:tcPr>
            <w:tcW w:w="8405" w:type="dxa"/>
            <w:gridSpan w:val="10"/>
          </w:tcPr>
          <w:p w14:paraId="176563B3">
            <w:pPr>
              <w:spacing w:line="360" w:lineRule="auto"/>
              <w:ind w:firstLine="540" w:firstLineChars="225"/>
              <w:rPr>
                <w:rFonts w:hint="eastAsia" w:hAnsi="宋体" w:cs="宋体"/>
                <w:color w:val="auto"/>
                <w:szCs w:val="28"/>
                <w:highlight w:val="none"/>
              </w:rPr>
            </w:pPr>
            <w:r>
              <w:rPr>
                <w:rFonts w:hint="eastAsia" w:hAnsi="宋体" w:cs="宋体"/>
                <w:color w:val="auto"/>
                <w:szCs w:val="28"/>
                <w:highlight w:val="none"/>
              </w:rPr>
              <w:t>本工程一旦我单位中标，将实行项目负责人负责制，并配备上述项目管理班子。上述填报内容真实，若不真实，愿按有关规定接受处理。项目管理班子机构设置、职责分工等情况另附资料说明。</w:t>
            </w:r>
          </w:p>
        </w:tc>
      </w:tr>
    </w:tbl>
    <w:p w14:paraId="6DC67BE0">
      <w:pPr>
        <w:spacing w:line="360" w:lineRule="auto"/>
        <w:rPr>
          <w:rFonts w:hint="eastAsia" w:ascii="宋体" w:hAnsi="宋体"/>
          <w:color w:val="auto"/>
          <w:highlight w:val="none"/>
        </w:rPr>
      </w:pPr>
      <w:r>
        <w:rPr>
          <w:rFonts w:ascii="宋体" w:hAnsi="宋体"/>
          <w:color w:val="auto"/>
          <w:highlight w:val="none"/>
        </w:rPr>
        <w:br w:type="page"/>
      </w:r>
    </w:p>
    <w:p w14:paraId="728B3389">
      <w:pPr>
        <w:spacing w:line="360" w:lineRule="auto"/>
        <w:ind w:firstLine="562" w:firstLineChars="200"/>
        <w:jc w:val="center"/>
        <w:rPr>
          <w:rFonts w:hint="eastAsia" w:ascii="宋体" w:hAnsi="宋体" w:cs="宋体"/>
          <w:b/>
          <w:bCs/>
          <w:color w:val="auto"/>
          <w:sz w:val="28"/>
          <w:szCs w:val="28"/>
          <w:highlight w:val="none"/>
        </w:rPr>
      </w:pPr>
    </w:p>
    <w:p w14:paraId="61451603">
      <w:pPr>
        <w:spacing w:line="360" w:lineRule="auto"/>
        <w:ind w:firstLine="562" w:firstLineChars="200"/>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表1</w:t>
      </w:r>
      <w:r>
        <w:rPr>
          <w:rFonts w:ascii="宋体" w:hAnsi="宋体" w:cs="宋体"/>
          <w:b/>
          <w:bCs/>
          <w:color w:val="auto"/>
          <w:sz w:val="28"/>
          <w:szCs w:val="28"/>
          <w:highlight w:val="none"/>
        </w:rPr>
        <w:t xml:space="preserve"> </w:t>
      </w:r>
      <w:r>
        <w:rPr>
          <w:rFonts w:hint="eastAsia" w:ascii="宋体" w:hAnsi="宋体" w:cs="宋体"/>
          <w:b/>
          <w:bCs/>
          <w:color w:val="auto"/>
          <w:sz w:val="28"/>
          <w:szCs w:val="28"/>
          <w:highlight w:val="none"/>
        </w:rPr>
        <w:t>项目负责人/施工负责人/设计负责人简历表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313"/>
        <w:gridCol w:w="1630"/>
        <w:gridCol w:w="1480"/>
        <w:gridCol w:w="1192"/>
      </w:tblGrid>
      <w:tr w14:paraId="0C92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vAlign w:val="center"/>
          </w:tcPr>
          <w:p w14:paraId="326A6C0C">
            <w:pPr>
              <w:spacing w:line="360" w:lineRule="auto"/>
              <w:jc w:val="center"/>
              <w:rPr>
                <w:rFonts w:hint="eastAsia" w:hAnsi="宋体" w:cs="宋体"/>
                <w:color w:val="auto"/>
                <w:szCs w:val="28"/>
                <w:highlight w:val="none"/>
              </w:rPr>
            </w:pPr>
            <w:r>
              <w:rPr>
                <w:rFonts w:hint="eastAsia" w:hAnsi="宋体" w:cs="宋体"/>
                <w:color w:val="auto"/>
                <w:szCs w:val="28"/>
                <w:highlight w:val="none"/>
              </w:rPr>
              <w:t>姓名</w:t>
            </w:r>
          </w:p>
        </w:tc>
        <w:tc>
          <w:tcPr>
            <w:tcW w:w="1480" w:type="dxa"/>
            <w:vAlign w:val="center"/>
          </w:tcPr>
          <w:p w14:paraId="37BFE4F9">
            <w:pPr>
              <w:spacing w:line="360" w:lineRule="auto"/>
              <w:jc w:val="center"/>
              <w:rPr>
                <w:rFonts w:hint="eastAsia" w:hAnsi="宋体" w:cs="宋体"/>
                <w:color w:val="auto"/>
                <w:szCs w:val="28"/>
                <w:highlight w:val="none"/>
              </w:rPr>
            </w:pPr>
          </w:p>
        </w:tc>
        <w:tc>
          <w:tcPr>
            <w:tcW w:w="1313" w:type="dxa"/>
            <w:vAlign w:val="center"/>
          </w:tcPr>
          <w:p w14:paraId="57BFEB6A">
            <w:pPr>
              <w:spacing w:line="360" w:lineRule="auto"/>
              <w:jc w:val="center"/>
              <w:rPr>
                <w:rFonts w:hint="eastAsia" w:hAnsi="宋体" w:cs="宋体"/>
                <w:color w:val="auto"/>
                <w:szCs w:val="28"/>
                <w:highlight w:val="none"/>
              </w:rPr>
            </w:pPr>
            <w:r>
              <w:rPr>
                <w:rFonts w:hint="eastAsia" w:hAnsi="宋体" w:cs="宋体"/>
                <w:color w:val="auto"/>
                <w:szCs w:val="28"/>
                <w:highlight w:val="none"/>
              </w:rPr>
              <w:t>性别</w:t>
            </w:r>
          </w:p>
        </w:tc>
        <w:tc>
          <w:tcPr>
            <w:tcW w:w="1630" w:type="dxa"/>
            <w:vAlign w:val="center"/>
          </w:tcPr>
          <w:p w14:paraId="78B71BDE">
            <w:pPr>
              <w:spacing w:line="360" w:lineRule="auto"/>
              <w:jc w:val="center"/>
              <w:rPr>
                <w:rFonts w:hint="eastAsia" w:hAnsi="宋体" w:cs="宋体"/>
                <w:color w:val="auto"/>
                <w:szCs w:val="28"/>
                <w:highlight w:val="none"/>
              </w:rPr>
            </w:pPr>
          </w:p>
        </w:tc>
        <w:tc>
          <w:tcPr>
            <w:tcW w:w="1480" w:type="dxa"/>
            <w:vAlign w:val="center"/>
          </w:tcPr>
          <w:p w14:paraId="23B5161A">
            <w:pPr>
              <w:spacing w:line="360" w:lineRule="auto"/>
              <w:jc w:val="center"/>
              <w:rPr>
                <w:rFonts w:hint="eastAsia" w:hAnsi="宋体" w:cs="宋体"/>
                <w:color w:val="auto"/>
                <w:szCs w:val="28"/>
                <w:highlight w:val="none"/>
              </w:rPr>
            </w:pPr>
            <w:r>
              <w:rPr>
                <w:rFonts w:hint="eastAsia" w:hAnsi="宋体" w:cs="宋体"/>
                <w:color w:val="auto"/>
                <w:szCs w:val="28"/>
                <w:highlight w:val="none"/>
              </w:rPr>
              <w:t>年龄</w:t>
            </w:r>
          </w:p>
        </w:tc>
        <w:tc>
          <w:tcPr>
            <w:tcW w:w="1192" w:type="dxa"/>
            <w:vAlign w:val="center"/>
          </w:tcPr>
          <w:p w14:paraId="751DA00F">
            <w:pPr>
              <w:spacing w:line="360" w:lineRule="auto"/>
              <w:jc w:val="center"/>
              <w:rPr>
                <w:rFonts w:hint="eastAsia" w:hAnsi="宋体" w:cs="宋体"/>
                <w:color w:val="auto"/>
                <w:szCs w:val="28"/>
                <w:highlight w:val="none"/>
              </w:rPr>
            </w:pPr>
          </w:p>
        </w:tc>
      </w:tr>
      <w:tr w14:paraId="354F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vAlign w:val="center"/>
          </w:tcPr>
          <w:p w14:paraId="661EBED4">
            <w:pPr>
              <w:spacing w:line="360" w:lineRule="auto"/>
              <w:jc w:val="center"/>
              <w:rPr>
                <w:rFonts w:hint="eastAsia" w:hAnsi="宋体" w:cs="宋体"/>
                <w:color w:val="auto"/>
                <w:szCs w:val="28"/>
                <w:highlight w:val="none"/>
              </w:rPr>
            </w:pPr>
            <w:r>
              <w:rPr>
                <w:rFonts w:hint="eastAsia" w:hAnsi="宋体" w:cs="宋体"/>
                <w:color w:val="auto"/>
                <w:szCs w:val="28"/>
                <w:highlight w:val="none"/>
              </w:rPr>
              <w:t>职务</w:t>
            </w:r>
          </w:p>
        </w:tc>
        <w:tc>
          <w:tcPr>
            <w:tcW w:w="1480" w:type="dxa"/>
            <w:vAlign w:val="center"/>
          </w:tcPr>
          <w:p w14:paraId="448BC6F2">
            <w:pPr>
              <w:spacing w:line="360" w:lineRule="auto"/>
              <w:jc w:val="center"/>
              <w:rPr>
                <w:rFonts w:hint="eastAsia" w:hAnsi="宋体" w:cs="宋体"/>
                <w:color w:val="auto"/>
                <w:szCs w:val="28"/>
                <w:highlight w:val="none"/>
              </w:rPr>
            </w:pPr>
          </w:p>
        </w:tc>
        <w:tc>
          <w:tcPr>
            <w:tcW w:w="1313" w:type="dxa"/>
            <w:vAlign w:val="center"/>
          </w:tcPr>
          <w:p w14:paraId="415C1C63">
            <w:pPr>
              <w:spacing w:line="360" w:lineRule="auto"/>
              <w:jc w:val="center"/>
              <w:rPr>
                <w:rFonts w:hint="eastAsia" w:hAnsi="宋体" w:cs="宋体"/>
                <w:color w:val="auto"/>
                <w:szCs w:val="28"/>
                <w:highlight w:val="none"/>
              </w:rPr>
            </w:pPr>
            <w:r>
              <w:rPr>
                <w:rFonts w:hint="eastAsia" w:hAnsi="宋体" w:cs="宋体"/>
                <w:color w:val="auto"/>
                <w:szCs w:val="28"/>
                <w:highlight w:val="none"/>
              </w:rPr>
              <w:t>职称</w:t>
            </w:r>
          </w:p>
        </w:tc>
        <w:tc>
          <w:tcPr>
            <w:tcW w:w="1630" w:type="dxa"/>
            <w:vAlign w:val="center"/>
          </w:tcPr>
          <w:p w14:paraId="05B9E014">
            <w:pPr>
              <w:spacing w:line="360" w:lineRule="auto"/>
              <w:jc w:val="center"/>
              <w:rPr>
                <w:rFonts w:hint="eastAsia" w:hAnsi="宋体" w:cs="宋体"/>
                <w:color w:val="auto"/>
                <w:szCs w:val="28"/>
                <w:highlight w:val="none"/>
              </w:rPr>
            </w:pPr>
          </w:p>
        </w:tc>
        <w:tc>
          <w:tcPr>
            <w:tcW w:w="1480" w:type="dxa"/>
            <w:vAlign w:val="center"/>
          </w:tcPr>
          <w:p w14:paraId="46D61823">
            <w:pPr>
              <w:spacing w:line="360" w:lineRule="auto"/>
              <w:jc w:val="center"/>
              <w:rPr>
                <w:rFonts w:hint="eastAsia" w:hAnsi="宋体" w:cs="宋体"/>
                <w:color w:val="auto"/>
                <w:szCs w:val="28"/>
                <w:highlight w:val="none"/>
              </w:rPr>
            </w:pPr>
            <w:r>
              <w:rPr>
                <w:rFonts w:hint="eastAsia" w:hAnsi="宋体" w:cs="宋体"/>
                <w:color w:val="auto"/>
                <w:szCs w:val="28"/>
                <w:highlight w:val="none"/>
              </w:rPr>
              <w:t>学历</w:t>
            </w:r>
          </w:p>
        </w:tc>
        <w:tc>
          <w:tcPr>
            <w:tcW w:w="1192" w:type="dxa"/>
            <w:vAlign w:val="center"/>
          </w:tcPr>
          <w:p w14:paraId="1E68CB63">
            <w:pPr>
              <w:spacing w:line="360" w:lineRule="auto"/>
              <w:jc w:val="center"/>
              <w:rPr>
                <w:rFonts w:hint="eastAsia" w:hAnsi="宋体" w:cs="宋体"/>
                <w:color w:val="auto"/>
                <w:szCs w:val="28"/>
                <w:highlight w:val="none"/>
              </w:rPr>
            </w:pPr>
          </w:p>
        </w:tc>
      </w:tr>
      <w:tr w14:paraId="22B6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vAlign w:val="center"/>
          </w:tcPr>
          <w:p w14:paraId="3F1097E9">
            <w:pPr>
              <w:spacing w:line="360" w:lineRule="auto"/>
              <w:jc w:val="center"/>
              <w:rPr>
                <w:rFonts w:hint="eastAsia" w:hAnsi="宋体" w:cs="宋体"/>
                <w:color w:val="auto"/>
                <w:szCs w:val="28"/>
                <w:highlight w:val="none"/>
              </w:rPr>
            </w:pPr>
            <w:r>
              <w:rPr>
                <w:rFonts w:hint="eastAsia" w:hAnsi="宋体" w:cs="宋体"/>
                <w:color w:val="auto"/>
                <w:szCs w:val="28"/>
                <w:highlight w:val="none"/>
              </w:rPr>
              <w:t>参加工作时间</w:t>
            </w:r>
          </w:p>
        </w:tc>
        <w:tc>
          <w:tcPr>
            <w:tcW w:w="1313" w:type="dxa"/>
            <w:vAlign w:val="center"/>
          </w:tcPr>
          <w:p w14:paraId="7AA0A061">
            <w:pPr>
              <w:spacing w:line="360" w:lineRule="auto"/>
              <w:jc w:val="center"/>
              <w:rPr>
                <w:rFonts w:hint="eastAsia" w:hAnsi="宋体" w:cs="宋体"/>
                <w:color w:val="auto"/>
                <w:szCs w:val="28"/>
                <w:highlight w:val="none"/>
              </w:rPr>
            </w:pPr>
          </w:p>
        </w:tc>
        <w:tc>
          <w:tcPr>
            <w:tcW w:w="3110" w:type="dxa"/>
            <w:gridSpan w:val="2"/>
            <w:vAlign w:val="center"/>
          </w:tcPr>
          <w:p w14:paraId="7F35A82A">
            <w:pPr>
              <w:spacing w:line="360" w:lineRule="auto"/>
              <w:jc w:val="center"/>
              <w:rPr>
                <w:rFonts w:hint="eastAsia" w:hAnsi="宋体" w:cs="宋体"/>
                <w:color w:val="auto"/>
                <w:szCs w:val="28"/>
                <w:highlight w:val="none"/>
              </w:rPr>
            </w:pPr>
            <w:r>
              <w:rPr>
                <w:rFonts w:hint="eastAsia" w:hAnsi="宋体" w:cs="宋体"/>
                <w:color w:val="auto"/>
                <w:szCs w:val="28"/>
                <w:highlight w:val="none"/>
              </w:rPr>
              <w:t>从事项目负责人/施工负责人/设计负责人年限</w:t>
            </w:r>
          </w:p>
        </w:tc>
        <w:tc>
          <w:tcPr>
            <w:tcW w:w="1192" w:type="dxa"/>
            <w:vAlign w:val="center"/>
          </w:tcPr>
          <w:p w14:paraId="48814812">
            <w:pPr>
              <w:spacing w:line="360" w:lineRule="auto"/>
              <w:jc w:val="center"/>
              <w:rPr>
                <w:rFonts w:hint="eastAsia" w:hAnsi="宋体" w:cs="宋体"/>
                <w:color w:val="auto"/>
                <w:szCs w:val="28"/>
                <w:highlight w:val="none"/>
              </w:rPr>
            </w:pPr>
          </w:p>
        </w:tc>
      </w:tr>
      <w:tr w14:paraId="280A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vAlign w:val="center"/>
          </w:tcPr>
          <w:p w14:paraId="573B3303">
            <w:pPr>
              <w:spacing w:line="360" w:lineRule="auto"/>
              <w:jc w:val="center"/>
              <w:rPr>
                <w:rFonts w:hint="eastAsia" w:hAnsi="宋体" w:cs="宋体"/>
                <w:color w:val="auto"/>
                <w:szCs w:val="28"/>
                <w:highlight w:val="none"/>
              </w:rPr>
            </w:pPr>
            <w:r>
              <w:rPr>
                <w:rFonts w:hint="eastAsia" w:hAnsi="宋体" w:cs="宋体"/>
                <w:color w:val="auto"/>
                <w:szCs w:val="28"/>
                <w:highlight w:val="none"/>
              </w:rPr>
              <w:t>项目负责人/施工负责人/设计负责人资格证书编号</w:t>
            </w:r>
          </w:p>
        </w:tc>
        <w:tc>
          <w:tcPr>
            <w:tcW w:w="5615" w:type="dxa"/>
            <w:gridSpan w:val="4"/>
            <w:vAlign w:val="center"/>
          </w:tcPr>
          <w:p w14:paraId="1520D7FA">
            <w:pPr>
              <w:spacing w:line="360" w:lineRule="auto"/>
              <w:jc w:val="center"/>
              <w:rPr>
                <w:rFonts w:hint="eastAsia" w:hAnsi="宋体" w:cs="宋体"/>
                <w:color w:val="auto"/>
                <w:szCs w:val="28"/>
                <w:highlight w:val="none"/>
              </w:rPr>
            </w:pPr>
          </w:p>
        </w:tc>
      </w:tr>
      <w:tr w14:paraId="6CA6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5" w:type="dxa"/>
            <w:gridSpan w:val="6"/>
            <w:vAlign w:val="center"/>
          </w:tcPr>
          <w:p w14:paraId="307DFED7">
            <w:pPr>
              <w:spacing w:line="360" w:lineRule="auto"/>
              <w:jc w:val="center"/>
              <w:rPr>
                <w:rFonts w:hint="eastAsia" w:hAnsi="宋体" w:cs="宋体"/>
                <w:color w:val="auto"/>
                <w:szCs w:val="28"/>
                <w:highlight w:val="none"/>
              </w:rPr>
            </w:pPr>
            <w:r>
              <w:rPr>
                <w:rFonts w:hint="eastAsia" w:hAnsi="宋体" w:cs="宋体"/>
                <w:color w:val="auto"/>
                <w:szCs w:val="28"/>
                <w:highlight w:val="none"/>
              </w:rPr>
              <w:t>在建和已完工程项目情况</w:t>
            </w:r>
          </w:p>
        </w:tc>
      </w:tr>
      <w:tr w14:paraId="34D0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vAlign w:val="center"/>
          </w:tcPr>
          <w:p w14:paraId="401383EE">
            <w:pPr>
              <w:spacing w:line="360" w:lineRule="auto"/>
              <w:jc w:val="center"/>
              <w:rPr>
                <w:rFonts w:hint="eastAsia" w:hAnsi="宋体" w:cs="宋体"/>
                <w:color w:val="auto"/>
                <w:szCs w:val="28"/>
                <w:highlight w:val="none"/>
              </w:rPr>
            </w:pPr>
            <w:r>
              <w:rPr>
                <w:rFonts w:hint="eastAsia" w:hAnsi="宋体" w:cs="宋体"/>
                <w:color w:val="auto"/>
                <w:szCs w:val="28"/>
                <w:highlight w:val="none"/>
              </w:rPr>
              <w:t>建设单位</w:t>
            </w:r>
          </w:p>
        </w:tc>
        <w:tc>
          <w:tcPr>
            <w:tcW w:w="1480" w:type="dxa"/>
            <w:vAlign w:val="center"/>
          </w:tcPr>
          <w:p w14:paraId="47B90D5D">
            <w:pPr>
              <w:spacing w:line="360" w:lineRule="auto"/>
              <w:jc w:val="center"/>
              <w:rPr>
                <w:rFonts w:hint="eastAsia" w:hAnsi="宋体" w:cs="宋体"/>
                <w:color w:val="auto"/>
                <w:szCs w:val="28"/>
                <w:highlight w:val="none"/>
              </w:rPr>
            </w:pPr>
            <w:r>
              <w:rPr>
                <w:rFonts w:hint="eastAsia" w:hAnsi="宋体" w:cs="宋体"/>
                <w:color w:val="auto"/>
                <w:szCs w:val="28"/>
                <w:highlight w:val="none"/>
              </w:rPr>
              <w:t>项目名称</w:t>
            </w:r>
          </w:p>
        </w:tc>
        <w:tc>
          <w:tcPr>
            <w:tcW w:w="1313" w:type="dxa"/>
            <w:vAlign w:val="center"/>
          </w:tcPr>
          <w:p w14:paraId="214282B4">
            <w:pPr>
              <w:spacing w:line="360" w:lineRule="auto"/>
              <w:jc w:val="center"/>
              <w:rPr>
                <w:rFonts w:hint="eastAsia" w:hAnsi="宋体" w:cs="宋体"/>
                <w:color w:val="auto"/>
                <w:szCs w:val="28"/>
                <w:highlight w:val="none"/>
              </w:rPr>
            </w:pPr>
            <w:r>
              <w:rPr>
                <w:rFonts w:hint="eastAsia" w:hAnsi="宋体" w:cs="宋体"/>
                <w:color w:val="auto"/>
                <w:szCs w:val="28"/>
                <w:highlight w:val="none"/>
              </w:rPr>
              <w:t>建设规模</w:t>
            </w:r>
          </w:p>
        </w:tc>
        <w:tc>
          <w:tcPr>
            <w:tcW w:w="1630" w:type="dxa"/>
            <w:vAlign w:val="center"/>
          </w:tcPr>
          <w:p w14:paraId="0F9CE5AC">
            <w:pPr>
              <w:spacing w:line="360" w:lineRule="auto"/>
              <w:jc w:val="center"/>
              <w:rPr>
                <w:rFonts w:hint="eastAsia" w:hAnsi="宋体" w:cs="宋体"/>
                <w:color w:val="auto"/>
                <w:szCs w:val="28"/>
                <w:highlight w:val="none"/>
              </w:rPr>
            </w:pPr>
            <w:r>
              <w:rPr>
                <w:rFonts w:hint="eastAsia" w:hAnsi="宋体" w:cs="宋体"/>
                <w:color w:val="auto"/>
                <w:szCs w:val="28"/>
                <w:highlight w:val="none"/>
              </w:rPr>
              <w:t>开、竣工日期</w:t>
            </w:r>
          </w:p>
        </w:tc>
        <w:tc>
          <w:tcPr>
            <w:tcW w:w="1480" w:type="dxa"/>
            <w:vAlign w:val="center"/>
          </w:tcPr>
          <w:p w14:paraId="1123A665">
            <w:pPr>
              <w:spacing w:line="360" w:lineRule="auto"/>
              <w:jc w:val="center"/>
              <w:rPr>
                <w:rFonts w:hint="eastAsia" w:hAnsi="宋体" w:cs="宋体"/>
                <w:color w:val="auto"/>
                <w:szCs w:val="28"/>
                <w:highlight w:val="none"/>
              </w:rPr>
            </w:pPr>
            <w:r>
              <w:rPr>
                <w:rFonts w:hint="eastAsia" w:hAnsi="宋体" w:cs="宋体"/>
                <w:color w:val="auto"/>
                <w:szCs w:val="28"/>
                <w:highlight w:val="none"/>
              </w:rPr>
              <w:t>在建或已完</w:t>
            </w:r>
          </w:p>
        </w:tc>
        <w:tc>
          <w:tcPr>
            <w:tcW w:w="1192" w:type="dxa"/>
            <w:vAlign w:val="center"/>
          </w:tcPr>
          <w:p w14:paraId="1FB318EE">
            <w:pPr>
              <w:spacing w:line="360" w:lineRule="auto"/>
              <w:jc w:val="center"/>
              <w:rPr>
                <w:rFonts w:hint="eastAsia" w:hAnsi="宋体" w:cs="宋体"/>
                <w:color w:val="auto"/>
                <w:szCs w:val="28"/>
                <w:highlight w:val="none"/>
              </w:rPr>
            </w:pPr>
            <w:r>
              <w:rPr>
                <w:rFonts w:hint="eastAsia" w:hAnsi="宋体" w:cs="宋体"/>
                <w:color w:val="auto"/>
                <w:szCs w:val="28"/>
                <w:highlight w:val="none"/>
              </w:rPr>
              <w:t>工程质量</w:t>
            </w:r>
          </w:p>
        </w:tc>
      </w:tr>
      <w:tr w14:paraId="05BD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vAlign w:val="center"/>
          </w:tcPr>
          <w:p w14:paraId="3102A60A">
            <w:pPr>
              <w:spacing w:line="360" w:lineRule="auto"/>
              <w:rPr>
                <w:rFonts w:hint="eastAsia" w:hAnsi="宋体" w:cs="宋体"/>
                <w:color w:val="auto"/>
                <w:szCs w:val="28"/>
                <w:highlight w:val="none"/>
              </w:rPr>
            </w:pPr>
          </w:p>
        </w:tc>
        <w:tc>
          <w:tcPr>
            <w:tcW w:w="1480" w:type="dxa"/>
            <w:vAlign w:val="center"/>
          </w:tcPr>
          <w:p w14:paraId="4DA88A06">
            <w:pPr>
              <w:spacing w:line="360" w:lineRule="auto"/>
              <w:rPr>
                <w:rFonts w:hint="eastAsia" w:hAnsi="宋体" w:cs="宋体"/>
                <w:color w:val="auto"/>
                <w:szCs w:val="28"/>
                <w:highlight w:val="none"/>
              </w:rPr>
            </w:pPr>
          </w:p>
        </w:tc>
        <w:tc>
          <w:tcPr>
            <w:tcW w:w="1313" w:type="dxa"/>
            <w:vAlign w:val="center"/>
          </w:tcPr>
          <w:p w14:paraId="55C3F174">
            <w:pPr>
              <w:spacing w:line="360" w:lineRule="auto"/>
              <w:rPr>
                <w:rFonts w:hint="eastAsia" w:hAnsi="宋体" w:cs="宋体"/>
                <w:color w:val="auto"/>
                <w:szCs w:val="28"/>
                <w:highlight w:val="none"/>
              </w:rPr>
            </w:pPr>
          </w:p>
        </w:tc>
        <w:tc>
          <w:tcPr>
            <w:tcW w:w="1630" w:type="dxa"/>
            <w:vAlign w:val="center"/>
          </w:tcPr>
          <w:p w14:paraId="5912D0D9">
            <w:pPr>
              <w:spacing w:line="360" w:lineRule="auto"/>
              <w:rPr>
                <w:rFonts w:hint="eastAsia" w:hAnsi="宋体" w:cs="宋体"/>
                <w:color w:val="auto"/>
                <w:szCs w:val="28"/>
                <w:highlight w:val="none"/>
              </w:rPr>
            </w:pPr>
          </w:p>
        </w:tc>
        <w:tc>
          <w:tcPr>
            <w:tcW w:w="1480" w:type="dxa"/>
            <w:vAlign w:val="center"/>
          </w:tcPr>
          <w:p w14:paraId="41E2E947">
            <w:pPr>
              <w:spacing w:line="360" w:lineRule="auto"/>
              <w:rPr>
                <w:rFonts w:hint="eastAsia" w:hAnsi="宋体" w:cs="宋体"/>
                <w:color w:val="auto"/>
                <w:szCs w:val="28"/>
                <w:highlight w:val="none"/>
              </w:rPr>
            </w:pPr>
          </w:p>
        </w:tc>
        <w:tc>
          <w:tcPr>
            <w:tcW w:w="1192" w:type="dxa"/>
            <w:vAlign w:val="center"/>
          </w:tcPr>
          <w:p w14:paraId="391C1778">
            <w:pPr>
              <w:spacing w:line="360" w:lineRule="auto"/>
              <w:rPr>
                <w:rFonts w:hint="eastAsia" w:hAnsi="宋体" w:cs="宋体"/>
                <w:color w:val="auto"/>
                <w:szCs w:val="28"/>
                <w:highlight w:val="none"/>
              </w:rPr>
            </w:pPr>
          </w:p>
        </w:tc>
      </w:tr>
      <w:tr w14:paraId="1035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vAlign w:val="center"/>
          </w:tcPr>
          <w:p w14:paraId="445FB65C">
            <w:pPr>
              <w:spacing w:line="360" w:lineRule="auto"/>
              <w:rPr>
                <w:rFonts w:hint="eastAsia" w:hAnsi="宋体" w:cs="宋体"/>
                <w:color w:val="auto"/>
                <w:szCs w:val="28"/>
                <w:highlight w:val="none"/>
              </w:rPr>
            </w:pPr>
          </w:p>
        </w:tc>
        <w:tc>
          <w:tcPr>
            <w:tcW w:w="1480" w:type="dxa"/>
            <w:vAlign w:val="center"/>
          </w:tcPr>
          <w:p w14:paraId="26E3CA8E">
            <w:pPr>
              <w:spacing w:line="360" w:lineRule="auto"/>
              <w:rPr>
                <w:rFonts w:hint="eastAsia" w:hAnsi="宋体" w:cs="宋体"/>
                <w:color w:val="auto"/>
                <w:szCs w:val="28"/>
                <w:highlight w:val="none"/>
              </w:rPr>
            </w:pPr>
          </w:p>
        </w:tc>
        <w:tc>
          <w:tcPr>
            <w:tcW w:w="1313" w:type="dxa"/>
            <w:vAlign w:val="center"/>
          </w:tcPr>
          <w:p w14:paraId="0BDE68FB">
            <w:pPr>
              <w:spacing w:line="360" w:lineRule="auto"/>
              <w:rPr>
                <w:rFonts w:hint="eastAsia" w:hAnsi="宋体" w:cs="宋体"/>
                <w:color w:val="auto"/>
                <w:szCs w:val="28"/>
                <w:highlight w:val="none"/>
              </w:rPr>
            </w:pPr>
          </w:p>
        </w:tc>
        <w:tc>
          <w:tcPr>
            <w:tcW w:w="1630" w:type="dxa"/>
            <w:vAlign w:val="center"/>
          </w:tcPr>
          <w:p w14:paraId="6E6E0BEB">
            <w:pPr>
              <w:spacing w:line="360" w:lineRule="auto"/>
              <w:rPr>
                <w:rFonts w:hint="eastAsia" w:hAnsi="宋体" w:cs="宋体"/>
                <w:color w:val="auto"/>
                <w:szCs w:val="28"/>
                <w:highlight w:val="none"/>
              </w:rPr>
            </w:pPr>
          </w:p>
        </w:tc>
        <w:tc>
          <w:tcPr>
            <w:tcW w:w="1480" w:type="dxa"/>
            <w:vAlign w:val="center"/>
          </w:tcPr>
          <w:p w14:paraId="0ECC330E">
            <w:pPr>
              <w:spacing w:line="360" w:lineRule="auto"/>
              <w:rPr>
                <w:rFonts w:hint="eastAsia" w:hAnsi="宋体" w:cs="宋体"/>
                <w:color w:val="auto"/>
                <w:szCs w:val="28"/>
                <w:highlight w:val="none"/>
              </w:rPr>
            </w:pPr>
          </w:p>
        </w:tc>
        <w:tc>
          <w:tcPr>
            <w:tcW w:w="1192" w:type="dxa"/>
            <w:vAlign w:val="center"/>
          </w:tcPr>
          <w:p w14:paraId="4ACF5D27">
            <w:pPr>
              <w:spacing w:line="360" w:lineRule="auto"/>
              <w:rPr>
                <w:rFonts w:hint="eastAsia" w:hAnsi="宋体" w:cs="宋体"/>
                <w:color w:val="auto"/>
                <w:szCs w:val="28"/>
                <w:highlight w:val="none"/>
              </w:rPr>
            </w:pPr>
          </w:p>
        </w:tc>
      </w:tr>
      <w:tr w14:paraId="1475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vAlign w:val="center"/>
          </w:tcPr>
          <w:p w14:paraId="6EF36AF0">
            <w:pPr>
              <w:spacing w:line="360" w:lineRule="auto"/>
              <w:rPr>
                <w:rFonts w:hint="eastAsia" w:hAnsi="宋体" w:cs="宋体"/>
                <w:color w:val="auto"/>
                <w:szCs w:val="28"/>
                <w:highlight w:val="none"/>
              </w:rPr>
            </w:pPr>
          </w:p>
        </w:tc>
        <w:tc>
          <w:tcPr>
            <w:tcW w:w="1480" w:type="dxa"/>
            <w:vAlign w:val="center"/>
          </w:tcPr>
          <w:p w14:paraId="0B5A775F">
            <w:pPr>
              <w:spacing w:line="360" w:lineRule="auto"/>
              <w:rPr>
                <w:rFonts w:hint="eastAsia" w:hAnsi="宋体" w:cs="宋体"/>
                <w:color w:val="auto"/>
                <w:szCs w:val="28"/>
                <w:highlight w:val="none"/>
              </w:rPr>
            </w:pPr>
          </w:p>
        </w:tc>
        <w:tc>
          <w:tcPr>
            <w:tcW w:w="1313" w:type="dxa"/>
            <w:vAlign w:val="center"/>
          </w:tcPr>
          <w:p w14:paraId="28A2267E">
            <w:pPr>
              <w:spacing w:line="360" w:lineRule="auto"/>
              <w:rPr>
                <w:rFonts w:hint="eastAsia" w:hAnsi="宋体" w:cs="宋体"/>
                <w:color w:val="auto"/>
                <w:szCs w:val="28"/>
                <w:highlight w:val="none"/>
              </w:rPr>
            </w:pPr>
          </w:p>
        </w:tc>
        <w:tc>
          <w:tcPr>
            <w:tcW w:w="1630" w:type="dxa"/>
            <w:vAlign w:val="center"/>
          </w:tcPr>
          <w:p w14:paraId="6FAB8557">
            <w:pPr>
              <w:spacing w:line="360" w:lineRule="auto"/>
              <w:rPr>
                <w:rFonts w:hint="eastAsia" w:hAnsi="宋体" w:cs="宋体"/>
                <w:color w:val="auto"/>
                <w:szCs w:val="28"/>
                <w:highlight w:val="none"/>
              </w:rPr>
            </w:pPr>
          </w:p>
        </w:tc>
        <w:tc>
          <w:tcPr>
            <w:tcW w:w="1480" w:type="dxa"/>
            <w:vAlign w:val="center"/>
          </w:tcPr>
          <w:p w14:paraId="22274515">
            <w:pPr>
              <w:spacing w:line="360" w:lineRule="auto"/>
              <w:rPr>
                <w:rFonts w:hint="eastAsia" w:hAnsi="宋体" w:cs="宋体"/>
                <w:color w:val="auto"/>
                <w:szCs w:val="28"/>
                <w:highlight w:val="none"/>
              </w:rPr>
            </w:pPr>
          </w:p>
        </w:tc>
        <w:tc>
          <w:tcPr>
            <w:tcW w:w="1192" w:type="dxa"/>
            <w:vAlign w:val="center"/>
          </w:tcPr>
          <w:p w14:paraId="5791EE73">
            <w:pPr>
              <w:spacing w:line="360" w:lineRule="auto"/>
              <w:rPr>
                <w:rFonts w:hint="eastAsia" w:hAnsi="宋体" w:cs="宋体"/>
                <w:color w:val="auto"/>
                <w:szCs w:val="28"/>
                <w:highlight w:val="none"/>
              </w:rPr>
            </w:pPr>
          </w:p>
        </w:tc>
      </w:tr>
      <w:tr w14:paraId="1777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vAlign w:val="center"/>
          </w:tcPr>
          <w:p w14:paraId="7E5448BA">
            <w:pPr>
              <w:spacing w:line="360" w:lineRule="auto"/>
              <w:rPr>
                <w:rFonts w:hint="eastAsia" w:hAnsi="宋体" w:cs="宋体"/>
                <w:color w:val="auto"/>
                <w:szCs w:val="28"/>
                <w:highlight w:val="none"/>
              </w:rPr>
            </w:pPr>
          </w:p>
        </w:tc>
        <w:tc>
          <w:tcPr>
            <w:tcW w:w="1480" w:type="dxa"/>
            <w:vAlign w:val="center"/>
          </w:tcPr>
          <w:p w14:paraId="027711E4">
            <w:pPr>
              <w:spacing w:line="360" w:lineRule="auto"/>
              <w:rPr>
                <w:rFonts w:hint="eastAsia" w:hAnsi="宋体" w:cs="宋体"/>
                <w:color w:val="auto"/>
                <w:szCs w:val="28"/>
                <w:highlight w:val="none"/>
              </w:rPr>
            </w:pPr>
          </w:p>
        </w:tc>
        <w:tc>
          <w:tcPr>
            <w:tcW w:w="1313" w:type="dxa"/>
            <w:vAlign w:val="center"/>
          </w:tcPr>
          <w:p w14:paraId="2CF6174B">
            <w:pPr>
              <w:spacing w:line="360" w:lineRule="auto"/>
              <w:rPr>
                <w:rFonts w:hint="eastAsia" w:hAnsi="宋体" w:cs="宋体"/>
                <w:color w:val="auto"/>
                <w:szCs w:val="28"/>
                <w:highlight w:val="none"/>
              </w:rPr>
            </w:pPr>
          </w:p>
        </w:tc>
        <w:tc>
          <w:tcPr>
            <w:tcW w:w="1630" w:type="dxa"/>
            <w:vAlign w:val="center"/>
          </w:tcPr>
          <w:p w14:paraId="77E86C51">
            <w:pPr>
              <w:spacing w:line="360" w:lineRule="auto"/>
              <w:rPr>
                <w:rFonts w:hint="eastAsia" w:hAnsi="宋体" w:cs="宋体"/>
                <w:color w:val="auto"/>
                <w:szCs w:val="28"/>
                <w:highlight w:val="none"/>
              </w:rPr>
            </w:pPr>
          </w:p>
        </w:tc>
        <w:tc>
          <w:tcPr>
            <w:tcW w:w="1480" w:type="dxa"/>
            <w:vAlign w:val="center"/>
          </w:tcPr>
          <w:p w14:paraId="2A9048A0">
            <w:pPr>
              <w:spacing w:line="360" w:lineRule="auto"/>
              <w:rPr>
                <w:rFonts w:hint="eastAsia" w:hAnsi="宋体" w:cs="宋体"/>
                <w:color w:val="auto"/>
                <w:szCs w:val="28"/>
                <w:highlight w:val="none"/>
              </w:rPr>
            </w:pPr>
          </w:p>
        </w:tc>
        <w:tc>
          <w:tcPr>
            <w:tcW w:w="1192" w:type="dxa"/>
            <w:vAlign w:val="center"/>
          </w:tcPr>
          <w:p w14:paraId="7C3EFCDC">
            <w:pPr>
              <w:spacing w:line="360" w:lineRule="auto"/>
              <w:rPr>
                <w:rFonts w:hint="eastAsia" w:hAnsi="宋体" w:cs="宋体"/>
                <w:color w:val="auto"/>
                <w:szCs w:val="28"/>
                <w:highlight w:val="none"/>
              </w:rPr>
            </w:pPr>
          </w:p>
        </w:tc>
      </w:tr>
      <w:tr w14:paraId="52A2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vAlign w:val="center"/>
          </w:tcPr>
          <w:p w14:paraId="5EE3B3A5">
            <w:pPr>
              <w:spacing w:line="360" w:lineRule="auto"/>
              <w:rPr>
                <w:rFonts w:hint="eastAsia" w:hAnsi="宋体" w:cs="宋体"/>
                <w:color w:val="auto"/>
                <w:szCs w:val="28"/>
                <w:highlight w:val="none"/>
              </w:rPr>
            </w:pPr>
          </w:p>
        </w:tc>
        <w:tc>
          <w:tcPr>
            <w:tcW w:w="1480" w:type="dxa"/>
            <w:vAlign w:val="center"/>
          </w:tcPr>
          <w:p w14:paraId="606FA199">
            <w:pPr>
              <w:spacing w:line="360" w:lineRule="auto"/>
              <w:rPr>
                <w:rFonts w:hint="eastAsia" w:hAnsi="宋体" w:cs="宋体"/>
                <w:color w:val="auto"/>
                <w:szCs w:val="28"/>
                <w:highlight w:val="none"/>
              </w:rPr>
            </w:pPr>
          </w:p>
        </w:tc>
        <w:tc>
          <w:tcPr>
            <w:tcW w:w="1313" w:type="dxa"/>
            <w:vAlign w:val="center"/>
          </w:tcPr>
          <w:p w14:paraId="3597508F">
            <w:pPr>
              <w:spacing w:line="360" w:lineRule="auto"/>
              <w:rPr>
                <w:rFonts w:hint="eastAsia" w:hAnsi="宋体" w:cs="宋体"/>
                <w:color w:val="auto"/>
                <w:szCs w:val="28"/>
                <w:highlight w:val="none"/>
              </w:rPr>
            </w:pPr>
          </w:p>
        </w:tc>
        <w:tc>
          <w:tcPr>
            <w:tcW w:w="1630" w:type="dxa"/>
            <w:vAlign w:val="center"/>
          </w:tcPr>
          <w:p w14:paraId="08FA5FF6">
            <w:pPr>
              <w:spacing w:line="360" w:lineRule="auto"/>
              <w:rPr>
                <w:rFonts w:hint="eastAsia" w:hAnsi="宋体" w:cs="宋体"/>
                <w:color w:val="auto"/>
                <w:szCs w:val="28"/>
                <w:highlight w:val="none"/>
              </w:rPr>
            </w:pPr>
          </w:p>
        </w:tc>
        <w:tc>
          <w:tcPr>
            <w:tcW w:w="1480" w:type="dxa"/>
            <w:vAlign w:val="center"/>
          </w:tcPr>
          <w:p w14:paraId="084003F6">
            <w:pPr>
              <w:spacing w:line="360" w:lineRule="auto"/>
              <w:rPr>
                <w:rFonts w:hint="eastAsia" w:hAnsi="宋体" w:cs="宋体"/>
                <w:color w:val="auto"/>
                <w:szCs w:val="28"/>
                <w:highlight w:val="none"/>
              </w:rPr>
            </w:pPr>
          </w:p>
        </w:tc>
        <w:tc>
          <w:tcPr>
            <w:tcW w:w="1192" w:type="dxa"/>
            <w:vAlign w:val="center"/>
          </w:tcPr>
          <w:p w14:paraId="1AE4B28F">
            <w:pPr>
              <w:spacing w:line="360" w:lineRule="auto"/>
              <w:rPr>
                <w:rFonts w:hint="eastAsia" w:hAnsi="宋体" w:cs="宋体"/>
                <w:color w:val="auto"/>
                <w:szCs w:val="28"/>
                <w:highlight w:val="none"/>
              </w:rPr>
            </w:pPr>
          </w:p>
        </w:tc>
      </w:tr>
      <w:tr w14:paraId="51B9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vAlign w:val="center"/>
          </w:tcPr>
          <w:p w14:paraId="4EC3F3D5">
            <w:pPr>
              <w:spacing w:line="360" w:lineRule="auto"/>
              <w:rPr>
                <w:rFonts w:hint="eastAsia" w:hAnsi="宋体" w:cs="宋体"/>
                <w:color w:val="auto"/>
                <w:szCs w:val="28"/>
                <w:highlight w:val="none"/>
              </w:rPr>
            </w:pPr>
          </w:p>
        </w:tc>
        <w:tc>
          <w:tcPr>
            <w:tcW w:w="1480" w:type="dxa"/>
            <w:vAlign w:val="center"/>
          </w:tcPr>
          <w:p w14:paraId="4E6E0FD0">
            <w:pPr>
              <w:spacing w:line="360" w:lineRule="auto"/>
              <w:rPr>
                <w:rFonts w:hint="eastAsia" w:hAnsi="宋体" w:cs="宋体"/>
                <w:color w:val="auto"/>
                <w:szCs w:val="28"/>
                <w:highlight w:val="none"/>
              </w:rPr>
            </w:pPr>
          </w:p>
        </w:tc>
        <w:tc>
          <w:tcPr>
            <w:tcW w:w="1313" w:type="dxa"/>
            <w:vAlign w:val="center"/>
          </w:tcPr>
          <w:p w14:paraId="6F618BCE">
            <w:pPr>
              <w:spacing w:line="360" w:lineRule="auto"/>
              <w:rPr>
                <w:rFonts w:hint="eastAsia" w:hAnsi="宋体" w:cs="宋体"/>
                <w:color w:val="auto"/>
                <w:szCs w:val="28"/>
                <w:highlight w:val="none"/>
              </w:rPr>
            </w:pPr>
          </w:p>
        </w:tc>
        <w:tc>
          <w:tcPr>
            <w:tcW w:w="1630" w:type="dxa"/>
            <w:vAlign w:val="center"/>
          </w:tcPr>
          <w:p w14:paraId="0C3D5799">
            <w:pPr>
              <w:spacing w:line="360" w:lineRule="auto"/>
              <w:rPr>
                <w:rFonts w:hint="eastAsia" w:hAnsi="宋体" w:cs="宋体"/>
                <w:color w:val="auto"/>
                <w:szCs w:val="28"/>
                <w:highlight w:val="none"/>
              </w:rPr>
            </w:pPr>
          </w:p>
        </w:tc>
        <w:tc>
          <w:tcPr>
            <w:tcW w:w="1480" w:type="dxa"/>
            <w:vAlign w:val="center"/>
          </w:tcPr>
          <w:p w14:paraId="28564281">
            <w:pPr>
              <w:spacing w:line="360" w:lineRule="auto"/>
              <w:rPr>
                <w:rFonts w:hint="eastAsia" w:hAnsi="宋体" w:cs="宋体"/>
                <w:color w:val="auto"/>
                <w:szCs w:val="28"/>
                <w:highlight w:val="none"/>
              </w:rPr>
            </w:pPr>
          </w:p>
        </w:tc>
        <w:tc>
          <w:tcPr>
            <w:tcW w:w="1192" w:type="dxa"/>
            <w:vAlign w:val="center"/>
          </w:tcPr>
          <w:p w14:paraId="10421201">
            <w:pPr>
              <w:spacing w:line="360" w:lineRule="auto"/>
              <w:rPr>
                <w:rFonts w:hint="eastAsia" w:hAnsi="宋体" w:cs="宋体"/>
                <w:color w:val="auto"/>
                <w:szCs w:val="28"/>
                <w:highlight w:val="none"/>
              </w:rPr>
            </w:pPr>
          </w:p>
        </w:tc>
      </w:tr>
      <w:tr w14:paraId="04E4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vAlign w:val="center"/>
          </w:tcPr>
          <w:p w14:paraId="4EC81155">
            <w:pPr>
              <w:spacing w:line="360" w:lineRule="auto"/>
              <w:rPr>
                <w:rFonts w:hint="eastAsia" w:hAnsi="宋体" w:cs="宋体"/>
                <w:color w:val="auto"/>
                <w:szCs w:val="28"/>
                <w:highlight w:val="none"/>
              </w:rPr>
            </w:pPr>
          </w:p>
        </w:tc>
        <w:tc>
          <w:tcPr>
            <w:tcW w:w="1480" w:type="dxa"/>
            <w:vAlign w:val="center"/>
          </w:tcPr>
          <w:p w14:paraId="6C4DB9AD">
            <w:pPr>
              <w:spacing w:line="360" w:lineRule="auto"/>
              <w:rPr>
                <w:rFonts w:hint="eastAsia" w:hAnsi="宋体" w:cs="宋体"/>
                <w:color w:val="auto"/>
                <w:szCs w:val="28"/>
                <w:highlight w:val="none"/>
              </w:rPr>
            </w:pPr>
          </w:p>
        </w:tc>
        <w:tc>
          <w:tcPr>
            <w:tcW w:w="1313" w:type="dxa"/>
            <w:vAlign w:val="center"/>
          </w:tcPr>
          <w:p w14:paraId="7CD90CD8">
            <w:pPr>
              <w:spacing w:line="360" w:lineRule="auto"/>
              <w:rPr>
                <w:rFonts w:hint="eastAsia" w:hAnsi="宋体" w:cs="宋体"/>
                <w:color w:val="auto"/>
                <w:szCs w:val="28"/>
                <w:highlight w:val="none"/>
              </w:rPr>
            </w:pPr>
          </w:p>
        </w:tc>
        <w:tc>
          <w:tcPr>
            <w:tcW w:w="1630" w:type="dxa"/>
            <w:vAlign w:val="center"/>
          </w:tcPr>
          <w:p w14:paraId="2DCEA2FF">
            <w:pPr>
              <w:spacing w:line="360" w:lineRule="auto"/>
              <w:rPr>
                <w:rFonts w:hint="eastAsia" w:hAnsi="宋体" w:cs="宋体"/>
                <w:color w:val="auto"/>
                <w:szCs w:val="28"/>
                <w:highlight w:val="none"/>
              </w:rPr>
            </w:pPr>
          </w:p>
        </w:tc>
        <w:tc>
          <w:tcPr>
            <w:tcW w:w="1480" w:type="dxa"/>
            <w:vAlign w:val="center"/>
          </w:tcPr>
          <w:p w14:paraId="6B4FD319">
            <w:pPr>
              <w:spacing w:line="360" w:lineRule="auto"/>
              <w:rPr>
                <w:rFonts w:hint="eastAsia" w:hAnsi="宋体" w:cs="宋体"/>
                <w:color w:val="auto"/>
                <w:szCs w:val="28"/>
                <w:highlight w:val="none"/>
              </w:rPr>
            </w:pPr>
          </w:p>
        </w:tc>
        <w:tc>
          <w:tcPr>
            <w:tcW w:w="1192" w:type="dxa"/>
            <w:vAlign w:val="center"/>
          </w:tcPr>
          <w:p w14:paraId="70624457">
            <w:pPr>
              <w:spacing w:line="360" w:lineRule="auto"/>
              <w:rPr>
                <w:rFonts w:hint="eastAsia" w:hAnsi="宋体" w:cs="宋体"/>
                <w:color w:val="auto"/>
                <w:szCs w:val="28"/>
                <w:highlight w:val="none"/>
              </w:rPr>
            </w:pPr>
          </w:p>
        </w:tc>
      </w:tr>
    </w:tbl>
    <w:p w14:paraId="537E2089">
      <w:pPr>
        <w:spacing w:line="360" w:lineRule="auto"/>
        <w:rPr>
          <w:rFonts w:hint="eastAsia" w:hAnsi="宋体" w:cs="宋体"/>
          <w:color w:val="auto"/>
          <w:szCs w:val="28"/>
          <w:highlight w:val="none"/>
        </w:rPr>
      </w:pPr>
      <w:r>
        <w:rPr>
          <w:rFonts w:hint="eastAsia" w:hAnsi="宋体" w:cs="宋体"/>
          <w:color w:val="auto"/>
          <w:sz w:val="21"/>
          <w:szCs w:val="21"/>
          <w:highlight w:val="none"/>
        </w:rPr>
        <w:t>注：1.投标时项目负责人/施工负责人/设计负责人简历表须分别（分页）填写。</w:t>
      </w:r>
    </w:p>
    <w:p w14:paraId="28B30AD4">
      <w:pPr>
        <w:widowControl/>
        <w:rPr>
          <w:rFonts w:hint="eastAsia" w:ascii="宋体" w:hAnsi="宋体" w:cs="宋体"/>
          <w:b/>
          <w:bCs/>
          <w:color w:val="auto"/>
          <w:szCs w:val="28"/>
          <w:highlight w:val="none"/>
        </w:rPr>
      </w:pPr>
      <w:r>
        <w:rPr>
          <w:rFonts w:ascii="宋体" w:hAnsi="宋体" w:cs="宋体"/>
          <w:b/>
          <w:bCs/>
          <w:color w:val="auto"/>
          <w:szCs w:val="28"/>
          <w:highlight w:val="none"/>
        </w:rPr>
        <w:br w:type="page"/>
      </w:r>
    </w:p>
    <w:p w14:paraId="77B31F6F">
      <w:pPr>
        <w:spacing w:line="360" w:lineRule="auto"/>
        <w:jc w:val="center"/>
        <w:rPr>
          <w:rFonts w:hint="eastAsia" w:ascii="宋体" w:hAnsi="宋体" w:cs="宋体"/>
          <w:b/>
          <w:bCs/>
          <w:color w:val="auto"/>
          <w:sz w:val="28"/>
          <w:szCs w:val="28"/>
          <w:highlight w:val="none"/>
        </w:rPr>
      </w:pPr>
    </w:p>
    <w:p w14:paraId="2DC9DCE9">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表2</w:t>
      </w:r>
      <w:r>
        <w:rPr>
          <w:rFonts w:ascii="宋体" w:hAnsi="宋体" w:cs="宋体"/>
          <w:b/>
          <w:bCs/>
          <w:color w:val="auto"/>
          <w:sz w:val="28"/>
          <w:szCs w:val="28"/>
          <w:highlight w:val="none"/>
        </w:rPr>
        <w:t xml:space="preserve">  </w:t>
      </w:r>
      <w:r>
        <w:rPr>
          <w:rFonts w:hint="eastAsia" w:ascii="宋体" w:hAnsi="宋体" w:cs="宋体"/>
          <w:b/>
          <w:bCs/>
          <w:color w:val="auto"/>
          <w:sz w:val="28"/>
          <w:szCs w:val="28"/>
          <w:highlight w:val="none"/>
        </w:rPr>
        <w:t>项目技术负责人简历表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323"/>
        <w:gridCol w:w="1570"/>
        <w:gridCol w:w="1480"/>
        <w:gridCol w:w="1282"/>
      </w:tblGrid>
      <w:tr w14:paraId="13C9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14:paraId="342CAC97">
            <w:pPr>
              <w:spacing w:line="360" w:lineRule="auto"/>
              <w:jc w:val="center"/>
              <w:rPr>
                <w:rFonts w:hint="eastAsia" w:hAnsi="宋体" w:cs="宋体"/>
                <w:color w:val="auto"/>
                <w:szCs w:val="28"/>
                <w:highlight w:val="none"/>
              </w:rPr>
            </w:pPr>
            <w:r>
              <w:rPr>
                <w:rFonts w:hint="eastAsia" w:hAnsi="宋体" w:cs="宋体"/>
                <w:color w:val="auto"/>
                <w:szCs w:val="28"/>
                <w:highlight w:val="none"/>
              </w:rPr>
              <w:t>姓名</w:t>
            </w:r>
          </w:p>
        </w:tc>
        <w:tc>
          <w:tcPr>
            <w:tcW w:w="1480" w:type="dxa"/>
          </w:tcPr>
          <w:p w14:paraId="30E5DD72">
            <w:pPr>
              <w:spacing w:line="360" w:lineRule="auto"/>
              <w:jc w:val="center"/>
              <w:rPr>
                <w:rFonts w:hint="eastAsia" w:hAnsi="宋体" w:cs="宋体"/>
                <w:color w:val="auto"/>
                <w:szCs w:val="28"/>
                <w:highlight w:val="none"/>
              </w:rPr>
            </w:pPr>
          </w:p>
        </w:tc>
        <w:tc>
          <w:tcPr>
            <w:tcW w:w="1323" w:type="dxa"/>
          </w:tcPr>
          <w:p w14:paraId="7D6D27EA">
            <w:pPr>
              <w:spacing w:line="360" w:lineRule="auto"/>
              <w:jc w:val="center"/>
              <w:rPr>
                <w:rFonts w:hint="eastAsia" w:hAnsi="宋体" w:cs="宋体"/>
                <w:color w:val="auto"/>
                <w:szCs w:val="28"/>
                <w:highlight w:val="none"/>
              </w:rPr>
            </w:pPr>
            <w:r>
              <w:rPr>
                <w:rFonts w:hint="eastAsia" w:hAnsi="宋体" w:cs="宋体"/>
                <w:color w:val="auto"/>
                <w:szCs w:val="28"/>
                <w:highlight w:val="none"/>
              </w:rPr>
              <w:t>性别</w:t>
            </w:r>
          </w:p>
        </w:tc>
        <w:tc>
          <w:tcPr>
            <w:tcW w:w="1570" w:type="dxa"/>
          </w:tcPr>
          <w:p w14:paraId="5FA1437A">
            <w:pPr>
              <w:spacing w:line="360" w:lineRule="auto"/>
              <w:jc w:val="center"/>
              <w:rPr>
                <w:rFonts w:hint="eastAsia" w:hAnsi="宋体" w:cs="宋体"/>
                <w:color w:val="auto"/>
                <w:szCs w:val="28"/>
                <w:highlight w:val="none"/>
              </w:rPr>
            </w:pPr>
          </w:p>
        </w:tc>
        <w:tc>
          <w:tcPr>
            <w:tcW w:w="1480" w:type="dxa"/>
          </w:tcPr>
          <w:p w14:paraId="48A688BF">
            <w:pPr>
              <w:spacing w:line="360" w:lineRule="auto"/>
              <w:jc w:val="center"/>
              <w:rPr>
                <w:rFonts w:hint="eastAsia" w:hAnsi="宋体" w:cs="宋体"/>
                <w:color w:val="auto"/>
                <w:szCs w:val="28"/>
                <w:highlight w:val="none"/>
              </w:rPr>
            </w:pPr>
            <w:r>
              <w:rPr>
                <w:rFonts w:hint="eastAsia" w:hAnsi="宋体" w:cs="宋体"/>
                <w:color w:val="auto"/>
                <w:szCs w:val="28"/>
                <w:highlight w:val="none"/>
              </w:rPr>
              <w:t>年龄</w:t>
            </w:r>
          </w:p>
        </w:tc>
        <w:tc>
          <w:tcPr>
            <w:tcW w:w="1282" w:type="dxa"/>
          </w:tcPr>
          <w:p w14:paraId="37D8D0AB">
            <w:pPr>
              <w:spacing w:line="360" w:lineRule="auto"/>
              <w:jc w:val="center"/>
              <w:rPr>
                <w:rFonts w:hint="eastAsia" w:hAnsi="宋体" w:cs="宋体"/>
                <w:color w:val="auto"/>
                <w:szCs w:val="28"/>
                <w:highlight w:val="none"/>
              </w:rPr>
            </w:pPr>
          </w:p>
        </w:tc>
      </w:tr>
      <w:tr w14:paraId="44B7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14:paraId="46E1CB94">
            <w:pPr>
              <w:spacing w:line="360" w:lineRule="auto"/>
              <w:jc w:val="center"/>
              <w:rPr>
                <w:rFonts w:hint="eastAsia" w:hAnsi="宋体" w:cs="宋体"/>
                <w:color w:val="auto"/>
                <w:szCs w:val="28"/>
                <w:highlight w:val="none"/>
              </w:rPr>
            </w:pPr>
            <w:r>
              <w:rPr>
                <w:rFonts w:hint="eastAsia" w:hAnsi="宋体" w:cs="宋体"/>
                <w:color w:val="auto"/>
                <w:szCs w:val="28"/>
                <w:highlight w:val="none"/>
              </w:rPr>
              <w:t>职务</w:t>
            </w:r>
          </w:p>
        </w:tc>
        <w:tc>
          <w:tcPr>
            <w:tcW w:w="1480" w:type="dxa"/>
          </w:tcPr>
          <w:p w14:paraId="5F4BB4EC">
            <w:pPr>
              <w:spacing w:line="360" w:lineRule="auto"/>
              <w:jc w:val="center"/>
              <w:rPr>
                <w:rFonts w:hint="eastAsia" w:hAnsi="宋体" w:cs="宋体"/>
                <w:color w:val="auto"/>
                <w:szCs w:val="28"/>
                <w:highlight w:val="none"/>
              </w:rPr>
            </w:pPr>
          </w:p>
        </w:tc>
        <w:tc>
          <w:tcPr>
            <w:tcW w:w="1323" w:type="dxa"/>
          </w:tcPr>
          <w:p w14:paraId="76689880">
            <w:pPr>
              <w:spacing w:line="360" w:lineRule="auto"/>
              <w:jc w:val="center"/>
              <w:rPr>
                <w:rFonts w:hint="eastAsia" w:hAnsi="宋体" w:cs="宋体"/>
                <w:color w:val="auto"/>
                <w:szCs w:val="28"/>
                <w:highlight w:val="none"/>
              </w:rPr>
            </w:pPr>
            <w:r>
              <w:rPr>
                <w:rFonts w:hint="eastAsia" w:hAnsi="宋体" w:cs="宋体"/>
                <w:color w:val="auto"/>
                <w:szCs w:val="28"/>
                <w:highlight w:val="none"/>
              </w:rPr>
              <w:t>职称</w:t>
            </w:r>
          </w:p>
        </w:tc>
        <w:tc>
          <w:tcPr>
            <w:tcW w:w="1570" w:type="dxa"/>
          </w:tcPr>
          <w:p w14:paraId="25AF4D61">
            <w:pPr>
              <w:spacing w:line="360" w:lineRule="auto"/>
              <w:jc w:val="center"/>
              <w:rPr>
                <w:rFonts w:hint="eastAsia" w:hAnsi="宋体" w:cs="宋体"/>
                <w:color w:val="auto"/>
                <w:szCs w:val="28"/>
                <w:highlight w:val="none"/>
              </w:rPr>
            </w:pPr>
          </w:p>
        </w:tc>
        <w:tc>
          <w:tcPr>
            <w:tcW w:w="1480" w:type="dxa"/>
          </w:tcPr>
          <w:p w14:paraId="513844D9">
            <w:pPr>
              <w:spacing w:line="360" w:lineRule="auto"/>
              <w:jc w:val="center"/>
              <w:rPr>
                <w:rFonts w:hint="eastAsia" w:hAnsi="宋体" w:cs="宋体"/>
                <w:color w:val="auto"/>
                <w:szCs w:val="28"/>
                <w:highlight w:val="none"/>
              </w:rPr>
            </w:pPr>
            <w:r>
              <w:rPr>
                <w:rFonts w:hint="eastAsia" w:hAnsi="宋体" w:cs="宋体"/>
                <w:color w:val="auto"/>
                <w:szCs w:val="28"/>
                <w:highlight w:val="none"/>
              </w:rPr>
              <w:t>学历</w:t>
            </w:r>
          </w:p>
        </w:tc>
        <w:tc>
          <w:tcPr>
            <w:tcW w:w="1282" w:type="dxa"/>
          </w:tcPr>
          <w:p w14:paraId="76B62507">
            <w:pPr>
              <w:spacing w:line="360" w:lineRule="auto"/>
              <w:jc w:val="center"/>
              <w:rPr>
                <w:rFonts w:hint="eastAsia" w:hAnsi="宋体" w:cs="宋体"/>
                <w:color w:val="auto"/>
                <w:szCs w:val="28"/>
                <w:highlight w:val="none"/>
              </w:rPr>
            </w:pPr>
          </w:p>
        </w:tc>
      </w:tr>
      <w:tr w14:paraId="479F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tcPr>
          <w:p w14:paraId="4A498935">
            <w:pPr>
              <w:spacing w:line="360" w:lineRule="auto"/>
              <w:jc w:val="center"/>
              <w:rPr>
                <w:rFonts w:hint="eastAsia" w:hAnsi="宋体" w:cs="宋体"/>
                <w:color w:val="auto"/>
                <w:szCs w:val="28"/>
                <w:highlight w:val="none"/>
              </w:rPr>
            </w:pPr>
            <w:r>
              <w:rPr>
                <w:rFonts w:hint="eastAsia" w:hAnsi="宋体" w:cs="宋体"/>
                <w:color w:val="auto"/>
                <w:szCs w:val="28"/>
                <w:highlight w:val="none"/>
              </w:rPr>
              <w:t>参加工作时间</w:t>
            </w:r>
          </w:p>
        </w:tc>
        <w:tc>
          <w:tcPr>
            <w:tcW w:w="1323" w:type="dxa"/>
          </w:tcPr>
          <w:p w14:paraId="02219A83">
            <w:pPr>
              <w:spacing w:line="360" w:lineRule="auto"/>
              <w:jc w:val="center"/>
              <w:rPr>
                <w:rFonts w:hint="eastAsia" w:hAnsi="宋体" w:cs="宋体"/>
                <w:color w:val="auto"/>
                <w:szCs w:val="28"/>
                <w:highlight w:val="none"/>
              </w:rPr>
            </w:pPr>
          </w:p>
        </w:tc>
        <w:tc>
          <w:tcPr>
            <w:tcW w:w="3050" w:type="dxa"/>
            <w:gridSpan w:val="2"/>
          </w:tcPr>
          <w:p w14:paraId="5E31486A">
            <w:pPr>
              <w:spacing w:line="360" w:lineRule="auto"/>
              <w:jc w:val="center"/>
              <w:rPr>
                <w:rFonts w:hint="eastAsia" w:hAnsi="宋体" w:cs="宋体"/>
                <w:color w:val="auto"/>
                <w:szCs w:val="28"/>
                <w:highlight w:val="none"/>
              </w:rPr>
            </w:pPr>
            <w:r>
              <w:rPr>
                <w:rFonts w:hint="eastAsia" w:hAnsi="宋体" w:cs="宋体"/>
                <w:color w:val="auto"/>
                <w:szCs w:val="28"/>
                <w:highlight w:val="none"/>
              </w:rPr>
              <w:t>从事技术负责人年限</w:t>
            </w:r>
          </w:p>
        </w:tc>
        <w:tc>
          <w:tcPr>
            <w:tcW w:w="1282" w:type="dxa"/>
          </w:tcPr>
          <w:p w14:paraId="23B3E686">
            <w:pPr>
              <w:spacing w:line="360" w:lineRule="auto"/>
              <w:jc w:val="center"/>
              <w:rPr>
                <w:rFonts w:hint="eastAsia" w:hAnsi="宋体" w:cs="宋体"/>
                <w:color w:val="auto"/>
                <w:szCs w:val="28"/>
                <w:highlight w:val="none"/>
              </w:rPr>
            </w:pPr>
          </w:p>
        </w:tc>
      </w:tr>
      <w:tr w14:paraId="6B6E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tcPr>
          <w:p w14:paraId="4A7C02E1">
            <w:pPr>
              <w:spacing w:line="360" w:lineRule="auto"/>
              <w:jc w:val="center"/>
              <w:rPr>
                <w:rFonts w:hint="eastAsia" w:hAnsi="宋体" w:cs="宋体"/>
                <w:color w:val="auto"/>
                <w:szCs w:val="28"/>
                <w:highlight w:val="none"/>
              </w:rPr>
            </w:pPr>
            <w:r>
              <w:rPr>
                <w:rFonts w:hint="eastAsia" w:hAnsi="宋体" w:cs="宋体"/>
                <w:color w:val="auto"/>
                <w:szCs w:val="28"/>
                <w:highlight w:val="none"/>
              </w:rPr>
              <w:t>资格证书名称及编号</w:t>
            </w:r>
          </w:p>
        </w:tc>
        <w:tc>
          <w:tcPr>
            <w:tcW w:w="5655" w:type="dxa"/>
            <w:gridSpan w:val="4"/>
          </w:tcPr>
          <w:p w14:paraId="12874BA8">
            <w:pPr>
              <w:spacing w:line="360" w:lineRule="auto"/>
              <w:jc w:val="center"/>
              <w:rPr>
                <w:rFonts w:hint="eastAsia" w:hAnsi="宋体" w:cs="宋体"/>
                <w:color w:val="auto"/>
                <w:szCs w:val="28"/>
                <w:highlight w:val="none"/>
              </w:rPr>
            </w:pPr>
          </w:p>
        </w:tc>
      </w:tr>
      <w:tr w14:paraId="2425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5" w:type="dxa"/>
            <w:gridSpan w:val="6"/>
          </w:tcPr>
          <w:p w14:paraId="7A8D91F7">
            <w:pPr>
              <w:spacing w:line="360" w:lineRule="auto"/>
              <w:jc w:val="center"/>
              <w:rPr>
                <w:rFonts w:hint="eastAsia" w:hAnsi="宋体" w:cs="宋体"/>
                <w:color w:val="auto"/>
                <w:szCs w:val="28"/>
                <w:highlight w:val="none"/>
              </w:rPr>
            </w:pPr>
            <w:r>
              <w:rPr>
                <w:rFonts w:hint="eastAsia" w:hAnsi="宋体" w:cs="宋体"/>
                <w:color w:val="auto"/>
                <w:szCs w:val="28"/>
                <w:highlight w:val="none"/>
              </w:rPr>
              <w:t>在建和已完工程项目情况</w:t>
            </w:r>
          </w:p>
        </w:tc>
      </w:tr>
      <w:tr w14:paraId="4A72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14:paraId="535825B6">
            <w:pPr>
              <w:spacing w:line="360" w:lineRule="auto"/>
              <w:jc w:val="center"/>
              <w:rPr>
                <w:rFonts w:hint="eastAsia" w:hAnsi="宋体" w:cs="宋体"/>
                <w:color w:val="auto"/>
                <w:szCs w:val="28"/>
                <w:highlight w:val="none"/>
              </w:rPr>
            </w:pPr>
            <w:r>
              <w:rPr>
                <w:rFonts w:hint="eastAsia" w:hAnsi="宋体" w:cs="宋体"/>
                <w:color w:val="auto"/>
                <w:szCs w:val="28"/>
                <w:highlight w:val="none"/>
              </w:rPr>
              <w:t>建设单位</w:t>
            </w:r>
          </w:p>
        </w:tc>
        <w:tc>
          <w:tcPr>
            <w:tcW w:w="1480" w:type="dxa"/>
          </w:tcPr>
          <w:p w14:paraId="77AB9393">
            <w:pPr>
              <w:spacing w:line="360" w:lineRule="auto"/>
              <w:jc w:val="center"/>
              <w:rPr>
                <w:rFonts w:hint="eastAsia" w:hAnsi="宋体" w:cs="宋体"/>
                <w:color w:val="auto"/>
                <w:szCs w:val="28"/>
                <w:highlight w:val="none"/>
              </w:rPr>
            </w:pPr>
            <w:r>
              <w:rPr>
                <w:rFonts w:hint="eastAsia" w:hAnsi="宋体" w:cs="宋体"/>
                <w:color w:val="auto"/>
                <w:szCs w:val="28"/>
                <w:highlight w:val="none"/>
              </w:rPr>
              <w:t>项目名称</w:t>
            </w:r>
          </w:p>
        </w:tc>
        <w:tc>
          <w:tcPr>
            <w:tcW w:w="1323" w:type="dxa"/>
          </w:tcPr>
          <w:p w14:paraId="0C497427">
            <w:pPr>
              <w:spacing w:line="360" w:lineRule="auto"/>
              <w:jc w:val="center"/>
              <w:rPr>
                <w:rFonts w:hint="eastAsia" w:hAnsi="宋体" w:cs="宋体"/>
                <w:color w:val="auto"/>
                <w:szCs w:val="28"/>
                <w:highlight w:val="none"/>
              </w:rPr>
            </w:pPr>
            <w:r>
              <w:rPr>
                <w:rFonts w:hint="eastAsia" w:hAnsi="宋体" w:cs="宋体"/>
                <w:color w:val="auto"/>
                <w:szCs w:val="28"/>
                <w:highlight w:val="none"/>
              </w:rPr>
              <w:t>建设规模</w:t>
            </w:r>
          </w:p>
        </w:tc>
        <w:tc>
          <w:tcPr>
            <w:tcW w:w="1570" w:type="dxa"/>
          </w:tcPr>
          <w:p w14:paraId="78F9B87B">
            <w:pPr>
              <w:spacing w:line="360" w:lineRule="auto"/>
              <w:jc w:val="center"/>
              <w:rPr>
                <w:rFonts w:hint="eastAsia" w:hAnsi="宋体" w:cs="宋体"/>
                <w:color w:val="auto"/>
                <w:szCs w:val="28"/>
                <w:highlight w:val="none"/>
              </w:rPr>
            </w:pPr>
            <w:r>
              <w:rPr>
                <w:rFonts w:hint="eastAsia" w:hAnsi="宋体" w:cs="宋体"/>
                <w:color w:val="auto"/>
                <w:szCs w:val="28"/>
                <w:highlight w:val="none"/>
              </w:rPr>
              <w:t>开、竣工日期</w:t>
            </w:r>
          </w:p>
        </w:tc>
        <w:tc>
          <w:tcPr>
            <w:tcW w:w="1480" w:type="dxa"/>
          </w:tcPr>
          <w:p w14:paraId="1F274F5B">
            <w:pPr>
              <w:spacing w:line="360" w:lineRule="auto"/>
              <w:jc w:val="center"/>
              <w:rPr>
                <w:rFonts w:hint="eastAsia" w:hAnsi="宋体" w:cs="宋体"/>
                <w:color w:val="auto"/>
                <w:szCs w:val="28"/>
                <w:highlight w:val="none"/>
              </w:rPr>
            </w:pPr>
            <w:r>
              <w:rPr>
                <w:rFonts w:hint="eastAsia" w:hAnsi="宋体" w:cs="宋体"/>
                <w:color w:val="auto"/>
                <w:szCs w:val="28"/>
                <w:highlight w:val="none"/>
              </w:rPr>
              <w:t>在建或已完</w:t>
            </w:r>
          </w:p>
        </w:tc>
        <w:tc>
          <w:tcPr>
            <w:tcW w:w="1282" w:type="dxa"/>
          </w:tcPr>
          <w:p w14:paraId="421C1586">
            <w:pPr>
              <w:spacing w:line="360" w:lineRule="auto"/>
              <w:jc w:val="center"/>
              <w:rPr>
                <w:rFonts w:hint="eastAsia" w:hAnsi="宋体" w:cs="宋体"/>
                <w:color w:val="auto"/>
                <w:szCs w:val="28"/>
                <w:highlight w:val="none"/>
              </w:rPr>
            </w:pPr>
            <w:r>
              <w:rPr>
                <w:rFonts w:hint="eastAsia" w:hAnsi="宋体" w:cs="宋体"/>
                <w:color w:val="auto"/>
                <w:szCs w:val="28"/>
                <w:highlight w:val="none"/>
              </w:rPr>
              <w:t>工程质量</w:t>
            </w:r>
          </w:p>
        </w:tc>
      </w:tr>
      <w:tr w14:paraId="4B68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271B5CF3">
            <w:pPr>
              <w:spacing w:line="360" w:lineRule="auto"/>
              <w:rPr>
                <w:rFonts w:hint="eastAsia" w:hAnsi="宋体" w:cs="宋体"/>
                <w:color w:val="auto"/>
                <w:szCs w:val="28"/>
                <w:highlight w:val="none"/>
              </w:rPr>
            </w:pPr>
          </w:p>
        </w:tc>
        <w:tc>
          <w:tcPr>
            <w:tcW w:w="1480" w:type="dxa"/>
          </w:tcPr>
          <w:p w14:paraId="5FC993B8">
            <w:pPr>
              <w:spacing w:line="360" w:lineRule="auto"/>
              <w:rPr>
                <w:rFonts w:hint="eastAsia" w:hAnsi="宋体" w:cs="宋体"/>
                <w:color w:val="auto"/>
                <w:szCs w:val="28"/>
                <w:highlight w:val="none"/>
              </w:rPr>
            </w:pPr>
          </w:p>
        </w:tc>
        <w:tc>
          <w:tcPr>
            <w:tcW w:w="1323" w:type="dxa"/>
          </w:tcPr>
          <w:p w14:paraId="5334D195">
            <w:pPr>
              <w:spacing w:line="360" w:lineRule="auto"/>
              <w:rPr>
                <w:rFonts w:hint="eastAsia" w:hAnsi="宋体" w:cs="宋体"/>
                <w:color w:val="auto"/>
                <w:szCs w:val="28"/>
                <w:highlight w:val="none"/>
              </w:rPr>
            </w:pPr>
          </w:p>
        </w:tc>
        <w:tc>
          <w:tcPr>
            <w:tcW w:w="1570" w:type="dxa"/>
          </w:tcPr>
          <w:p w14:paraId="2C5935DE">
            <w:pPr>
              <w:spacing w:line="360" w:lineRule="auto"/>
              <w:rPr>
                <w:rFonts w:hint="eastAsia" w:hAnsi="宋体" w:cs="宋体"/>
                <w:color w:val="auto"/>
                <w:szCs w:val="28"/>
                <w:highlight w:val="none"/>
              </w:rPr>
            </w:pPr>
          </w:p>
        </w:tc>
        <w:tc>
          <w:tcPr>
            <w:tcW w:w="1480" w:type="dxa"/>
          </w:tcPr>
          <w:p w14:paraId="75745F56">
            <w:pPr>
              <w:spacing w:line="360" w:lineRule="auto"/>
              <w:rPr>
                <w:rFonts w:hint="eastAsia" w:hAnsi="宋体" w:cs="宋体"/>
                <w:color w:val="auto"/>
                <w:szCs w:val="28"/>
                <w:highlight w:val="none"/>
              </w:rPr>
            </w:pPr>
          </w:p>
        </w:tc>
        <w:tc>
          <w:tcPr>
            <w:tcW w:w="1282" w:type="dxa"/>
          </w:tcPr>
          <w:p w14:paraId="0C7A5058">
            <w:pPr>
              <w:spacing w:line="360" w:lineRule="auto"/>
              <w:rPr>
                <w:rFonts w:hint="eastAsia" w:hAnsi="宋体" w:cs="宋体"/>
                <w:color w:val="auto"/>
                <w:szCs w:val="28"/>
                <w:highlight w:val="none"/>
              </w:rPr>
            </w:pPr>
          </w:p>
        </w:tc>
      </w:tr>
      <w:tr w14:paraId="6610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157B20A4">
            <w:pPr>
              <w:spacing w:line="360" w:lineRule="auto"/>
              <w:rPr>
                <w:rFonts w:hint="eastAsia" w:hAnsi="宋体" w:cs="宋体"/>
                <w:color w:val="auto"/>
                <w:szCs w:val="28"/>
                <w:highlight w:val="none"/>
              </w:rPr>
            </w:pPr>
          </w:p>
        </w:tc>
        <w:tc>
          <w:tcPr>
            <w:tcW w:w="1480" w:type="dxa"/>
          </w:tcPr>
          <w:p w14:paraId="2F9FE003">
            <w:pPr>
              <w:spacing w:line="360" w:lineRule="auto"/>
              <w:rPr>
                <w:rFonts w:hint="eastAsia" w:hAnsi="宋体" w:cs="宋体"/>
                <w:color w:val="auto"/>
                <w:szCs w:val="28"/>
                <w:highlight w:val="none"/>
              </w:rPr>
            </w:pPr>
          </w:p>
        </w:tc>
        <w:tc>
          <w:tcPr>
            <w:tcW w:w="1323" w:type="dxa"/>
          </w:tcPr>
          <w:p w14:paraId="2361A1EB">
            <w:pPr>
              <w:spacing w:line="360" w:lineRule="auto"/>
              <w:rPr>
                <w:rFonts w:hint="eastAsia" w:hAnsi="宋体" w:cs="宋体"/>
                <w:color w:val="auto"/>
                <w:szCs w:val="28"/>
                <w:highlight w:val="none"/>
              </w:rPr>
            </w:pPr>
          </w:p>
        </w:tc>
        <w:tc>
          <w:tcPr>
            <w:tcW w:w="1570" w:type="dxa"/>
          </w:tcPr>
          <w:p w14:paraId="738D6B24">
            <w:pPr>
              <w:spacing w:line="360" w:lineRule="auto"/>
              <w:rPr>
                <w:rFonts w:hint="eastAsia" w:hAnsi="宋体" w:cs="宋体"/>
                <w:color w:val="auto"/>
                <w:szCs w:val="28"/>
                <w:highlight w:val="none"/>
              </w:rPr>
            </w:pPr>
          </w:p>
        </w:tc>
        <w:tc>
          <w:tcPr>
            <w:tcW w:w="1480" w:type="dxa"/>
          </w:tcPr>
          <w:p w14:paraId="13543BD1">
            <w:pPr>
              <w:spacing w:line="360" w:lineRule="auto"/>
              <w:rPr>
                <w:rFonts w:hint="eastAsia" w:hAnsi="宋体" w:cs="宋体"/>
                <w:color w:val="auto"/>
                <w:szCs w:val="28"/>
                <w:highlight w:val="none"/>
              </w:rPr>
            </w:pPr>
          </w:p>
        </w:tc>
        <w:tc>
          <w:tcPr>
            <w:tcW w:w="1282" w:type="dxa"/>
          </w:tcPr>
          <w:p w14:paraId="21877E98">
            <w:pPr>
              <w:spacing w:line="360" w:lineRule="auto"/>
              <w:rPr>
                <w:rFonts w:hint="eastAsia" w:hAnsi="宋体" w:cs="宋体"/>
                <w:color w:val="auto"/>
                <w:szCs w:val="28"/>
                <w:highlight w:val="none"/>
              </w:rPr>
            </w:pPr>
          </w:p>
        </w:tc>
      </w:tr>
      <w:tr w14:paraId="0D27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1B603DE1">
            <w:pPr>
              <w:spacing w:line="360" w:lineRule="auto"/>
              <w:rPr>
                <w:rFonts w:hint="eastAsia" w:hAnsi="宋体" w:cs="宋体"/>
                <w:color w:val="auto"/>
                <w:szCs w:val="28"/>
                <w:highlight w:val="none"/>
              </w:rPr>
            </w:pPr>
          </w:p>
        </w:tc>
        <w:tc>
          <w:tcPr>
            <w:tcW w:w="1480" w:type="dxa"/>
          </w:tcPr>
          <w:p w14:paraId="56329530">
            <w:pPr>
              <w:spacing w:line="360" w:lineRule="auto"/>
              <w:rPr>
                <w:rFonts w:hint="eastAsia" w:hAnsi="宋体" w:cs="宋体"/>
                <w:color w:val="auto"/>
                <w:szCs w:val="28"/>
                <w:highlight w:val="none"/>
              </w:rPr>
            </w:pPr>
          </w:p>
        </w:tc>
        <w:tc>
          <w:tcPr>
            <w:tcW w:w="1323" w:type="dxa"/>
          </w:tcPr>
          <w:p w14:paraId="6D9231F8">
            <w:pPr>
              <w:spacing w:line="360" w:lineRule="auto"/>
              <w:rPr>
                <w:rFonts w:hint="eastAsia" w:hAnsi="宋体" w:cs="宋体"/>
                <w:color w:val="auto"/>
                <w:szCs w:val="28"/>
                <w:highlight w:val="none"/>
              </w:rPr>
            </w:pPr>
          </w:p>
        </w:tc>
        <w:tc>
          <w:tcPr>
            <w:tcW w:w="1570" w:type="dxa"/>
          </w:tcPr>
          <w:p w14:paraId="1C93E7A3">
            <w:pPr>
              <w:spacing w:line="360" w:lineRule="auto"/>
              <w:rPr>
                <w:rFonts w:hint="eastAsia" w:hAnsi="宋体" w:cs="宋体"/>
                <w:color w:val="auto"/>
                <w:szCs w:val="28"/>
                <w:highlight w:val="none"/>
              </w:rPr>
            </w:pPr>
          </w:p>
        </w:tc>
        <w:tc>
          <w:tcPr>
            <w:tcW w:w="1480" w:type="dxa"/>
          </w:tcPr>
          <w:p w14:paraId="712A2B75">
            <w:pPr>
              <w:spacing w:line="360" w:lineRule="auto"/>
              <w:rPr>
                <w:rFonts w:hint="eastAsia" w:hAnsi="宋体" w:cs="宋体"/>
                <w:color w:val="auto"/>
                <w:szCs w:val="28"/>
                <w:highlight w:val="none"/>
              </w:rPr>
            </w:pPr>
          </w:p>
        </w:tc>
        <w:tc>
          <w:tcPr>
            <w:tcW w:w="1282" w:type="dxa"/>
          </w:tcPr>
          <w:p w14:paraId="79D22023">
            <w:pPr>
              <w:spacing w:line="360" w:lineRule="auto"/>
              <w:rPr>
                <w:rFonts w:hint="eastAsia" w:hAnsi="宋体" w:cs="宋体"/>
                <w:color w:val="auto"/>
                <w:szCs w:val="28"/>
                <w:highlight w:val="none"/>
              </w:rPr>
            </w:pPr>
          </w:p>
        </w:tc>
      </w:tr>
      <w:tr w14:paraId="0A33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4A6F53D9">
            <w:pPr>
              <w:spacing w:line="360" w:lineRule="auto"/>
              <w:rPr>
                <w:rFonts w:hint="eastAsia" w:hAnsi="宋体" w:cs="宋体"/>
                <w:color w:val="auto"/>
                <w:szCs w:val="28"/>
                <w:highlight w:val="none"/>
              </w:rPr>
            </w:pPr>
          </w:p>
        </w:tc>
        <w:tc>
          <w:tcPr>
            <w:tcW w:w="1480" w:type="dxa"/>
          </w:tcPr>
          <w:p w14:paraId="2BF0794F">
            <w:pPr>
              <w:spacing w:line="360" w:lineRule="auto"/>
              <w:rPr>
                <w:rFonts w:hint="eastAsia" w:hAnsi="宋体" w:cs="宋体"/>
                <w:color w:val="auto"/>
                <w:szCs w:val="28"/>
                <w:highlight w:val="none"/>
              </w:rPr>
            </w:pPr>
          </w:p>
        </w:tc>
        <w:tc>
          <w:tcPr>
            <w:tcW w:w="1323" w:type="dxa"/>
          </w:tcPr>
          <w:p w14:paraId="436A9E7F">
            <w:pPr>
              <w:spacing w:line="360" w:lineRule="auto"/>
              <w:rPr>
                <w:rFonts w:hint="eastAsia" w:hAnsi="宋体" w:cs="宋体"/>
                <w:color w:val="auto"/>
                <w:szCs w:val="28"/>
                <w:highlight w:val="none"/>
              </w:rPr>
            </w:pPr>
          </w:p>
        </w:tc>
        <w:tc>
          <w:tcPr>
            <w:tcW w:w="1570" w:type="dxa"/>
          </w:tcPr>
          <w:p w14:paraId="6C4F3CF5">
            <w:pPr>
              <w:spacing w:line="360" w:lineRule="auto"/>
              <w:rPr>
                <w:rFonts w:hint="eastAsia" w:hAnsi="宋体" w:cs="宋体"/>
                <w:color w:val="auto"/>
                <w:szCs w:val="28"/>
                <w:highlight w:val="none"/>
              </w:rPr>
            </w:pPr>
          </w:p>
        </w:tc>
        <w:tc>
          <w:tcPr>
            <w:tcW w:w="1480" w:type="dxa"/>
          </w:tcPr>
          <w:p w14:paraId="36E28681">
            <w:pPr>
              <w:spacing w:line="360" w:lineRule="auto"/>
              <w:rPr>
                <w:rFonts w:hint="eastAsia" w:hAnsi="宋体" w:cs="宋体"/>
                <w:color w:val="auto"/>
                <w:szCs w:val="28"/>
                <w:highlight w:val="none"/>
              </w:rPr>
            </w:pPr>
          </w:p>
        </w:tc>
        <w:tc>
          <w:tcPr>
            <w:tcW w:w="1282" w:type="dxa"/>
          </w:tcPr>
          <w:p w14:paraId="2B4ED450">
            <w:pPr>
              <w:spacing w:line="360" w:lineRule="auto"/>
              <w:rPr>
                <w:rFonts w:hint="eastAsia" w:hAnsi="宋体" w:cs="宋体"/>
                <w:color w:val="auto"/>
                <w:szCs w:val="28"/>
                <w:highlight w:val="none"/>
              </w:rPr>
            </w:pPr>
          </w:p>
        </w:tc>
      </w:tr>
      <w:tr w14:paraId="12CA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7F2E6672">
            <w:pPr>
              <w:spacing w:line="360" w:lineRule="auto"/>
              <w:rPr>
                <w:rFonts w:hint="eastAsia" w:hAnsi="宋体" w:cs="宋体"/>
                <w:color w:val="auto"/>
                <w:szCs w:val="28"/>
                <w:highlight w:val="none"/>
              </w:rPr>
            </w:pPr>
          </w:p>
        </w:tc>
        <w:tc>
          <w:tcPr>
            <w:tcW w:w="1480" w:type="dxa"/>
          </w:tcPr>
          <w:p w14:paraId="321D1468">
            <w:pPr>
              <w:spacing w:line="360" w:lineRule="auto"/>
              <w:rPr>
                <w:rFonts w:hint="eastAsia" w:hAnsi="宋体" w:cs="宋体"/>
                <w:color w:val="auto"/>
                <w:szCs w:val="28"/>
                <w:highlight w:val="none"/>
              </w:rPr>
            </w:pPr>
          </w:p>
        </w:tc>
        <w:tc>
          <w:tcPr>
            <w:tcW w:w="1323" w:type="dxa"/>
          </w:tcPr>
          <w:p w14:paraId="20A4B053">
            <w:pPr>
              <w:spacing w:line="360" w:lineRule="auto"/>
              <w:rPr>
                <w:rFonts w:hint="eastAsia" w:hAnsi="宋体" w:cs="宋体"/>
                <w:color w:val="auto"/>
                <w:szCs w:val="28"/>
                <w:highlight w:val="none"/>
              </w:rPr>
            </w:pPr>
          </w:p>
        </w:tc>
        <w:tc>
          <w:tcPr>
            <w:tcW w:w="1570" w:type="dxa"/>
          </w:tcPr>
          <w:p w14:paraId="690D321F">
            <w:pPr>
              <w:spacing w:line="360" w:lineRule="auto"/>
              <w:rPr>
                <w:rFonts w:hint="eastAsia" w:hAnsi="宋体" w:cs="宋体"/>
                <w:color w:val="auto"/>
                <w:szCs w:val="28"/>
                <w:highlight w:val="none"/>
              </w:rPr>
            </w:pPr>
          </w:p>
        </w:tc>
        <w:tc>
          <w:tcPr>
            <w:tcW w:w="1480" w:type="dxa"/>
          </w:tcPr>
          <w:p w14:paraId="3A48C486">
            <w:pPr>
              <w:spacing w:line="360" w:lineRule="auto"/>
              <w:rPr>
                <w:rFonts w:hint="eastAsia" w:hAnsi="宋体" w:cs="宋体"/>
                <w:color w:val="auto"/>
                <w:szCs w:val="28"/>
                <w:highlight w:val="none"/>
              </w:rPr>
            </w:pPr>
          </w:p>
        </w:tc>
        <w:tc>
          <w:tcPr>
            <w:tcW w:w="1282" w:type="dxa"/>
          </w:tcPr>
          <w:p w14:paraId="14A82CC9">
            <w:pPr>
              <w:spacing w:line="360" w:lineRule="auto"/>
              <w:rPr>
                <w:rFonts w:hint="eastAsia" w:hAnsi="宋体" w:cs="宋体"/>
                <w:color w:val="auto"/>
                <w:szCs w:val="28"/>
                <w:highlight w:val="none"/>
              </w:rPr>
            </w:pPr>
          </w:p>
        </w:tc>
      </w:tr>
      <w:tr w14:paraId="6DE2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0D3D8353">
            <w:pPr>
              <w:spacing w:line="360" w:lineRule="auto"/>
              <w:rPr>
                <w:rFonts w:hint="eastAsia" w:hAnsi="宋体" w:cs="宋体"/>
                <w:color w:val="auto"/>
                <w:szCs w:val="28"/>
                <w:highlight w:val="none"/>
              </w:rPr>
            </w:pPr>
          </w:p>
        </w:tc>
        <w:tc>
          <w:tcPr>
            <w:tcW w:w="1480" w:type="dxa"/>
          </w:tcPr>
          <w:p w14:paraId="0BE3BBFB">
            <w:pPr>
              <w:spacing w:line="360" w:lineRule="auto"/>
              <w:rPr>
                <w:rFonts w:hint="eastAsia" w:hAnsi="宋体" w:cs="宋体"/>
                <w:color w:val="auto"/>
                <w:szCs w:val="28"/>
                <w:highlight w:val="none"/>
              </w:rPr>
            </w:pPr>
          </w:p>
        </w:tc>
        <w:tc>
          <w:tcPr>
            <w:tcW w:w="1323" w:type="dxa"/>
          </w:tcPr>
          <w:p w14:paraId="3AAF41D5">
            <w:pPr>
              <w:spacing w:line="360" w:lineRule="auto"/>
              <w:rPr>
                <w:rFonts w:hint="eastAsia" w:hAnsi="宋体" w:cs="宋体"/>
                <w:color w:val="auto"/>
                <w:szCs w:val="28"/>
                <w:highlight w:val="none"/>
              </w:rPr>
            </w:pPr>
          </w:p>
        </w:tc>
        <w:tc>
          <w:tcPr>
            <w:tcW w:w="1570" w:type="dxa"/>
          </w:tcPr>
          <w:p w14:paraId="707D6450">
            <w:pPr>
              <w:spacing w:line="360" w:lineRule="auto"/>
              <w:rPr>
                <w:rFonts w:hint="eastAsia" w:hAnsi="宋体" w:cs="宋体"/>
                <w:color w:val="auto"/>
                <w:szCs w:val="28"/>
                <w:highlight w:val="none"/>
              </w:rPr>
            </w:pPr>
          </w:p>
        </w:tc>
        <w:tc>
          <w:tcPr>
            <w:tcW w:w="1480" w:type="dxa"/>
          </w:tcPr>
          <w:p w14:paraId="157E4C66">
            <w:pPr>
              <w:spacing w:line="360" w:lineRule="auto"/>
              <w:rPr>
                <w:rFonts w:hint="eastAsia" w:hAnsi="宋体" w:cs="宋体"/>
                <w:color w:val="auto"/>
                <w:szCs w:val="28"/>
                <w:highlight w:val="none"/>
              </w:rPr>
            </w:pPr>
          </w:p>
        </w:tc>
        <w:tc>
          <w:tcPr>
            <w:tcW w:w="1282" w:type="dxa"/>
          </w:tcPr>
          <w:p w14:paraId="294597EF">
            <w:pPr>
              <w:spacing w:line="360" w:lineRule="auto"/>
              <w:rPr>
                <w:rFonts w:hint="eastAsia" w:hAnsi="宋体" w:cs="宋体"/>
                <w:color w:val="auto"/>
                <w:szCs w:val="28"/>
                <w:highlight w:val="none"/>
              </w:rPr>
            </w:pPr>
          </w:p>
        </w:tc>
      </w:tr>
      <w:tr w14:paraId="3F82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225A6888">
            <w:pPr>
              <w:spacing w:line="360" w:lineRule="auto"/>
              <w:rPr>
                <w:rFonts w:hint="eastAsia" w:hAnsi="宋体" w:cs="宋体"/>
                <w:color w:val="auto"/>
                <w:szCs w:val="28"/>
                <w:highlight w:val="none"/>
              </w:rPr>
            </w:pPr>
          </w:p>
        </w:tc>
        <w:tc>
          <w:tcPr>
            <w:tcW w:w="1480" w:type="dxa"/>
          </w:tcPr>
          <w:p w14:paraId="0168F4B7">
            <w:pPr>
              <w:spacing w:line="360" w:lineRule="auto"/>
              <w:rPr>
                <w:rFonts w:hint="eastAsia" w:hAnsi="宋体" w:cs="宋体"/>
                <w:color w:val="auto"/>
                <w:szCs w:val="28"/>
                <w:highlight w:val="none"/>
              </w:rPr>
            </w:pPr>
          </w:p>
        </w:tc>
        <w:tc>
          <w:tcPr>
            <w:tcW w:w="1323" w:type="dxa"/>
          </w:tcPr>
          <w:p w14:paraId="3280B2A6">
            <w:pPr>
              <w:spacing w:line="360" w:lineRule="auto"/>
              <w:rPr>
                <w:rFonts w:hint="eastAsia" w:hAnsi="宋体" w:cs="宋体"/>
                <w:color w:val="auto"/>
                <w:szCs w:val="28"/>
                <w:highlight w:val="none"/>
              </w:rPr>
            </w:pPr>
          </w:p>
        </w:tc>
        <w:tc>
          <w:tcPr>
            <w:tcW w:w="1570" w:type="dxa"/>
          </w:tcPr>
          <w:p w14:paraId="0E525D8E">
            <w:pPr>
              <w:spacing w:line="360" w:lineRule="auto"/>
              <w:rPr>
                <w:rFonts w:hint="eastAsia" w:hAnsi="宋体" w:cs="宋体"/>
                <w:color w:val="auto"/>
                <w:szCs w:val="28"/>
                <w:highlight w:val="none"/>
              </w:rPr>
            </w:pPr>
          </w:p>
        </w:tc>
        <w:tc>
          <w:tcPr>
            <w:tcW w:w="1480" w:type="dxa"/>
          </w:tcPr>
          <w:p w14:paraId="08DBC800">
            <w:pPr>
              <w:spacing w:line="360" w:lineRule="auto"/>
              <w:rPr>
                <w:rFonts w:hint="eastAsia" w:hAnsi="宋体" w:cs="宋体"/>
                <w:color w:val="auto"/>
                <w:szCs w:val="28"/>
                <w:highlight w:val="none"/>
              </w:rPr>
            </w:pPr>
          </w:p>
        </w:tc>
        <w:tc>
          <w:tcPr>
            <w:tcW w:w="1282" w:type="dxa"/>
          </w:tcPr>
          <w:p w14:paraId="729454B1">
            <w:pPr>
              <w:spacing w:line="360" w:lineRule="auto"/>
              <w:rPr>
                <w:rFonts w:hint="eastAsia" w:hAnsi="宋体" w:cs="宋体"/>
                <w:color w:val="auto"/>
                <w:szCs w:val="28"/>
                <w:highlight w:val="none"/>
              </w:rPr>
            </w:pPr>
          </w:p>
        </w:tc>
      </w:tr>
      <w:tr w14:paraId="6BE6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79FB0298">
            <w:pPr>
              <w:spacing w:line="360" w:lineRule="auto"/>
              <w:rPr>
                <w:rFonts w:hint="eastAsia" w:hAnsi="宋体" w:cs="宋体"/>
                <w:color w:val="auto"/>
                <w:szCs w:val="28"/>
                <w:highlight w:val="none"/>
              </w:rPr>
            </w:pPr>
          </w:p>
        </w:tc>
        <w:tc>
          <w:tcPr>
            <w:tcW w:w="1480" w:type="dxa"/>
          </w:tcPr>
          <w:p w14:paraId="2D9F6A92">
            <w:pPr>
              <w:spacing w:line="360" w:lineRule="auto"/>
              <w:rPr>
                <w:rFonts w:hint="eastAsia" w:hAnsi="宋体" w:cs="宋体"/>
                <w:color w:val="auto"/>
                <w:szCs w:val="28"/>
                <w:highlight w:val="none"/>
              </w:rPr>
            </w:pPr>
          </w:p>
        </w:tc>
        <w:tc>
          <w:tcPr>
            <w:tcW w:w="1323" w:type="dxa"/>
          </w:tcPr>
          <w:p w14:paraId="57C82580">
            <w:pPr>
              <w:spacing w:line="360" w:lineRule="auto"/>
              <w:rPr>
                <w:rFonts w:hint="eastAsia" w:hAnsi="宋体" w:cs="宋体"/>
                <w:color w:val="auto"/>
                <w:szCs w:val="28"/>
                <w:highlight w:val="none"/>
              </w:rPr>
            </w:pPr>
          </w:p>
        </w:tc>
        <w:tc>
          <w:tcPr>
            <w:tcW w:w="1570" w:type="dxa"/>
          </w:tcPr>
          <w:p w14:paraId="34537DC3">
            <w:pPr>
              <w:spacing w:line="360" w:lineRule="auto"/>
              <w:rPr>
                <w:rFonts w:hint="eastAsia" w:hAnsi="宋体" w:cs="宋体"/>
                <w:color w:val="auto"/>
                <w:szCs w:val="28"/>
                <w:highlight w:val="none"/>
              </w:rPr>
            </w:pPr>
          </w:p>
        </w:tc>
        <w:tc>
          <w:tcPr>
            <w:tcW w:w="1480" w:type="dxa"/>
          </w:tcPr>
          <w:p w14:paraId="020C68A7">
            <w:pPr>
              <w:spacing w:line="360" w:lineRule="auto"/>
              <w:rPr>
                <w:rFonts w:hint="eastAsia" w:hAnsi="宋体" w:cs="宋体"/>
                <w:color w:val="auto"/>
                <w:szCs w:val="28"/>
                <w:highlight w:val="none"/>
              </w:rPr>
            </w:pPr>
          </w:p>
        </w:tc>
        <w:tc>
          <w:tcPr>
            <w:tcW w:w="1282" w:type="dxa"/>
          </w:tcPr>
          <w:p w14:paraId="311774BC">
            <w:pPr>
              <w:spacing w:line="360" w:lineRule="auto"/>
              <w:rPr>
                <w:rFonts w:hint="eastAsia" w:hAnsi="宋体" w:cs="宋体"/>
                <w:color w:val="auto"/>
                <w:szCs w:val="28"/>
                <w:highlight w:val="none"/>
              </w:rPr>
            </w:pPr>
          </w:p>
        </w:tc>
      </w:tr>
      <w:tr w14:paraId="3D7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73BE197F">
            <w:pPr>
              <w:spacing w:line="360" w:lineRule="auto"/>
              <w:rPr>
                <w:rFonts w:hint="eastAsia" w:hAnsi="宋体" w:cs="宋体"/>
                <w:color w:val="auto"/>
                <w:szCs w:val="28"/>
                <w:highlight w:val="none"/>
              </w:rPr>
            </w:pPr>
          </w:p>
        </w:tc>
        <w:tc>
          <w:tcPr>
            <w:tcW w:w="1480" w:type="dxa"/>
          </w:tcPr>
          <w:p w14:paraId="5EE51266">
            <w:pPr>
              <w:spacing w:line="360" w:lineRule="auto"/>
              <w:rPr>
                <w:rFonts w:hint="eastAsia" w:hAnsi="宋体" w:cs="宋体"/>
                <w:color w:val="auto"/>
                <w:szCs w:val="28"/>
                <w:highlight w:val="none"/>
              </w:rPr>
            </w:pPr>
          </w:p>
        </w:tc>
        <w:tc>
          <w:tcPr>
            <w:tcW w:w="1323" w:type="dxa"/>
          </w:tcPr>
          <w:p w14:paraId="14FFB73D">
            <w:pPr>
              <w:spacing w:line="360" w:lineRule="auto"/>
              <w:rPr>
                <w:rFonts w:hint="eastAsia" w:hAnsi="宋体" w:cs="宋体"/>
                <w:color w:val="auto"/>
                <w:szCs w:val="28"/>
                <w:highlight w:val="none"/>
              </w:rPr>
            </w:pPr>
          </w:p>
        </w:tc>
        <w:tc>
          <w:tcPr>
            <w:tcW w:w="1570" w:type="dxa"/>
          </w:tcPr>
          <w:p w14:paraId="31254D04">
            <w:pPr>
              <w:spacing w:line="360" w:lineRule="auto"/>
              <w:rPr>
                <w:rFonts w:hint="eastAsia" w:hAnsi="宋体" w:cs="宋体"/>
                <w:color w:val="auto"/>
                <w:szCs w:val="28"/>
                <w:highlight w:val="none"/>
              </w:rPr>
            </w:pPr>
          </w:p>
        </w:tc>
        <w:tc>
          <w:tcPr>
            <w:tcW w:w="1480" w:type="dxa"/>
          </w:tcPr>
          <w:p w14:paraId="7F087295">
            <w:pPr>
              <w:spacing w:line="360" w:lineRule="auto"/>
              <w:rPr>
                <w:rFonts w:hint="eastAsia" w:hAnsi="宋体" w:cs="宋体"/>
                <w:color w:val="auto"/>
                <w:szCs w:val="28"/>
                <w:highlight w:val="none"/>
              </w:rPr>
            </w:pPr>
          </w:p>
        </w:tc>
        <w:tc>
          <w:tcPr>
            <w:tcW w:w="1282" w:type="dxa"/>
          </w:tcPr>
          <w:p w14:paraId="0220C00F">
            <w:pPr>
              <w:spacing w:line="360" w:lineRule="auto"/>
              <w:rPr>
                <w:rFonts w:hint="eastAsia" w:hAnsi="宋体" w:cs="宋体"/>
                <w:color w:val="auto"/>
                <w:szCs w:val="28"/>
                <w:highlight w:val="none"/>
              </w:rPr>
            </w:pPr>
          </w:p>
        </w:tc>
      </w:tr>
      <w:tr w14:paraId="782D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480" w:type="dxa"/>
          </w:tcPr>
          <w:p w14:paraId="40D301D7">
            <w:pPr>
              <w:spacing w:line="360" w:lineRule="auto"/>
              <w:rPr>
                <w:rFonts w:hint="eastAsia" w:hAnsi="宋体" w:cs="宋体"/>
                <w:color w:val="auto"/>
                <w:szCs w:val="28"/>
                <w:highlight w:val="none"/>
              </w:rPr>
            </w:pPr>
          </w:p>
        </w:tc>
        <w:tc>
          <w:tcPr>
            <w:tcW w:w="1480" w:type="dxa"/>
          </w:tcPr>
          <w:p w14:paraId="79FA7AB4">
            <w:pPr>
              <w:spacing w:line="360" w:lineRule="auto"/>
              <w:rPr>
                <w:rFonts w:hint="eastAsia" w:hAnsi="宋体" w:cs="宋体"/>
                <w:color w:val="auto"/>
                <w:szCs w:val="28"/>
                <w:highlight w:val="none"/>
              </w:rPr>
            </w:pPr>
          </w:p>
        </w:tc>
        <w:tc>
          <w:tcPr>
            <w:tcW w:w="1323" w:type="dxa"/>
          </w:tcPr>
          <w:p w14:paraId="19425749">
            <w:pPr>
              <w:spacing w:line="360" w:lineRule="auto"/>
              <w:rPr>
                <w:rFonts w:hint="eastAsia" w:hAnsi="宋体" w:cs="宋体"/>
                <w:color w:val="auto"/>
                <w:szCs w:val="28"/>
                <w:highlight w:val="none"/>
              </w:rPr>
            </w:pPr>
          </w:p>
        </w:tc>
        <w:tc>
          <w:tcPr>
            <w:tcW w:w="1570" w:type="dxa"/>
          </w:tcPr>
          <w:p w14:paraId="211B43CB">
            <w:pPr>
              <w:spacing w:line="360" w:lineRule="auto"/>
              <w:rPr>
                <w:rFonts w:hint="eastAsia" w:hAnsi="宋体" w:cs="宋体"/>
                <w:color w:val="auto"/>
                <w:szCs w:val="28"/>
                <w:highlight w:val="none"/>
              </w:rPr>
            </w:pPr>
          </w:p>
        </w:tc>
        <w:tc>
          <w:tcPr>
            <w:tcW w:w="1480" w:type="dxa"/>
          </w:tcPr>
          <w:p w14:paraId="2E048608">
            <w:pPr>
              <w:spacing w:line="360" w:lineRule="auto"/>
              <w:rPr>
                <w:rFonts w:hint="eastAsia" w:hAnsi="宋体" w:cs="宋体"/>
                <w:color w:val="auto"/>
                <w:szCs w:val="28"/>
                <w:highlight w:val="none"/>
              </w:rPr>
            </w:pPr>
          </w:p>
        </w:tc>
        <w:tc>
          <w:tcPr>
            <w:tcW w:w="1282" w:type="dxa"/>
          </w:tcPr>
          <w:p w14:paraId="7E96BF16">
            <w:pPr>
              <w:spacing w:line="360" w:lineRule="auto"/>
              <w:rPr>
                <w:rFonts w:hint="eastAsia" w:hAnsi="宋体" w:cs="宋体"/>
                <w:color w:val="auto"/>
                <w:szCs w:val="28"/>
                <w:highlight w:val="none"/>
              </w:rPr>
            </w:pPr>
          </w:p>
        </w:tc>
      </w:tr>
    </w:tbl>
    <w:p w14:paraId="0D812D80">
      <w:pPr>
        <w:spacing w:line="360" w:lineRule="auto"/>
        <w:rPr>
          <w:rFonts w:hint="eastAsia" w:ascii="宋体" w:hAnsi="宋体"/>
          <w:color w:val="auto"/>
          <w:highlight w:val="none"/>
        </w:rPr>
      </w:pPr>
      <w:r>
        <w:rPr>
          <w:rFonts w:ascii="宋体" w:hAnsi="宋体"/>
          <w:color w:val="auto"/>
          <w:highlight w:val="none"/>
        </w:rPr>
        <w:br w:type="page"/>
      </w:r>
    </w:p>
    <w:p w14:paraId="2FBB452B">
      <w:pPr>
        <w:widowControl/>
        <w:rPr>
          <w:rFonts w:hint="eastAsia" w:hAnsi="宋体" w:cs="宋体"/>
          <w:b/>
          <w:bCs/>
          <w:color w:val="auto"/>
          <w:szCs w:val="28"/>
          <w:highlight w:val="none"/>
        </w:rPr>
      </w:pPr>
    </w:p>
    <w:p w14:paraId="3E5948E7">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项目管理班子配备情况辅助说明资料</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5"/>
      </w:tblGrid>
      <w:tr w14:paraId="1F81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6" w:hRule="atLeast"/>
        </w:trPr>
        <w:tc>
          <w:tcPr>
            <w:tcW w:w="8585" w:type="dxa"/>
          </w:tcPr>
          <w:p w14:paraId="024EAE4C">
            <w:pPr>
              <w:spacing w:line="360" w:lineRule="auto"/>
              <w:rPr>
                <w:rFonts w:hint="eastAsia" w:hAnsi="宋体" w:cs="宋体"/>
                <w:color w:val="auto"/>
                <w:szCs w:val="28"/>
                <w:highlight w:val="none"/>
              </w:rPr>
            </w:pPr>
            <w:bookmarkStart w:id="195" w:name="_Hlk24150653"/>
          </w:p>
        </w:tc>
      </w:tr>
      <w:bookmarkEnd w:id="195"/>
    </w:tbl>
    <w:p w14:paraId="3E9C74FC">
      <w:pPr>
        <w:spacing w:line="360" w:lineRule="auto"/>
        <w:rPr>
          <w:rFonts w:hint="eastAsia" w:hAnsi="宋体" w:cs="宋体"/>
          <w:color w:val="auto"/>
          <w:sz w:val="21"/>
          <w:szCs w:val="21"/>
          <w:highlight w:val="none"/>
        </w:rPr>
      </w:pPr>
      <w:r>
        <w:rPr>
          <w:rFonts w:hint="eastAsia" w:hAnsi="宋体" w:cs="宋体"/>
          <w:color w:val="auto"/>
          <w:sz w:val="21"/>
          <w:szCs w:val="21"/>
          <w:highlight w:val="none"/>
        </w:rPr>
        <w:t>注：1.辅助说明资料主要包括管理班子机构设置、职责分工、有关复印证明资料以及投标人认为有必要提供的资料。辅助说明资料格式不做统一规定，由投标人自行设计。</w:t>
      </w:r>
    </w:p>
    <w:p w14:paraId="1340C8BB">
      <w:pPr>
        <w:spacing w:line="360" w:lineRule="auto"/>
        <w:ind w:firstLine="315" w:firstLineChars="150"/>
        <w:rPr>
          <w:rFonts w:hint="eastAsia" w:hAnsi="宋体" w:cs="宋体"/>
          <w:color w:val="auto"/>
          <w:sz w:val="21"/>
          <w:szCs w:val="21"/>
          <w:highlight w:val="none"/>
        </w:rPr>
      </w:pPr>
      <w:r>
        <w:rPr>
          <w:rFonts w:hint="eastAsia" w:hAnsi="宋体" w:cs="宋体"/>
          <w:color w:val="auto"/>
          <w:sz w:val="21"/>
          <w:szCs w:val="21"/>
          <w:highlight w:val="none"/>
        </w:rPr>
        <w:t>2.项目管理班子配备情况辅助说明资料另附。</w:t>
      </w:r>
    </w:p>
    <w:p w14:paraId="376177F7">
      <w:pPr>
        <w:spacing w:line="360" w:lineRule="auto"/>
        <w:jc w:val="center"/>
        <w:rPr>
          <w:rFonts w:hint="eastAsia" w:ascii="宋体" w:hAnsi="宋体" w:cs="宋体"/>
          <w:b/>
          <w:bCs/>
          <w:color w:val="auto"/>
          <w:sz w:val="30"/>
          <w:szCs w:val="30"/>
          <w:highlight w:val="none"/>
        </w:rPr>
      </w:pPr>
    </w:p>
    <w:p w14:paraId="314403E4">
      <w:pPr>
        <w:spacing w:line="360" w:lineRule="auto"/>
        <w:jc w:val="center"/>
        <w:rPr>
          <w:rFonts w:hint="eastAsia" w:ascii="宋体" w:hAnsi="宋体" w:cs="宋体"/>
          <w:b/>
          <w:bCs/>
          <w:color w:val="auto"/>
          <w:sz w:val="30"/>
          <w:szCs w:val="30"/>
          <w:highlight w:val="none"/>
        </w:rPr>
      </w:pPr>
    </w:p>
    <w:p w14:paraId="19560E68">
      <w:pPr>
        <w:spacing w:line="360" w:lineRule="auto"/>
        <w:jc w:val="center"/>
        <w:rPr>
          <w:rFonts w:hint="eastAsia" w:ascii="宋体" w:hAnsi="宋体" w:cs="宋体"/>
          <w:b/>
          <w:bCs/>
          <w:color w:val="auto"/>
          <w:sz w:val="30"/>
          <w:szCs w:val="30"/>
          <w:highlight w:val="none"/>
        </w:rPr>
      </w:pPr>
    </w:p>
    <w:p w14:paraId="157377B0">
      <w:pPr>
        <w:spacing w:line="360" w:lineRule="auto"/>
        <w:jc w:val="center"/>
        <w:rPr>
          <w:rFonts w:hint="eastAsia" w:ascii="宋体" w:hAnsi="宋体" w:cs="宋体"/>
          <w:b/>
          <w:bCs/>
          <w:color w:val="auto"/>
          <w:sz w:val="30"/>
          <w:szCs w:val="30"/>
          <w:highlight w:val="none"/>
        </w:rPr>
      </w:pPr>
    </w:p>
    <w:p w14:paraId="09C34E7E">
      <w:pPr>
        <w:spacing w:line="360" w:lineRule="auto"/>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业绩汇总表（资格业绩条件的汇总）（若有）</w:t>
      </w:r>
    </w:p>
    <w:tbl>
      <w:tblPr>
        <w:tblStyle w:val="23"/>
        <w:tblpPr w:leftFromText="180" w:rightFromText="180" w:vertAnchor="text" w:horzAnchor="page" w:tblpX="1569" w:tblpY="1341"/>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28"/>
        <w:gridCol w:w="1325"/>
        <w:gridCol w:w="1150"/>
        <w:gridCol w:w="1380"/>
        <w:gridCol w:w="1690"/>
        <w:gridCol w:w="1157"/>
        <w:gridCol w:w="1200"/>
      </w:tblGrid>
      <w:tr w14:paraId="0D3F6A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1900" w:hRule="atLeast"/>
        </w:trPr>
        <w:tc>
          <w:tcPr>
            <w:tcW w:w="728" w:type="dxa"/>
            <w:tcBorders>
              <w:top w:val="single" w:color="000000" w:sz="12" w:space="0"/>
              <w:left w:val="single" w:color="000000" w:sz="12" w:space="0"/>
              <w:bottom w:val="single" w:color="000000" w:sz="6" w:space="0"/>
              <w:right w:val="single" w:color="000000" w:sz="6" w:space="0"/>
            </w:tcBorders>
            <w:vAlign w:val="center"/>
          </w:tcPr>
          <w:p w14:paraId="24A6EA0D">
            <w:pPr>
              <w:kinsoku w:val="0"/>
              <w:spacing w:line="320" w:lineRule="exact"/>
              <w:jc w:val="center"/>
              <w:rPr>
                <w:rFonts w:hint="eastAsia" w:ascii="宋体" w:hAnsi="宋体"/>
                <w:color w:val="auto"/>
                <w:highlight w:val="none"/>
              </w:rPr>
            </w:pPr>
            <w:r>
              <w:rPr>
                <w:rFonts w:hint="eastAsia" w:ascii="宋体" w:hAnsi="宋体"/>
                <w:color w:val="auto"/>
                <w:highlight w:val="none"/>
              </w:rPr>
              <w:t>序号</w:t>
            </w:r>
          </w:p>
        </w:tc>
        <w:tc>
          <w:tcPr>
            <w:tcW w:w="1325" w:type="dxa"/>
            <w:tcBorders>
              <w:top w:val="single" w:color="000000" w:sz="12" w:space="0"/>
              <w:left w:val="single" w:color="000000" w:sz="6" w:space="0"/>
              <w:bottom w:val="single" w:color="000000" w:sz="6" w:space="0"/>
              <w:right w:val="single" w:color="000000" w:sz="6" w:space="0"/>
            </w:tcBorders>
            <w:vAlign w:val="center"/>
          </w:tcPr>
          <w:p w14:paraId="326DC9FE">
            <w:pPr>
              <w:kinsoku w:val="0"/>
              <w:spacing w:line="320" w:lineRule="exact"/>
              <w:jc w:val="center"/>
              <w:rPr>
                <w:rFonts w:hint="eastAsia" w:ascii="宋体" w:hAnsi="宋体"/>
                <w:color w:val="auto"/>
                <w:highlight w:val="none"/>
              </w:rPr>
            </w:pPr>
            <w:r>
              <w:rPr>
                <w:rFonts w:hint="eastAsia" w:ascii="宋体" w:hAnsi="宋体"/>
                <w:color w:val="auto"/>
                <w:highlight w:val="none"/>
              </w:rPr>
              <w:t>该业绩证明对象</w:t>
            </w:r>
          </w:p>
        </w:tc>
        <w:tc>
          <w:tcPr>
            <w:tcW w:w="1150" w:type="dxa"/>
            <w:tcBorders>
              <w:top w:val="single" w:color="000000" w:sz="12" w:space="0"/>
              <w:left w:val="single" w:color="000000" w:sz="6" w:space="0"/>
              <w:bottom w:val="single" w:color="000000" w:sz="6" w:space="0"/>
              <w:right w:val="single" w:color="000000" w:sz="6" w:space="0"/>
            </w:tcBorders>
            <w:vAlign w:val="center"/>
          </w:tcPr>
          <w:p w14:paraId="38EAE3E0">
            <w:pPr>
              <w:kinsoku w:val="0"/>
              <w:spacing w:line="320" w:lineRule="exact"/>
              <w:jc w:val="center"/>
              <w:rPr>
                <w:rFonts w:hint="eastAsia" w:ascii="宋体" w:hAnsi="宋体"/>
                <w:color w:val="auto"/>
                <w:highlight w:val="none"/>
              </w:rPr>
            </w:pPr>
            <w:r>
              <w:rPr>
                <w:rFonts w:hint="eastAsia" w:ascii="宋体" w:hAnsi="宋体"/>
                <w:color w:val="auto"/>
                <w:highlight w:val="none"/>
              </w:rPr>
              <w:t>项目名称</w:t>
            </w:r>
          </w:p>
        </w:tc>
        <w:tc>
          <w:tcPr>
            <w:tcW w:w="1380" w:type="dxa"/>
            <w:tcBorders>
              <w:top w:val="single" w:color="000000" w:sz="12" w:space="0"/>
              <w:left w:val="single" w:color="000000" w:sz="6" w:space="0"/>
              <w:bottom w:val="single" w:color="000000" w:sz="6" w:space="0"/>
              <w:right w:val="single" w:color="000000" w:sz="6" w:space="0"/>
            </w:tcBorders>
            <w:vAlign w:val="center"/>
          </w:tcPr>
          <w:p w14:paraId="2634D09C">
            <w:pPr>
              <w:kinsoku w:val="0"/>
              <w:spacing w:line="320" w:lineRule="exact"/>
              <w:jc w:val="center"/>
              <w:rPr>
                <w:rFonts w:hint="eastAsia" w:ascii="宋体" w:hAnsi="宋体"/>
                <w:color w:val="auto"/>
                <w:highlight w:val="none"/>
              </w:rPr>
            </w:pPr>
            <w:r>
              <w:rPr>
                <w:rFonts w:hint="eastAsia" w:ascii="宋体" w:hAnsi="宋体"/>
                <w:color w:val="auto"/>
                <w:highlight w:val="none"/>
              </w:rPr>
              <w:t>建设单位（项目业主）</w:t>
            </w:r>
          </w:p>
        </w:tc>
        <w:tc>
          <w:tcPr>
            <w:tcW w:w="1690" w:type="dxa"/>
            <w:tcBorders>
              <w:top w:val="single" w:color="000000" w:sz="12" w:space="0"/>
              <w:left w:val="single" w:color="000000" w:sz="6" w:space="0"/>
              <w:bottom w:val="single" w:color="000000" w:sz="6" w:space="0"/>
              <w:right w:val="single" w:color="000000" w:sz="6" w:space="0"/>
            </w:tcBorders>
            <w:vAlign w:val="center"/>
          </w:tcPr>
          <w:p w14:paraId="5333A80B">
            <w:pPr>
              <w:kinsoku w:val="0"/>
              <w:spacing w:line="320" w:lineRule="exact"/>
              <w:jc w:val="center"/>
              <w:rPr>
                <w:rFonts w:hint="eastAsia" w:ascii="宋体" w:hAnsi="宋体"/>
                <w:color w:val="auto"/>
                <w:highlight w:val="none"/>
              </w:rPr>
            </w:pPr>
            <w:r>
              <w:rPr>
                <w:rFonts w:hint="eastAsia" w:ascii="宋体" w:hAnsi="宋体"/>
                <w:color w:val="auto"/>
                <w:highlight w:val="none"/>
              </w:rPr>
              <w:t>与评审有关的时间、规模、技术指标及其他要求</w:t>
            </w:r>
          </w:p>
        </w:tc>
        <w:tc>
          <w:tcPr>
            <w:tcW w:w="1157" w:type="dxa"/>
            <w:tcBorders>
              <w:top w:val="single" w:color="000000" w:sz="12" w:space="0"/>
              <w:left w:val="single" w:color="000000" w:sz="6" w:space="0"/>
              <w:bottom w:val="single" w:color="000000" w:sz="6" w:space="0"/>
              <w:right w:val="single" w:color="000000" w:sz="6" w:space="0"/>
            </w:tcBorders>
            <w:vAlign w:val="center"/>
          </w:tcPr>
          <w:p w14:paraId="7FC290BF">
            <w:pPr>
              <w:kinsoku w:val="0"/>
              <w:spacing w:line="320" w:lineRule="exact"/>
              <w:jc w:val="center"/>
              <w:rPr>
                <w:rFonts w:hint="eastAsia" w:ascii="宋体" w:hAnsi="宋体"/>
                <w:color w:val="auto"/>
                <w:highlight w:val="none"/>
              </w:rPr>
            </w:pPr>
            <w:r>
              <w:rPr>
                <w:rFonts w:hint="eastAsia" w:ascii="宋体" w:hAnsi="宋体"/>
                <w:color w:val="auto"/>
                <w:highlight w:val="none"/>
              </w:rPr>
              <w:t>提交证明材料内容</w:t>
            </w:r>
          </w:p>
        </w:tc>
        <w:tc>
          <w:tcPr>
            <w:tcW w:w="1200" w:type="dxa"/>
            <w:tcBorders>
              <w:top w:val="single" w:color="000000" w:sz="12" w:space="0"/>
              <w:left w:val="single" w:color="000000" w:sz="6" w:space="0"/>
              <w:bottom w:val="single" w:color="000000" w:sz="6" w:space="0"/>
              <w:right w:val="single" w:color="000000" w:sz="12" w:space="0"/>
            </w:tcBorders>
            <w:vAlign w:val="center"/>
          </w:tcPr>
          <w:p w14:paraId="6637FF06">
            <w:pPr>
              <w:kinsoku w:val="0"/>
              <w:spacing w:line="320" w:lineRule="exact"/>
              <w:jc w:val="center"/>
              <w:rPr>
                <w:rFonts w:hint="eastAsia" w:ascii="宋体" w:hAnsi="宋体"/>
                <w:color w:val="auto"/>
                <w:highlight w:val="none"/>
              </w:rPr>
            </w:pPr>
            <w:r>
              <w:rPr>
                <w:rFonts w:hint="eastAsia" w:ascii="宋体" w:hAnsi="宋体"/>
                <w:color w:val="auto"/>
                <w:highlight w:val="none"/>
              </w:rPr>
              <w:t>在投标文件的位置</w:t>
            </w:r>
          </w:p>
        </w:tc>
      </w:tr>
      <w:tr w14:paraId="5CA869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72" w:hRule="atLeast"/>
        </w:trPr>
        <w:tc>
          <w:tcPr>
            <w:tcW w:w="728" w:type="dxa"/>
            <w:tcBorders>
              <w:top w:val="single" w:color="000000" w:sz="6" w:space="0"/>
              <w:left w:val="single" w:color="000000" w:sz="12" w:space="0"/>
              <w:bottom w:val="single" w:color="000000" w:sz="6" w:space="0"/>
              <w:right w:val="single" w:color="000000" w:sz="6" w:space="0"/>
            </w:tcBorders>
            <w:vAlign w:val="center"/>
          </w:tcPr>
          <w:p w14:paraId="54F73AC7">
            <w:pPr>
              <w:kinsoku w:val="0"/>
              <w:spacing w:line="320" w:lineRule="exact"/>
              <w:jc w:val="center"/>
              <w:rPr>
                <w:rFonts w:hint="eastAsia" w:ascii="宋体" w:hAnsi="宋体"/>
                <w:color w:val="auto"/>
                <w:highlight w:val="none"/>
              </w:rPr>
            </w:pPr>
            <w:r>
              <w:rPr>
                <w:rFonts w:ascii="宋体" w:hAnsi="宋体"/>
                <w:color w:val="auto"/>
                <w:highlight w:val="none"/>
              </w:rPr>
              <w:t>1</w:t>
            </w:r>
          </w:p>
        </w:tc>
        <w:tc>
          <w:tcPr>
            <w:tcW w:w="1325" w:type="dxa"/>
            <w:tcBorders>
              <w:top w:val="single" w:color="000000" w:sz="6" w:space="0"/>
              <w:left w:val="single" w:color="000000" w:sz="6" w:space="0"/>
              <w:bottom w:val="single" w:color="000000" w:sz="6" w:space="0"/>
              <w:right w:val="single" w:color="000000" w:sz="6" w:space="0"/>
            </w:tcBorders>
            <w:vAlign w:val="center"/>
          </w:tcPr>
          <w:p w14:paraId="2B96D536">
            <w:pPr>
              <w:kinsoku w:val="0"/>
              <w:spacing w:line="320" w:lineRule="exact"/>
              <w:jc w:val="center"/>
              <w:rPr>
                <w:rFonts w:hint="eastAsia" w:ascii="宋体" w:hAnsi="宋体"/>
                <w:color w:val="auto"/>
                <w:highlight w:val="none"/>
              </w:rPr>
            </w:pPr>
            <w:r>
              <w:rPr>
                <w:rFonts w:hint="eastAsia" w:ascii="宋体" w:hAnsi="宋体"/>
                <w:color w:val="auto"/>
                <w:highlight w:val="none"/>
              </w:rPr>
              <w:t>例如：企业名称或项目负责人名字等</w:t>
            </w:r>
          </w:p>
        </w:tc>
        <w:tc>
          <w:tcPr>
            <w:tcW w:w="1150" w:type="dxa"/>
            <w:tcBorders>
              <w:top w:val="single" w:color="000000" w:sz="6" w:space="0"/>
              <w:left w:val="single" w:color="000000" w:sz="6" w:space="0"/>
              <w:bottom w:val="single" w:color="000000" w:sz="6" w:space="0"/>
              <w:right w:val="single" w:color="000000" w:sz="6" w:space="0"/>
            </w:tcBorders>
            <w:vAlign w:val="center"/>
          </w:tcPr>
          <w:p w14:paraId="547E4831">
            <w:pPr>
              <w:kinsoku w:val="0"/>
              <w:spacing w:line="320" w:lineRule="exact"/>
              <w:jc w:val="center"/>
              <w:rPr>
                <w:rFonts w:hint="eastAsia" w:ascii="宋体" w:hAnsi="宋体"/>
                <w:color w:val="auto"/>
                <w:highlight w:val="none"/>
              </w:rPr>
            </w:pPr>
            <w:r>
              <w:rPr>
                <w:rFonts w:hint="eastAsia" w:ascii="宋体" w:hAnsi="宋体"/>
                <w:color w:val="auto"/>
                <w:highlight w:val="none"/>
              </w:rPr>
              <w:t>例如：</w:t>
            </w:r>
            <w:r>
              <w:rPr>
                <w:rFonts w:ascii="宋体" w:hAnsi="宋体"/>
                <w:color w:val="auto"/>
                <w:highlight w:val="none"/>
              </w:rPr>
              <w:t>XX</w:t>
            </w:r>
            <w:r>
              <w:rPr>
                <w:rFonts w:hint="eastAsia" w:ascii="宋体" w:hAnsi="宋体"/>
                <w:color w:val="auto"/>
                <w:highlight w:val="none"/>
              </w:rPr>
              <w:t>工程等</w:t>
            </w:r>
          </w:p>
        </w:tc>
        <w:tc>
          <w:tcPr>
            <w:tcW w:w="1380" w:type="dxa"/>
            <w:tcBorders>
              <w:top w:val="single" w:color="000000" w:sz="6" w:space="0"/>
              <w:left w:val="single" w:color="000000" w:sz="6" w:space="0"/>
              <w:bottom w:val="single" w:color="000000" w:sz="6" w:space="0"/>
              <w:right w:val="single" w:color="000000" w:sz="6" w:space="0"/>
            </w:tcBorders>
            <w:vAlign w:val="center"/>
          </w:tcPr>
          <w:p w14:paraId="0BA455E6">
            <w:pPr>
              <w:kinsoku w:val="0"/>
              <w:spacing w:line="320" w:lineRule="exact"/>
              <w:jc w:val="center"/>
              <w:rPr>
                <w:rFonts w:hint="eastAsia" w:ascii="宋体" w:hAnsi="宋体"/>
                <w:color w:val="auto"/>
                <w:highlight w:val="none"/>
              </w:rPr>
            </w:pPr>
            <w:r>
              <w:rPr>
                <w:rFonts w:hint="eastAsia" w:ascii="宋体" w:hAnsi="宋体"/>
                <w:color w:val="auto"/>
                <w:highlight w:val="none"/>
              </w:rPr>
              <w:t>例如：</w:t>
            </w:r>
            <w:r>
              <w:rPr>
                <w:rFonts w:ascii="宋体" w:hAnsi="宋体"/>
                <w:color w:val="auto"/>
                <w:highlight w:val="none"/>
              </w:rPr>
              <w:t>XX</w:t>
            </w:r>
            <w:r>
              <w:rPr>
                <w:rFonts w:hint="eastAsia" w:ascii="宋体" w:hAnsi="宋体"/>
                <w:color w:val="auto"/>
                <w:highlight w:val="none"/>
              </w:rPr>
              <w:t>公司或指挥部等</w:t>
            </w:r>
          </w:p>
        </w:tc>
        <w:tc>
          <w:tcPr>
            <w:tcW w:w="1690" w:type="dxa"/>
            <w:tcBorders>
              <w:top w:val="single" w:color="000000" w:sz="6" w:space="0"/>
              <w:left w:val="single" w:color="000000" w:sz="6" w:space="0"/>
              <w:bottom w:val="single" w:color="000000" w:sz="6" w:space="0"/>
              <w:right w:val="single" w:color="000000" w:sz="6" w:space="0"/>
            </w:tcBorders>
            <w:vAlign w:val="center"/>
          </w:tcPr>
          <w:p w14:paraId="3A8000B8">
            <w:pPr>
              <w:kinsoku w:val="0"/>
              <w:spacing w:line="320" w:lineRule="exact"/>
              <w:jc w:val="center"/>
              <w:rPr>
                <w:rFonts w:hint="eastAsia" w:ascii="宋体" w:hAnsi="宋体"/>
                <w:color w:val="auto"/>
                <w:highlight w:val="none"/>
              </w:rPr>
            </w:pPr>
            <w:r>
              <w:rPr>
                <w:rFonts w:hint="eastAsia" w:ascii="宋体" w:hAnsi="宋体"/>
                <w:color w:val="auto"/>
                <w:highlight w:val="none"/>
              </w:rPr>
              <w:t>例如：</w:t>
            </w:r>
            <w:r>
              <w:rPr>
                <w:rFonts w:ascii="宋体" w:hAnsi="宋体"/>
                <w:color w:val="auto"/>
                <w:highlight w:val="none"/>
              </w:rPr>
              <w:t>X</w:t>
            </w:r>
            <w:r>
              <w:rPr>
                <w:rFonts w:hint="eastAsia" w:ascii="宋体" w:hAnsi="宋体"/>
                <w:color w:val="auto"/>
                <w:highlight w:val="none"/>
              </w:rPr>
              <w:t>年</w:t>
            </w:r>
            <w:r>
              <w:rPr>
                <w:rFonts w:ascii="宋体" w:hAnsi="宋体"/>
                <w:color w:val="auto"/>
                <w:highlight w:val="none"/>
              </w:rPr>
              <w:t>X</w:t>
            </w:r>
            <w:r>
              <w:rPr>
                <w:rFonts w:hint="eastAsia" w:ascii="宋体" w:hAnsi="宋体"/>
                <w:color w:val="auto"/>
                <w:highlight w:val="none"/>
              </w:rPr>
              <w:t>月</w:t>
            </w:r>
            <w:r>
              <w:rPr>
                <w:rFonts w:ascii="宋体" w:hAnsi="宋体"/>
                <w:color w:val="auto"/>
                <w:highlight w:val="none"/>
              </w:rPr>
              <w:t>X</w:t>
            </w:r>
            <w:r>
              <w:rPr>
                <w:rFonts w:hint="eastAsia" w:ascii="宋体" w:hAnsi="宋体"/>
                <w:color w:val="auto"/>
                <w:highlight w:val="none"/>
              </w:rPr>
              <w:t>日完成长度或深度</w:t>
            </w:r>
            <w:r>
              <w:rPr>
                <w:rFonts w:ascii="宋体" w:hAnsi="宋体"/>
                <w:color w:val="auto"/>
                <w:highlight w:val="none"/>
              </w:rPr>
              <w:t>X</w:t>
            </w:r>
            <w:r>
              <w:rPr>
                <w:rFonts w:hint="eastAsia" w:ascii="宋体" w:hAnsi="宋体"/>
                <w:color w:val="auto"/>
                <w:highlight w:val="none"/>
              </w:rPr>
              <w:t>米等</w:t>
            </w:r>
          </w:p>
        </w:tc>
        <w:tc>
          <w:tcPr>
            <w:tcW w:w="1157" w:type="dxa"/>
            <w:tcBorders>
              <w:top w:val="single" w:color="000000" w:sz="6" w:space="0"/>
              <w:left w:val="single" w:color="000000" w:sz="6" w:space="0"/>
              <w:bottom w:val="single" w:color="000000" w:sz="6" w:space="0"/>
              <w:right w:val="single" w:color="000000" w:sz="6" w:space="0"/>
            </w:tcBorders>
            <w:vAlign w:val="center"/>
          </w:tcPr>
          <w:p w14:paraId="5BA8541B">
            <w:pPr>
              <w:kinsoku w:val="0"/>
              <w:spacing w:line="320" w:lineRule="exact"/>
              <w:jc w:val="center"/>
              <w:rPr>
                <w:rFonts w:hint="eastAsia" w:ascii="宋体" w:hAnsi="宋体"/>
                <w:color w:val="auto"/>
                <w:highlight w:val="none"/>
              </w:rPr>
            </w:pPr>
            <w:r>
              <w:rPr>
                <w:rFonts w:hint="eastAsia" w:ascii="宋体" w:hAnsi="宋体"/>
                <w:color w:val="auto"/>
                <w:highlight w:val="none"/>
              </w:rPr>
              <w:t>例如：合同或施工许可证等</w:t>
            </w:r>
          </w:p>
        </w:tc>
        <w:tc>
          <w:tcPr>
            <w:tcW w:w="1200" w:type="dxa"/>
            <w:tcBorders>
              <w:top w:val="single" w:color="000000" w:sz="6" w:space="0"/>
              <w:left w:val="single" w:color="000000" w:sz="6" w:space="0"/>
              <w:bottom w:val="single" w:color="000000" w:sz="6" w:space="0"/>
              <w:right w:val="single" w:color="000000" w:sz="12" w:space="0"/>
            </w:tcBorders>
            <w:vAlign w:val="center"/>
          </w:tcPr>
          <w:p w14:paraId="63AF71AA">
            <w:pPr>
              <w:kinsoku w:val="0"/>
              <w:spacing w:line="320" w:lineRule="exact"/>
              <w:jc w:val="center"/>
              <w:rPr>
                <w:rFonts w:hint="eastAsia" w:ascii="宋体" w:hAnsi="宋体"/>
                <w:color w:val="auto"/>
                <w:highlight w:val="none"/>
              </w:rPr>
            </w:pPr>
            <w:r>
              <w:rPr>
                <w:rFonts w:hint="eastAsia" w:ascii="宋体" w:hAnsi="宋体"/>
                <w:color w:val="auto"/>
                <w:highlight w:val="none"/>
              </w:rPr>
              <w:t>例如：投标文件第</w:t>
            </w:r>
            <w:r>
              <w:rPr>
                <w:rFonts w:ascii="宋体" w:hAnsi="宋体"/>
                <w:color w:val="auto"/>
                <w:highlight w:val="none"/>
              </w:rPr>
              <w:t>X</w:t>
            </w:r>
            <w:r>
              <w:rPr>
                <w:rFonts w:hint="eastAsia" w:ascii="宋体" w:hAnsi="宋体"/>
                <w:color w:val="auto"/>
                <w:highlight w:val="none"/>
              </w:rPr>
              <w:t>页</w:t>
            </w:r>
          </w:p>
        </w:tc>
      </w:tr>
      <w:tr w14:paraId="3E4C41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39" w:hRule="atLeast"/>
        </w:trPr>
        <w:tc>
          <w:tcPr>
            <w:tcW w:w="728" w:type="dxa"/>
            <w:tcBorders>
              <w:top w:val="single" w:color="000000" w:sz="6" w:space="0"/>
              <w:left w:val="single" w:color="000000" w:sz="12" w:space="0"/>
              <w:bottom w:val="single" w:color="000000" w:sz="6" w:space="0"/>
              <w:right w:val="single" w:color="000000" w:sz="6" w:space="0"/>
            </w:tcBorders>
            <w:vAlign w:val="center"/>
          </w:tcPr>
          <w:p w14:paraId="43D65083">
            <w:pPr>
              <w:kinsoku w:val="0"/>
              <w:spacing w:line="320" w:lineRule="exact"/>
              <w:jc w:val="center"/>
              <w:rPr>
                <w:rFonts w:hint="eastAsia" w:ascii="宋体" w:hAnsi="宋体"/>
                <w:color w:val="auto"/>
                <w:highlight w:val="none"/>
              </w:rPr>
            </w:pPr>
            <w:r>
              <w:rPr>
                <w:rFonts w:ascii="宋体" w:hAnsi="宋体"/>
                <w:color w:val="auto"/>
                <w:highlight w:val="none"/>
              </w:rPr>
              <w:t>2</w:t>
            </w:r>
          </w:p>
        </w:tc>
        <w:tc>
          <w:tcPr>
            <w:tcW w:w="1325" w:type="dxa"/>
            <w:tcBorders>
              <w:top w:val="single" w:color="000000" w:sz="6" w:space="0"/>
              <w:left w:val="single" w:color="000000" w:sz="6" w:space="0"/>
              <w:bottom w:val="single" w:color="000000" w:sz="6" w:space="0"/>
              <w:right w:val="single" w:color="000000" w:sz="6" w:space="0"/>
            </w:tcBorders>
            <w:vAlign w:val="center"/>
          </w:tcPr>
          <w:p w14:paraId="0FDB818B">
            <w:pPr>
              <w:kinsoku w:val="0"/>
              <w:spacing w:line="320" w:lineRule="exact"/>
              <w:jc w:val="center"/>
              <w:rPr>
                <w:rFonts w:hint="eastAsia" w:ascii="宋体" w:hAnsi="宋体"/>
                <w:color w:val="auto"/>
                <w:highlight w:val="none"/>
              </w:rPr>
            </w:pPr>
            <w:r>
              <w:rPr>
                <w:rFonts w:hint="eastAsia" w:ascii="宋体" w:hAnsi="宋体"/>
                <w:color w:val="auto"/>
                <w:highlight w:val="none"/>
              </w:rPr>
              <w:t>……</w:t>
            </w:r>
          </w:p>
        </w:tc>
        <w:tc>
          <w:tcPr>
            <w:tcW w:w="1150" w:type="dxa"/>
            <w:tcBorders>
              <w:top w:val="single" w:color="000000" w:sz="6" w:space="0"/>
              <w:left w:val="single" w:color="000000" w:sz="6" w:space="0"/>
              <w:bottom w:val="single" w:color="000000" w:sz="6" w:space="0"/>
              <w:right w:val="single" w:color="000000" w:sz="6" w:space="0"/>
            </w:tcBorders>
            <w:vAlign w:val="center"/>
          </w:tcPr>
          <w:p w14:paraId="73055DB3">
            <w:pPr>
              <w:keepNext/>
              <w:keepLines/>
              <w:kinsoku w:val="0"/>
              <w:spacing w:line="320" w:lineRule="exact"/>
              <w:jc w:val="center"/>
              <w:rPr>
                <w:rFonts w:hint="eastAsia" w:ascii="宋体" w:hAnsi="宋体"/>
                <w:color w:val="auto"/>
                <w:highlight w:val="none"/>
              </w:rPr>
            </w:pPr>
          </w:p>
        </w:tc>
        <w:tc>
          <w:tcPr>
            <w:tcW w:w="1380" w:type="dxa"/>
            <w:tcBorders>
              <w:top w:val="single" w:color="000000" w:sz="6" w:space="0"/>
              <w:left w:val="single" w:color="000000" w:sz="6" w:space="0"/>
              <w:bottom w:val="single" w:color="000000" w:sz="6" w:space="0"/>
              <w:right w:val="single" w:color="000000" w:sz="6" w:space="0"/>
            </w:tcBorders>
            <w:vAlign w:val="center"/>
          </w:tcPr>
          <w:p w14:paraId="2FE8A2AD">
            <w:pPr>
              <w:keepNext/>
              <w:keepLines/>
              <w:kinsoku w:val="0"/>
              <w:spacing w:line="320" w:lineRule="exact"/>
              <w:jc w:val="center"/>
              <w:rPr>
                <w:rFonts w:hint="eastAsia" w:ascii="宋体" w:hAnsi="宋体"/>
                <w:color w:val="auto"/>
                <w:highlight w:val="none"/>
              </w:rPr>
            </w:pPr>
          </w:p>
        </w:tc>
        <w:tc>
          <w:tcPr>
            <w:tcW w:w="1690" w:type="dxa"/>
            <w:tcBorders>
              <w:top w:val="single" w:color="000000" w:sz="6" w:space="0"/>
              <w:left w:val="single" w:color="000000" w:sz="6" w:space="0"/>
              <w:bottom w:val="single" w:color="000000" w:sz="6" w:space="0"/>
              <w:right w:val="single" w:color="000000" w:sz="6" w:space="0"/>
            </w:tcBorders>
            <w:vAlign w:val="center"/>
          </w:tcPr>
          <w:p w14:paraId="0AB58A10">
            <w:pPr>
              <w:keepNext/>
              <w:keepLines/>
              <w:kinsoku w:val="0"/>
              <w:spacing w:line="320" w:lineRule="exact"/>
              <w:jc w:val="center"/>
              <w:rPr>
                <w:rFonts w:hint="eastAsia" w:ascii="宋体" w:hAnsi="宋体"/>
                <w:color w:val="auto"/>
                <w:highlight w:val="none"/>
              </w:rPr>
            </w:pPr>
          </w:p>
        </w:tc>
        <w:tc>
          <w:tcPr>
            <w:tcW w:w="1157" w:type="dxa"/>
            <w:tcBorders>
              <w:top w:val="single" w:color="000000" w:sz="6" w:space="0"/>
              <w:left w:val="single" w:color="000000" w:sz="6" w:space="0"/>
              <w:bottom w:val="single" w:color="000000" w:sz="6" w:space="0"/>
              <w:right w:val="single" w:color="000000" w:sz="6" w:space="0"/>
            </w:tcBorders>
            <w:vAlign w:val="center"/>
          </w:tcPr>
          <w:p w14:paraId="717E38AA">
            <w:pPr>
              <w:keepNext/>
              <w:keepLines/>
              <w:kinsoku w:val="0"/>
              <w:spacing w:line="320" w:lineRule="exact"/>
              <w:jc w:val="center"/>
              <w:rPr>
                <w:rFonts w:hint="eastAsia" w:ascii="宋体" w:hAnsi="宋体"/>
                <w:color w:val="auto"/>
                <w:highlight w:val="none"/>
              </w:rPr>
            </w:pPr>
          </w:p>
        </w:tc>
        <w:tc>
          <w:tcPr>
            <w:tcW w:w="1200" w:type="dxa"/>
            <w:tcBorders>
              <w:top w:val="single" w:color="000000" w:sz="6" w:space="0"/>
              <w:left w:val="single" w:color="000000" w:sz="6" w:space="0"/>
              <w:bottom w:val="single" w:color="000000" w:sz="6" w:space="0"/>
              <w:right w:val="single" w:color="000000" w:sz="12" w:space="0"/>
            </w:tcBorders>
            <w:vAlign w:val="center"/>
          </w:tcPr>
          <w:p w14:paraId="1250BC16">
            <w:pPr>
              <w:keepNext/>
              <w:keepLines/>
              <w:spacing w:line="320" w:lineRule="exact"/>
              <w:jc w:val="center"/>
              <w:rPr>
                <w:rFonts w:hint="eastAsia" w:ascii="宋体" w:hAnsi="宋体"/>
                <w:color w:val="auto"/>
                <w:highlight w:val="none"/>
              </w:rPr>
            </w:pPr>
          </w:p>
        </w:tc>
      </w:tr>
      <w:tr w14:paraId="11F894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27" w:hRule="atLeast"/>
        </w:trPr>
        <w:tc>
          <w:tcPr>
            <w:tcW w:w="728" w:type="dxa"/>
            <w:tcBorders>
              <w:top w:val="single" w:color="000000" w:sz="6" w:space="0"/>
              <w:left w:val="single" w:color="000000" w:sz="12" w:space="0"/>
              <w:bottom w:val="single" w:color="000000" w:sz="12" w:space="0"/>
              <w:right w:val="single" w:color="000000" w:sz="6" w:space="0"/>
            </w:tcBorders>
            <w:vAlign w:val="center"/>
          </w:tcPr>
          <w:p w14:paraId="0E881CD3">
            <w:pPr>
              <w:keepNext/>
              <w:keepLines/>
              <w:spacing w:line="320" w:lineRule="exact"/>
              <w:jc w:val="center"/>
              <w:rPr>
                <w:rFonts w:hint="eastAsia" w:ascii="宋体" w:hAnsi="宋体"/>
                <w:color w:val="auto"/>
                <w:highlight w:val="none"/>
              </w:rPr>
            </w:pPr>
          </w:p>
        </w:tc>
        <w:tc>
          <w:tcPr>
            <w:tcW w:w="1325" w:type="dxa"/>
            <w:tcBorders>
              <w:top w:val="single" w:color="000000" w:sz="6" w:space="0"/>
              <w:left w:val="single" w:color="000000" w:sz="6" w:space="0"/>
              <w:bottom w:val="single" w:color="000000" w:sz="12" w:space="0"/>
              <w:right w:val="single" w:color="000000" w:sz="6" w:space="0"/>
            </w:tcBorders>
            <w:vAlign w:val="center"/>
          </w:tcPr>
          <w:p w14:paraId="16C67417">
            <w:pPr>
              <w:keepNext/>
              <w:keepLines/>
              <w:kinsoku w:val="0"/>
              <w:spacing w:line="320" w:lineRule="exact"/>
              <w:jc w:val="center"/>
              <w:rPr>
                <w:rFonts w:hint="eastAsia" w:ascii="宋体" w:hAnsi="宋体"/>
                <w:color w:val="auto"/>
                <w:highlight w:val="none"/>
              </w:rPr>
            </w:pPr>
          </w:p>
        </w:tc>
        <w:tc>
          <w:tcPr>
            <w:tcW w:w="1150" w:type="dxa"/>
            <w:tcBorders>
              <w:top w:val="single" w:color="000000" w:sz="6" w:space="0"/>
              <w:left w:val="single" w:color="000000" w:sz="6" w:space="0"/>
              <w:bottom w:val="single" w:color="000000" w:sz="12" w:space="0"/>
              <w:right w:val="single" w:color="000000" w:sz="6" w:space="0"/>
            </w:tcBorders>
            <w:vAlign w:val="center"/>
          </w:tcPr>
          <w:p w14:paraId="56605AFD">
            <w:pPr>
              <w:keepNext/>
              <w:keepLines/>
              <w:kinsoku w:val="0"/>
              <w:spacing w:line="320" w:lineRule="exact"/>
              <w:jc w:val="center"/>
              <w:rPr>
                <w:rFonts w:hint="eastAsia" w:ascii="宋体" w:hAnsi="宋体"/>
                <w:color w:val="auto"/>
                <w:highlight w:val="none"/>
              </w:rPr>
            </w:pPr>
          </w:p>
        </w:tc>
        <w:tc>
          <w:tcPr>
            <w:tcW w:w="1380" w:type="dxa"/>
            <w:tcBorders>
              <w:top w:val="single" w:color="000000" w:sz="6" w:space="0"/>
              <w:left w:val="single" w:color="000000" w:sz="6" w:space="0"/>
              <w:bottom w:val="single" w:color="000000" w:sz="12" w:space="0"/>
              <w:right w:val="single" w:color="000000" w:sz="6" w:space="0"/>
            </w:tcBorders>
            <w:vAlign w:val="center"/>
          </w:tcPr>
          <w:p w14:paraId="498F846F">
            <w:pPr>
              <w:keepNext/>
              <w:keepLines/>
              <w:spacing w:line="320" w:lineRule="exact"/>
              <w:jc w:val="center"/>
              <w:rPr>
                <w:rFonts w:hint="eastAsia" w:ascii="宋体" w:hAnsi="宋体"/>
                <w:color w:val="auto"/>
                <w:highlight w:val="none"/>
              </w:rPr>
            </w:pPr>
          </w:p>
        </w:tc>
        <w:tc>
          <w:tcPr>
            <w:tcW w:w="1690" w:type="dxa"/>
            <w:tcBorders>
              <w:top w:val="single" w:color="000000" w:sz="6" w:space="0"/>
              <w:left w:val="single" w:color="000000" w:sz="6" w:space="0"/>
              <w:bottom w:val="single" w:color="000000" w:sz="12" w:space="0"/>
              <w:right w:val="single" w:color="000000" w:sz="6" w:space="0"/>
            </w:tcBorders>
            <w:vAlign w:val="center"/>
          </w:tcPr>
          <w:p w14:paraId="21D87F13">
            <w:pPr>
              <w:keepNext/>
              <w:keepLines/>
              <w:spacing w:line="320" w:lineRule="exact"/>
              <w:jc w:val="center"/>
              <w:rPr>
                <w:rFonts w:hint="eastAsia" w:ascii="宋体" w:hAnsi="宋体"/>
                <w:color w:val="auto"/>
                <w:highlight w:val="none"/>
              </w:rPr>
            </w:pPr>
          </w:p>
        </w:tc>
        <w:tc>
          <w:tcPr>
            <w:tcW w:w="1157" w:type="dxa"/>
            <w:tcBorders>
              <w:top w:val="single" w:color="000000" w:sz="6" w:space="0"/>
              <w:left w:val="single" w:color="000000" w:sz="6" w:space="0"/>
              <w:bottom w:val="single" w:color="000000" w:sz="12" w:space="0"/>
              <w:right w:val="single" w:color="000000" w:sz="6" w:space="0"/>
            </w:tcBorders>
            <w:vAlign w:val="center"/>
          </w:tcPr>
          <w:p w14:paraId="098FD333">
            <w:pPr>
              <w:keepNext/>
              <w:keepLines/>
              <w:spacing w:line="320" w:lineRule="exact"/>
              <w:jc w:val="center"/>
              <w:rPr>
                <w:rFonts w:hint="eastAsia" w:ascii="宋体" w:hAnsi="宋体"/>
                <w:color w:val="auto"/>
                <w:highlight w:val="none"/>
              </w:rPr>
            </w:pPr>
          </w:p>
        </w:tc>
        <w:tc>
          <w:tcPr>
            <w:tcW w:w="1200" w:type="dxa"/>
            <w:tcBorders>
              <w:top w:val="single" w:color="000000" w:sz="6" w:space="0"/>
              <w:left w:val="single" w:color="000000" w:sz="6" w:space="0"/>
              <w:bottom w:val="single" w:color="000000" w:sz="12" w:space="0"/>
              <w:right w:val="single" w:color="000000" w:sz="12" w:space="0"/>
            </w:tcBorders>
            <w:vAlign w:val="center"/>
          </w:tcPr>
          <w:p w14:paraId="6DA5F017">
            <w:pPr>
              <w:keepNext/>
              <w:keepLines/>
              <w:spacing w:line="320" w:lineRule="exact"/>
              <w:jc w:val="center"/>
              <w:rPr>
                <w:rFonts w:hint="eastAsia" w:ascii="宋体" w:hAnsi="宋体"/>
                <w:color w:val="auto"/>
                <w:highlight w:val="none"/>
              </w:rPr>
            </w:pPr>
          </w:p>
        </w:tc>
      </w:tr>
    </w:tbl>
    <w:p w14:paraId="0870317F">
      <w:pPr>
        <w:pStyle w:val="17"/>
        <w:rPr>
          <w:rFonts w:hint="eastAsia" w:cs="宋体"/>
          <w:b/>
          <w:bCs/>
          <w:color w:val="auto"/>
          <w:szCs w:val="28"/>
          <w:highlight w:val="none"/>
        </w:rPr>
      </w:pPr>
    </w:p>
    <w:p w14:paraId="53278624">
      <w:pPr>
        <w:pStyle w:val="17"/>
        <w:rPr>
          <w:rFonts w:hint="eastAsia"/>
          <w:color w:val="auto"/>
          <w:highlight w:val="none"/>
        </w:rPr>
      </w:pPr>
    </w:p>
    <w:p w14:paraId="2E51E4FA">
      <w:pPr>
        <w:snapToGrid w:val="0"/>
        <w:spacing w:line="360" w:lineRule="auto"/>
        <w:jc w:val="center"/>
        <w:rPr>
          <w:rFonts w:hint="eastAsia" w:ascii="宋体" w:hAnsi="宋体"/>
          <w:color w:val="auto"/>
          <w:sz w:val="28"/>
          <w:szCs w:val="28"/>
          <w:highlight w:val="none"/>
        </w:rPr>
      </w:pPr>
      <w:r>
        <w:rPr>
          <w:rFonts w:hint="eastAsia" w:ascii="宋体" w:hAnsi="宋体"/>
          <w:color w:val="auto"/>
          <w:szCs w:val="21"/>
          <w:highlight w:val="none"/>
        </w:rPr>
        <w:t>注：填写此表时应附上相关附件。</w:t>
      </w:r>
      <w:r>
        <w:rPr>
          <w:rFonts w:ascii="宋体" w:hAnsi="宋体"/>
          <w:color w:val="auto"/>
          <w:sz w:val="28"/>
          <w:szCs w:val="28"/>
          <w:highlight w:val="none"/>
        </w:rPr>
        <w:br w:type="page"/>
      </w:r>
    </w:p>
    <w:p w14:paraId="16CA12C1">
      <w:pPr>
        <w:snapToGrid w:val="0"/>
        <w:spacing w:line="360" w:lineRule="auto"/>
        <w:jc w:val="center"/>
        <w:rPr>
          <w:rFonts w:hint="eastAsia" w:ascii="宋体" w:hAnsi="宋体"/>
          <w:strike/>
          <w:color w:val="auto"/>
          <w:sz w:val="32"/>
          <w:szCs w:val="32"/>
          <w:highlight w:val="none"/>
        </w:rPr>
      </w:pPr>
    </w:p>
    <w:p w14:paraId="613E37F9">
      <w:pPr>
        <w:snapToGrid w:val="0"/>
        <w:spacing w:line="360" w:lineRule="auto"/>
        <w:jc w:val="center"/>
        <w:rPr>
          <w:rFonts w:hint="eastAsia" w:ascii="宋体" w:hAnsi="宋体"/>
          <w:strike/>
          <w:color w:val="auto"/>
          <w:sz w:val="32"/>
          <w:szCs w:val="32"/>
          <w:highlight w:val="none"/>
        </w:rPr>
      </w:pPr>
      <w:r>
        <w:rPr>
          <w:rFonts w:hint="eastAsia" w:ascii="宋体" w:hAnsi="宋体"/>
          <w:strike/>
          <w:color w:val="auto"/>
          <w:sz w:val="32"/>
          <w:szCs w:val="32"/>
          <w:highlight w:val="none"/>
        </w:rPr>
        <w:t>中小企业声明函</w:t>
      </w:r>
    </w:p>
    <w:p w14:paraId="2AF63EB3">
      <w:pPr>
        <w:snapToGrid w:val="0"/>
        <w:spacing w:line="360" w:lineRule="auto"/>
        <w:jc w:val="center"/>
        <w:rPr>
          <w:rFonts w:hint="eastAsia" w:ascii="宋体" w:hAnsi="宋体"/>
          <w:strike/>
          <w:color w:val="auto"/>
          <w:sz w:val="28"/>
          <w:szCs w:val="28"/>
          <w:highlight w:val="none"/>
        </w:rPr>
      </w:pPr>
    </w:p>
    <w:p w14:paraId="43D01A71">
      <w:pPr>
        <w:snapToGrid w:val="0"/>
        <w:spacing w:line="360" w:lineRule="auto"/>
        <w:rPr>
          <w:rFonts w:hint="eastAsia" w:ascii="宋体" w:hAnsi="宋体"/>
          <w:strike/>
          <w:color w:val="auto"/>
          <w:sz w:val="28"/>
          <w:szCs w:val="28"/>
          <w:highlight w:val="none"/>
        </w:rPr>
      </w:pPr>
      <w:r>
        <w:rPr>
          <w:rFonts w:hint="eastAsia" w:ascii="宋体" w:hAnsi="宋体"/>
          <w:strike/>
          <w:color w:val="auto"/>
          <w:sz w:val="28"/>
          <w:szCs w:val="28"/>
          <w:highlight w:val="none"/>
        </w:rPr>
        <w:t xml:space="preserve">    本公司（联合体）郑重声明，根据《政府采购促进中小企业发展管理办法》（财库〔2020〕46号）的规定，本公司（联合体)参加</w:t>
      </w:r>
      <w:r>
        <w:rPr>
          <w:rFonts w:hint="eastAsia" w:ascii="宋体" w:hAnsi="宋体"/>
          <w:strike/>
          <w:color w:val="auto"/>
          <w:sz w:val="28"/>
          <w:szCs w:val="28"/>
          <w:highlight w:val="none"/>
          <w:u w:val="single"/>
        </w:rPr>
        <w:t>（单位名称）</w:t>
      </w:r>
      <w:r>
        <w:rPr>
          <w:rFonts w:hint="eastAsia" w:ascii="宋体" w:hAnsi="宋体"/>
          <w:strike/>
          <w:color w:val="auto"/>
          <w:sz w:val="28"/>
          <w:szCs w:val="28"/>
          <w:highlight w:val="none"/>
        </w:rPr>
        <w:t>的</w:t>
      </w:r>
      <w:r>
        <w:rPr>
          <w:rFonts w:hint="eastAsia" w:ascii="宋体" w:hAnsi="宋体"/>
          <w:strike/>
          <w:color w:val="auto"/>
          <w:sz w:val="28"/>
          <w:szCs w:val="28"/>
          <w:highlight w:val="none"/>
          <w:u w:val="single"/>
        </w:rPr>
        <w:t>（项目名称）</w:t>
      </w:r>
      <w:r>
        <w:rPr>
          <w:rFonts w:hint="eastAsia" w:ascii="宋体" w:hAnsi="宋体"/>
          <w:strike/>
          <w:color w:val="auto"/>
          <w:sz w:val="28"/>
          <w:szCs w:val="28"/>
          <w:highlight w:val="none"/>
        </w:rPr>
        <w:t>招投标活动，工程的承包单位全部为符合政策要求的中小企业（或者：服务全部由符合政策要求的中小企业承接）。相关企业（含联合体中的中小企业、签订分包意向协议的中小企业）的具体情况如下：</w:t>
      </w:r>
    </w:p>
    <w:p w14:paraId="21932A7C">
      <w:pPr>
        <w:snapToGrid w:val="0"/>
        <w:spacing w:line="360" w:lineRule="auto"/>
        <w:rPr>
          <w:rFonts w:hint="eastAsia" w:ascii="宋体" w:hAnsi="宋体"/>
          <w:strike/>
          <w:color w:val="auto"/>
          <w:sz w:val="28"/>
          <w:szCs w:val="28"/>
          <w:highlight w:val="none"/>
        </w:rPr>
      </w:pPr>
      <w:r>
        <w:rPr>
          <w:rFonts w:hint="eastAsia" w:ascii="宋体" w:hAnsi="宋体"/>
          <w:strike/>
          <w:color w:val="auto"/>
          <w:sz w:val="28"/>
          <w:szCs w:val="28"/>
          <w:highlight w:val="none"/>
        </w:rPr>
        <w:t xml:space="preserve">   1.</w:t>
      </w:r>
      <w:r>
        <w:rPr>
          <w:rFonts w:hint="eastAsia" w:ascii="宋体" w:hAnsi="宋体"/>
          <w:strike/>
          <w:color w:val="auto"/>
          <w:sz w:val="28"/>
          <w:szCs w:val="28"/>
          <w:highlight w:val="none"/>
          <w:u w:val="single"/>
        </w:rPr>
        <w:t>（项目名称）</w:t>
      </w:r>
      <w:r>
        <w:rPr>
          <w:rFonts w:hint="eastAsia" w:ascii="宋体" w:hAnsi="宋体"/>
          <w:strike/>
          <w:color w:val="auto"/>
          <w:sz w:val="28"/>
          <w:szCs w:val="28"/>
          <w:highlight w:val="none"/>
        </w:rPr>
        <w:t>,属于</w:t>
      </w:r>
      <w:r>
        <w:rPr>
          <w:rFonts w:hint="eastAsia" w:ascii="宋体" w:hAnsi="宋体"/>
          <w:strike/>
          <w:color w:val="auto"/>
          <w:sz w:val="28"/>
          <w:szCs w:val="28"/>
          <w:highlight w:val="none"/>
          <w:u w:val="single"/>
        </w:rPr>
        <w:t>（招标文件中明确的所属行业）</w:t>
      </w:r>
      <w:r>
        <w:rPr>
          <w:rFonts w:hint="eastAsia" w:ascii="宋体" w:hAnsi="宋体"/>
          <w:strike/>
          <w:color w:val="auto"/>
          <w:sz w:val="28"/>
          <w:szCs w:val="28"/>
          <w:highlight w:val="none"/>
        </w:rPr>
        <w:t>；承建(承接)企业为</w:t>
      </w:r>
      <w:r>
        <w:rPr>
          <w:rFonts w:hint="eastAsia" w:ascii="宋体" w:hAnsi="宋体"/>
          <w:strike/>
          <w:color w:val="auto"/>
          <w:sz w:val="28"/>
          <w:szCs w:val="28"/>
          <w:highlight w:val="none"/>
          <w:u w:val="single"/>
        </w:rPr>
        <w:t>（企业名称）</w:t>
      </w:r>
      <w:r>
        <w:rPr>
          <w:rFonts w:hint="eastAsia" w:ascii="宋体" w:hAnsi="宋体"/>
          <w:strike/>
          <w:color w:val="auto"/>
          <w:sz w:val="28"/>
          <w:szCs w:val="28"/>
          <w:highlight w:val="none"/>
        </w:rPr>
        <w:t>,从业人员</w:t>
      </w:r>
      <w:r>
        <w:rPr>
          <w:rFonts w:hint="eastAsia" w:ascii="宋体" w:hAnsi="宋体"/>
          <w:strike/>
          <w:color w:val="auto"/>
          <w:sz w:val="28"/>
          <w:szCs w:val="28"/>
          <w:highlight w:val="none"/>
          <w:u w:val="single"/>
        </w:rPr>
        <w:t xml:space="preserve">   </w:t>
      </w:r>
      <w:r>
        <w:rPr>
          <w:rFonts w:hint="eastAsia" w:ascii="宋体" w:hAnsi="宋体"/>
          <w:strike/>
          <w:color w:val="auto"/>
          <w:sz w:val="28"/>
          <w:szCs w:val="28"/>
          <w:highlight w:val="none"/>
        </w:rPr>
        <w:t>人，营业收入为</w:t>
      </w:r>
      <w:r>
        <w:rPr>
          <w:rFonts w:hint="eastAsia" w:ascii="宋体" w:hAnsi="宋体"/>
          <w:strike/>
          <w:color w:val="auto"/>
          <w:sz w:val="28"/>
          <w:szCs w:val="28"/>
          <w:highlight w:val="none"/>
          <w:u w:val="single"/>
        </w:rPr>
        <w:t xml:space="preserve">_  </w:t>
      </w:r>
      <w:r>
        <w:rPr>
          <w:rFonts w:hint="eastAsia" w:ascii="宋体" w:hAnsi="宋体"/>
          <w:strike/>
          <w:color w:val="auto"/>
          <w:sz w:val="28"/>
          <w:szCs w:val="28"/>
          <w:highlight w:val="none"/>
        </w:rPr>
        <w:t>万元，资产总额为___万元，属于（</w:t>
      </w:r>
      <w:r>
        <w:rPr>
          <w:rFonts w:hint="eastAsia" w:ascii="宋体" w:hAnsi="宋体"/>
          <w:strike/>
          <w:color w:val="auto"/>
          <w:sz w:val="28"/>
          <w:szCs w:val="28"/>
          <w:highlight w:val="none"/>
          <w:u w:val="single"/>
        </w:rPr>
        <w:t>□中型企业、</w:t>
      </w:r>
      <w:r>
        <w:rPr>
          <w:rFonts w:ascii="宋体" w:hAnsi="宋体"/>
          <w:strike/>
          <w:color w:val="auto"/>
          <w:sz w:val="28"/>
          <w:szCs w:val="28"/>
          <w:highlight w:val="none"/>
          <w:u w:val="single"/>
        </w:rPr>
        <w:t>□</w:t>
      </w:r>
      <w:r>
        <w:rPr>
          <w:rFonts w:hint="eastAsia" w:ascii="宋体" w:hAnsi="宋体"/>
          <w:strike/>
          <w:color w:val="auto"/>
          <w:sz w:val="28"/>
          <w:szCs w:val="28"/>
          <w:highlight w:val="none"/>
          <w:u w:val="single"/>
        </w:rPr>
        <w:t>小型企业、</w:t>
      </w:r>
      <w:r>
        <w:rPr>
          <w:rFonts w:ascii="宋体" w:hAnsi="宋体"/>
          <w:strike/>
          <w:color w:val="auto"/>
          <w:sz w:val="28"/>
          <w:szCs w:val="28"/>
          <w:highlight w:val="none"/>
          <w:u w:val="single"/>
        </w:rPr>
        <w:t>□</w:t>
      </w:r>
      <w:r>
        <w:rPr>
          <w:rFonts w:hint="eastAsia" w:ascii="宋体" w:hAnsi="宋体"/>
          <w:strike/>
          <w:color w:val="auto"/>
          <w:sz w:val="28"/>
          <w:szCs w:val="28"/>
          <w:highlight w:val="none"/>
          <w:u w:val="single"/>
        </w:rPr>
        <w:t>微型企业</w:t>
      </w:r>
      <w:r>
        <w:rPr>
          <w:rFonts w:hint="eastAsia" w:ascii="宋体" w:hAnsi="宋体"/>
          <w:strike/>
          <w:color w:val="auto"/>
          <w:sz w:val="28"/>
          <w:szCs w:val="28"/>
          <w:highlight w:val="none"/>
        </w:rPr>
        <w:t>）；</w:t>
      </w:r>
    </w:p>
    <w:p w14:paraId="25D18AD3">
      <w:pPr>
        <w:snapToGrid w:val="0"/>
        <w:spacing w:line="360" w:lineRule="auto"/>
        <w:rPr>
          <w:rFonts w:hint="eastAsia" w:ascii="宋体" w:hAnsi="宋体"/>
          <w:strike/>
          <w:color w:val="auto"/>
          <w:sz w:val="28"/>
          <w:szCs w:val="28"/>
          <w:highlight w:val="none"/>
        </w:rPr>
      </w:pPr>
      <w:r>
        <w:rPr>
          <w:rFonts w:hint="eastAsia" w:ascii="宋体" w:hAnsi="宋体"/>
          <w:strike/>
          <w:color w:val="auto"/>
          <w:sz w:val="28"/>
          <w:szCs w:val="28"/>
          <w:highlight w:val="none"/>
        </w:rPr>
        <w:t xml:space="preserve">  2.</w:t>
      </w:r>
      <w:r>
        <w:rPr>
          <w:rFonts w:hint="eastAsia" w:ascii="宋体" w:hAnsi="宋体"/>
          <w:strike/>
          <w:color w:val="auto"/>
          <w:sz w:val="28"/>
          <w:szCs w:val="28"/>
          <w:highlight w:val="none"/>
          <w:u w:val="single"/>
        </w:rPr>
        <w:t>（项目名称）</w:t>
      </w:r>
      <w:r>
        <w:rPr>
          <w:rFonts w:hint="eastAsia" w:ascii="宋体" w:hAnsi="宋体"/>
          <w:strike/>
          <w:color w:val="auto"/>
          <w:sz w:val="28"/>
          <w:szCs w:val="28"/>
          <w:highlight w:val="none"/>
        </w:rPr>
        <w:t>,属于（招标文件中明确的所属行业）；承建(承接)企业为</w:t>
      </w:r>
      <w:r>
        <w:rPr>
          <w:rFonts w:hint="eastAsia" w:ascii="宋体" w:hAnsi="宋体"/>
          <w:strike/>
          <w:color w:val="auto"/>
          <w:sz w:val="28"/>
          <w:szCs w:val="28"/>
          <w:highlight w:val="none"/>
          <w:u w:val="single"/>
        </w:rPr>
        <w:t>（企业名称）</w:t>
      </w:r>
      <w:r>
        <w:rPr>
          <w:rFonts w:hint="eastAsia" w:ascii="宋体" w:hAnsi="宋体"/>
          <w:strike/>
          <w:color w:val="auto"/>
          <w:sz w:val="28"/>
          <w:szCs w:val="28"/>
          <w:highlight w:val="none"/>
        </w:rPr>
        <w:t>,从业人员</w:t>
      </w:r>
      <w:r>
        <w:rPr>
          <w:rFonts w:hint="eastAsia" w:ascii="宋体" w:hAnsi="宋体"/>
          <w:strike/>
          <w:color w:val="auto"/>
          <w:sz w:val="28"/>
          <w:szCs w:val="28"/>
          <w:highlight w:val="none"/>
          <w:u w:val="single"/>
        </w:rPr>
        <w:t xml:space="preserve">    </w:t>
      </w:r>
      <w:r>
        <w:rPr>
          <w:rFonts w:hint="eastAsia" w:ascii="宋体" w:hAnsi="宋体"/>
          <w:strike/>
          <w:color w:val="auto"/>
          <w:sz w:val="28"/>
          <w:szCs w:val="28"/>
          <w:highlight w:val="none"/>
        </w:rPr>
        <w:t>人，营业收入为___万元，资产总额为___万元，属于（</w:t>
      </w:r>
      <w:r>
        <w:rPr>
          <w:rFonts w:hint="eastAsia" w:ascii="宋体" w:hAnsi="宋体"/>
          <w:strike/>
          <w:color w:val="auto"/>
          <w:sz w:val="28"/>
          <w:szCs w:val="28"/>
          <w:highlight w:val="none"/>
          <w:u w:val="single"/>
        </w:rPr>
        <w:t>□中型企业、□小型企业、□微型企业</w:t>
      </w:r>
      <w:r>
        <w:rPr>
          <w:rFonts w:hint="eastAsia" w:ascii="宋体" w:hAnsi="宋体"/>
          <w:strike/>
          <w:color w:val="auto"/>
          <w:sz w:val="28"/>
          <w:szCs w:val="28"/>
          <w:highlight w:val="none"/>
        </w:rPr>
        <w:t>）；</w:t>
      </w:r>
    </w:p>
    <w:p w14:paraId="72C787D5">
      <w:pPr>
        <w:snapToGrid w:val="0"/>
        <w:spacing w:line="360" w:lineRule="auto"/>
        <w:rPr>
          <w:rFonts w:hint="eastAsia" w:ascii="宋体" w:hAnsi="宋体"/>
          <w:strike/>
          <w:color w:val="auto"/>
          <w:sz w:val="28"/>
          <w:szCs w:val="28"/>
          <w:highlight w:val="none"/>
        </w:rPr>
      </w:pPr>
      <w:r>
        <w:rPr>
          <w:rFonts w:ascii="宋体" w:hAnsi="宋体"/>
          <w:strike/>
          <w:color w:val="auto"/>
          <w:sz w:val="28"/>
          <w:szCs w:val="28"/>
          <w:highlight w:val="none"/>
        </w:rPr>
        <w:t>……</w:t>
      </w:r>
    </w:p>
    <w:p w14:paraId="6BB2E5A5">
      <w:pPr>
        <w:snapToGrid w:val="0"/>
        <w:spacing w:line="360" w:lineRule="auto"/>
        <w:ind w:firstLine="560" w:firstLineChars="200"/>
        <w:rPr>
          <w:rFonts w:hint="eastAsia" w:ascii="宋体" w:hAnsi="宋体"/>
          <w:strike/>
          <w:color w:val="auto"/>
          <w:sz w:val="28"/>
          <w:szCs w:val="28"/>
          <w:highlight w:val="none"/>
        </w:rPr>
      </w:pPr>
      <w:r>
        <w:rPr>
          <w:rFonts w:hint="eastAsia" w:ascii="宋体" w:hAnsi="宋体"/>
          <w:strike/>
          <w:color w:val="auto"/>
          <w:sz w:val="28"/>
          <w:szCs w:val="28"/>
          <w:highlight w:val="none"/>
        </w:rPr>
        <w:t>以上企业，不属于大企业的分支机构，不存在控股股东为大企业的情形，也不存在与大企业的负责人为同一人的情形。</w:t>
      </w:r>
    </w:p>
    <w:p w14:paraId="4920E11A">
      <w:pPr>
        <w:snapToGrid w:val="0"/>
        <w:spacing w:line="360" w:lineRule="auto"/>
        <w:ind w:firstLine="560" w:firstLineChars="200"/>
        <w:rPr>
          <w:rFonts w:hint="eastAsia" w:ascii="宋体" w:hAnsi="宋体"/>
          <w:strike/>
          <w:color w:val="auto"/>
          <w:sz w:val="28"/>
          <w:szCs w:val="28"/>
          <w:highlight w:val="none"/>
        </w:rPr>
      </w:pPr>
      <w:r>
        <w:rPr>
          <w:rFonts w:hint="eastAsia" w:ascii="宋体" w:hAnsi="宋体"/>
          <w:strike/>
          <w:color w:val="auto"/>
          <w:sz w:val="28"/>
          <w:szCs w:val="28"/>
          <w:highlight w:val="none"/>
        </w:rPr>
        <w:t>本企业对上述声明内容的真实性负责。如有虚假，将依法承担相应责任。</w:t>
      </w:r>
    </w:p>
    <w:p w14:paraId="0D688D85">
      <w:pPr>
        <w:snapToGrid w:val="0"/>
        <w:spacing w:line="360" w:lineRule="auto"/>
        <w:jc w:val="center"/>
        <w:rPr>
          <w:rFonts w:hint="eastAsia" w:ascii="宋体" w:hAnsi="宋体"/>
          <w:strike/>
          <w:color w:val="auto"/>
          <w:sz w:val="28"/>
          <w:szCs w:val="28"/>
          <w:highlight w:val="none"/>
        </w:rPr>
      </w:pPr>
    </w:p>
    <w:p w14:paraId="7F09F071">
      <w:pPr>
        <w:snapToGrid w:val="0"/>
        <w:spacing w:line="360" w:lineRule="auto"/>
        <w:jc w:val="center"/>
        <w:rPr>
          <w:rFonts w:hint="eastAsia" w:ascii="宋体" w:hAnsi="宋体"/>
          <w:strike/>
          <w:color w:val="auto"/>
          <w:sz w:val="28"/>
          <w:szCs w:val="28"/>
          <w:highlight w:val="none"/>
        </w:rPr>
      </w:pPr>
      <w:r>
        <w:rPr>
          <w:rFonts w:hint="eastAsia" w:ascii="宋体" w:hAnsi="宋体"/>
          <w:strike/>
          <w:color w:val="auto"/>
          <w:sz w:val="28"/>
          <w:szCs w:val="28"/>
          <w:highlight w:val="none"/>
        </w:rPr>
        <w:t xml:space="preserve">         企业名称（盖章):</w:t>
      </w:r>
    </w:p>
    <w:p w14:paraId="3B5A2A0B">
      <w:pPr>
        <w:snapToGrid w:val="0"/>
        <w:spacing w:line="360" w:lineRule="auto"/>
        <w:jc w:val="center"/>
        <w:rPr>
          <w:rFonts w:hint="eastAsia" w:ascii="宋体" w:hAnsi="宋体"/>
          <w:strike/>
          <w:color w:val="auto"/>
          <w:sz w:val="28"/>
          <w:szCs w:val="28"/>
          <w:highlight w:val="none"/>
        </w:rPr>
      </w:pPr>
      <w:r>
        <w:rPr>
          <w:rFonts w:hint="eastAsia" w:ascii="宋体" w:hAnsi="宋体"/>
          <w:strike/>
          <w:color w:val="auto"/>
          <w:sz w:val="28"/>
          <w:szCs w:val="28"/>
          <w:highlight w:val="none"/>
        </w:rPr>
        <w:t xml:space="preserve">   日    期：</w:t>
      </w:r>
    </w:p>
    <w:p w14:paraId="0D0BBFBE">
      <w:pPr>
        <w:snapToGrid w:val="0"/>
        <w:spacing w:line="360" w:lineRule="auto"/>
        <w:jc w:val="center"/>
        <w:rPr>
          <w:rFonts w:hint="eastAsia" w:ascii="宋体" w:hAnsi="宋体"/>
          <w:color w:val="auto"/>
          <w:sz w:val="28"/>
          <w:szCs w:val="28"/>
          <w:highlight w:val="none"/>
        </w:rPr>
      </w:pPr>
      <w:r>
        <w:rPr>
          <w:rFonts w:hint="eastAsia" w:ascii="宋体" w:hAnsi="宋体"/>
          <w:color w:val="auto"/>
          <w:sz w:val="28"/>
          <w:szCs w:val="28"/>
          <w:highlight w:val="none"/>
        </w:rPr>
        <w:br w:type="page"/>
      </w:r>
    </w:p>
    <w:p w14:paraId="16C7840A">
      <w:pPr>
        <w:snapToGrid w:val="0"/>
        <w:spacing w:line="360" w:lineRule="auto"/>
        <w:jc w:val="center"/>
        <w:rPr>
          <w:rFonts w:hint="eastAsia" w:ascii="宋体" w:hAnsi="宋体"/>
          <w:color w:val="auto"/>
          <w:sz w:val="28"/>
          <w:szCs w:val="28"/>
          <w:highlight w:val="none"/>
        </w:rPr>
      </w:pPr>
    </w:p>
    <w:p w14:paraId="7F2126F5">
      <w:pPr>
        <w:snapToGrid w:val="0"/>
        <w:spacing w:line="360" w:lineRule="auto"/>
        <w:jc w:val="center"/>
        <w:rPr>
          <w:rFonts w:hint="eastAsia" w:ascii="宋体" w:hAnsi="宋体"/>
          <w:b/>
          <w:bCs/>
          <w:color w:val="auto"/>
          <w:sz w:val="36"/>
          <w:highlight w:val="none"/>
        </w:rPr>
      </w:pPr>
      <w:r>
        <w:rPr>
          <w:rFonts w:hint="eastAsia" w:ascii="宋体" w:hAnsi="宋体"/>
          <w:b/>
          <w:bCs/>
          <w:color w:val="auto"/>
          <w:sz w:val="36"/>
          <w:highlight w:val="none"/>
        </w:rPr>
        <w:t>联合体协议书</w:t>
      </w:r>
    </w:p>
    <w:p w14:paraId="35E06F1A">
      <w:pPr>
        <w:snapToGrid w:val="0"/>
        <w:spacing w:line="360" w:lineRule="auto"/>
        <w:jc w:val="center"/>
        <w:rPr>
          <w:rFonts w:hint="eastAsia" w:ascii="宋体" w:hAnsi="宋体" w:cs="Arial"/>
          <w:color w:val="auto"/>
          <w:highlight w:val="none"/>
        </w:rPr>
      </w:pPr>
      <w:r>
        <w:rPr>
          <w:rFonts w:hint="eastAsia" w:ascii="宋体" w:hAnsi="宋体" w:cs="Arial"/>
          <w:color w:val="auto"/>
          <w:highlight w:val="none"/>
        </w:rPr>
        <w:t>（格式供参考）</w:t>
      </w:r>
    </w:p>
    <w:p w14:paraId="7E131A13">
      <w:pPr>
        <w:snapToGrid w:val="0"/>
        <w:spacing w:line="360" w:lineRule="auto"/>
        <w:jc w:val="center"/>
        <w:rPr>
          <w:rFonts w:hint="eastAsia" w:ascii="宋体" w:hAnsi="宋体" w:cs="Arial"/>
          <w:color w:val="auto"/>
          <w:highlight w:val="none"/>
        </w:rPr>
      </w:pPr>
    </w:p>
    <w:p w14:paraId="3DDC3EBE">
      <w:pPr>
        <w:snapToGrid w:val="0"/>
        <w:spacing w:line="360" w:lineRule="auto"/>
        <w:rPr>
          <w:rFonts w:hint="eastAsia" w:ascii="宋体" w:hAnsi="宋体" w:cs="Arial"/>
          <w:color w:val="auto"/>
          <w:highlight w:val="none"/>
        </w:rPr>
      </w:pPr>
      <w:r>
        <w:rPr>
          <w:rFonts w:hint="eastAsia" w:ascii="宋体" w:hAnsi="宋体" w:cs="Arial"/>
          <w:color w:val="auto"/>
          <w:highlight w:val="none"/>
        </w:rPr>
        <w:t>（所有成员单位名称）自愿组成（联合体名称）联合体，共同参加（项目名称）投标。现就联合体投标事宜订立如下协议。</w:t>
      </w:r>
    </w:p>
    <w:p w14:paraId="455FD1F8">
      <w:pPr>
        <w:snapToGrid w:val="0"/>
        <w:spacing w:line="360" w:lineRule="auto"/>
        <w:rPr>
          <w:rFonts w:hint="eastAsia" w:ascii="宋体" w:hAnsi="宋体" w:cs="Arial"/>
          <w:color w:val="auto"/>
          <w:highlight w:val="none"/>
        </w:rPr>
      </w:pPr>
      <w:r>
        <w:rPr>
          <w:rFonts w:ascii="宋体" w:hAnsi="宋体" w:cs="Arial"/>
          <w:color w:val="auto"/>
          <w:highlight w:val="none"/>
        </w:rPr>
        <w:t>1</w:t>
      </w:r>
      <w:r>
        <w:rPr>
          <w:rFonts w:hint="eastAsia" w:ascii="宋体" w:hAnsi="宋体" w:cs="Arial"/>
          <w:color w:val="auto"/>
          <w:highlight w:val="none"/>
        </w:rPr>
        <w:t>、（某成员单位名称）为（联合体名称）牵头人。</w:t>
      </w:r>
    </w:p>
    <w:p w14:paraId="0806F3DC">
      <w:pPr>
        <w:snapToGrid w:val="0"/>
        <w:spacing w:line="360" w:lineRule="auto"/>
        <w:rPr>
          <w:rFonts w:hint="eastAsia" w:ascii="宋体" w:hAnsi="宋体" w:cs="Arial"/>
          <w:color w:val="auto"/>
          <w:highlight w:val="none"/>
        </w:rPr>
      </w:pPr>
      <w:r>
        <w:rPr>
          <w:rFonts w:ascii="宋体" w:hAnsi="宋体" w:cs="Arial"/>
          <w:color w:val="auto"/>
          <w:highlight w:val="none"/>
        </w:rPr>
        <w:t>2</w:t>
      </w:r>
      <w:r>
        <w:rPr>
          <w:rFonts w:hint="eastAsia" w:ascii="宋体" w:hAnsi="宋体" w:cs="Arial"/>
          <w:color w:val="auto"/>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0DC5ED75">
      <w:pPr>
        <w:snapToGrid w:val="0"/>
        <w:spacing w:line="360" w:lineRule="auto"/>
        <w:rPr>
          <w:rFonts w:hint="eastAsia" w:ascii="宋体" w:hAnsi="宋体" w:cs="Arial"/>
          <w:color w:val="auto"/>
          <w:highlight w:val="none"/>
        </w:rPr>
      </w:pPr>
      <w:r>
        <w:rPr>
          <w:rFonts w:ascii="宋体" w:hAnsi="宋体" w:cs="Arial"/>
          <w:color w:val="auto"/>
          <w:highlight w:val="none"/>
        </w:rPr>
        <w:t>3</w:t>
      </w:r>
      <w:r>
        <w:rPr>
          <w:rFonts w:hint="eastAsia" w:ascii="宋体" w:hAnsi="宋体" w:cs="Arial"/>
          <w:color w:val="auto"/>
          <w:highlight w:val="none"/>
        </w:rPr>
        <w:t>、联合体将按照招标文件的各项要求，递交投标文件，履行合同，并对外承担连带责任。</w:t>
      </w:r>
    </w:p>
    <w:p w14:paraId="7D334D42">
      <w:pPr>
        <w:snapToGrid w:val="0"/>
        <w:spacing w:line="360" w:lineRule="auto"/>
        <w:rPr>
          <w:rFonts w:hint="eastAsia" w:ascii="宋体" w:hAnsi="宋体" w:cs="Arial"/>
          <w:color w:val="auto"/>
          <w:highlight w:val="none"/>
        </w:rPr>
      </w:pPr>
      <w:r>
        <w:rPr>
          <w:rFonts w:ascii="宋体" w:hAnsi="宋体" w:cs="Arial"/>
          <w:color w:val="auto"/>
          <w:highlight w:val="none"/>
        </w:rPr>
        <w:t>4</w:t>
      </w:r>
      <w:r>
        <w:rPr>
          <w:rFonts w:hint="eastAsia" w:ascii="宋体" w:hAnsi="宋体" w:cs="Arial"/>
          <w:color w:val="auto"/>
          <w:highlight w:val="none"/>
        </w:rPr>
        <w:t>、联合体各成员单位内部的职责分工如下</w:t>
      </w:r>
      <w:r>
        <w:rPr>
          <w:rFonts w:hint="eastAsia" w:ascii="宋体" w:hAnsi="宋体" w:cs="Arial"/>
          <w:color w:val="auto"/>
          <w:highlight w:val="none"/>
          <w:u w:val="single"/>
        </w:rPr>
        <w:t xml:space="preserve">：                            </w:t>
      </w:r>
      <w:r>
        <w:rPr>
          <w:rFonts w:hint="eastAsia" w:ascii="宋体" w:hAnsi="宋体" w:cs="Arial"/>
          <w:color w:val="auto"/>
          <w:highlight w:val="none"/>
        </w:rPr>
        <w:t>。</w:t>
      </w:r>
    </w:p>
    <w:p w14:paraId="3427E02D">
      <w:pPr>
        <w:snapToGrid w:val="0"/>
        <w:spacing w:line="360" w:lineRule="auto"/>
        <w:rPr>
          <w:rFonts w:hint="eastAsia" w:ascii="宋体" w:hAnsi="宋体" w:cs="Arial"/>
          <w:color w:val="auto"/>
          <w:highlight w:val="none"/>
        </w:rPr>
      </w:pPr>
      <w:r>
        <w:rPr>
          <w:rFonts w:ascii="宋体" w:hAnsi="宋体" w:cs="Arial"/>
          <w:color w:val="auto"/>
          <w:highlight w:val="none"/>
        </w:rPr>
        <w:t>5</w:t>
      </w:r>
      <w:r>
        <w:rPr>
          <w:rFonts w:hint="eastAsia" w:ascii="宋体" w:hAnsi="宋体" w:cs="Arial"/>
          <w:color w:val="auto"/>
          <w:highlight w:val="none"/>
        </w:rPr>
        <w:t>、联合体各成员单位关于收取招标人支付项目各项费用的约定如下：</w:t>
      </w:r>
      <w:r>
        <w:rPr>
          <w:rFonts w:hint="eastAsia" w:ascii="宋体" w:hAnsi="宋体" w:cs="Arial"/>
          <w:color w:val="auto"/>
          <w:highlight w:val="none"/>
          <w:u w:val="single"/>
        </w:rPr>
        <w:t xml:space="preserve">      </w:t>
      </w:r>
      <w:r>
        <w:rPr>
          <w:rFonts w:hint="eastAsia" w:ascii="宋体" w:hAnsi="宋体" w:cs="Arial"/>
          <w:color w:val="auto"/>
          <w:highlight w:val="none"/>
        </w:rPr>
        <w:t>。</w:t>
      </w:r>
    </w:p>
    <w:p w14:paraId="78CFFA48">
      <w:pPr>
        <w:snapToGrid w:val="0"/>
        <w:spacing w:line="360" w:lineRule="auto"/>
        <w:rPr>
          <w:rFonts w:hint="eastAsia" w:ascii="宋体" w:hAnsi="宋体" w:cs="Arial"/>
          <w:color w:val="auto"/>
          <w:highlight w:val="none"/>
        </w:rPr>
      </w:pPr>
      <w:r>
        <w:rPr>
          <w:rFonts w:ascii="宋体" w:hAnsi="宋体" w:cs="Arial"/>
          <w:color w:val="auto"/>
          <w:highlight w:val="none"/>
        </w:rPr>
        <w:t>6</w:t>
      </w:r>
      <w:r>
        <w:rPr>
          <w:rFonts w:hint="eastAsia" w:ascii="宋体" w:hAnsi="宋体" w:cs="Arial"/>
          <w:color w:val="auto"/>
          <w:highlight w:val="none"/>
        </w:rPr>
        <w:t>、本协议书自签署之日起生效。</w:t>
      </w:r>
    </w:p>
    <w:p w14:paraId="5DC1977D">
      <w:pPr>
        <w:snapToGrid w:val="0"/>
        <w:spacing w:line="360" w:lineRule="auto"/>
        <w:rPr>
          <w:rFonts w:hint="eastAsia" w:ascii="宋体" w:hAnsi="宋体" w:cs="Arial"/>
          <w:color w:val="auto"/>
          <w:highlight w:val="none"/>
        </w:rPr>
      </w:pPr>
      <w:r>
        <w:rPr>
          <w:rFonts w:ascii="宋体" w:hAnsi="宋体" w:cs="Arial"/>
          <w:color w:val="auto"/>
          <w:highlight w:val="none"/>
        </w:rPr>
        <w:t>7</w:t>
      </w:r>
      <w:r>
        <w:rPr>
          <w:rFonts w:hint="eastAsia" w:ascii="宋体" w:hAnsi="宋体" w:cs="Arial"/>
          <w:color w:val="auto"/>
          <w:highlight w:val="none"/>
        </w:rPr>
        <w:t>、本协议书一式</w:t>
      </w:r>
      <w:r>
        <w:rPr>
          <w:rFonts w:hint="eastAsia" w:ascii="宋体" w:hAnsi="宋体" w:cs="Arial"/>
          <w:color w:val="auto"/>
          <w:highlight w:val="none"/>
          <w:u w:val="single"/>
        </w:rPr>
        <w:t xml:space="preserve">  </w:t>
      </w:r>
      <w:r>
        <w:rPr>
          <w:rFonts w:hint="eastAsia" w:ascii="宋体" w:hAnsi="宋体" w:cs="Arial"/>
          <w:color w:val="auto"/>
          <w:highlight w:val="none"/>
        </w:rPr>
        <w:t>份，联合体成员和招标人各执一份。</w:t>
      </w:r>
    </w:p>
    <w:p w14:paraId="66DD6FA6">
      <w:pPr>
        <w:snapToGrid w:val="0"/>
        <w:spacing w:line="360" w:lineRule="auto"/>
        <w:rPr>
          <w:rFonts w:hint="eastAsia" w:ascii="宋体" w:hAnsi="宋体" w:cs="Arial"/>
          <w:color w:val="auto"/>
          <w:highlight w:val="none"/>
        </w:rPr>
      </w:pPr>
      <w:r>
        <w:rPr>
          <w:rFonts w:hint="eastAsia" w:ascii="宋体" w:hAnsi="宋体" w:cs="Arial"/>
          <w:color w:val="auto"/>
          <w:highlight w:val="none"/>
        </w:rPr>
        <w:t>注：本协议书由委托代理人签字的，应附法定代表人签字或盖章的授权委托书。</w:t>
      </w:r>
    </w:p>
    <w:p w14:paraId="581119F5">
      <w:pPr>
        <w:snapToGrid w:val="0"/>
        <w:spacing w:line="360" w:lineRule="auto"/>
        <w:rPr>
          <w:rFonts w:hint="eastAsia" w:ascii="宋体" w:hAnsi="宋体" w:cs="Arial"/>
          <w:color w:val="auto"/>
          <w:highlight w:val="none"/>
        </w:rPr>
      </w:pPr>
    </w:p>
    <w:p w14:paraId="231DA000">
      <w:pPr>
        <w:snapToGrid w:val="0"/>
        <w:spacing w:line="360" w:lineRule="auto"/>
        <w:rPr>
          <w:rFonts w:hint="eastAsia" w:ascii="宋体" w:hAnsi="宋体" w:cs="Arial"/>
          <w:color w:val="auto"/>
          <w:highlight w:val="none"/>
          <w:u w:val="single"/>
        </w:rPr>
      </w:pPr>
      <w:r>
        <w:rPr>
          <w:rFonts w:hint="eastAsia" w:ascii="宋体" w:hAnsi="宋体" w:cs="Arial"/>
          <w:color w:val="auto"/>
          <w:highlight w:val="none"/>
        </w:rPr>
        <w:t>牵头人名称：</w:t>
      </w:r>
      <w:r>
        <w:rPr>
          <w:rFonts w:ascii="宋体" w:hAnsi="宋体" w:cs="Arial"/>
          <w:color w:val="auto"/>
          <w:highlight w:val="none"/>
          <w:u w:val="single"/>
        </w:rPr>
        <w:t xml:space="preserve">      </w:t>
      </w:r>
      <w:r>
        <w:rPr>
          <w:rFonts w:hint="eastAsia" w:ascii="宋体" w:hAnsi="宋体" w:cs="Arial"/>
          <w:color w:val="auto"/>
          <w:highlight w:val="none"/>
          <w:u w:val="single"/>
        </w:rPr>
        <w:t>（单位盖章）</w:t>
      </w:r>
    </w:p>
    <w:p w14:paraId="428FEB3A">
      <w:pPr>
        <w:snapToGrid w:val="0"/>
        <w:spacing w:line="360" w:lineRule="auto"/>
        <w:rPr>
          <w:rFonts w:hint="eastAsia" w:ascii="宋体" w:hAnsi="宋体" w:cs="Arial"/>
          <w:color w:val="auto"/>
          <w:highlight w:val="none"/>
          <w:u w:val="single"/>
        </w:rPr>
      </w:pPr>
      <w:r>
        <w:rPr>
          <w:rFonts w:hint="eastAsia" w:ascii="宋体" w:hAnsi="宋体" w:cs="Arial"/>
          <w:color w:val="auto"/>
          <w:highlight w:val="none"/>
        </w:rPr>
        <w:t>法定代表人或其委托代理人</w:t>
      </w:r>
      <w:r>
        <w:rPr>
          <w:rFonts w:hint="eastAsia" w:ascii="宋体" w:hAnsi="宋体" w:cs="Arial"/>
          <w:color w:val="auto"/>
          <w:highlight w:val="none"/>
          <w:u w:val="single"/>
        </w:rPr>
        <w:t>（</w:t>
      </w:r>
      <w:r>
        <w:rPr>
          <w:rFonts w:hint="eastAsia" w:hAnsi="宋体" w:cs="Courier New"/>
          <w:color w:val="auto"/>
          <w:highlight w:val="none"/>
          <w:u w:val="single"/>
        </w:rPr>
        <w:t>签字或盖章</w:t>
      </w:r>
      <w:r>
        <w:rPr>
          <w:rFonts w:hint="eastAsia" w:ascii="宋体" w:hAnsi="宋体" w:cs="Arial"/>
          <w:color w:val="auto"/>
          <w:highlight w:val="none"/>
          <w:u w:val="single"/>
        </w:rPr>
        <w:t>）：</w:t>
      </w:r>
    </w:p>
    <w:p w14:paraId="263FF7FF">
      <w:pPr>
        <w:snapToGrid w:val="0"/>
        <w:spacing w:line="360" w:lineRule="auto"/>
        <w:rPr>
          <w:rFonts w:hint="eastAsia" w:ascii="宋体" w:hAnsi="宋体" w:cs="Arial"/>
          <w:color w:val="auto"/>
          <w:highlight w:val="none"/>
          <w:u w:val="single"/>
        </w:rPr>
      </w:pPr>
    </w:p>
    <w:p w14:paraId="7F19C900">
      <w:pPr>
        <w:snapToGrid w:val="0"/>
        <w:spacing w:line="360" w:lineRule="auto"/>
        <w:rPr>
          <w:rFonts w:hint="eastAsia" w:ascii="宋体" w:hAnsi="宋体" w:cs="Arial"/>
          <w:color w:val="auto"/>
          <w:highlight w:val="none"/>
          <w:u w:val="single"/>
        </w:rPr>
      </w:pPr>
      <w:r>
        <w:rPr>
          <w:rFonts w:hint="eastAsia" w:ascii="宋体" w:hAnsi="宋体" w:cs="Arial"/>
          <w:color w:val="auto"/>
          <w:highlight w:val="none"/>
        </w:rPr>
        <w:t>成员名称：</w:t>
      </w:r>
      <w:r>
        <w:rPr>
          <w:rFonts w:hint="eastAsia" w:ascii="宋体" w:hAnsi="宋体" w:cs="Arial"/>
          <w:color w:val="auto"/>
          <w:highlight w:val="none"/>
          <w:u w:val="single"/>
        </w:rPr>
        <w:t>（单位盖章）</w:t>
      </w:r>
    </w:p>
    <w:p w14:paraId="1B40FD43">
      <w:pPr>
        <w:snapToGrid w:val="0"/>
        <w:spacing w:line="360" w:lineRule="auto"/>
        <w:rPr>
          <w:rFonts w:hint="eastAsia" w:ascii="宋体" w:hAnsi="宋体" w:cs="Arial"/>
          <w:color w:val="auto"/>
          <w:highlight w:val="none"/>
          <w:u w:val="single"/>
        </w:rPr>
      </w:pPr>
      <w:r>
        <w:rPr>
          <w:rFonts w:hint="eastAsia" w:ascii="宋体" w:hAnsi="宋体" w:cs="Arial"/>
          <w:color w:val="auto"/>
          <w:highlight w:val="none"/>
        </w:rPr>
        <w:t>法定代表人或其委托代理人</w:t>
      </w:r>
      <w:r>
        <w:rPr>
          <w:rFonts w:hint="eastAsia" w:ascii="宋体" w:hAnsi="宋体" w:cs="Arial"/>
          <w:color w:val="auto"/>
          <w:highlight w:val="none"/>
          <w:u w:val="single"/>
        </w:rPr>
        <w:t>（</w:t>
      </w:r>
      <w:r>
        <w:rPr>
          <w:rFonts w:hint="eastAsia" w:hAnsi="宋体" w:cs="Courier New"/>
          <w:color w:val="auto"/>
          <w:highlight w:val="none"/>
          <w:u w:val="single"/>
        </w:rPr>
        <w:t>签字或盖章</w:t>
      </w:r>
      <w:r>
        <w:rPr>
          <w:rFonts w:hint="eastAsia" w:ascii="宋体" w:hAnsi="宋体" w:cs="Arial"/>
          <w:color w:val="auto"/>
          <w:highlight w:val="none"/>
          <w:u w:val="single"/>
        </w:rPr>
        <w:t>）：</w:t>
      </w:r>
    </w:p>
    <w:p w14:paraId="2740BB59">
      <w:pPr>
        <w:spacing w:line="360" w:lineRule="auto"/>
        <w:jc w:val="center"/>
        <w:rPr>
          <w:rFonts w:hint="eastAsia" w:ascii="宋体" w:hAnsi="宋体"/>
          <w:color w:val="auto"/>
          <w:highlight w:val="none"/>
        </w:rPr>
      </w:pPr>
    </w:p>
    <w:p w14:paraId="79600E29">
      <w:pPr>
        <w:spacing w:line="360" w:lineRule="auto"/>
        <w:jc w:val="center"/>
        <w:rPr>
          <w:rFonts w:hint="eastAsia" w:ascii="宋体" w:hAnsi="宋体"/>
          <w:color w:val="auto"/>
          <w:highlight w:val="none"/>
        </w:rPr>
      </w:pPr>
    </w:p>
    <w:p w14:paraId="750C2A03">
      <w:pPr>
        <w:spacing w:line="360" w:lineRule="auto"/>
        <w:jc w:val="center"/>
        <w:rPr>
          <w:rFonts w:hint="eastAsia" w:ascii="宋体" w:hAnsi="宋体"/>
          <w:color w:val="auto"/>
          <w:highlight w:val="none"/>
        </w:rPr>
      </w:pPr>
      <w:r>
        <w:rPr>
          <w:rFonts w:hint="eastAsia" w:ascii="宋体" w:hAnsi="宋体"/>
          <w:color w:val="auto"/>
          <w:highlight w:val="none"/>
        </w:rPr>
        <w:t xml:space="preserve">年 </w:t>
      </w:r>
      <w:r>
        <w:rPr>
          <w:rFonts w:ascii="宋体" w:hAnsi="宋体"/>
          <w:color w:val="auto"/>
          <w:highlight w:val="none"/>
        </w:rPr>
        <w:t xml:space="preserve">     </w:t>
      </w:r>
      <w:r>
        <w:rPr>
          <w:rFonts w:hint="eastAsia" w:ascii="宋体" w:hAnsi="宋体"/>
          <w:color w:val="auto"/>
          <w:highlight w:val="none"/>
        </w:rPr>
        <w:t xml:space="preserve">月 </w:t>
      </w:r>
      <w:r>
        <w:rPr>
          <w:rFonts w:ascii="宋体" w:hAnsi="宋体"/>
          <w:color w:val="auto"/>
          <w:highlight w:val="none"/>
        </w:rPr>
        <w:t xml:space="preserve">     </w:t>
      </w:r>
      <w:r>
        <w:rPr>
          <w:rFonts w:hint="eastAsia" w:ascii="宋体" w:hAnsi="宋体"/>
          <w:color w:val="auto"/>
          <w:highlight w:val="none"/>
        </w:rPr>
        <w:t>日</w:t>
      </w:r>
    </w:p>
    <w:p w14:paraId="6EB49D50">
      <w:pPr>
        <w:widowControl/>
        <w:tabs>
          <w:tab w:val="left" w:pos="6790"/>
        </w:tabs>
        <w:kinsoku w:val="0"/>
        <w:snapToGrid w:val="0"/>
        <w:spacing w:line="360" w:lineRule="auto"/>
        <w:ind w:left="5469" w:hanging="9"/>
        <w:textAlignment w:val="baseline"/>
        <w:rPr>
          <w:rFonts w:hint="eastAsia" w:ascii="宋体" w:hAnsi="宋体" w:cs="宋体"/>
          <w:color w:val="auto"/>
          <w:highlight w:val="none"/>
        </w:rPr>
      </w:pPr>
    </w:p>
    <w:p w14:paraId="2203F961">
      <w:pPr>
        <w:spacing w:line="360" w:lineRule="auto"/>
        <w:jc w:val="center"/>
        <w:rPr>
          <w:rFonts w:hint="eastAsia" w:ascii="宋体" w:hAnsi="宋体"/>
          <w:color w:val="auto"/>
          <w:highlight w:val="none"/>
        </w:rPr>
      </w:pPr>
    </w:p>
    <w:p w14:paraId="0D82C6B3">
      <w:pPr>
        <w:widowControl/>
        <w:rPr>
          <w:rFonts w:hint="eastAsia" w:ascii="宋体" w:hAnsi="宋体"/>
          <w:color w:val="auto"/>
          <w:sz w:val="28"/>
          <w:szCs w:val="28"/>
          <w:highlight w:val="none"/>
        </w:rPr>
      </w:pPr>
      <w:r>
        <w:rPr>
          <w:rFonts w:ascii="Microsoft JhengHei" w:eastAsia="Microsoft JhengHei" w:cs="Microsoft JhengHei"/>
          <w:b/>
          <w:bCs/>
          <w:color w:val="auto"/>
          <w:highlight w:val="none"/>
        </w:rPr>
        <w:br w:type="page"/>
      </w:r>
    </w:p>
    <w:p w14:paraId="6D0D66F0">
      <w:pPr>
        <w:widowControl/>
        <w:rPr>
          <w:rFonts w:hint="eastAsia" w:ascii="宋体" w:hAnsi="宋体"/>
          <w:color w:val="auto"/>
          <w:sz w:val="28"/>
          <w:szCs w:val="28"/>
          <w:highlight w:val="none"/>
        </w:rPr>
      </w:pPr>
    </w:p>
    <w:p w14:paraId="363301F2">
      <w:pPr>
        <w:widowControl/>
        <w:rPr>
          <w:rFonts w:ascii="Microsoft JhengHei" w:hAnsi="Times New Roman" w:eastAsia="Microsoft JhengHei" w:cs="Microsoft JhengHei"/>
          <w:b/>
          <w:bCs/>
          <w:color w:val="auto"/>
          <w:highlight w:val="none"/>
        </w:rPr>
      </w:pPr>
    </w:p>
    <w:p w14:paraId="5DDE6506">
      <w:pPr>
        <w:spacing w:line="480" w:lineRule="auto"/>
        <w:jc w:val="center"/>
        <w:rPr>
          <w:rFonts w:hint="eastAsia" w:ascii="宋体" w:hAnsi="宋体" w:cs="Microsoft JhengHei"/>
          <w:b/>
          <w:bCs/>
          <w:color w:val="auto"/>
          <w:highlight w:val="none"/>
        </w:rPr>
      </w:pPr>
      <w:r>
        <w:rPr>
          <w:rFonts w:hint="eastAsia" w:ascii="宋体" w:hAnsi="宋体"/>
          <w:b/>
          <w:bCs/>
          <w:color w:val="auto"/>
          <w:sz w:val="36"/>
          <w:szCs w:val="20"/>
          <w:highlight w:val="none"/>
        </w:rPr>
        <w:t>投标保证金</w:t>
      </w:r>
    </w:p>
    <w:p w14:paraId="37D6754A">
      <w:pPr>
        <w:widowControl/>
        <w:rPr>
          <w:rFonts w:ascii="Microsoft JhengHei" w:eastAsia="Microsoft JhengHei" w:cs="Microsoft JhengHei"/>
          <w:b/>
          <w:bCs/>
          <w:color w:val="auto"/>
          <w:highlight w:val="none"/>
        </w:rPr>
      </w:pPr>
      <w:r>
        <w:rPr>
          <w:rFonts w:hint="eastAsia" w:ascii="Microsoft JhengHei" w:eastAsia="Microsoft JhengHei" w:cs="Microsoft JhengHei"/>
          <w:b/>
          <w:bCs/>
          <w:color w:val="auto"/>
          <w:highlight w:val="none"/>
        </w:rPr>
        <w:t>1.采用</w:t>
      </w:r>
      <w:r>
        <w:rPr>
          <w:rFonts w:hint="eastAsia" w:ascii="Microsoft JhengHei" w:cs="Microsoft JhengHei"/>
          <w:b/>
          <w:bCs/>
          <w:color w:val="auto"/>
          <w:highlight w:val="none"/>
        </w:rPr>
        <w:t>转账形式缴纳</w:t>
      </w:r>
      <w:r>
        <w:rPr>
          <w:rFonts w:hint="eastAsia" w:ascii="Microsoft JhengHei" w:eastAsia="Microsoft JhengHei" w:cs="Microsoft JhengHei"/>
          <w:b/>
          <w:bCs/>
          <w:color w:val="auto"/>
          <w:highlight w:val="none"/>
        </w:rPr>
        <w:t>的，提供银行转账凭证（记录）及基本账户开户证明。</w:t>
      </w:r>
    </w:p>
    <w:p w14:paraId="395E771E">
      <w:pPr>
        <w:widowControl/>
        <w:rPr>
          <w:rFonts w:ascii="Microsoft JhengHei" w:eastAsia="Microsoft JhengHei" w:cs="Microsoft JhengHei"/>
          <w:b/>
          <w:bCs/>
          <w:color w:val="auto"/>
          <w:highlight w:val="none"/>
        </w:rPr>
      </w:pPr>
      <w:r>
        <w:rPr>
          <w:rFonts w:hint="eastAsia" w:ascii="Microsoft JhengHei" w:eastAsia="Microsoft JhengHei" w:cs="Microsoft JhengHei"/>
          <w:b/>
          <w:bCs/>
          <w:color w:val="auto"/>
          <w:highlight w:val="none"/>
        </w:rPr>
        <w:t>2.采用银行保函或投标保险保单或担保保函的，提供保函、购买保险或办理保函、担保等保证金相关费用从投标人基本账户转出的凭证、基本账户开户证明。</w:t>
      </w:r>
    </w:p>
    <w:p w14:paraId="780C8E90">
      <w:pPr>
        <w:widowControl/>
        <w:rPr>
          <w:rFonts w:ascii="Microsoft JhengHei" w:eastAsia="Microsoft JhengHei" w:cs="Microsoft JhengHei"/>
          <w:b/>
          <w:bCs/>
          <w:color w:val="auto"/>
          <w:highlight w:val="none"/>
        </w:rPr>
      </w:pPr>
    </w:p>
    <w:p w14:paraId="14C63442">
      <w:pPr>
        <w:widowControl/>
        <w:rPr>
          <w:rFonts w:ascii="Microsoft JhengHei" w:eastAsia="Microsoft JhengHei" w:cs="Microsoft JhengHei"/>
          <w:b/>
          <w:bCs/>
          <w:color w:val="auto"/>
          <w:highlight w:val="none"/>
        </w:rPr>
      </w:pPr>
    </w:p>
    <w:p w14:paraId="12CF8AE4">
      <w:pPr>
        <w:widowControl/>
        <w:rPr>
          <w:rFonts w:ascii="Microsoft JhengHei" w:eastAsia="Microsoft JhengHei" w:cs="Microsoft JhengHei"/>
          <w:b/>
          <w:bCs/>
          <w:color w:val="auto"/>
          <w:highlight w:val="none"/>
        </w:rPr>
      </w:pPr>
    </w:p>
    <w:p w14:paraId="3F10082C">
      <w:pPr>
        <w:widowControl/>
        <w:rPr>
          <w:rFonts w:ascii="Microsoft JhengHei" w:eastAsia="Microsoft JhengHei" w:cs="Microsoft JhengHei"/>
          <w:b/>
          <w:bCs/>
          <w:color w:val="auto"/>
          <w:highlight w:val="none"/>
        </w:rPr>
      </w:pPr>
    </w:p>
    <w:p w14:paraId="6516546D">
      <w:pPr>
        <w:widowControl/>
        <w:rPr>
          <w:rFonts w:ascii="Microsoft JhengHei" w:eastAsia="Microsoft JhengHei" w:cs="Microsoft JhengHei"/>
          <w:b/>
          <w:bCs/>
          <w:color w:val="auto"/>
          <w:highlight w:val="none"/>
        </w:rPr>
      </w:pPr>
    </w:p>
    <w:p w14:paraId="24B1CEA3">
      <w:pPr>
        <w:widowControl/>
        <w:rPr>
          <w:rFonts w:ascii="Microsoft JhengHei" w:eastAsia="Microsoft JhengHei" w:cs="Microsoft JhengHei"/>
          <w:b/>
          <w:bCs/>
          <w:color w:val="auto"/>
          <w:highlight w:val="none"/>
        </w:rPr>
      </w:pPr>
    </w:p>
    <w:p w14:paraId="5451126A">
      <w:pPr>
        <w:widowControl/>
        <w:rPr>
          <w:rFonts w:ascii="Microsoft JhengHei" w:eastAsia="Microsoft JhengHei" w:cs="Microsoft JhengHei"/>
          <w:b/>
          <w:bCs/>
          <w:color w:val="auto"/>
          <w:highlight w:val="none"/>
        </w:rPr>
      </w:pPr>
    </w:p>
    <w:p w14:paraId="453C461F">
      <w:pPr>
        <w:widowControl/>
        <w:rPr>
          <w:rFonts w:ascii="Microsoft JhengHei" w:eastAsia="Microsoft JhengHei" w:cs="Microsoft JhengHei"/>
          <w:b/>
          <w:bCs/>
          <w:color w:val="auto"/>
          <w:highlight w:val="none"/>
        </w:rPr>
      </w:pPr>
    </w:p>
    <w:p w14:paraId="345AF665">
      <w:pPr>
        <w:widowControl/>
        <w:rPr>
          <w:rFonts w:ascii="Microsoft JhengHei" w:eastAsia="Microsoft JhengHei" w:cs="Microsoft JhengHei"/>
          <w:b/>
          <w:bCs/>
          <w:color w:val="auto"/>
          <w:highlight w:val="none"/>
        </w:rPr>
      </w:pPr>
    </w:p>
    <w:p w14:paraId="20AB4015">
      <w:pPr>
        <w:widowControl/>
        <w:rPr>
          <w:rFonts w:ascii="Microsoft JhengHei" w:eastAsia="Microsoft JhengHei" w:cs="Microsoft JhengHei"/>
          <w:b/>
          <w:bCs/>
          <w:color w:val="auto"/>
          <w:highlight w:val="none"/>
        </w:rPr>
      </w:pPr>
    </w:p>
    <w:p w14:paraId="64C632BA">
      <w:pPr>
        <w:widowControl/>
        <w:rPr>
          <w:rFonts w:ascii="Microsoft JhengHei" w:eastAsia="Microsoft JhengHei" w:cs="Microsoft JhengHei"/>
          <w:b/>
          <w:bCs/>
          <w:color w:val="auto"/>
          <w:highlight w:val="none"/>
        </w:rPr>
      </w:pPr>
    </w:p>
    <w:p w14:paraId="22950641">
      <w:pPr>
        <w:widowControl/>
        <w:rPr>
          <w:rFonts w:ascii="Microsoft JhengHei" w:eastAsia="Microsoft JhengHei" w:cs="Microsoft JhengHei"/>
          <w:b/>
          <w:bCs/>
          <w:color w:val="auto"/>
          <w:highlight w:val="none"/>
        </w:rPr>
      </w:pPr>
    </w:p>
    <w:p w14:paraId="4A1DA8AE">
      <w:pPr>
        <w:widowControl/>
        <w:rPr>
          <w:rFonts w:ascii="Microsoft JhengHei" w:eastAsia="Microsoft JhengHei" w:cs="Microsoft JhengHei"/>
          <w:b/>
          <w:bCs/>
          <w:color w:val="auto"/>
          <w:highlight w:val="none"/>
        </w:rPr>
      </w:pPr>
    </w:p>
    <w:p w14:paraId="6EDCF679">
      <w:pPr>
        <w:widowControl/>
        <w:rPr>
          <w:rFonts w:ascii="Microsoft JhengHei" w:eastAsia="Microsoft JhengHei" w:cs="Microsoft JhengHei"/>
          <w:b/>
          <w:bCs/>
          <w:color w:val="auto"/>
          <w:highlight w:val="none"/>
        </w:rPr>
      </w:pPr>
    </w:p>
    <w:p w14:paraId="2DE862F0">
      <w:pPr>
        <w:widowControl/>
        <w:rPr>
          <w:rFonts w:ascii="Microsoft JhengHei" w:eastAsia="Microsoft JhengHei" w:cs="Microsoft JhengHei"/>
          <w:b/>
          <w:bCs/>
          <w:color w:val="auto"/>
          <w:highlight w:val="none"/>
        </w:rPr>
      </w:pPr>
    </w:p>
    <w:p w14:paraId="47286914">
      <w:pPr>
        <w:widowControl/>
        <w:rPr>
          <w:rFonts w:ascii="Microsoft JhengHei" w:eastAsia="Microsoft JhengHei" w:cs="Microsoft JhengHei"/>
          <w:b/>
          <w:bCs/>
          <w:color w:val="auto"/>
          <w:highlight w:val="none"/>
        </w:rPr>
      </w:pPr>
    </w:p>
    <w:p w14:paraId="74540093">
      <w:pPr>
        <w:widowControl/>
        <w:rPr>
          <w:rFonts w:ascii="Microsoft JhengHei" w:eastAsia="Microsoft JhengHei" w:cs="Microsoft JhengHei"/>
          <w:b/>
          <w:bCs/>
          <w:color w:val="auto"/>
          <w:highlight w:val="none"/>
        </w:rPr>
      </w:pPr>
    </w:p>
    <w:p w14:paraId="55A6FF36">
      <w:pPr>
        <w:snapToGrid w:val="0"/>
        <w:jc w:val="center"/>
        <w:rPr>
          <w:rFonts w:hint="eastAsia" w:ascii="宋体" w:hAnsi="宋体"/>
          <w:b/>
          <w:bCs/>
          <w:color w:val="auto"/>
          <w:sz w:val="28"/>
          <w:szCs w:val="28"/>
          <w:highlight w:val="none"/>
        </w:rPr>
      </w:pPr>
      <w:r>
        <w:rPr>
          <w:rFonts w:hint="eastAsia" w:ascii="宋体" w:hAnsi="宋体"/>
          <w:b/>
          <w:bCs/>
          <w:color w:val="auto"/>
          <w:sz w:val="28"/>
          <w:szCs w:val="28"/>
          <w:highlight w:val="none"/>
        </w:rPr>
        <w:t>投标保函（供参考）</w:t>
      </w:r>
    </w:p>
    <w:p w14:paraId="0299A58B">
      <w:pPr>
        <w:kinsoku w:val="0"/>
        <w:overflowPunct w:val="0"/>
        <w:snapToGrid w:val="0"/>
        <w:spacing w:line="560" w:lineRule="exact"/>
        <w:jc w:val="center"/>
        <w:rPr>
          <w:rFonts w:hint="eastAsia" w:ascii="方正仿宋" w:hAnsi="新宋体" w:eastAsia="方正仿宋"/>
          <w:color w:val="auto"/>
          <w:sz w:val="28"/>
          <w:szCs w:val="28"/>
          <w:highlight w:val="none"/>
        </w:rPr>
      </w:pPr>
      <w:r>
        <w:rPr>
          <w:rFonts w:ascii="方正仿宋" w:hAnsi="新宋体" w:eastAsia="方正仿宋"/>
          <w:color w:val="auto"/>
          <w:sz w:val="28"/>
          <w:szCs w:val="28"/>
          <w:highlight w:val="none"/>
        </w:rPr>
        <w:t>编号</w:t>
      </w:r>
      <w:r>
        <w:rPr>
          <w:rFonts w:hint="eastAsia" w:ascii="方正仿宋" w:hAnsi="新宋体" w:eastAsia="方正仿宋"/>
          <w:color w:val="auto"/>
          <w:sz w:val="28"/>
          <w:szCs w:val="28"/>
          <w:highlight w:val="none"/>
        </w:rPr>
        <w:t>：</w:t>
      </w:r>
    </w:p>
    <w:p w14:paraId="5B7080B0">
      <w:pPr>
        <w:kinsoku w:val="0"/>
        <w:overflowPunct w:val="0"/>
        <w:snapToGrid w:val="0"/>
        <w:spacing w:line="560" w:lineRule="exact"/>
        <w:jc w:val="both"/>
        <w:rPr>
          <w:rFonts w:ascii="方正仿宋"/>
          <w:color w:val="auto"/>
          <w:highlight w:val="none"/>
        </w:rPr>
      </w:pPr>
      <w:r>
        <w:rPr>
          <w:rFonts w:hint="eastAsia" w:ascii="方正仿宋"/>
          <w:color w:val="auto"/>
          <w:highlight w:val="none"/>
        </w:rPr>
        <w:t xml:space="preserve">致 </w:t>
      </w:r>
      <w:r>
        <w:rPr>
          <w:rFonts w:ascii="方正仿宋"/>
          <w:color w:val="auto"/>
          <w:highlight w:val="none"/>
          <w:u w:val="single"/>
        </w:rPr>
        <w:t xml:space="preserve">     </w:t>
      </w:r>
      <w:r>
        <w:rPr>
          <w:rFonts w:hint="eastAsia" w:ascii="方正仿宋"/>
          <w:color w:val="auto"/>
          <w:highlight w:val="none"/>
          <w:u w:val="single"/>
        </w:rPr>
        <w:t>招标</w:t>
      </w:r>
      <w:r>
        <w:rPr>
          <w:rFonts w:ascii="方正仿宋"/>
          <w:color w:val="auto"/>
          <w:highlight w:val="none"/>
          <w:u w:val="single"/>
        </w:rPr>
        <w:t>人</w:t>
      </w:r>
      <w:r>
        <w:rPr>
          <w:rFonts w:hint="eastAsia" w:ascii="方正仿宋"/>
          <w:color w:val="auto"/>
          <w:highlight w:val="none"/>
          <w:u w:val="single"/>
        </w:rPr>
        <w:t xml:space="preserve">        </w:t>
      </w:r>
      <w:r>
        <w:rPr>
          <w:rFonts w:hint="eastAsia" w:ascii="方正仿宋"/>
          <w:color w:val="auto"/>
          <w:highlight w:val="none"/>
        </w:rPr>
        <w:t>：</w:t>
      </w:r>
    </w:p>
    <w:p w14:paraId="0605CCD1">
      <w:pPr>
        <w:spacing w:line="560" w:lineRule="exact"/>
        <w:ind w:firstLine="480" w:firstLineChars="200"/>
        <w:rPr>
          <w:rFonts w:ascii="方正仿宋"/>
          <w:color w:val="auto"/>
          <w:highlight w:val="none"/>
        </w:rPr>
      </w:pPr>
      <w:r>
        <w:rPr>
          <w:rFonts w:hint="eastAsia" w:ascii="方正仿宋"/>
          <w:color w:val="auto"/>
          <w:highlight w:val="none"/>
        </w:rPr>
        <w:t>鉴于：</w:t>
      </w:r>
      <w:r>
        <w:rPr>
          <w:rFonts w:ascii="方正仿宋"/>
          <w:color w:val="auto"/>
          <w:highlight w:val="none"/>
          <w:u w:val="single"/>
        </w:rPr>
        <w:t xml:space="preserve">                   </w:t>
      </w:r>
      <w:r>
        <w:rPr>
          <w:rFonts w:hint="eastAsia" w:ascii="方正仿宋"/>
          <w:color w:val="auto"/>
          <w:highlight w:val="none"/>
        </w:rPr>
        <w:t>（以下简称“投标人”）根据贵方发出的编号为</w:t>
      </w:r>
      <w:r>
        <w:rPr>
          <w:rFonts w:ascii="方正仿宋"/>
          <w:color w:val="auto"/>
          <w:highlight w:val="none"/>
          <w:u w:val="single"/>
        </w:rPr>
        <w:t xml:space="preserve">             </w:t>
      </w:r>
      <w:r>
        <w:rPr>
          <w:rFonts w:hint="eastAsia" w:ascii="方正仿宋"/>
          <w:color w:val="auto"/>
          <w:highlight w:val="none"/>
        </w:rPr>
        <w:t>的招标文件拟向贵方投标承接</w:t>
      </w:r>
      <w:r>
        <w:rPr>
          <w:rFonts w:hint="eastAsia" w:ascii="方正仿宋"/>
          <w:color w:val="auto"/>
          <w:highlight w:val="none"/>
          <w:u w:val="single"/>
        </w:rPr>
        <w:t xml:space="preserve">                </w:t>
      </w:r>
      <w:r>
        <w:rPr>
          <w:rFonts w:ascii="方正仿宋"/>
          <w:color w:val="auto"/>
          <w:highlight w:val="none"/>
          <w:u w:val="single"/>
        </w:rPr>
        <w:t xml:space="preserve"> </w:t>
      </w:r>
      <w:r>
        <w:rPr>
          <w:rFonts w:hint="eastAsia" w:ascii="方正仿宋"/>
          <w:color w:val="auto"/>
          <w:highlight w:val="none"/>
        </w:rPr>
        <w:t>项目。根据招标文件，投标人需向贵方提交投标保函。</w:t>
      </w:r>
    </w:p>
    <w:p w14:paraId="278F0F1F">
      <w:pPr>
        <w:spacing w:line="560" w:lineRule="exact"/>
        <w:ind w:firstLine="480" w:firstLineChars="200"/>
        <w:rPr>
          <w:rFonts w:ascii="方正仿宋"/>
          <w:color w:val="auto"/>
          <w:highlight w:val="none"/>
        </w:rPr>
      </w:pPr>
      <w:r>
        <w:rPr>
          <w:rFonts w:hint="eastAsia" w:ascii="方正仿宋"/>
          <w:color w:val="auto"/>
          <w:highlight w:val="none"/>
        </w:rPr>
        <w:t>根据投标</w:t>
      </w:r>
      <w:r>
        <w:rPr>
          <w:rFonts w:ascii="方正仿宋"/>
          <w:color w:val="auto"/>
          <w:highlight w:val="none"/>
        </w:rPr>
        <w:t>人</w:t>
      </w:r>
      <w:r>
        <w:rPr>
          <w:rFonts w:hint="eastAsia" w:ascii="方正仿宋"/>
          <w:color w:val="auto"/>
          <w:highlight w:val="none"/>
        </w:rPr>
        <w:t>的申请，我行（下称“保证人”）在此向贵方（下称“受益人”）开立不可撤销，担保金额累计不超过______（币种）</w:t>
      </w:r>
      <w:r>
        <w:rPr>
          <w:rFonts w:ascii="方正仿宋"/>
          <w:color w:val="auto"/>
          <w:highlight w:val="none"/>
          <w:u w:val="single"/>
        </w:rPr>
        <w:t xml:space="preserve">                     </w:t>
      </w:r>
      <w:r>
        <w:rPr>
          <w:rFonts w:hint="eastAsia" w:ascii="方正仿宋"/>
          <w:color w:val="auto"/>
          <w:highlight w:val="none"/>
        </w:rPr>
        <w:t>元（大写）</w:t>
      </w:r>
      <w:r>
        <w:rPr>
          <w:rFonts w:ascii="方正仿宋"/>
          <w:color w:val="auto"/>
          <w:highlight w:val="none"/>
          <w:u w:val="single"/>
        </w:rPr>
        <w:t xml:space="preserve">                       </w:t>
      </w:r>
      <w:r>
        <w:rPr>
          <w:rFonts w:hint="eastAsia" w:ascii="方正仿宋"/>
          <w:color w:val="auto"/>
          <w:highlight w:val="none"/>
        </w:rPr>
        <w:t>的投标保函（下称“本保函”）。</w:t>
      </w:r>
    </w:p>
    <w:p w14:paraId="3643DDA5">
      <w:pPr>
        <w:spacing w:line="560" w:lineRule="exact"/>
        <w:ind w:firstLine="480" w:firstLineChars="200"/>
        <w:rPr>
          <w:rFonts w:ascii="方正仿宋"/>
          <w:color w:val="auto"/>
          <w:highlight w:val="none"/>
        </w:rPr>
      </w:pPr>
      <w:r>
        <w:rPr>
          <w:rFonts w:hint="eastAsia" w:ascii="方正仿宋"/>
          <w:color w:val="auto"/>
          <w:highlight w:val="none"/>
        </w:rPr>
        <w:t>一、本保函为不可撤销、见索即付的独立保函。保证人承诺，在本保函有效期内收到受益人提交的书面付款通知次日起十个工作日内在担保金额内按照付款通知要求支付，书面付款通知即为付款要求之单据，无须提交其他证明文件。</w:t>
      </w:r>
    </w:p>
    <w:p w14:paraId="649AE46C">
      <w:pPr>
        <w:spacing w:line="560" w:lineRule="exact"/>
        <w:ind w:firstLine="480" w:firstLineChars="200"/>
        <w:rPr>
          <w:rFonts w:ascii="方正仿宋"/>
          <w:color w:val="auto"/>
          <w:highlight w:val="none"/>
        </w:rPr>
      </w:pPr>
      <w:r>
        <w:rPr>
          <w:rFonts w:hint="eastAsia" w:ascii="方正仿宋"/>
          <w:color w:val="auto"/>
          <w:highlight w:val="none"/>
        </w:rPr>
        <w:t xml:space="preserve">付款通知应满足以下要求： </w:t>
      </w:r>
    </w:p>
    <w:p w14:paraId="2539E924">
      <w:pPr>
        <w:spacing w:line="560" w:lineRule="exact"/>
        <w:ind w:firstLine="480" w:firstLineChars="200"/>
        <w:rPr>
          <w:rFonts w:ascii="方正仿宋"/>
          <w:color w:val="auto"/>
          <w:highlight w:val="none"/>
        </w:rPr>
      </w:pPr>
      <w:r>
        <w:rPr>
          <w:rFonts w:hint="eastAsia" w:ascii="方正仿宋"/>
          <w:color w:val="auto"/>
          <w:highlight w:val="none"/>
        </w:rPr>
        <w:t>1.经受益人有权签字人签字、加盖受益人公章；</w:t>
      </w:r>
    </w:p>
    <w:p w14:paraId="39B1BEC1">
      <w:pPr>
        <w:spacing w:line="560" w:lineRule="exact"/>
        <w:ind w:firstLine="480" w:firstLineChars="200"/>
        <w:rPr>
          <w:rFonts w:ascii="方正仿宋"/>
          <w:color w:val="auto"/>
          <w:highlight w:val="none"/>
        </w:rPr>
      </w:pPr>
      <w:r>
        <w:rPr>
          <w:rFonts w:hint="eastAsia" w:ascii="方正仿宋"/>
          <w:color w:val="auto"/>
          <w:highlight w:val="none"/>
        </w:rPr>
        <w:t>2.载明投标人存</w:t>
      </w:r>
      <w:r>
        <w:rPr>
          <w:rFonts w:ascii="方正仿宋"/>
          <w:color w:val="auto"/>
          <w:highlight w:val="none"/>
        </w:rPr>
        <w:t>在</w:t>
      </w:r>
      <w:r>
        <w:rPr>
          <w:rFonts w:hint="eastAsia" w:ascii="方正仿宋"/>
          <w:color w:val="auto"/>
          <w:highlight w:val="none"/>
        </w:rPr>
        <w:t>下列投</w:t>
      </w:r>
      <w:r>
        <w:rPr>
          <w:rFonts w:ascii="方正仿宋"/>
          <w:color w:val="auto"/>
          <w:highlight w:val="none"/>
        </w:rPr>
        <w:t>标保证金</w:t>
      </w:r>
      <w:r>
        <w:rPr>
          <w:rFonts w:hint="eastAsia" w:ascii="方正仿宋"/>
          <w:color w:val="auto"/>
          <w:highlight w:val="none"/>
        </w:rPr>
        <w:t>不</w:t>
      </w:r>
      <w:r>
        <w:rPr>
          <w:rFonts w:ascii="方正仿宋"/>
          <w:color w:val="auto"/>
          <w:highlight w:val="none"/>
        </w:rPr>
        <w:t>予退还</w:t>
      </w:r>
      <w:r>
        <w:rPr>
          <w:rFonts w:hint="eastAsia" w:ascii="方正仿宋"/>
          <w:color w:val="auto"/>
          <w:highlight w:val="none"/>
        </w:rPr>
        <w:t xml:space="preserve">情形之一： </w:t>
      </w:r>
    </w:p>
    <w:p w14:paraId="72EFC030">
      <w:pPr>
        <w:spacing w:line="560" w:lineRule="exact"/>
        <w:ind w:firstLine="480" w:firstLineChars="200"/>
        <w:rPr>
          <w:rFonts w:ascii="方正仿宋"/>
          <w:color w:val="auto"/>
          <w:highlight w:val="none"/>
        </w:rPr>
      </w:pPr>
      <w:r>
        <w:rPr>
          <w:rFonts w:hint="eastAsia" w:ascii="方正仿宋"/>
          <w:color w:val="auto"/>
          <w:highlight w:val="none"/>
        </w:rPr>
        <w:t>（1）投标截止后在投标有效期内撤销投标文件；</w:t>
      </w:r>
      <w:r>
        <w:rPr>
          <w:rFonts w:ascii="方正仿宋"/>
          <w:color w:val="auto"/>
          <w:highlight w:val="none"/>
        </w:rPr>
        <w:t xml:space="preserve"> </w:t>
      </w:r>
    </w:p>
    <w:p w14:paraId="72ACD59D">
      <w:pPr>
        <w:spacing w:line="560" w:lineRule="exact"/>
        <w:ind w:firstLine="570"/>
        <w:rPr>
          <w:rFonts w:ascii="方正仿宋"/>
          <w:color w:val="auto"/>
          <w:highlight w:val="none"/>
        </w:rPr>
      </w:pPr>
      <w:r>
        <w:rPr>
          <w:rFonts w:hint="eastAsia" w:ascii="方正仿宋"/>
          <w:color w:val="auto"/>
          <w:highlight w:val="none"/>
        </w:rPr>
        <w:t>（2）中标后，在招标文件规定的时间内无正当理由不与受益人订立合同，或签订合同时向受益人提出附加条件；</w:t>
      </w:r>
      <w:r>
        <w:rPr>
          <w:rFonts w:ascii="方正仿宋"/>
          <w:color w:val="auto"/>
          <w:highlight w:val="none"/>
        </w:rPr>
        <w:t xml:space="preserve"> </w:t>
      </w:r>
    </w:p>
    <w:p w14:paraId="6B8BE2B1">
      <w:pPr>
        <w:spacing w:line="560" w:lineRule="exact"/>
        <w:ind w:firstLine="570"/>
        <w:rPr>
          <w:rFonts w:ascii="方正仿宋"/>
          <w:color w:val="auto"/>
          <w:highlight w:val="none"/>
        </w:rPr>
      </w:pPr>
      <w:r>
        <w:rPr>
          <w:rFonts w:hint="eastAsia" w:ascii="方正仿宋"/>
          <w:color w:val="auto"/>
          <w:highlight w:val="none"/>
        </w:rPr>
        <w:t>（3）中标后不按照招标文件要求提交履约保证金或履约保函（保险） ；</w:t>
      </w:r>
      <w:r>
        <w:rPr>
          <w:rFonts w:ascii="方正仿宋"/>
          <w:color w:val="auto"/>
          <w:highlight w:val="none"/>
        </w:rPr>
        <w:t xml:space="preserve"> </w:t>
      </w:r>
    </w:p>
    <w:p w14:paraId="70848779">
      <w:pPr>
        <w:spacing w:line="560" w:lineRule="exact"/>
        <w:ind w:firstLine="480" w:firstLineChars="200"/>
        <w:rPr>
          <w:rFonts w:ascii="方正仿宋"/>
          <w:color w:val="auto"/>
          <w:highlight w:val="none"/>
        </w:rPr>
      </w:pPr>
      <w:r>
        <w:rPr>
          <w:rFonts w:hint="eastAsia" w:ascii="方正仿宋"/>
          <w:color w:val="auto"/>
          <w:highlight w:val="none"/>
        </w:rPr>
        <w:t>（4）存在招标文件规定的不予退还投标保证金的其他情形。</w:t>
      </w:r>
      <w:r>
        <w:rPr>
          <w:rFonts w:ascii="方正仿宋"/>
          <w:color w:val="auto"/>
          <w:highlight w:val="none"/>
        </w:rPr>
        <w:t xml:space="preserve"> </w:t>
      </w:r>
    </w:p>
    <w:p w14:paraId="274E31CF">
      <w:pPr>
        <w:spacing w:line="560" w:lineRule="exact"/>
        <w:ind w:firstLine="480" w:firstLineChars="200"/>
        <w:rPr>
          <w:rFonts w:ascii="方正仿宋"/>
          <w:color w:val="auto"/>
          <w:highlight w:val="none"/>
        </w:rPr>
      </w:pPr>
      <w:r>
        <w:rPr>
          <w:rFonts w:hint="eastAsia" w:ascii="方正仿宋"/>
          <w:color w:val="auto"/>
          <w:highlight w:val="none"/>
        </w:rPr>
        <w:t>3.载明要求支付的金额及</w:t>
      </w:r>
      <w:r>
        <w:rPr>
          <w:rFonts w:ascii="方正仿宋"/>
          <w:color w:val="auto"/>
          <w:highlight w:val="none"/>
        </w:rPr>
        <w:t>付款方式</w:t>
      </w:r>
      <w:r>
        <w:rPr>
          <w:rFonts w:hint="eastAsia" w:ascii="方正仿宋"/>
          <w:color w:val="auto"/>
          <w:highlight w:val="none"/>
        </w:rPr>
        <w:t>；</w:t>
      </w:r>
    </w:p>
    <w:p w14:paraId="7DD9879F">
      <w:pPr>
        <w:spacing w:line="560" w:lineRule="exact"/>
        <w:ind w:left="720" w:leftChars="200" w:hanging="240" w:hangingChars="100"/>
        <w:rPr>
          <w:rFonts w:ascii="方正仿宋"/>
          <w:color w:val="auto"/>
          <w:highlight w:val="none"/>
        </w:rPr>
      </w:pPr>
      <w:r>
        <w:rPr>
          <w:rFonts w:hint="eastAsia" w:ascii="方正仿宋"/>
          <w:color w:val="auto"/>
          <w:highlight w:val="none"/>
        </w:rPr>
        <w:t>4.付款通知必须在本保函有效期内到达以下地址：_</w:t>
      </w:r>
      <w:r>
        <w:rPr>
          <w:rFonts w:ascii="方正仿宋"/>
          <w:color w:val="auto"/>
          <w:highlight w:val="none"/>
        </w:rPr>
        <w:t>__________________________________________________</w:t>
      </w:r>
      <w:r>
        <w:rPr>
          <w:rFonts w:hint="eastAsia" w:ascii="方正仿宋"/>
          <w:color w:val="auto"/>
          <w:highlight w:val="none"/>
        </w:rPr>
        <w:t xml:space="preserve"> 。</w:t>
      </w:r>
    </w:p>
    <w:p w14:paraId="1D34CC29">
      <w:pPr>
        <w:spacing w:line="560" w:lineRule="exact"/>
        <w:ind w:firstLine="480" w:firstLineChars="200"/>
        <w:rPr>
          <w:rFonts w:ascii="方正仿宋"/>
          <w:color w:val="auto"/>
          <w:highlight w:val="none"/>
        </w:rPr>
      </w:pPr>
    </w:p>
    <w:p w14:paraId="0D88FBDE">
      <w:pPr>
        <w:spacing w:line="560" w:lineRule="exact"/>
        <w:ind w:firstLine="480" w:firstLineChars="200"/>
        <w:rPr>
          <w:rFonts w:ascii="方正仿宋"/>
          <w:color w:val="auto"/>
          <w:highlight w:val="none"/>
        </w:rPr>
      </w:pPr>
      <w:r>
        <w:rPr>
          <w:rFonts w:hint="eastAsia" w:ascii="方正仿宋"/>
          <w:color w:val="auto"/>
          <w:highlight w:val="none"/>
        </w:rPr>
        <w:t>二、本保函一经开立即生效，有效期自开立之日起至</w:t>
      </w:r>
      <w:r>
        <w:rPr>
          <w:rFonts w:ascii="方正仿宋"/>
          <w:color w:val="auto"/>
          <w:highlight w:val="none"/>
          <w:u w:val="single"/>
        </w:rPr>
        <w:t xml:space="preserve">   </w:t>
      </w:r>
      <w:r>
        <w:rPr>
          <w:rFonts w:hint="eastAsia" w:ascii="方正仿宋"/>
          <w:color w:val="auto"/>
          <w:highlight w:val="none"/>
          <w:u w:val="single"/>
        </w:rPr>
        <w:t xml:space="preserve">   年   月   日</w:t>
      </w:r>
      <w:r>
        <w:rPr>
          <w:rFonts w:hint="eastAsia" w:ascii="方正仿宋"/>
          <w:color w:val="auto"/>
          <w:highlight w:val="none"/>
        </w:rPr>
        <w:t>止。</w:t>
      </w:r>
    </w:p>
    <w:p w14:paraId="5B332540">
      <w:pPr>
        <w:spacing w:line="560" w:lineRule="exact"/>
        <w:ind w:firstLine="480" w:firstLineChars="200"/>
        <w:rPr>
          <w:rFonts w:ascii="方正仿宋"/>
          <w:color w:val="auto"/>
          <w:highlight w:val="none"/>
        </w:rPr>
      </w:pPr>
      <w:r>
        <w:rPr>
          <w:rFonts w:hint="eastAsia" w:ascii="方正仿宋"/>
          <w:color w:val="auto"/>
          <w:highlight w:val="none"/>
        </w:rPr>
        <w:t>三、受益人将主合同项下债权转让第三人时需经保证人书面同意，否则保证人在本保函项下的担保责任自动解除。</w:t>
      </w:r>
    </w:p>
    <w:p w14:paraId="5428EB87">
      <w:pPr>
        <w:spacing w:line="560" w:lineRule="exact"/>
        <w:ind w:firstLine="480" w:firstLineChars="200"/>
        <w:rPr>
          <w:rFonts w:ascii="方正仿宋"/>
          <w:color w:val="auto"/>
          <w:highlight w:val="none"/>
        </w:rPr>
      </w:pPr>
      <w:r>
        <w:rPr>
          <w:rFonts w:hint="eastAsia" w:ascii="方正仿宋"/>
          <w:color w:val="auto"/>
          <w:highlight w:val="none"/>
        </w:rPr>
        <w:t>四、未经保证人书面同意，本保函不得转让、质押。</w:t>
      </w:r>
    </w:p>
    <w:p w14:paraId="40E08DBC">
      <w:pPr>
        <w:spacing w:line="560" w:lineRule="exact"/>
        <w:ind w:firstLine="480" w:firstLineChars="200"/>
        <w:rPr>
          <w:rFonts w:ascii="方正仿宋"/>
          <w:color w:val="auto"/>
          <w:highlight w:val="none"/>
        </w:rPr>
      </w:pPr>
      <w:r>
        <w:rPr>
          <w:rFonts w:hint="eastAsia" w:ascii="方正仿宋"/>
          <w:color w:val="auto"/>
          <w:highlight w:val="none"/>
        </w:rPr>
        <w:t>五、本保函适用中华人民共和国法律，受中华人民共和国法律管辖。在本保函履行期间，如发生争议，各当事人首先应协商解决。协商不能解决的，任何一方可向保证人</w:t>
      </w:r>
      <w:r>
        <w:rPr>
          <w:rFonts w:hint="eastAsia"/>
          <w:color w:val="auto"/>
          <w:highlight w:val="none"/>
        </w:rPr>
        <w:t>住所地</w:t>
      </w:r>
      <w:r>
        <w:rPr>
          <w:rFonts w:hint="eastAsia" w:ascii="方正仿宋"/>
          <w:color w:val="auto"/>
          <w:highlight w:val="none"/>
        </w:rPr>
        <w:t>有管辖权的法院提起诉讼。</w:t>
      </w:r>
    </w:p>
    <w:p w14:paraId="01AA2A29">
      <w:pPr>
        <w:spacing w:line="560" w:lineRule="exact"/>
        <w:rPr>
          <w:rFonts w:ascii="方正仿宋"/>
          <w:color w:val="auto"/>
          <w:highlight w:val="none"/>
        </w:rPr>
      </w:pPr>
      <w:r>
        <w:rPr>
          <w:rFonts w:ascii="方正仿宋"/>
          <w:color w:val="auto"/>
          <w:highlight w:val="none"/>
        </w:rPr>
        <w:t xml:space="preserve">    </w:t>
      </w:r>
      <w:r>
        <w:rPr>
          <w:rFonts w:hint="eastAsia" w:ascii="方正仿宋"/>
          <w:color w:val="auto"/>
          <w:highlight w:val="none"/>
        </w:rPr>
        <w:t xml:space="preserve">         </w:t>
      </w:r>
    </w:p>
    <w:p w14:paraId="78201798">
      <w:pPr>
        <w:wordWrap w:val="0"/>
        <w:spacing w:line="560" w:lineRule="exact"/>
        <w:jc w:val="right"/>
        <w:rPr>
          <w:rFonts w:ascii="方正仿宋"/>
          <w:color w:val="auto"/>
          <w:highlight w:val="none"/>
        </w:rPr>
      </w:pPr>
      <w:r>
        <w:rPr>
          <w:rFonts w:ascii="方正仿宋"/>
          <w:color w:val="auto"/>
          <w:highlight w:val="none"/>
        </w:rPr>
        <w:t xml:space="preserve">  </w:t>
      </w:r>
    </w:p>
    <w:p w14:paraId="023624F9">
      <w:pPr>
        <w:wordWrap w:val="0"/>
        <w:spacing w:line="560" w:lineRule="exact"/>
        <w:jc w:val="right"/>
        <w:rPr>
          <w:rFonts w:ascii="方正仿宋"/>
          <w:color w:val="auto"/>
          <w:highlight w:val="none"/>
        </w:rPr>
      </w:pPr>
      <w:r>
        <w:rPr>
          <w:rFonts w:hint="eastAsia" w:ascii="方正仿宋"/>
          <w:color w:val="auto"/>
          <w:highlight w:val="none"/>
        </w:rPr>
        <w:t xml:space="preserve">  </w:t>
      </w:r>
      <w:r>
        <w:rPr>
          <w:rFonts w:ascii="方正仿宋"/>
          <w:color w:val="auto"/>
          <w:highlight w:val="none"/>
        </w:rPr>
        <w:t xml:space="preserve"> </w:t>
      </w:r>
      <w:r>
        <w:rPr>
          <w:rFonts w:hint="eastAsia" w:ascii="方正仿宋"/>
          <w:color w:val="auto"/>
          <w:highlight w:val="none"/>
        </w:rPr>
        <w:t>保证人：</w:t>
      </w:r>
      <w:r>
        <w:rPr>
          <w:rFonts w:hint="eastAsia" w:ascii="方正仿宋"/>
          <w:color w:val="auto"/>
          <w:highlight w:val="none"/>
          <w:u w:val="single"/>
        </w:rPr>
        <w:t xml:space="preserve"> </w:t>
      </w:r>
      <w:r>
        <w:rPr>
          <w:rFonts w:ascii="方正仿宋"/>
          <w:color w:val="auto"/>
          <w:highlight w:val="none"/>
          <w:u w:val="single"/>
        </w:rPr>
        <w:t xml:space="preserve">                  </w:t>
      </w:r>
      <w:r>
        <w:rPr>
          <w:rFonts w:hint="eastAsia" w:ascii="方正仿宋"/>
          <w:color w:val="auto"/>
          <w:highlight w:val="none"/>
        </w:rPr>
        <w:t>（签章）</w:t>
      </w:r>
    </w:p>
    <w:p w14:paraId="7235221F">
      <w:pPr>
        <w:tabs>
          <w:tab w:val="left" w:pos="567"/>
          <w:tab w:val="left" w:pos="993"/>
        </w:tabs>
        <w:spacing w:line="560" w:lineRule="exact"/>
        <w:ind w:right="560"/>
        <w:rPr>
          <w:rFonts w:ascii="方正仿宋"/>
          <w:color w:val="auto"/>
          <w:highlight w:val="none"/>
        </w:rPr>
      </w:pPr>
      <w:r>
        <w:rPr>
          <w:rFonts w:hint="eastAsia" w:ascii="方正仿宋"/>
          <w:color w:val="auto"/>
          <w:highlight w:val="none"/>
        </w:rPr>
        <w:t xml:space="preserve">  </w:t>
      </w:r>
    </w:p>
    <w:p w14:paraId="7B6AEBE8">
      <w:pPr>
        <w:tabs>
          <w:tab w:val="left" w:pos="567"/>
          <w:tab w:val="left" w:pos="993"/>
        </w:tabs>
        <w:spacing w:line="560" w:lineRule="exact"/>
        <w:ind w:right="560" w:firstLine="480" w:firstLineChars="200"/>
        <w:rPr>
          <w:rFonts w:ascii="方正仿宋"/>
          <w:color w:val="auto"/>
          <w:highlight w:val="none"/>
        </w:rPr>
      </w:pPr>
      <w:r>
        <w:rPr>
          <w:rFonts w:hint="eastAsia" w:ascii="方正仿宋"/>
          <w:color w:val="auto"/>
          <w:highlight w:val="none"/>
        </w:rPr>
        <w:t xml:space="preserve">           </w:t>
      </w:r>
      <w:r>
        <w:rPr>
          <w:rFonts w:ascii="方正仿宋"/>
          <w:color w:val="auto"/>
          <w:highlight w:val="none"/>
        </w:rPr>
        <w:t xml:space="preserve"> </w:t>
      </w:r>
      <w:r>
        <w:rPr>
          <w:rFonts w:hint="eastAsia" w:ascii="方正仿宋"/>
          <w:color w:val="auto"/>
          <w:highlight w:val="none"/>
        </w:rPr>
        <w:t xml:space="preserve">  </w:t>
      </w:r>
      <w:r>
        <w:rPr>
          <w:rFonts w:ascii="方正仿宋"/>
          <w:color w:val="auto"/>
          <w:highlight w:val="none"/>
        </w:rPr>
        <w:t xml:space="preserve">     </w:t>
      </w:r>
      <w:r>
        <w:rPr>
          <w:rFonts w:hint="eastAsia" w:ascii="方正仿宋"/>
          <w:color w:val="auto"/>
          <w:highlight w:val="none"/>
        </w:rPr>
        <w:t xml:space="preserve">                开具日期： </w:t>
      </w:r>
      <w:r>
        <w:rPr>
          <w:rFonts w:ascii="方正仿宋"/>
          <w:color w:val="auto"/>
          <w:highlight w:val="none"/>
          <w:u w:val="single"/>
        </w:rPr>
        <w:t xml:space="preserve">    </w:t>
      </w:r>
      <w:r>
        <w:rPr>
          <w:rFonts w:hint="eastAsia" w:ascii="方正仿宋"/>
          <w:color w:val="auto"/>
          <w:highlight w:val="none"/>
        </w:rPr>
        <w:t>年</w:t>
      </w:r>
      <w:r>
        <w:rPr>
          <w:rFonts w:ascii="方正仿宋"/>
          <w:color w:val="auto"/>
          <w:highlight w:val="none"/>
          <w:u w:val="single"/>
        </w:rPr>
        <w:t xml:space="preserve">   </w:t>
      </w:r>
      <w:r>
        <w:rPr>
          <w:rFonts w:hint="eastAsia" w:ascii="方正仿宋"/>
          <w:color w:val="auto"/>
          <w:highlight w:val="none"/>
        </w:rPr>
        <w:t>月</w:t>
      </w:r>
      <w:r>
        <w:rPr>
          <w:rFonts w:ascii="方正仿宋"/>
          <w:color w:val="auto"/>
          <w:highlight w:val="none"/>
          <w:u w:val="single"/>
        </w:rPr>
        <w:t xml:space="preserve">   </w:t>
      </w:r>
      <w:r>
        <w:rPr>
          <w:rFonts w:hint="eastAsia" w:ascii="方正仿宋"/>
          <w:color w:val="auto"/>
          <w:highlight w:val="none"/>
        </w:rPr>
        <w:t xml:space="preserve">日   </w:t>
      </w:r>
    </w:p>
    <w:p w14:paraId="4FE922BC">
      <w:pPr>
        <w:tabs>
          <w:tab w:val="left" w:pos="567"/>
          <w:tab w:val="left" w:pos="993"/>
        </w:tabs>
        <w:spacing w:line="560" w:lineRule="exact"/>
        <w:ind w:right="560" w:firstLine="480" w:firstLineChars="200"/>
        <w:rPr>
          <w:rFonts w:ascii="方正仿宋"/>
          <w:color w:val="auto"/>
          <w:highlight w:val="none"/>
        </w:rPr>
      </w:pPr>
    </w:p>
    <w:p w14:paraId="3DE65F16">
      <w:pPr>
        <w:tabs>
          <w:tab w:val="left" w:pos="567"/>
          <w:tab w:val="left" w:pos="993"/>
        </w:tabs>
        <w:spacing w:line="560" w:lineRule="exact"/>
        <w:ind w:right="560" w:firstLine="480" w:firstLineChars="200"/>
        <w:rPr>
          <w:rFonts w:ascii="方正仿宋"/>
          <w:color w:val="auto"/>
          <w:highlight w:val="none"/>
        </w:rPr>
      </w:pPr>
    </w:p>
    <w:p w14:paraId="49DAB232">
      <w:pPr>
        <w:tabs>
          <w:tab w:val="left" w:pos="567"/>
          <w:tab w:val="left" w:pos="993"/>
        </w:tabs>
        <w:spacing w:line="560" w:lineRule="exact"/>
        <w:ind w:right="560" w:firstLine="480" w:firstLineChars="200"/>
        <w:rPr>
          <w:rFonts w:ascii="方正仿宋"/>
          <w:color w:val="auto"/>
          <w:highlight w:val="none"/>
        </w:rPr>
      </w:pPr>
    </w:p>
    <w:p w14:paraId="65F314E2">
      <w:pPr>
        <w:tabs>
          <w:tab w:val="left" w:pos="567"/>
          <w:tab w:val="left" w:pos="993"/>
        </w:tabs>
        <w:spacing w:line="560" w:lineRule="exact"/>
        <w:ind w:right="560" w:firstLine="482" w:firstLineChars="200"/>
        <w:rPr>
          <w:rFonts w:ascii="方正仿宋"/>
          <w:color w:val="auto"/>
          <w:highlight w:val="none"/>
        </w:rPr>
      </w:pPr>
      <w:r>
        <w:rPr>
          <w:rFonts w:hint="eastAsia" w:ascii="方正仿宋"/>
          <w:b/>
          <w:bCs/>
          <w:color w:val="auto"/>
          <w:highlight w:val="none"/>
        </w:rPr>
        <w:t>注：以上格式与电子交易平台开具的保函格式不一致的，以平台开具的为准。</w:t>
      </w:r>
    </w:p>
    <w:p w14:paraId="39751172">
      <w:pPr>
        <w:widowControl/>
        <w:rPr>
          <w:rFonts w:ascii="Microsoft JhengHei" w:eastAsia="Microsoft JhengHei" w:cs="Microsoft JhengHei"/>
          <w:b/>
          <w:bCs/>
          <w:color w:val="auto"/>
          <w:highlight w:val="none"/>
        </w:rPr>
      </w:pPr>
    </w:p>
    <w:p w14:paraId="5B2B191B">
      <w:pPr>
        <w:widowControl/>
        <w:rPr>
          <w:rFonts w:ascii="Microsoft JhengHei" w:eastAsia="Microsoft JhengHei" w:cs="Microsoft JhengHei"/>
          <w:b/>
          <w:bCs/>
          <w:color w:val="auto"/>
          <w:highlight w:val="none"/>
        </w:rPr>
      </w:pPr>
      <w:r>
        <w:rPr>
          <w:rFonts w:ascii="Microsoft JhengHei" w:eastAsia="Microsoft JhengHei" w:cs="Microsoft JhengHei"/>
          <w:b/>
          <w:bCs/>
          <w:color w:val="auto"/>
          <w:highlight w:val="none"/>
        </w:rPr>
        <w:br w:type="page"/>
      </w:r>
    </w:p>
    <w:p w14:paraId="1F6F00B8">
      <w:pPr>
        <w:jc w:val="center"/>
        <w:rPr>
          <w:b/>
          <w:bCs/>
          <w:color w:val="auto"/>
          <w:sz w:val="28"/>
          <w:szCs w:val="28"/>
          <w:highlight w:val="none"/>
        </w:rPr>
      </w:pPr>
    </w:p>
    <w:p w14:paraId="007B5981">
      <w:pPr>
        <w:jc w:val="center"/>
        <w:rPr>
          <w:b/>
          <w:bCs/>
          <w:color w:val="auto"/>
          <w:sz w:val="72"/>
          <w:highlight w:val="none"/>
        </w:rPr>
      </w:pPr>
    </w:p>
    <w:p w14:paraId="1725685B">
      <w:pPr>
        <w:jc w:val="center"/>
        <w:rPr>
          <w:b/>
          <w:bCs/>
          <w:color w:val="auto"/>
          <w:sz w:val="72"/>
          <w:highlight w:val="none"/>
        </w:rPr>
      </w:pPr>
      <w:r>
        <w:rPr>
          <w:rFonts w:hint="eastAsia"/>
          <w:b/>
          <w:bCs/>
          <w:color w:val="auto"/>
          <w:sz w:val="72"/>
          <w:highlight w:val="none"/>
        </w:rPr>
        <w:t>工程总承包投标文件</w:t>
      </w:r>
    </w:p>
    <w:p w14:paraId="11213145">
      <w:pPr>
        <w:jc w:val="center"/>
        <w:rPr>
          <w:color w:val="auto"/>
          <w:sz w:val="36"/>
          <w:highlight w:val="none"/>
        </w:rPr>
      </w:pPr>
      <w:r>
        <w:rPr>
          <w:rFonts w:hint="eastAsia"/>
          <w:color w:val="auto"/>
          <w:sz w:val="36"/>
          <w:highlight w:val="none"/>
        </w:rPr>
        <w:t>（封面）</w:t>
      </w:r>
    </w:p>
    <w:p w14:paraId="416BEA9D">
      <w:pPr>
        <w:rPr>
          <w:color w:val="auto"/>
          <w:highlight w:val="none"/>
        </w:rPr>
      </w:pPr>
    </w:p>
    <w:p w14:paraId="64145041">
      <w:pPr>
        <w:rPr>
          <w:color w:val="auto"/>
          <w:sz w:val="32"/>
          <w:highlight w:val="none"/>
        </w:rPr>
      </w:pPr>
    </w:p>
    <w:p w14:paraId="7A57AD38">
      <w:pPr>
        <w:rPr>
          <w:color w:val="auto"/>
          <w:sz w:val="32"/>
          <w:highlight w:val="none"/>
        </w:rPr>
      </w:pPr>
    </w:p>
    <w:p w14:paraId="109D34DC">
      <w:pPr>
        <w:spacing w:after="490" w:afterLines="150" w:line="480" w:lineRule="auto"/>
        <w:ind w:firstLine="627" w:firstLineChars="196"/>
        <w:rPr>
          <w:rFonts w:hint="eastAsia" w:ascii="宋体" w:hAnsi="宋体"/>
          <w:color w:val="auto"/>
          <w:sz w:val="32"/>
          <w:highlight w:val="none"/>
          <w:u w:val="single"/>
        </w:rPr>
      </w:pPr>
      <w:r>
        <w:rPr>
          <w:rFonts w:hint="eastAsia" w:ascii="宋体" w:hAnsi="宋体"/>
          <w:color w:val="auto"/>
          <w:sz w:val="32"/>
          <w:highlight w:val="none"/>
        </w:rPr>
        <w:t>项目名称：</w:t>
      </w:r>
      <w:r>
        <w:rPr>
          <w:rFonts w:ascii="宋体" w:hAnsi="宋体"/>
          <w:color w:val="auto"/>
          <w:sz w:val="32"/>
          <w:highlight w:val="none"/>
          <w:u w:val="single"/>
        </w:rPr>
        <w:t xml:space="preserve">                                  </w:t>
      </w:r>
    </w:p>
    <w:p w14:paraId="7A01849B">
      <w:pPr>
        <w:tabs>
          <w:tab w:val="left" w:pos="5529"/>
        </w:tabs>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投标文件内容：</w:t>
      </w:r>
      <w:r>
        <w:rPr>
          <w:rFonts w:ascii="宋体" w:hAnsi="宋体"/>
          <w:color w:val="auto"/>
          <w:sz w:val="32"/>
          <w:highlight w:val="none"/>
          <w:u w:val="single"/>
        </w:rPr>
        <w:t xml:space="preserve">      </w:t>
      </w:r>
      <w:r>
        <w:rPr>
          <w:rFonts w:hint="eastAsia" w:ascii="宋体" w:hAnsi="宋体"/>
          <w:color w:val="auto"/>
          <w:sz w:val="32"/>
          <w:highlight w:val="none"/>
          <w:u w:val="single"/>
        </w:rPr>
        <w:t>投标文件技术标格式</w:t>
      </w:r>
      <w:r>
        <w:rPr>
          <w:rFonts w:ascii="宋体" w:hAnsi="宋体"/>
          <w:color w:val="auto"/>
          <w:sz w:val="32"/>
          <w:highlight w:val="none"/>
          <w:u w:val="single"/>
        </w:rPr>
        <w:t xml:space="preserve">      </w:t>
      </w:r>
    </w:p>
    <w:p w14:paraId="2749205A">
      <w:pPr>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投标人：</w:t>
      </w:r>
      <w:r>
        <w:rPr>
          <w:rFonts w:ascii="宋体" w:hAnsi="宋体"/>
          <w:color w:val="auto"/>
          <w:sz w:val="32"/>
          <w:highlight w:val="none"/>
          <w:u w:val="single"/>
        </w:rPr>
        <w:t xml:space="preserve">                         （单位盖章）</w:t>
      </w:r>
    </w:p>
    <w:p w14:paraId="3B6AE1DB">
      <w:pPr>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法定代表人或委托代理人：</w:t>
      </w:r>
      <w:r>
        <w:rPr>
          <w:rFonts w:ascii="宋体" w:hAnsi="宋体"/>
          <w:color w:val="auto"/>
          <w:sz w:val="32"/>
          <w:highlight w:val="none"/>
          <w:u w:val="single"/>
        </w:rPr>
        <w:t xml:space="preserve">       （</w:t>
      </w:r>
      <w:r>
        <w:rPr>
          <w:rFonts w:hint="eastAsia"/>
          <w:color w:val="auto"/>
          <w:highlight w:val="none"/>
          <w:u w:val="single"/>
        </w:rPr>
        <w:t>签字或盖章</w:t>
      </w:r>
      <w:r>
        <w:rPr>
          <w:rFonts w:hint="eastAsia" w:ascii="宋体" w:hAnsi="宋体"/>
          <w:color w:val="auto"/>
          <w:sz w:val="32"/>
          <w:highlight w:val="none"/>
          <w:u w:val="single"/>
        </w:rPr>
        <w:t>）</w:t>
      </w:r>
    </w:p>
    <w:p w14:paraId="0E675B23">
      <w:pPr>
        <w:spacing w:after="490" w:afterLines="150" w:line="480" w:lineRule="auto"/>
        <w:ind w:firstLine="627" w:firstLineChars="196"/>
        <w:rPr>
          <w:rFonts w:hint="eastAsia" w:ascii="宋体" w:hAnsi="宋体"/>
          <w:color w:val="auto"/>
          <w:sz w:val="32"/>
          <w:highlight w:val="none"/>
        </w:rPr>
      </w:pPr>
    </w:p>
    <w:p w14:paraId="2E20199E">
      <w:pPr>
        <w:spacing w:after="490" w:afterLines="150" w:line="480" w:lineRule="auto"/>
        <w:ind w:firstLine="627" w:firstLineChars="196"/>
        <w:rPr>
          <w:rFonts w:hint="eastAsia" w:ascii="宋体" w:hAnsi="宋体"/>
          <w:color w:val="auto"/>
          <w:sz w:val="32"/>
          <w:highlight w:val="none"/>
        </w:rPr>
      </w:pPr>
    </w:p>
    <w:p w14:paraId="20839C51">
      <w:pPr>
        <w:spacing w:after="490" w:afterLines="150" w:line="480" w:lineRule="auto"/>
        <w:ind w:firstLine="627" w:firstLineChars="196"/>
        <w:jc w:val="center"/>
        <w:rPr>
          <w:rFonts w:hint="eastAsia" w:ascii="宋体" w:hAnsi="宋体"/>
          <w:color w:val="auto"/>
          <w:sz w:val="32"/>
          <w:highlight w:val="none"/>
        </w:rPr>
      </w:pPr>
      <w:r>
        <w:rPr>
          <w:rFonts w:hint="eastAsia" w:ascii="宋体" w:hAnsi="宋体"/>
          <w:color w:val="auto"/>
          <w:sz w:val="32"/>
          <w:highlight w:val="none"/>
        </w:rPr>
        <w:t>日期：</w:t>
      </w:r>
      <w:r>
        <w:rPr>
          <w:rFonts w:ascii="宋体" w:hAnsi="宋体"/>
          <w:color w:val="auto"/>
          <w:sz w:val="32"/>
          <w:highlight w:val="none"/>
          <w:u w:val="single"/>
        </w:rPr>
        <w:t xml:space="preserve">     </w:t>
      </w:r>
      <w:r>
        <w:rPr>
          <w:rFonts w:hint="eastAsia" w:ascii="宋体" w:hAnsi="宋体"/>
          <w:color w:val="auto"/>
          <w:sz w:val="32"/>
          <w:highlight w:val="none"/>
        </w:rPr>
        <w:t>年</w:t>
      </w:r>
      <w:r>
        <w:rPr>
          <w:rFonts w:ascii="宋体" w:hAnsi="宋体"/>
          <w:color w:val="auto"/>
          <w:sz w:val="32"/>
          <w:highlight w:val="none"/>
          <w:u w:val="single"/>
        </w:rPr>
        <w:t xml:space="preserve">     </w:t>
      </w:r>
      <w:r>
        <w:rPr>
          <w:rFonts w:hint="eastAsia" w:ascii="宋体" w:hAnsi="宋体"/>
          <w:color w:val="auto"/>
          <w:sz w:val="32"/>
          <w:highlight w:val="none"/>
        </w:rPr>
        <w:t>月</w:t>
      </w:r>
      <w:r>
        <w:rPr>
          <w:rFonts w:ascii="宋体" w:hAnsi="宋体"/>
          <w:color w:val="auto"/>
          <w:sz w:val="32"/>
          <w:highlight w:val="none"/>
          <w:u w:val="single"/>
        </w:rPr>
        <w:t xml:space="preserve">     </w:t>
      </w:r>
      <w:r>
        <w:rPr>
          <w:rFonts w:hint="eastAsia" w:ascii="宋体" w:hAnsi="宋体"/>
          <w:color w:val="auto"/>
          <w:sz w:val="32"/>
          <w:highlight w:val="none"/>
        </w:rPr>
        <w:t>日</w:t>
      </w:r>
    </w:p>
    <w:p w14:paraId="741081B3">
      <w:pPr>
        <w:widowControl/>
        <w:rPr>
          <w:color w:val="auto"/>
          <w:highlight w:val="none"/>
        </w:rPr>
      </w:pPr>
      <w:r>
        <w:rPr>
          <w:color w:val="auto"/>
          <w:highlight w:val="none"/>
        </w:rPr>
        <w:br w:type="page"/>
      </w:r>
    </w:p>
    <w:p w14:paraId="384CABA9">
      <w:pPr>
        <w:spacing w:after="490" w:afterLines="150"/>
        <w:jc w:val="center"/>
        <w:rPr>
          <w:b/>
          <w:bCs/>
          <w:color w:val="auto"/>
          <w:sz w:val="36"/>
          <w:szCs w:val="36"/>
          <w:highlight w:val="none"/>
        </w:rPr>
      </w:pPr>
    </w:p>
    <w:p w14:paraId="70624124">
      <w:pPr>
        <w:spacing w:after="490" w:afterLines="150"/>
        <w:jc w:val="center"/>
        <w:rPr>
          <w:b/>
          <w:bCs/>
          <w:color w:val="auto"/>
          <w:sz w:val="36"/>
          <w:szCs w:val="36"/>
          <w:highlight w:val="none"/>
        </w:rPr>
      </w:pPr>
      <w:r>
        <w:rPr>
          <w:rFonts w:hint="eastAsia"/>
          <w:b/>
          <w:bCs/>
          <w:color w:val="auto"/>
          <w:sz w:val="36"/>
          <w:szCs w:val="36"/>
          <w:highlight w:val="none"/>
        </w:rPr>
        <w:t>目    录</w:t>
      </w:r>
    </w:p>
    <w:p w14:paraId="0469FE9D">
      <w:pPr>
        <w:widowControl/>
        <w:rPr>
          <w:rFonts w:hint="eastAsia" w:ascii="宋体" w:hAnsi="宋体"/>
          <w:color w:val="auto"/>
          <w:highlight w:val="none"/>
          <w:lang w:val="zh-CN"/>
        </w:rPr>
      </w:pPr>
    </w:p>
    <w:p w14:paraId="71597C50">
      <w:pPr>
        <w:widowControl/>
        <w:rPr>
          <w:rFonts w:hint="eastAsia" w:ascii="宋体" w:hAnsi="宋体"/>
          <w:color w:val="auto"/>
          <w:highlight w:val="none"/>
          <w:lang w:val="zh-CN"/>
        </w:rPr>
      </w:pPr>
    </w:p>
    <w:p w14:paraId="1102FA82">
      <w:pPr>
        <w:spacing w:after="490" w:afterLines="150"/>
        <w:ind w:firstLine="560" w:firstLineChars="200"/>
        <w:rPr>
          <w:color w:val="auto"/>
          <w:sz w:val="28"/>
          <w:szCs w:val="28"/>
          <w:highlight w:val="none"/>
        </w:rPr>
      </w:pPr>
      <w:r>
        <w:rPr>
          <w:rFonts w:hint="eastAsia"/>
          <w:color w:val="auto"/>
          <w:sz w:val="28"/>
          <w:szCs w:val="28"/>
          <w:highlight w:val="none"/>
        </w:rPr>
        <w:t>一、总体项目管理方案</w:t>
      </w:r>
    </w:p>
    <w:p w14:paraId="3A510101">
      <w:pPr>
        <w:spacing w:after="490" w:afterLines="150"/>
        <w:ind w:firstLine="560" w:firstLineChars="200"/>
        <w:rPr>
          <w:color w:val="auto"/>
          <w:sz w:val="28"/>
          <w:szCs w:val="28"/>
          <w:highlight w:val="none"/>
        </w:rPr>
      </w:pPr>
      <w:r>
        <w:rPr>
          <w:rFonts w:hint="eastAsia"/>
          <w:color w:val="auto"/>
          <w:sz w:val="28"/>
          <w:szCs w:val="28"/>
          <w:highlight w:val="none"/>
        </w:rPr>
        <w:t>二、设计方案</w:t>
      </w:r>
    </w:p>
    <w:p w14:paraId="50A04A8B">
      <w:pPr>
        <w:spacing w:after="490" w:afterLines="150"/>
        <w:ind w:firstLine="560" w:firstLineChars="200"/>
        <w:rPr>
          <w:color w:val="auto"/>
          <w:sz w:val="28"/>
          <w:szCs w:val="28"/>
          <w:highlight w:val="none"/>
        </w:rPr>
      </w:pPr>
      <w:r>
        <w:rPr>
          <w:rFonts w:hint="eastAsia"/>
          <w:color w:val="auto"/>
          <w:sz w:val="28"/>
          <w:szCs w:val="28"/>
          <w:highlight w:val="none"/>
        </w:rPr>
        <w:t>三、采购方案</w:t>
      </w:r>
    </w:p>
    <w:p w14:paraId="3058A5C4">
      <w:pPr>
        <w:spacing w:after="490" w:afterLines="150"/>
        <w:ind w:firstLine="560" w:firstLineChars="200"/>
        <w:rPr>
          <w:color w:val="auto"/>
          <w:sz w:val="28"/>
          <w:szCs w:val="28"/>
          <w:highlight w:val="none"/>
        </w:rPr>
      </w:pPr>
      <w:r>
        <w:rPr>
          <w:rFonts w:hint="eastAsia"/>
          <w:color w:val="auto"/>
          <w:sz w:val="28"/>
          <w:szCs w:val="28"/>
          <w:highlight w:val="none"/>
        </w:rPr>
        <w:t>四、施工方案</w:t>
      </w:r>
    </w:p>
    <w:p w14:paraId="53DC1FED">
      <w:pPr>
        <w:spacing w:after="490" w:afterLines="150"/>
        <w:ind w:firstLine="560" w:firstLineChars="200"/>
        <w:rPr>
          <w:color w:val="auto"/>
          <w:sz w:val="28"/>
          <w:szCs w:val="28"/>
          <w:highlight w:val="none"/>
        </w:rPr>
      </w:pPr>
      <w:r>
        <w:rPr>
          <w:rFonts w:hint="eastAsia"/>
          <w:color w:val="auto"/>
          <w:sz w:val="28"/>
          <w:szCs w:val="28"/>
          <w:highlight w:val="none"/>
        </w:rPr>
        <w:t>五、拟分包项目的管理方案</w:t>
      </w:r>
    </w:p>
    <w:p w14:paraId="3EC1AB21">
      <w:pPr>
        <w:spacing w:after="490" w:afterLines="150"/>
        <w:ind w:firstLine="560" w:firstLineChars="200"/>
        <w:rPr>
          <w:color w:val="auto"/>
          <w:sz w:val="28"/>
          <w:szCs w:val="28"/>
          <w:highlight w:val="none"/>
        </w:rPr>
      </w:pPr>
      <w:r>
        <w:rPr>
          <w:rFonts w:hint="eastAsia"/>
          <w:color w:val="auto"/>
          <w:sz w:val="28"/>
          <w:szCs w:val="28"/>
          <w:highlight w:val="none"/>
        </w:rPr>
        <w:t>六、其他资料</w:t>
      </w:r>
    </w:p>
    <w:p w14:paraId="26CED746">
      <w:pPr>
        <w:spacing w:line="360" w:lineRule="auto"/>
        <w:jc w:val="center"/>
        <w:rPr>
          <w:rFonts w:hint="eastAsia" w:ascii="宋体" w:hAnsi="宋体"/>
          <w:color w:val="auto"/>
          <w:highlight w:val="none"/>
        </w:rPr>
      </w:pPr>
      <w:r>
        <w:rPr>
          <w:rFonts w:ascii="宋体" w:hAnsi="宋体"/>
          <w:color w:val="auto"/>
          <w:highlight w:val="none"/>
        </w:rPr>
        <w:br w:type="page"/>
      </w:r>
    </w:p>
    <w:p w14:paraId="68255A70">
      <w:pPr>
        <w:spacing w:after="490" w:afterLines="150"/>
        <w:jc w:val="center"/>
        <w:rPr>
          <w:b/>
          <w:bCs/>
          <w:color w:val="auto"/>
          <w:sz w:val="36"/>
          <w:szCs w:val="36"/>
          <w:highlight w:val="none"/>
        </w:rPr>
      </w:pPr>
    </w:p>
    <w:p w14:paraId="7C0B7BDC">
      <w:pPr>
        <w:spacing w:after="490" w:afterLines="150"/>
        <w:jc w:val="center"/>
        <w:rPr>
          <w:color w:val="auto"/>
          <w:highlight w:val="none"/>
        </w:rPr>
      </w:pPr>
      <w:r>
        <w:rPr>
          <w:rFonts w:hint="eastAsia"/>
          <w:b/>
          <w:bCs/>
          <w:color w:val="auto"/>
          <w:sz w:val="36"/>
          <w:szCs w:val="36"/>
          <w:highlight w:val="none"/>
        </w:rPr>
        <w:t>一、总体项目管理方案</w:t>
      </w:r>
    </w:p>
    <w:p w14:paraId="5F9BACD1">
      <w:pPr>
        <w:spacing w:after="490" w:afterLines="150"/>
        <w:jc w:val="center"/>
        <w:rPr>
          <w:color w:val="auto"/>
          <w:highlight w:val="none"/>
        </w:rPr>
      </w:pPr>
      <w:r>
        <w:rPr>
          <w:rFonts w:hint="eastAsia"/>
          <w:b/>
          <w:bCs/>
          <w:color w:val="auto"/>
          <w:sz w:val="36"/>
          <w:szCs w:val="36"/>
          <w:highlight w:val="none"/>
        </w:rPr>
        <w:t>二、设计方案</w:t>
      </w:r>
    </w:p>
    <w:p w14:paraId="7241BE8A">
      <w:pPr>
        <w:spacing w:after="490" w:afterLines="150"/>
        <w:jc w:val="center"/>
        <w:rPr>
          <w:color w:val="auto"/>
          <w:highlight w:val="none"/>
        </w:rPr>
      </w:pPr>
      <w:r>
        <w:rPr>
          <w:rFonts w:hint="eastAsia"/>
          <w:b/>
          <w:bCs/>
          <w:color w:val="auto"/>
          <w:sz w:val="36"/>
          <w:szCs w:val="36"/>
          <w:highlight w:val="none"/>
        </w:rPr>
        <w:t>三、采购方案</w:t>
      </w:r>
    </w:p>
    <w:p w14:paraId="5F37B48F">
      <w:pPr>
        <w:spacing w:after="490" w:afterLines="150"/>
        <w:jc w:val="center"/>
        <w:rPr>
          <w:b/>
          <w:bCs/>
          <w:color w:val="auto"/>
          <w:sz w:val="36"/>
          <w:szCs w:val="36"/>
          <w:highlight w:val="none"/>
        </w:rPr>
      </w:pPr>
      <w:r>
        <w:rPr>
          <w:rFonts w:hint="eastAsia"/>
          <w:b/>
          <w:bCs/>
          <w:color w:val="auto"/>
          <w:sz w:val="36"/>
          <w:szCs w:val="36"/>
          <w:highlight w:val="none"/>
        </w:rPr>
        <w:t>四、施工方案</w:t>
      </w:r>
    </w:p>
    <w:p w14:paraId="7716B8AC">
      <w:pPr>
        <w:tabs>
          <w:tab w:val="left" w:pos="0"/>
        </w:tabs>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1.投标人应编制递交完整的施工方案；</w:t>
      </w:r>
    </w:p>
    <w:p w14:paraId="3DB79FD0">
      <w:pPr>
        <w:spacing w:line="360" w:lineRule="auto"/>
        <w:ind w:firstLine="200"/>
        <w:jc w:val="center"/>
        <w:rPr>
          <w:rFonts w:hint="eastAsia" w:ascii="宋体" w:hAnsi="宋体"/>
          <w:color w:val="auto"/>
          <w:highlight w:val="none"/>
        </w:rPr>
      </w:pPr>
    </w:p>
    <w:p w14:paraId="487AB5D2">
      <w:pPr>
        <w:tabs>
          <w:tab w:val="left" w:pos="0"/>
        </w:tabs>
        <w:snapToGrid w:val="0"/>
        <w:spacing w:line="360" w:lineRule="auto"/>
        <w:ind w:firstLine="480" w:firstLineChars="200"/>
        <w:rPr>
          <w:rFonts w:hint="eastAsia" w:ascii="宋体" w:hAnsi="宋体"/>
          <w:color w:val="auto"/>
          <w:highlight w:val="none"/>
        </w:rPr>
      </w:pPr>
      <w:r>
        <w:rPr>
          <w:rFonts w:hint="eastAsia" w:ascii="宋体" w:hAnsi="宋体"/>
          <w:color w:val="auto"/>
          <w:highlight w:val="none"/>
        </w:rPr>
        <w:t>2.施工方案除采用文字表述外应附下列图表，图表及格式要求附后；</w:t>
      </w:r>
    </w:p>
    <w:p w14:paraId="269E092A">
      <w:pPr>
        <w:tabs>
          <w:tab w:val="left" w:pos="0"/>
          <w:tab w:val="left" w:pos="1920"/>
        </w:tabs>
        <w:spacing w:line="360" w:lineRule="auto"/>
        <w:ind w:firstLine="200"/>
        <w:rPr>
          <w:rFonts w:hint="eastAsia" w:ascii="宋体" w:hAnsi="宋体"/>
          <w:color w:val="auto"/>
          <w:highlight w:val="none"/>
        </w:rPr>
      </w:pPr>
    </w:p>
    <w:p w14:paraId="17D25BDD">
      <w:pPr>
        <w:tabs>
          <w:tab w:val="left" w:pos="0"/>
          <w:tab w:val="left" w:pos="1920"/>
        </w:tabs>
        <w:spacing w:line="360" w:lineRule="auto"/>
        <w:ind w:firstLine="480" w:firstLineChars="200"/>
        <w:rPr>
          <w:rFonts w:hint="eastAsia" w:ascii="宋体" w:hAnsi="宋体"/>
          <w:color w:val="auto"/>
          <w:highlight w:val="none"/>
        </w:rPr>
      </w:pPr>
      <w:r>
        <w:rPr>
          <w:rFonts w:hint="eastAsia" w:ascii="宋体" w:hAnsi="宋体"/>
          <w:color w:val="auto"/>
          <w:highlight w:val="none"/>
        </w:rPr>
        <w:t>表</w:t>
      </w:r>
      <w:r>
        <w:rPr>
          <w:rFonts w:ascii="宋体" w:hAnsi="宋体"/>
          <w:color w:val="auto"/>
          <w:highlight w:val="none"/>
        </w:rPr>
        <w:t xml:space="preserve">1  </w:t>
      </w:r>
      <w:r>
        <w:rPr>
          <w:rFonts w:hint="eastAsia" w:ascii="宋体" w:hAnsi="宋体"/>
          <w:color w:val="auto"/>
          <w:highlight w:val="none"/>
        </w:rPr>
        <w:t>拟投入的主要施工机械设备表；</w:t>
      </w:r>
    </w:p>
    <w:p w14:paraId="7C1AEB53">
      <w:pPr>
        <w:tabs>
          <w:tab w:val="left" w:pos="0"/>
          <w:tab w:val="left" w:pos="1920"/>
        </w:tabs>
        <w:spacing w:line="360" w:lineRule="auto"/>
        <w:ind w:firstLine="200"/>
        <w:rPr>
          <w:rFonts w:hint="eastAsia" w:ascii="宋体" w:hAnsi="宋体"/>
          <w:color w:val="auto"/>
          <w:highlight w:val="none"/>
        </w:rPr>
      </w:pPr>
    </w:p>
    <w:p w14:paraId="2FC2B847">
      <w:pPr>
        <w:tabs>
          <w:tab w:val="left" w:pos="0"/>
          <w:tab w:val="left" w:pos="1920"/>
        </w:tabs>
        <w:spacing w:line="360" w:lineRule="auto"/>
        <w:ind w:firstLine="480" w:firstLineChars="200"/>
        <w:rPr>
          <w:rFonts w:hint="eastAsia" w:ascii="宋体" w:hAnsi="宋体"/>
          <w:color w:val="auto"/>
          <w:highlight w:val="none"/>
        </w:rPr>
      </w:pPr>
      <w:r>
        <w:rPr>
          <w:rFonts w:hint="eastAsia" w:ascii="宋体" w:hAnsi="宋体"/>
          <w:color w:val="auto"/>
          <w:highlight w:val="none"/>
        </w:rPr>
        <w:t>表</w:t>
      </w:r>
      <w:r>
        <w:rPr>
          <w:rFonts w:ascii="宋体" w:hAnsi="宋体"/>
          <w:color w:val="auto"/>
          <w:highlight w:val="none"/>
        </w:rPr>
        <w:t xml:space="preserve">2  </w:t>
      </w:r>
      <w:r>
        <w:rPr>
          <w:rFonts w:hint="eastAsia" w:ascii="宋体" w:hAnsi="宋体"/>
          <w:color w:val="auto"/>
          <w:highlight w:val="none"/>
        </w:rPr>
        <w:t>劳动力计划表；</w:t>
      </w:r>
    </w:p>
    <w:p w14:paraId="5C244FA3">
      <w:pPr>
        <w:tabs>
          <w:tab w:val="left" w:pos="0"/>
          <w:tab w:val="left" w:pos="1920"/>
        </w:tabs>
        <w:spacing w:line="360" w:lineRule="auto"/>
        <w:ind w:firstLine="200"/>
        <w:rPr>
          <w:rFonts w:hint="eastAsia" w:ascii="宋体" w:hAnsi="宋体"/>
          <w:color w:val="auto"/>
          <w:highlight w:val="none"/>
        </w:rPr>
      </w:pPr>
    </w:p>
    <w:p w14:paraId="781003DE">
      <w:pPr>
        <w:tabs>
          <w:tab w:val="left" w:pos="0"/>
          <w:tab w:val="left" w:pos="1920"/>
        </w:tabs>
        <w:spacing w:line="360" w:lineRule="auto"/>
        <w:ind w:firstLine="480" w:firstLineChars="200"/>
        <w:rPr>
          <w:rFonts w:hint="eastAsia" w:ascii="宋体" w:hAnsi="宋体"/>
          <w:color w:val="auto"/>
          <w:highlight w:val="none"/>
        </w:rPr>
      </w:pPr>
      <w:r>
        <w:rPr>
          <w:rFonts w:hint="eastAsia" w:ascii="宋体" w:hAnsi="宋体"/>
          <w:color w:val="auto"/>
          <w:highlight w:val="none"/>
        </w:rPr>
        <w:t>表</w:t>
      </w:r>
      <w:r>
        <w:rPr>
          <w:rFonts w:ascii="宋体" w:hAnsi="宋体"/>
          <w:color w:val="auto"/>
          <w:highlight w:val="none"/>
        </w:rPr>
        <w:t xml:space="preserve">3  </w:t>
      </w:r>
      <w:r>
        <w:rPr>
          <w:rFonts w:hint="eastAsia" w:ascii="宋体" w:hAnsi="宋体"/>
          <w:color w:val="auto"/>
          <w:highlight w:val="none"/>
        </w:rPr>
        <w:t>计划开、竣工日期和施工进度图表；</w:t>
      </w:r>
    </w:p>
    <w:p w14:paraId="19714BD2">
      <w:pPr>
        <w:tabs>
          <w:tab w:val="left" w:pos="0"/>
          <w:tab w:val="left" w:pos="1920"/>
        </w:tabs>
        <w:spacing w:line="360" w:lineRule="auto"/>
        <w:rPr>
          <w:rFonts w:hint="eastAsia" w:ascii="宋体" w:hAnsi="宋体"/>
          <w:color w:val="auto"/>
          <w:highlight w:val="none"/>
        </w:rPr>
      </w:pPr>
    </w:p>
    <w:p w14:paraId="2A76679F">
      <w:pPr>
        <w:tabs>
          <w:tab w:val="left" w:pos="0"/>
          <w:tab w:val="left" w:pos="1920"/>
        </w:tabs>
        <w:spacing w:line="360" w:lineRule="auto"/>
        <w:ind w:firstLine="480" w:firstLineChars="200"/>
        <w:rPr>
          <w:rFonts w:hint="eastAsia" w:ascii="宋体" w:hAnsi="宋体"/>
          <w:color w:val="auto"/>
          <w:highlight w:val="none"/>
        </w:rPr>
      </w:pPr>
      <w:r>
        <w:rPr>
          <w:rFonts w:hint="eastAsia" w:ascii="宋体" w:hAnsi="宋体"/>
          <w:color w:val="auto"/>
          <w:highlight w:val="none"/>
        </w:rPr>
        <w:t>表</w:t>
      </w:r>
      <w:r>
        <w:rPr>
          <w:rFonts w:ascii="宋体" w:hAnsi="宋体"/>
          <w:color w:val="auto"/>
          <w:highlight w:val="none"/>
        </w:rPr>
        <w:t xml:space="preserve">4  </w:t>
      </w:r>
      <w:r>
        <w:rPr>
          <w:rFonts w:hint="eastAsia" w:ascii="宋体" w:hAnsi="宋体"/>
          <w:color w:val="auto"/>
          <w:highlight w:val="none"/>
        </w:rPr>
        <w:t>施工总平面布置图及临时用地表。</w:t>
      </w:r>
    </w:p>
    <w:p w14:paraId="1B71F84F">
      <w:pPr>
        <w:widowControl/>
        <w:rPr>
          <w:color w:val="auto"/>
          <w:highlight w:val="none"/>
        </w:rPr>
      </w:pPr>
      <w:r>
        <w:rPr>
          <w:color w:val="auto"/>
          <w:highlight w:val="none"/>
        </w:rPr>
        <w:br w:type="page"/>
      </w:r>
    </w:p>
    <w:p w14:paraId="7E4FB55A">
      <w:pPr>
        <w:spacing w:line="360" w:lineRule="auto"/>
        <w:jc w:val="center"/>
        <w:rPr>
          <w:rFonts w:hint="eastAsia" w:ascii="宋体" w:hAnsi="宋体" w:cs="宋体"/>
          <w:b/>
          <w:bCs/>
          <w:color w:val="auto"/>
          <w:sz w:val="28"/>
          <w:szCs w:val="28"/>
          <w:highlight w:val="none"/>
        </w:rPr>
      </w:pPr>
    </w:p>
    <w:p w14:paraId="52ED48E9">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表</w:t>
      </w:r>
      <w:r>
        <w:rPr>
          <w:rFonts w:ascii="宋体" w:hAnsi="宋体" w:cs="宋体"/>
          <w:b/>
          <w:bCs/>
          <w:color w:val="auto"/>
          <w:sz w:val="28"/>
          <w:szCs w:val="28"/>
          <w:highlight w:val="none"/>
        </w:rPr>
        <w:t xml:space="preserve">1  </w:t>
      </w:r>
      <w:r>
        <w:rPr>
          <w:rFonts w:hint="eastAsia" w:ascii="仿宋" w:hAnsi="仿宋" w:eastAsia="仿宋" w:cs="宋体"/>
          <w:b/>
          <w:bCs/>
          <w:color w:val="auto"/>
          <w:sz w:val="30"/>
          <w:szCs w:val="30"/>
          <w:highlight w:val="none"/>
        </w:rPr>
        <w:t xml:space="preserve"> </w:t>
      </w:r>
      <w:r>
        <w:rPr>
          <w:rFonts w:hint="eastAsia"/>
          <w:color w:val="auto"/>
          <w:highlight w:val="none"/>
        </w:rPr>
        <w:t>☑</w:t>
      </w:r>
      <w:r>
        <w:rPr>
          <w:rFonts w:hint="eastAsia" w:ascii="宋体" w:hAnsi="宋体" w:cs="宋体"/>
          <w:b/>
          <w:bCs/>
          <w:color w:val="auto"/>
          <w:sz w:val="28"/>
          <w:szCs w:val="28"/>
          <w:highlight w:val="none"/>
        </w:rPr>
        <w:t>拟投入的主要施工机械设备表</w:t>
      </w:r>
    </w:p>
    <w:tbl>
      <w:tblPr>
        <w:tblStyle w:val="23"/>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073"/>
        <w:gridCol w:w="992"/>
        <w:gridCol w:w="656"/>
        <w:gridCol w:w="907"/>
        <w:gridCol w:w="907"/>
        <w:gridCol w:w="1074"/>
        <w:gridCol w:w="740"/>
        <w:gridCol w:w="1240"/>
      </w:tblGrid>
      <w:tr w14:paraId="38C7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Align w:val="center"/>
          </w:tcPr>
          <w:p w14:paraId="7412FF5D">
            <w:pPr>
              <w:jc w:val="center"/>
              <w:rPr>
                <w:rFonts w:hint="eastAsia" w:ascii="宋体" w:hAnsi="宋体"/>
                <w:color w:val="auto"/>
                <w:sz w:val="21"/>
                <w:szCs w:val="21"/>
                <w:highlight w:val="none"/>
              </w:rPr>
            </w:pPr>
            <w:r>
              <w:rPr>
                <w:rFonts w:hint="eastAsia" w:ascii="宋体" w:hAnsi="宋体"/>
                <w:color w:val="auto"/>
                <w:sz w:val="21"/>
                <w:szCs w:val="21"/>
                <w:highlight w:val="none"/>
              </w:rPr>
              <w:t>序号</w:t>
            </w:r>
          </w:p>
        </w:tc>
        <w:tc>
          <w:tcPr>
            <w:tcW w:w="1073" w:type="dxa"/>
            <w:vAlign w:val="center"/>
          </w:tcPr>
          <w:p w14:paraId="17DB8222">
            <w:pPr>
              <w:jc w:val="center"/>
              <w:rPr>
                <w:rFonts w:hint="eastAsia" w:ascii="宋体" w:hAnsi="宋体"/>
                <w:color w:val="auto"/>
                <w:sz w:val="21"/>
                <w:szCs w:val="21"/>
                <w:highlight w:val="none"/>
              </w:rPr>
            </w:pPr>
            <w:r>
              <w:rPr>
                <w:rFonts w:hint="eastAsia" w:ascii="宋体" w:hAnsi="宋体"/>
                <w:color w:val="auto"/>
                <w:sz w:val="21"/>
                <w:szCs w:val="21"/>
                <w:highlight w:val="none"/>
              </w:rPr>
              <w:t>机械或</w:t>
            </w:r>
          </w:p>
          <w:p w14:paraId="5B1C02D4">
            <w:pPr>
              <w:jc w:val="center"/>
              <w:rPr>
                <w:rFonts w:hint="eastAsia" w:ascii="宋体" w:hAnsi="宋体"/>
                <w:color w:val="auto"/>
                <w:sz w:val="21"/>
                <w:szCs w:val="21"/>
                <w:highlight w:val="none"/>
              </w:rPr>
            </w:pPr>
            <w:r>
              <w:rPr>
                <w:rFonts w:hint="eastAsia" w:ascii="宋体" w:hAnsi="宋体"/>
                <w:color w:val="auto"/>
                <w:sz w:val="21"/>
                <w:szCs w:val="21"/>
                <w:highlight w:val="none"/>
              </w:rPr>
              <w:t>设备名称</w:t>
            </w:r>
          </w:p>
        </w:tc>
        <w:tc>
          <w:tcPr>
            <w:tcW w:w="992" w:type="dxa"/>
            <w:vAlign w:val="center"/>
          </w:tcPr>
          <w:p w14:paraId="5CA56CDC">
            <w:pPr>
              <w:jc w:val="center"/>
              <w:rPr>
                <w:rFonts w:hint="eastAsia" w:ascii="宋体" w:hAnsi="宋体"/>
                <w:color w:val="auto"/>
                <w:sz w:val="21"/>
                <w:szCs w:val="21"/>
                <w:highlight w:val="none"/>
              </w:rPr>
            </w:pPr>
            <w:r>
              <w:rPr>
                <w:rFonts w:hint="eastAsia" w:ascii="宋体" w:hAnsi="宋体"/>
                <w:color w:val="auto"/>
                <w:sz w:val="21"/>
                <w:szCs w:val="21"/>
                <w:highlight w:val="none"/>
              </w:rPr>
              <w:t>型号</w:t>
            </w:r>
          </w:p>
          <w:p w14:paraId="514E18B3">
            <w:pPr>
              <w:jc w:val="center"/>
              <w:rPr>
                <w:rFonts w:hint="eastAsia" w:ascii="宋体" w:hAnsi="宋体"/>
                <w:color w:val="auto"/>
                <w:sz w:val="21"/>
                <w:szCs w:val="21"/>
                <w:highlight w:val="none"/>
              </w:rPr>
            </w:pPr>
            <w:r>
              <w:rPr>
                <w:rFonts w:hint="eastAsia" w:ascii="宋体" w:hAnsi="宋体"/>
                <w:color w:val="auto"/>
                <w:sz w:val="21"/>
                <w:szCs w:val="21"/>
                <w:highlight w:val="none"/>
              </w:rPr>
              <w:t>规格</w:t>
            </w:r>
          </w:p>
        </w:tc>
        <w:tc>
          <w:tcPr>
            <w:tcW w:w="656" w:type="dxa"/>
            <w:vAlign w:val="center"/>
          </w:tcPr>
          <w:p w14:paraId="3C1670A1">
            <w:pPr>
              <w:jc w:val="center"/>
              <w:rPr>
                <w:rFonts w:hint="eastAsia" w:ascii="宋体" w:hAnsi="宋体"/>
                <w:color w:val="auto"/>
                <w:sz w:val="21"/>
                <w:szCs w:val="21"/>
                <w:highlight w:val="none"/>
              </w:rPr>
            </w:pPr>
            <w:r>
              <w:rPr>
                <w:rFonts w:hint="eastAsia" w:ascii="宋体" w:hAnsi="宋体"/>
                <w:color w:val="auto"/>
                <w:sz w:val="21"/>
                <w:szCs w:val="21"/>
                <w:highlight w:val="none"/>
              </w:rPr>
              <w:t>数量</w:t>
            </w:r>
          </w:p>
        </w:tc>
        <w:tc>
          <w:tcPr>
            <w:tcW w:w="907" w:type="dxa"/>
            <w:vAlign w:val="center"/>
          </w:tcPr>
          <w:p w14:paraId="43EBB604">
            <w:pPr>
              <w:jc w:val="center"/>
              <w:rPr>
                <w:rFonts w:hint="eastAsia" w:ascii="宋体" w:hAnsi="宋体"/>
                <w:color w:val="auto"/>
                <w:sz w:val="21"/>
                <w:szCs w:val="21"/>
                <w:highlight w:val="none"/>
              </w:rPr>
            </w:pPr>
            <w:r>
              <w:rPr>
                <w:rFonts w:hint="eastAsia" w:ascii="宋体" w:hAnsi="宋体"/>
                <w:color w:val="auto"/>
                <w:sz w:val="21"/>
                <w:szCs w:val="21"/>
                <w:highlight w:val="none"/>
              </w:rPr>
              <w:t>国别</w:t>
            </w:r>
          </w:p>
          <w:p w14:paraId="44B29603">
            <w:pPr>
              <w:jc w:val="center"/>
              <w:rPr>
                <w:rFonts w:hint="eastAsia" w:ascii="宋体" w:hAnsi="宋体"/>
                <w:color w:val="auto"/>
                <w:sz w:val="21"/>
                <w:szCs w:val="21"/>
                <w:highlight w:val="none"/>
              </w:rPr>
            </w:pPr>
            <w:r>
              <w:rPr>
                <w:rFonts w:hint="eastAsia" w:ascii="宋体" w:hAnsi="宋体"/>
                <w:color w:val="auto"/>
                <w:sz w:val="21"/>
                <w:szCs w:val="21"/>
                <w:highlight w:val="none"/>
              </w:rPr>
              <w:t>产地</w:t>
            </w:r>
          </w:p>
        </w:tc>
        <w:tc>
          <w:tcPr>
            <w:tcW w:w="907" w:type="dxa"/>
            <w:vAlign w:val="center"/>
          </w:tcPr>
          <w:p w14:paraId="1231D3C6">
            <w:pPr>
              <w:jc w:val="center"/>
              <w:rPr>
                <w:rFonts w:hint="eastAsia" w:ascii="宋体" w:hAnsi="宋体"/>
                <w:color w:val="auto"/>
                <w:sz w:val="21"/>
                <w:szCs w:val="21"/>
                <w:highlight w:val="none"/>
              </w:rPr>
            </w:pPr>
            <w:r>
              <w:rPr>
                <w:rFonts w:hint="eastAsia" w:ascii="宋体" w:hAnsi="宋体"/>
                <w:color w:val="auto"/>
                <w:sz w:val="21"/>
                <w:szCs w:val="21"/>
                <w:highlight w:val="none"/>
              </w:rPr>
              <w:t>制造</w:t>
            </w:r>
          </w:p>
          <w:p w14:paraId="1C960EE0">
            <w:pPr>
              <w:jc w:val="center"/>
              <w:rPr>
                <w:rFonts w:hint="eastAsia" w:ascii="宋体" w:hAnsi="宋体"/>
                <w:color w:val="auto"/>
                <w:sz w:val="21"/>
                <w:szCs w:val="21"/>
                <w:highlight w:val="none"/>
              </w:rPr>
            </w:pPr>
            <w:r>
              <w:rPr>
                <w:rFonts w:hint="eastAsia" w:ascii="宋体" w:hAnsi="宋体"/>
                <w:color w:val="auto"/>
                <w:sz w:val="21"/>
                <w:szCs w:val="21"/>
                <w:highlight w:val="none"/>
              </w:rPr>
              <w:t>年份</w:t>
            </w:r>
          </w:p>
        </w:tc>
        <w:tc>
          <w:tcPr>
            <w:tcW w:w="1074" w:type="dxa"/>
            <w:vAlign w:val="center"/>
          </w:tcPr>
          <w:p w14:paraId="43C566D7">
            <w:pPr>
              <w:jc w:val="center"/>
              <w:rPr>
                <w:rFonts w:hint="eastAsia" w:ascii="宋体" w:hAnsi="宋体"/>
                <w:color w:val="auto"/>
                <w:sz w:val="21"/>
                <w:szCs w:val="21"/>
                <w:highlight w:val="none"/>
              </w:rPr>
            </w:pPr>
            <w:r>
              <w:rPr>
                <w:rFonts w:hint="eastAsia" w:ascii="宋体" w:hAnsi="宋体"/>
                <w:color w:val="auto"/>
                <w:sz w:val="21"/>
                <w:szCs w:val="21"/>
                <w:highlight w:val="none"/>
              </w:rPr>
              <w:t>额定功率（</w:t>
            </w:r>
            <w:r>
              <w:rPr>
                <w:rFonts w:ascii="宋体" w:hAnsi="宋体"/>
                <w:color w:val="auto"/>
                <w:sz w:val="21"/>
                <w:szCs w:val="21"/>
                <w:highlight w:val="none"/>
              </w:rPr>
              <w:t>KW</w:t>
            </w:r>
            <w:r>
              <w:rPr>
                <w:rFonts w:hint="eastAsia" w:ascii="宋体" w:hAnsi="宋体"/>
                <w:color w:val="auto"/>
                <w:sz w:val="21"/>
                <w:szCs w:val="21"/>
                <w:highlight w:val="none"/>
              </w:rPr>
              <w:t>）</w:t>
            </w:r>
          </w:p>
        </w:tc>
        <w:tc>
          <w:tcPr>
            <w:tcW w:w="740" w:type="dxa"/>
            <w:vAlign w:val="center"/>
          </w:tcPr>
          <w:p w14:paraId="07071A2E">
            <w:pPr>
              <w:jc w:val="center"/>
              <w:rPr>
                <w:rFonts w:hint="eastAsia" w:ascii="宋体" w:hAnsi="宋体"/>
                <w:color w:val="auto"/>
                <w:sz w:val="21"/>
                <w:szCs w:val="21"/>
                <w:highlight w:val="none"/>
              </w:rPr>
            </w:pPr>
            <w:r>
              <w:rPr>
                <w:rFonts w:hint="eastAsia" w:ascii="宋体" w:hAnsi="宋体"/>
                <w:color w:val="auto"/>
                <w:sz w:val="21"/>
                <w:szCs w:val="21"/>
                <w:highlight w:val="none"/>
              </w:rPr>
              <w:t>生产</w:t>
            </w:r>
          </w:p>
          <w:p w14:paraId="3684028B">
            <w:pPr>
              <w:jc w:val="center"/>
              <w:rPr>
                <w:rFonts w:hint="eastAsia" w:ascii="宋体" w:hAnsi="宋体"/>
                <w:color w:val="auto"/>
                <w:sz w:val="21"/>
                <w:szCs w:val="21"/>
                <w:highlight w:val="none"/>
              </w:rPr>
            </w:pPr>
            <w:r>
              <w:rPr>
                <w:rFonts w:hint="eastAsia" w:ascii="宋体" w:hAnsi="宋体"/>
                <w:color w:val="auto"/>
                <w:sz w:val="21"/>
                <w:szCs w:val="21"/>
                <w:highlight w:val="none"/>
              </w:rPr>
              <w:t>能力</w:t>
            </w:r>
          </w:p>
        </w:tc>
        <w:tc>
          <w:tcPr>
            <w:tcW w:w="1240" w:type="dxa"/>
            <w:vAlign w:val="center"/>
          </w:tcPr>
          <w:p w14:paraId="0162724E">
            <w:pPr>
              <w:jc w:val="center"/>
              <w:rPr>
                <w:rFonts w:hint="eastAsia" w:ascii="宋体" w:hAnsi="宋体"/>
                <w:color w:val="auto"/>
                <w:sz w:val="21"/>
                <w:szCs w:val="21"/>
                <w:highlight w:val="none"/>
              </w:rPr>
            </w:pPr>
            <w:r>
              <w:rPr>
                <w:rFonts w:hint="eastAsia" w:ascii="宋体" w:hAnsi="宋体"/>
                <w:color w:val="auto"/>
                <w:sz w:val="21"/>
                <w:szCs w:val="21"/>
                <w:highlight w:val="none"/>
              </w:rPr>
              <w:t>用于施工部位备注</w:t>
            </w:r>
          </w:p>
        </w:tc>
      </w:tr>
      <w:tr w14:paraId="7372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63DEF9DB">
            <w:pPr>
              <w:spacing w:after="490" w:afterLines="150"/>
              <w:rPr>
                <w:color w:val="auto"/>
                <w:highlight w:val="none"/>
              </w:rPr>
            </w:pPr>
          </w:p>
        </w:tc>
        <w:tc>
          <w:tcPr>
            <w:tcW w:w="1073" w:type="dxa"/>
          </w:tcPr>
          <w:p w14:paraId="7C242BB5">
            <w:pPr>
              <w:spacing w:after="490" w:afterLines="150"/>
              <w:rPr>
                <w:color w:val="auto"/>
                <w:highlight w:val="none"/>
              </w:rPr>
            </w:pPr>
          </w:p>
        </w:tc>
        <w:tc>
          <w:tcPr>
            <w:tcW w:w="992" w:type="dxa"/>
          </w:tcPr>
          <w:p w14:paraId="12ADC734">
            <w:pPr>
              <w:spacing w:after="490" w:afterLines="150"/>
              <w:rPr>
                <w:color w:val="auto"/>
                <w:highlight w:val="none"/>
              </w:rPr>
            </w:pPr>
          </w:p>
        </w:tc>
        <w:tc>
          <w:tcPr>
            <w:tcW w:w="656" w:type="dxa"/>
          </w:tcPr>
          <w:p w14:paraId="2FBFC087">
            <w:pPr>
              <w:spacing w:after="490" w:afterLines="150"/>
              <w:rPr>
                <w:color w:val="auto"/>
                <w:highlight w:val="none"/>
              </w:rPr>
            </w:pPr>
          </w:p>
        </w:tc>
        <w:tc>
          <w:tcPr>
            <w:tcW w:w="907" w:type="dxa"/>
          </w:tcPr>
          <w:p w14:paraId="6A49BC14">
            <w:pPr>
              <w:spacing w:after="490" w:afterLines="150"/>
              <w:rPr>
                <w:color w:val="auto"/>
                <w:highlight w:val="none"/>
              </w:rPr>
            </w:pPr>
          </w:p>
        </w:tc>
        <w:tc>
          <w:tcPr>
            <w:tcW w:w="907" w:type="dxa"/>
          </w:tcPr>
          <w:p w14:paraId="29C13E95">
            <w:pPr>
              <w:spacing w:after="490" w:afterLines="150"/>
              <w:rPr>
                <w:color w:val="auto"/>
                <w:highlight w:val="none"/>
              </w:rPr>
            </w:pPr>
          </w:p>
        </w:tc>
        <w:tc>
          <w:tcPr>
            <w:tcW w:w="1074" w:type="dxa"/>
          </w:tcPr>
          <w:p w14:paraId="758AA282">
            <w:pPr>
              <w:spacing w:after="490" w:afterLines="150"/>
              <w:rPr>
                <w:color w:val="auto"/>
                <w:highlight w:val="none"/>
              </w:rPr>
            </w:pPr>
          </w:p>
        </w:tc>
        <w:tc>
          <w:tcPr>
            <w:tcW w:w="740" w:type="dxa"/>
          </w:tcPr>
          <w:p w14:paraId="628940E6">
            <w:pPr>
              <w:spacing w:after="490" w:afterLines="150"/>
              <w:rPr>
                <w:color w:val="auto"/>
                <w:highlight w:val="none"/>
              </w:rPr>
            </w:pPr>
          </w:p>
        </w:tc>
        <w:tc>
          <w:tcPr>
            <w:tcW w:w="1240" w:type="dxa"/>
          </w:tcPr>
          <w:p w14:paraId="468B9225">
            <w:pPr>
              <w:spacing w:after="490" w:afterLines="150"/>
              <w:rPr>
                <w:color w:val="auto"/>
                <w:highlight w:val="none"/>
              </w:rPr>
            </w:pPr>
          </w:p>
        </w:tc>
      </w:tr>
      <w:tr w14:paraId="2229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05DC6916">
            <w:pPr>
              <w:spacing w:after="490" w:afterLines="150"/>
              <w:rPr>
                <w:color w:val="auto"/>
                <w:highlight w:val="none"/>
              </w:rPr>
            </w:pPr>
          </w:p>
        </w:tc>
        <w:tc>
          <w:tcPr>
            <w:tcW w:w="1073" w:type="dxa"/>
          </w:tcPr>
          <w:p w14:paraId="73B81CAC">
            <w:pPr>
              <w:spacing w:after="490" w:afterLines="150"/>
              <w:rPr>
                <w:color w:val="auto"/>
                <w:highlight w:val="none"/>
              </w:rPr>
            </w:pPr>
          </w:p>
        </w:tc>
        <w:tc>
          <w:tcPr>
            <w:tcW w:w="992" w:type="dxa"/>
          </w:tcPr>
          <w:p w14:paraId="7930EEB6">
            <w:pPr>
              <w:spacing w:after="490" w:afterLines="150"/>
              <w:rPr>
                <w:color w:val="auto"/>
                <w:highlight w:val="none"/>
              </w:rPr>
            </w:pPr>
          </w:p>
        </w:tc>
        <w:tc>
          <w:tcPr>
            <w:tcW w:w="656" w:type="dxa"/>
          </w:tcPr>
          <w:p w14:paraId="6542C29D">
            <w:pPr>
              <w:spacing w:after="490" w:afterLines="150"/>
              <w:rPr>
                <w:color w:val="auto"/>
                <w:highlight w:val="none"/>
              </w:rPr>
            </w:pPr>
          </w:p>
        </w:tc>
        <w:tc>
          <w:tcPr>
            <w:tcW w:w="907" w:type="dxa"/>
          </w:tcPr>
          <w:p w14:paraId="4D30DCAC">
            <w:pPr>
              <w:spacing w:after="490" w:afterLines="150"/>
              <w:rPr>
                <w:color w:val="auto"/>
                <w:highlight w:val="none"/>
              </w:rPr>
            </w:pPr>
          </w:p>
        </w:tc>
        <w:tc>
          <w:tcPr>
            <w:tcW w:w="907" w:type="dxa"/>
          </w:tcPr>
          <w:p w14:paraId="668E91F1">
            <w:pPr>
              <w:spacing w:after="490" w:afterLines="150"/>
              <w:rPr>
                <w:color w:val="auto"/>
                <w:highlight w:val="none"/>
              </w:rPr>
            </w:pPr>
          </w:p>
        </w:tc>
        <w:tc>
          <w:tcPr>
            <w:tcW w:w="1074" w:type="dxa"/>
          </w:tcPr>
          <w:p w14:paraId="0681B421">
            <w:pPr>
              <w:spacing w:after="490" w:afterLines="150"/>
              <w:rPr>
                <w:color w:val="auto"/>
                <w:highlight w:val="none"/>
              </w:rPr>
            </w:pPr>
          </w:p>
        </w:tc>
        <w:tc>
          <w:tcPr>
            <w:tcW w:w="740" w:type="dxa"/>
          </w:tcPr>
          <w:p w14:paraId="38E806D8">
            <w:pPr>
              <w:spacing w:after="490" w:afterLines="150"/>
              <w:rPr>
                <w:color w:val="auto"/>
                <w:highlight w:val="none"/>
              </w:rPr>
            </w:pPr>
          </w:p>
        </w:tc>
        <w:tc>
          <w:tcPr>
            <w:tcW w:w="1240" w:type="dxa"/>
          </w:tcPr>
          <w:p w14:paraId="385B506E">
            <w:pPr>
              <w:spacing w:after="490" w:afterLines="150"/>
              <w:rPr>
                <w:color w:val="auto"/>
                <w:highlight w:val="none"/>
              </w:rPr>
            </w:pPr>
          </w:p>
        </w:tc>
      </w:tr>
      <w:tr w14:paraId="6717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27C06BD4">
            <w:pPr>
              <w:spacing w:after="490" w:afterLines="150"/>
              <w:rPr>
                <w:color w:val="auto"/>
                <w:highlight w:val="none"/>
              </w:rPr>
            </w:pPr>
          </w:p>
        </w:tc>
        <w:tc>
          <w:tcPr>
            <w:tcW w:w="1073" w:type="dxa"/>
          </w:tcPr>
          <w:p w14:paraId="1BF577F0">
            <w:pPr>
              <w:spacing w:after="490" w:afterLines="150"/>
              <w:rPr>
                <w:color w:val="auto"/>
                <w:highlight w:val="none"/>
              </w:rPr>
            </w:pPr>
          </w:p>
        </w:tc>
        <w:tc>
          <w:tcPr>
            <w:tcW w:w="992" w:type="dxa"/>
          </w:tcPr>
          <w:p w14:paraId="3306F673">
            <w:pPr>
              <w:spacing w:after="490" w:afterLines="150"/>
              <w:rPr>
                <w:color w:val="auto"/>
                <w:highlight w:val="none"/>
              </w:rPr>
            </w:pPr>
          </w:p>
        </w:tc>
        <w:tc>
          <w:tcPr>
            <w:tcW w:w="656" w:type="dxa"/>
          </w:tcPr>
          <w:p w14:paraId="2D295F76">
            <w:pPr>
              <w:spacing w:after="490" w:afterLines="150"/>
              <w:rPr>
                <w:color w:val="auto"/>
                <w:highlight w:val="none"/>
              </w:rPr>
            </w:pPr>
          </w:p>
        </w:tc>
        <w:tc>
          <w:tcPr>
            <w:tcW w:w="907" w:type="dxa"/>
          </w:tcPr>
          <w:p w14:paraId="274008DC">
            <w:pPr>
              <w:spacing w:after="490" w:afterLines="150"/>
              <w:rPr>
                <w:color w:val="auto"/>
                <w:highlight w:val="none"/>
              </w:rPr>
            </w:pPr>
          </w:p>
        </w:tc>
        <w:tc>
          <w:tcPr>
            <w:tcW w:w="907" w:type="dxa"/>
          </w:tcPr>
          <w:p w14:paraId="5EA0B557">
            <w:pPr>
              <w:spacing w:after="490" w:afterLines="150"/>
              <w:rPr>
                <w:color w:val="auto"/>
                <w:highlight w:val="none"/>
              </w:rPr>
            </w:pPr>
          </w:p>
        </w:tc>
        <w:tc>
          <w:tcPr>
            <w:tcW w:w="1074" w:type="dxa"/>
          </w:tcPr>
          <w:p w14:paraId="5659A724">
            <w:pPr>
              <w:spacing w:after="490" w:afterLines="150"/>
              <w:rPr>
                <w:color w:val="auto"/>
                <w:highlight w:val="none"/>
              </w:rPr>
            </w:pPr>
          </w:p>
        </w:tc>
        <w:tc>
          <w:tcPr>
            <w:tcW w:w="740" w:type="dxa"/>
          </w:tcPr>
          <w:p w14:paraId="486DF66E">
            <w:pPr>
              <w:spacing w:after="490" w:afterLines="150"/>
              <w:rPr>
                <w:color w:val="auto"/>
                <w:highlight w:val="none"/>
              </w:rPr>
            </w:pPr>
          </w:p>
        </w:tc>
        <w:tc>
          <w:tcPr>
            <w:tcW w:w="1240" w:type="dxa"/>
          </w:tcPr>
          <w:p w14:paraId="3D93B872">
            <w:pPr>
              <w:spacing w:after="490" w:afterLines="150"/>
              <w:rPr>
                <w:color w:val="auto"/>
                <w:highlight w:val="none"/>
              </w:rPr>
            </w:pPr>
          </w:p>
        </w:tc>
      </w:tr>
      <w:tr w14:paraId="5122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168BB70E">
            <w:pPr>
              <w:spacing w:after="490" w:afterLines="150"/>
              <w:rPr>
                <w:color w:val="auto"/>
                <w:highlight w:val="none"/>
              </w:rPr>
            </w:pPr>
          </w:p>
        </w:tc>
        <w:tc>
          <w:tcPr>
            <w:tcW w:w="1073" w:type="dxa"/>
          </w:tcPr>
          <w:p w14:paraId="08FA532E">
            <w:pPr>
              <w:spacing w:after="490" w:afterLines="150"/>
              <w:rPr>
                <w:color w:val="auto"/>
                <w:highlight w:val="none"/>
              </w:rPr>
            </w:pPr>
          </w:p>
        </w:tc>
        <w:tc>
          <w:tcPr>
            <w:tcW w:w="992" w:type="dxa"/>
          </w:tcPr>
          <w:p w14:paraId="0655BCF1">
            <w:pPr>
              <w:spacing w:after="490" w:afterLines="150"/>
              <w:rPr>
                <w:color w:val="auto"/>
                <w:highlight w:val="none"/>
              </w:rPr>
            </w:pPr>
          </w:p>
        </w:tc>
        <w:tc>
          <w:tcPr>
            <w:tcW w:w="656" w:type="dxa"/>
          </w:tcPr>
          <w:p w14:paraId="223E29FE">
            <w:pPr>
              <w:spacing w:after="490" w:afterLines="150"/>
              <w:rPr>
                <w:color w:val="auto"/>
                <w:highlight w:val="none"/>
              </w:rPr>
            </w:pPr>
          </w:p>
        </w:tc>
        <w:tc>
          <w:tcPr>
            <w:tcW w:w="907" w:type="dxa"/>
          </w:tcPr>
          <w:p w14:paraId="45DDB0D7">
            <w:pPr>
              <w:spacing w:after="490" w:afterLines="150"/>
              <w:rPr>
                <w:color w:val="auto"/>
                <w:highlight w:val="none"/>
              </w:rPr>
            </w:pPr>
          </w:p>
        </w:tc>
        <w:tc>
          <w:tcPr>
            <w:tcW w:w="907" w:type="dxa"/>
          </w:tcPr>
          <w:p w14:paraId="64D61174">
            <w:pPr>
              <w:spacing w:after="490" w:afterLines="150"/>
              <w:rPr>
                <w:color w:val="auto"/>
                <w:highlight w:val="none"/>
              </w:rPr>
            </w:pPr>
          </w:p>
        </w:tc>
        <w:tc>
          <w:tcPr>
            <w:tcW w:w="1074" w:type="dxa"/>
          </w:tcPr>
          <w:p w14:paraId="036877D2">
            <w:pPr>
              <w:spacing w:after="490" w:afterLines="150"/>
              <w:rPr>
                <w:color w:val="auto"/>
                <w:highlight w:val="none"/>
              </w:rPr>
            </w:pPr>
          </w:p>
        </w:tc>
        <w:tc>
          <w:tcPr>
            <w:tcW w:w="740" w:type="dxa"/>
          </w:tcPr>
          <w:p w14:paraId="59C95D3F">
            <w:pPr>
              <w:spacing w:after="490" w:afterLines="150"/>
              <w:rPr>
                <w:color w:val="auto"/>
                <w:highlight w:val="none"/>
              </w:rPr>
            </w:pPr>
          </w:p>
        </w:tc>
        <w:tc>
          <w:tcPr>
            <w:tcW w:w="1240" w:type="dxa"/>
          </w:tcPr>
          <w:p w14:paraId="1D0B2F4D">
            <w:pPr>
              <w:spacing w:after="490" w:afterLines="150"/>
              <w:rPr>
                <w:color w:val="auto"/>
                <w:highlight w:val="none"/>
              </w:rPr>
            </w:pPr>
          </w:p>
        </w:tc>
      </w:tr>
      <w:tr w14:paraId="252A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301593AE">
            <w:pPr>
              <w:spacing w:after="490" w:afterLines="150"/>
              <w:rPr>
                <w:color w:val="auto"/>
                <w:highlight w:val="none"/>
              </w:rPr>
            </w:pPr>
          </w:p>
        </w:tc>
        <w:tc>
          <w:tcPr>
            <w:tcW w:w="1073" w:type="dxa"/>
          </w:tcPr>
          <w:p w14:paraId="46CF38DA">
            <w:pPr>
              <w:spacing w:after="490" w:afterLines="150"/>
              <w:rPr>
                <w:color w:val="auto"/>
                <w:highlight w:val="none"/>
              </w:rPr>
            </w:pPr>
          </w:p>
        </w:tc>
        <w:tc>
          <w:tcPr>
            <w:tcW w:w="992" w:type="dxa"/>
          </w:tcPr>
          <w:p w14:paraId="16C4D758">
            <w:pPr>
              <w:spacing w:after="490" w:afterLines="150"/>
              <w:rPr>
                <w:color w:val="auto"/>
                <w:highlight w:val="none"/>
              </w:rPr>
            </w:pPr>
          </w:p>
        </w:tc>
        <w:tc>
          <w:tcPr>
            <w:tcW w:w="656" w:type="dxa"/>
          </w:tcPr>
          <w:p w14:paraId="1885FDC6">
            <w:pPr>
              <w:spacing w:after="490" w:afterLines="150"/>
              <w:rPr>
                <w:color w:val="auto"/>
                <w:highlight w:val="none"/>
              </w:rPr>
            </w:pPr>
          </w:p>
        </w:tc>
        <w:tc>
          <w:tcPr>
            <w:tcW w:w="907" w:type="dxa"/>
          </w:tcPr>
          <w:p w14:paraId="67654E3F">
            <w:pPr>
              <w:spacing w:after="490" w:afterLines="150"/>
              <w:rPr>
                <w:color w:val="auto"/>
                <w:highlight w:val="none"/>
              </w:rPr>
            </w:pPr>
          </w:p>
        </w:tc>
        <w:tc>
          <w:tcPr>
            <w:tcW w:w="907" w:type="dxa"/>
          </w:tcPr>
          <w:p w14:paraId="3477C55E">
            <w:pPr>
              <w:spacing w:after="490" w:afterLines="150"/>
              <w:rPr>
                <w:color w:val="auto"/>
                <w:highlight w:val="none"/>
              </w:rPr>
            </w:pPr>
          </w:p>
        </w:tc>
        <w:tc>
          <w:tcPr>
            <w:tcW w:w="1074" w:type="dxa"/>
          </w:tcPr>
          <w:p w14:paraId="71DB7200">
            <w:pPr>
              <w:spacing w:after="490" w:afterLines="150"/>
              <w:rPr>
                <w:color w:val="auto"/>
                <w:highlight w:val="none"/>
              </w:rPr>
            </w:pPr>
          </w:p>
        </w:tc>
        <w:tc>
          <w:tcPr>
            <w:tcW w:w="740" w:type="dxa"/>
          </w:tcPr>
          <w:p w14:paraId="0AB15573">
            <w:pPr>
              <w:spacing w:after="490" w:afterLines="150"/>
              <w:rPr>
                <w:color w:val="auto"/>
                <w:highlight w:val="none"/>
              </w:rPr>
            </w:pPr>
          </w:p>
        </w:tc>
        <w:tc>
          <w:tcPr>
            <w:tcW w:w="1240" w:type="dxa"/>
          </w:tcPr>
          <w:p w14:paraId="5027E289">
            <w:pPr>
              <w:spacing w:after="490" w:afterLines="150"/>
              <w:rPr>
                <w:color w:val="auto"/>
                <w:highlight w:val="none"/>
              </w:rPr>
            </w:pPr>
          </w:p>
        </w:tc>
      </w:tr>
      <w:tr w14:paraId="4312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6A72FA3B">
            <w:pPr>
              <w:spacing w:after="490" w:afterLines="150"/>
              <w:rPr>
                <w:color w:val="auto"/>
                <w:highlight w:val="none"/>
              </w:rPr>
            </w:pPr>
          </w:p>
        </w:tc>
        <w:tc>
          <w:tcPr>
            <w:tcW w:w="1073" w:type="dxa"/>
          </w:tcPr>
          <w:p w14:paraId="57F68658">
            <w:pPr>
              <w:spacing w:after="490" w:afterLines="150"/>
              <w:rPr>
                <w:color w:val="auto"/>
                <w:highlight w:val="none"/>
              </w:rPr>
            </w:pPr>
          </w:p>
        </w:tc>
        <w:tc>
          <w:tcPr>
            <w:tcW w:w="992" w:type="dxa"/>
          </w:tcPr>
          <w:p w14:paraId="278CC0CD">
            <w:pPr>
              <w:spacing w:after="490" w:afterLines="150"/>
              <w:rPr>
                <w:color w:val="auto"/>
                <w:highlight w:val="none"/>
              </w:rPr>
            </w:pPr>
          </w:p>
        </w:tc>
        <w:tc>
          <w:tcPr>
            <w:tcW w:w="656" w:type="dxa"/>
          </w:tcPr>
          <w:p w14:paraId="5DCD425A">
            <w:pPr>
              <w:spacing w:after="490" w:afterLines="150"/>
              <w:rPr>
                <w:color w:val="auto"/>
                <w:highlight w:val="none"/>
              </w:rPr>
            </w:pPr>
          </w:p>
        </w:tc>
        <w:tc>
          <w:tcPr>
            <w:tcW w:w="907" w:type="dxa"/>
          </w:tcPr>
          <w:p w14:paraId="26775448">
            <w:pPr>
              <w:spacing w:after="490" w:afterLines="150"/>
              <w:rPr>
                <w:color w:val="auto"/>
                <w:highlight w:val="none"/>
              </w:rPr>
            </w:pPr>
          </w:p>
        </w:tc>
        <w:tc>
          <w:tcPr>
            <w:tcW w:w="907" w:type="dxa"/>
          </w:tcPr>
          <w:p w14:paraId="4AE922FA">
            <w:pPr>
              <w:spacing w:after="490" w:afterLines="150"/>
              <w:rPr>
                <w:color w:val="auto"/>
                <w:highlight w:val="none"/>
              </w:rPr>
            </w:pPr>
          </w:p>
        </w:tc>
        <w:tc>
          <w:tcPr>
            <w:tcW w:w="1074" w:type="dxa"/>
          </w:tcPr>
          <w:p w14:paraId="6CEF9BF9">
            <w:pPr>
              <w:spacing w:after="490" w:afterLines="150"/>
              <w:rPr>
                <w:color w:val="auto"/>
                <w:highlight w:val="none"/>
              </w:rPr>
            </w:pPr>
          </w:p>
        </w:tc>
        <w:tc>
          <w:tcPr>
            <w:tcW w:w="740" w:type="dxa"/>
          </w:tcPr>
          <w:p w14:paraId="3F3F806A">
            <w:pPr>
              <w:spacing w:after="490" w:afterLines="150"/>
              <w:rPr>
                <w:color w:val="auto"/>
                <w:highlight w:val="none"/>
              </w:rPr>
            </w:pPr>
          </w:p>
        </w:tc>
        <w:tc>
          <w:tcPr>
            <w:tcW w:w="1240" w:type="dxa"/>
          </w:tcPr>
          <w:p w14:paraId="022E3E26">
            <w:pPr>
              <w:spacing w:after="490" w:afterLines="150"/>
              <w:rPr>
                <w:color w:val="auto"/>
                <w:highlight w:val="none"/>
              </w:rPr>
            </w:pPr>
          </w:p>
        </w:tc>
      </w:tr>
      <w:tr w14:paraId="32ED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48B09121">
            <w:pPr>
              <w:spacing w:after="490" w:afterLines="150"/>
              <w:rPr>
                <w:color w:val="auto"/>
                <w:highlight w:val="none"/>
              </w:rPr>
            </w:pPr>
          </w:p>
        </w:tc>
        <w:tc>
          <w:tcPr>
            <w:tcW w:w="1073" w:type="dxa"/>
          </w:tcPr>
          <w:p w14:paraId="38BC8D35">
            <w:pPr>
              <w:spacing w:after="490" w:afterLines="150"/>
              <w:rPr>
                <w:color w:val="auto"/>
                <w:highlight w:val="none"/>
              </w:rPr>
            </w:pPr>
          </w:p>
        </w:tc>
        <w:tc>
          <w:tcPr>
            <w:tcW w:w="992" w:type="dxa"/>
          </w:tcPr>
          <w:p w14:paraId="34820B83">
            <w:pPr>
              <w:spacing w:after="490" w:afterLines="150"/>
              <w:rPr>
                <w:color w:val="auto"/>
                <w:highlight w:val="none"/>
              </w:rPr>
            </w:pPr>
          </w:p>
        </w:tc>
        <w:tc>
          <w:tcPr>
            <w:tcW w:w="656" w:type="dxa"/>
          </w:tcPr>
          <w:p w14:paraId="7C007196">
            <w:pPr>
              <w:spacing w:after="490" w:afterLines="150"/>
              <w:rPr>
                <w:color w:val="auto"/>
                <w:highlight w:val="none"/>
              </w:rPr>
            </w:pPr>
          </w:p>
        </w:tc>
        <w:tc>
          <w:tcPr>
            <w:tcW w:w="907" w:type="dxa"/>
          </w:tcPr>
          <w:p w14:paraId="38126EE5">
            <w:pPr>
              <w:spacing w:after="490" w:afterLines="150"/>
              <w:rPr>
                <w:color w:val="auto"/>
                <w:highlight w:val="none"/>
              </w:rPr>
            </w:pPr>
          </w:p>
        </w:tc>
        <w:tc>
          <w:tcPr>
            <w:tcW w:w="907" w:type="dxa"/>
          </w:tcPr>
          <w:p w14:paraId="36351425">
            <w:pPr>
              <w:spacing w:after="490" w:afterLines="150"/>
              <w:rPr>
                <w:color w:val="auto"/>
                <w:highlight w:val="none"/>
              </w:rPr>
            </w:pPr>
          </w:p>
        </w:tc>
        <w:tc>
          <w:tcPr>
            <w:tcW w:w="1074" w:type="dxa"/>
          </w:tcPr>
          <w:p w14:paraId="2D5297D3">
            <w:pPr>
              <w:spacing w:after="490" w:afterLines="150"/>
              <w:rPr>
                <w:color w:val="auto"/>
                <w:highlight w:val="none"/>
              </w:rPr>
            </w:pPr>
          </w:p>
        </w:tc>
        <w:tc>
          <w:tcPr>
            <w:tcW w:w="740" w:type="dxa"/>
          </w:tcPr>
          <w:p w14:paraId="54973EF6">
            <w:pPr>
              <w:spacing w:after="490" w:afterLines="150"/>
              <w:rPr>
                <w:color w:val="auto"/>
                <w:highlight w:val="none"/>
              </w:rPr>
            </w:pPr>
          </w:p>
        </w:tc>
        <w:tc>
          <w:tcPr>
            <w:tcW w:w="1240" w:type="dxa"/>
          </w:tcPr>
          <w:p w14:paraId="49573DE1">
            <w:pPr>
              <w:spacing w:after="490" w:afterLines="150"/>
              <w:rPr>
                <w:color w:val="auto"/>
                <w:highlight w:val="none"/>
              </w:rPr>
            </w:pPr>
          </w:p>
        </w:tc>
      </w:tr>
      <w:tr w14:paraId="1CB4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67887580">
            <w:pPr>
              <w:spacing w:after="490" w:afterLines="150"/>
              <w:rPr>
                <w:color w:val="auto"/>
                <w:highlight w:val="none"/>
              </w:rPr>
            </w:pPr>
          </w:p>
        </w:tc>
        <w:tc>
          <w:tcPr>
            <w:tcW w:w="1073" w:type="dxa"/>
          </w:tcPr>
          <w:p w14:paraId="7910A775">
            <w:pPr>
              <w:spacing w:after="490" w:afterLines="150"/>
              <w:rPr>
                <w:color w:val="auto"/>
                <w:highlight w:val="none"/>
              </w:rPr>
            </w:pPr>
          </w:p>
        </w:tc>
        <w:tc>
          <w:tcPr>
            <w:tcW w:w="992" w:type="dxa"/>
          </w:tcPr>
          <w:p w14:paraId="0EF52C4B">
            <w:pPr>
              <w:spacing w:after="490" w:afterLines="150"/>
              <w:rPr>
                <w:color w:val="auto"/>
                <w:highlight w:val="none"/>
              </w:rPr>
            </w:pPr>
          </w:p>
        </w:tc>
        <w:tc>
          <w:tcPr>
            <w:tcW w:w="656" w:type="dxa"/>
          </w:tcPr>
          <w:p w14:paraId="6EB0E53A">
            <w:pPr>
              <w:spacing w:after="490" w:afterLines="150"/>
              <w:rPr>
                <w:color w:val="auto"/>
                <w:highlight w:val="none"/>
              </w:rPr>
            </w:pPr>
          </w:p>
        </w:tc>
        <w:tc>
          <w:tcPr>
            <w:tcW w:w="907" w:type="dxa"/>
          </w:tcPr>
          <w:p w14:paraId="1356D3D1">
            <w:pPr>
              <w:spacing w:after="490" w:afterLines="150"/>
              <w:rPr>
                <w:color w:val="auto"/>
                <w:highlight w:val="none"/>
              </w:rPr>
            </w:pPr>
          </w:p>
        </w:tc>
        <w:tc>
          <w:tcPr>
            <w:tcW w:w="907" w:type="dxa"/>
          </w:tcPr>
          <w:p w14:paraId="0508A237">
            <w:pPr>
              <w:spacing w:after="490" w:afterLines="150"/>
              <w:rPr>
                <w:color w:val="auto"/>
                <w:highlight w:val="none"/>
              </w:rPr>
            </w:pPr>
          </w:p>
        </w:tc>
        <w:tc>
          <w:tcPr>
            <w:tcW w:w="1074" w:type="dxa"/>
          </w:tcPr>
          <w:p w14:paraId="3743CEAE">
            <w:pPr>
              <w:spacing w:after="490" w:afterLines="150"/>
              <w:rPr>
                <w:color w:val="auto"/>
                <w:highlight w:val="none"/>
              </w:rPr>
            </w:pPr>
          </w:p>
        </w:tc>
        <w:tc>
          <w:tcPr>
            <w:tcW w:w="740" w:type="dxa"/>
          </w:tcPr>
          <w:p w14:paraId="3F5CB39D">
            <w:pPr>
              <w:spacing w:after="490" w:afterLines="150"/>
              <w:rPr>
                <w:color w:val="auto"/>
                <w:highlight w:val="none"/>
              </w:rPr>
            </w:pPr>
          </w:p>
        </w:tc>
        <w:tc>
          <w:tcPr>
            <w:tcW w:w="1240" w:type="dxa"/>
          </w:tcPr>
          <w:p w14:paraId="62637609">
            <w:pPr>
              <w:spacing w:after="490" w:afterLines="150"/>
              <w:rPr>
                <w:color w:val="auto"/>
                <w:highlight w:val="none"/>
              </w:rPr>
            </w:pPr>
          </w:p>
        </w:tc>
      </w:tr>
      <w:tr w14:paraId="6B64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43ADA916">
            <w:pPr>
              <w:spacing w:after="490" w:afterLines="150"/>
              <w:rPr>
                <w:color w:val="auto"/>
                <w:highlight w:val="none"/>
              </w:rPr>
            </w:pPr>
          </w:p>
        </w:tc>
        <w:tc>
          <w:tcPr>
            <w:tcW w:w="1073" w:type="dxa"/>
          </w:tcPr>
          <w:p w14:paraId="783C794B">
            <w:pPr>
              <w:spacing w:after="490" w:afterLines="150"/>
              <w:rPr>
                <w:color w:val="auto"/>
                <w:highlight w:val="none"/>
              </w:rPr>
            </w:pPr>
          </w:p>
        </w:tc>
        <w:tc>
          <w:tcPr>
            <w:tcW w:w="992" w:type="dxa"/>
          </w:tcPr>
          <w:p w14:paraId="43063D50">
            <w:pPr>
              <w:spacing w:after="490" w:afterLines="150"/>
              <w:rPr>
                <w:color w:val="auto"/>
                <w:highlight w:val="none"/>
              </w:rPr>
            </w:pPr>
          </w:p>
        </w:tc>
        <w:tc>
          <w:tcPr>
            <w:tcW w:w="656" w:type="dxa"/>
          </w:tcPr>
          <w:p w14:paraId="616B04B2">
            <w:pPr>
              <w:spacing w:after="490" w:afterLines="150"/>
              <w:rPr>
                <w:color w:val="auto"/>
                <w:highlight w:val="none"/>
              </w:rPr>
            </w:pPr>
          </w:p>
        </w:tc>
        <w:tc>
          <w:tcPr>
            <w:tcW w:w="907" w:type="dxa"/>
          </w:tcPr>
          <w:p w14:paraId="61A00A50">
            <w:pPr>
              <w:spacing w:after="490" w:afterLines="150"/>
              <w:rPr>
                <w:color w:val="auto"/>
                <w:highlight w:val="none"/>
              </w:rPr>
            </w:pPr>
          </w:p>
        </w:tc>
        <w:tc>
          <w:tcPr>
            <w:tcW w:w="907" w:type="dxa"/>
          </w:tcPr>
          <w:p w14:paraId="53B87D3F">
            <w:pPr>
              <w:spacing w:after="490" w:afterLines="150"/>
              <w:rPr>
                <w:color w:val="auto"/>
                <w:highlight w:val="none"/>
              </w:rPr>
            </w:pPr>
          </w:p>
        </w:tc>
        <w:tc>
          <w:tcPr>
            <w:tcW w:w="1074" w:type="dxa"/>
          </w:tcPr>
          <w:p w14:paraId="67A9C016">
            <w:pPr>
              <w:spacing w:after="490" w:afterLines="150"/>
              <w:rPr>
                <w:color w:val="auto"/>
                <w:highlight w:val="none"/>
              </w:rPr>
            </w:pPr>
          </w:p>
        </w:tc>
        <w:tc>
          <w:tcPr>
            <w:tcW w:w="740" w:type="dxa"/>
          </w:tcPr>
          <w:p w14:paraId="763B02E7">
            <w:pPr>
              <w:spacing w:after="490" w:afterLines="150"/>
              <w:rPr>
                <w:color w:val="auto"/>
                <w:highlight w:val="none"/>
              </w:rPr>
            </w:pPr>
          </w:p>
        </w:tc>
        <w:tc>
          <w:tcPr>
            <w:tcW w:w="1240" w:type="dxa"/>
          </w:tcPr>
          <w:p w14:paraId="50EB3BDF">
            <w:pPr>
              <w:spacing w:after="490" w:afterLines="150"/>
              <w:rPr>
                <w:color w:val="auto"/>
                <w:highlight w:val="none"/>
              </w:rPr>
            </w:pPr>
          </w:p>
        </w:tc>
      </w:tr>
      <w:tr w14:paraId="4FEA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13206F2E">
            <w:pPr>
              <w:spacing w:after="490" w:afterLines="150"/>
              <w:rPr>
                <w:color w:val="auto"/>
                <w:highlight w:val="none"/>
              </w:rPr>
            </w:pPr>
          </w:p>
        </w:tc>
        <w:tc>
          <w:tcPr>
            <w:tcW w:w="1073" w:type="dxa"/>
          </w:tcPr>
          <w:p w14:paraId="5E55E3B1">
            <w:pPr>
              <w:spacing w:after="490" w:afterLines="150"/>
              <w:rPr>
                <w:color w:val="auto"/>
                <w:highlight w:val="none"/>
              </w:rPr>
            </w:pPr>
          </w:p>
        </w:tc>
        <w:tc>
          <w:tcPr>
            <w:tcW w:w="992" w:type="dxa"/>
          </w:tcPr>
          <w:p w14:paraId="200CEF0B">
            <w:pPr>
              <w:spacing w:after="490" w:afterLines="150"/>
              <w:rPr>
                <w:color w:val="auto"/>
                <w:highlight w:val="none"/>
              </w:rPr>
            </w:pPr>
          </w:p>
        </w:tc>
        <w:tc>
          <w:tcPr>
            <w:tcW w:w="656" w:type="dxa"/>
          </w:tcPr>
          <w:p w14:paraId="2B3B487F">
            <w:pPr>
              <w:spacing w:after="490" w:afterLines="150"/>
              <w:rPr>
                <w:color w:val="auto"/>
                <w:highlight w:val="none"/>
              </w:rPr>
            </w:pPr>
          </w:p>
        </w:tc>
        <w:tc>
          <w:tcPr>
            <w:tcW w:w="907" w:type="dxa"/>
          </w:tcPr>
          <w:p w14:paraId="1C58FF43">
            <w:pPr>
              <w:spacing w:after="490" w:afterLines="150"/>
              <w:rPr>
                <w:color w:val="auto"/>
                <w:highlight w:val="none"/>
              </w:rPr>
            </w:pPr>
          </w:p>
        </w:tc>
        <w:tc>
          <w:tcPr>
            <w:tcW w:w="907" w:type="dxa"/>
          </w:tcPr>
          <w:p w14:paraId="1D457FFD">
            <w:pPr>
              <w:spacing w:after="490" w:afterLines="150"/>
              <w:rPr>
                <w:color w:val="auto"/>
                <w:highlight w:val="none"/>
              </w:rPr>
            </w:pPr>
          </w:p>
        </w:tc>
        <w:tc>
          <w:tcPr>
            <w:tcW w:w="1074" w:type="dxa"/>
          </w:tcPr>
          <w:p w14:paraId="0E4BCDCD">
            <w:pPr>
              <w:spacing w:after="490" w:afterLines="150"/>
              <w:rPr>
                <w:color w:val="auto"/>
                <w:highlight w:val="none"/>
              </w:rPr>
            </w:pPr>
          </w:p>
        </w:tc>
        <w:tc>
          <w:tcPr>
            <w:tcW w:w="740" w:type="dxa"/>
          </w:tcPr>
          <w:p w14:paraId="0D22F07E">
            <w:pPr>
              <w:spacing w:after="490" w:afterLines="150"/>
              <w:rPr>
                <w:color w:val="auto"/>
                <w:highlight w:val="none"/>
              </w:rPr>
            </w:pPr>
          </w:p>
        </w:tc>
        <w:tc>
          <w:tcPr>
            <w:tcW w:w="1240" w:type="dxa"/>
          </w:tcPr>
          <w:p w14:paraId="1070BC09">
            <w:pPr>
              <w:spacing w:after="490" w:afterLines="150"/>
              <w:rPr>
                <w:color w:val="auto"/>
                <w:highlight w:val="none"/>
              </w:rPr>
            </w:pPr>
          </w:p>
        </w:tc>
      </w:tr>
      <w:tr w14:paraId="0BD2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tcPr>
          <w:p w14:paraId="6EEACB92">
            <w:pPr>
              <w:spacing w:after="490" w:afterLines="150"/>
              <w:rPr>
                <w:color w:val="auto"/>
                <w:highlight w:val="none"/>
              </w:rPr>
            </w:pPr>
          </w:p>
        </w:tc>
        <w:tc>
          <w:tcPr>
            <w:tcW w:w="1073" w:type="dxa"/>
          </w:tcPr>
          <w:p w14:paraId="40908CE9">
            <w:pPr>
              <w:spacing w:after="490" w:afterLines="150"/>
              <w:rPr>
                <w:color w:val="auto"/>
                <w:highlight w:val="none"/>
              </w:rPr>
            </w:pPr>
          </w:p>
        </w:tc>
        <w:tc>
          <w:tcPr>
            <w:tcW w:w="992" w:type="dxa"/>
          </w:tcPr>
          <w:p w14:paraId="047A9DA4">
            <w:pPr>
              <w:spacing w:after="490" w:afterLines="150"/>
              <w:rPr>
                <w:color w:val="auto"/>
                <w:highlight w:val="none"/>
              </w:rPr>
            </w:pPr>
          </w:p>
        </w:tc>
        <w:tc>
          <w:tcPr>
            <w:tcW w:w="656" w:type="dxa"/>
          </w:tcPr>
          <w:p w14:paraId="6EFE4BA1">
            <w:pPr>
              <w:spacing w:after="490" w:afterLines="150"/>
              <w:rPr>
                <w:color w:val="auto"/>
                <w:highlight w:val="none"/>
              </w:rPr>
            </w:pPr>
          </w:p>
        </w:tc>
        <w:tc>
          <w:tcPr>
            <w:tcW w:w="907" w:type="dxa"/>
          </w:tcPr>
          <w:p w14:paraId="2CA86264">
            <w:pPr>
              <w:spacing w:after="490" w:afterLines="150"/>
              <w:rPr>
                <w:color w:val="auto"/>
                <w:highlight w:val="none"/>
              </w:rPr>
            </w:pPr>
          </w:p>
        </w:tc>
        <w:tc>
          <w:tcPr>
            <w:tcW w:w="907" w:type="dxa"/>
          </w:tcPr>
          <w:p w14:paraId="52D35664">
            <w:pPr>
              <w:spacing w:after="490" w:afterLines="150"/>
              <w:rPr>
                <w:color w:val="auto"/>
                <w:highlight w:val="none"/>
              </w:rPr>
            </w:pPr>
          </w:p>
        </w:tc>
        <w:tc>
          <w:tcPr>
            <w:tcW w:w="1074" w:type="dxa"/>
          </w:tcPr>
          <w:p w14:paraId="10A61FC9">
            <w:pPr>
              <w:spacing w:after="490" w:afterLines="150"/>
              <w:rPr>
                <w:color w:val="auto"/>
                <w:highlight w:val="none"/>
              </w:rPr>
            </w:pPr>
          </w:p>
        </w:tc>
        <w:tc>
          <w:tcPr>
            <w:tcW w:w="740" w:type="dxa"/>
          </w:tcPr>
          <w:p w14:paraId="501E133F">
            <w:pPr>
              <w:spacing w:after="490" w:afterLines="150"/>
              <w:rPr>
                <w:color w:val="auto"/>
                <w:highlight w:val="none"/>
              </w:rPr>
            </w:pPr>
          </w:p>
        </w:tc>
        <w:tc>
          <w:tcPr>
            <w:tcW w:w="1240" w:type="dxa"/>
          </w:tcPr>
          <w:p w14:paraId="2CD53EB1">
            <w:pPr>
              <w:spacing w:after="490" w:afterLines="150"/>
              <w:rPr>
                <w:color w:val="auto"/>
                <w:highlight w:val="none"/>
              </w:rPr>
            </w:pPr>
          </w:p>
        </w:tc>
      </w:tr>
    </w:tbl>
    <w:p w14:paraId="304A7900">
      <w:pPr>
        <w:spacing w:after="490" w:afterLines="150"/>
        <w:ind w:left="627" w:firstLine="842" w:firstLineChars="351"/>
        <w:rPr>
          <w:color w:val="auto"/>
          <w:highlight w:val="none"/>
        </w:rPr>
      </w:pPr>
    </w:p>
    <w:p w14:paraId="3410B750">
      <w:pPr>
        <w:widowControl/>
        <w:rPr>
          <w:color w:val="auto"/>
          <w:highlight w:val="none"/>
        </w:rPr>
      </w:pPr>
      <w:r>
        <w:rPr>
          <w:color w:val="auto"/>
          <w:highlight w:val="none"/>
        </w:rPr>
        <w:br w:type="page"/>
      </w:r>
    </w:p>
    <w:p w14:paraId="00554864">
      <w:pPr>
        <w:spacing w:line="360" w:lineRule="auto"/>
        <w:jc w:val="center"/>
        <w:rPr>
          <w:rFonts w:hint="eastAsia" w:ascii="宋体" w:hAnsi="宋体" w:cs="宋体"/>
          <w:b/>
          <w:bCs/>
          <w:color w:val="auto"/>
          <w:sz w:val="28"/>
          <w:szCs w:val="28"/>
          <w:highlight w:val="none"/>
        </w:rPr>
      </w:pPr>
    </w:p>
    <w:p w14:paraId="62C6CD03">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表</w:t>
      </w:r>
      <w:r>
        <w:rPr>
          <w:rFonts w:ascii="宋体" w:hAnsi="宋体" w:cs="宋体"/>
          <w:b/>
          <w:bCs/>
          <w:color w:val="auto"/>
          <w:sz w:val="28"/>
          <w:szCs w:val="28"/>
          <w:highlight w:val="none"/>
        </w:rPr>
        <w:t xml:space="preserve">2  </w:t>
      </w:r>
      <w:r>
        <w:rPr>
          <w:rFonts w:hint="eastAsia" w:ascii="仿宋" w:hAnsi="仿宋" w:eastAsia="仿宋" w:cs="宋体"/>
          <w:b/>
          <w:bCs/>
          <w:color w:val="auto"/>
          <w:sz w:val="30"/>
          <w:szCs w:val="30"/>
          <w:highlight w:val="none"/>
        </w:rPr>
        <w:t xml:space="preserve"> </w:t>
      </w:r>
      <w:r>
        <w:rPr>
          <w:rFonts w:hint="eastAsia"/>
          <w:color w:val="auto"/>
          <w:highlight w:val="none"/>
        </w:rPr>
        <w:t>☑</w:t>
      </w:r>
      <w:r>
        <w:rPr>
          <w:rFonts w:hint="eastAsia" w:ascii="宋体" w:hAnsi="宋体" w:cs="宋体"/>
          <w:b/>
          <w:bCs/>
          <w:color w:val="auto"/>
          <w:sz w:val="28"/>
          <w:szCs w:val="28"/>
          <w:highlight w:val="none"/>
        </w:rPr>
        <w:t>劳动力计划表</w:t>
      </w:r>
    </w:p>
    <w:p w14:paraId="7FB3DE21">
      <w:pPr>
        <w:spacing w:after="163" w:afterLines="50"/>
        <w:ind w:left="629" w:right="480"/>
        <w:jc w:val="right"/>
        <w:rPr>
          <w:color w:val="auto"/>
          <w:highlight w:val="none"/>
        </w:rPr>
      </w:pPr>
      <w:r>
        <w:rPr>
          <w:rFonts w:hint="eastAsia"/>
          <w:color w:val="auto"/>
          <w:highlight w:val="none"/>
        </w:rPr>
        <w:t>单位：人</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050"/>
        <w:gridCol w:w="1050"/>
        <w:gridCol w:w="1049"/>
        <w:gridCol w:w="1049"/>
        <w:gridCol w:w="1049"/>
        <w:gridCol w:w="1049"/>
        <w:gridCol w:w="1049"/>
      </w:tblGrid>
      <w:tr w14:paraId="7097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1050" w:type="dxa"/>
            <w:vMerge w:val="restart"/>
          </w:tcPr>
          <w:p w14:paraId="325D91BF">
            <w:pPr>
              <w:rPr>
                <w:color w:val="auto"/>
                <w:highlight w:val="none"/>
              </w:rPr>
            </w:pPr>
          </w:p>
        </w:tc>
        <w:tc>
          <w:tcPr>
            <w:tcW w:w="7345" w:type="dxa"/>
            <w:gridSpan w:val="7"/>
            <w:vAlign w:val="center"/>
          </w:tcPr>
          <w:p w14:paraId="4AAD2CAB">
            <w:pPr>
              <w:jc w:val="center"/>
              <w:rPr>
                <w:color w:val="auto"/>
                <w:highlight w:val="none"/>
              </w:rPr>
            </w:pPr>
            <w:r>
              <w:rPr>
                <w:rFonts w:hint="eastAsia"/>
                <w:color w:val="auto"/>
                <w:highlight w:val="none"/>
              </w:rPr>
              <w:t>按工程施工阶段投入劳动力情况</w:t>
            </w:r>
          </w:p>
        </w:tc>
      </w:tr>
      <w:tr w14:paraId="72C5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1050" w:type="dxa"/>
            <w:vMerge w:val="continue"/>
          </w:tcPr>
          <w:p w14:paraId="7FEDF502">
            <w:pPr>
              <w:rPr>
                <w:color w:val="auto"/>
                <w:highlight w:val="none"/>
              </w:rPr>
            </w:pPr>
          </w:p>
        </w:tc>
        <w:tc>
          <w:tcPr>
            <w:tcW w:w="1050" w:type="dxa"/>
          </w:tcPr>
          <w:p w14:paraId="66DD3C3E">
            <w:pPr>
              <w:rPr>
                <w:color w:val="auto"/>
                <w:highlight w:val="none"/>
              </w:rPr>
            </w:pPr>
          </w:p>
        </w:tc>
        <w:tc>
          <w:tcPr>
            <w:tcW w:w="1050" w:type="dxa"/>
          </w:tcPr>
          <w:p w14:paraId="505D13BA">
            <w:pPr>
              <w:rPr>
                <w:color w:val="auto"/>
                <w:highlight w:val="none"/>
              </w:rPr>
            </w:pPr>
          </w:p>
        </w:tc>
        <w:tc>
          <w:tcPr>
            <w:tcW w:w="1049" w:type="dxa"/>
          </w:tcPr>
          <w:p w14:paraId="1DCAB46B">
            <w:pPr>
              <w:rPr>
                <w:color w:val="auto"/>
                <w:highlight w:val="none"/>
              </w:rPr>
            </w:pPr>
          </w:p>
        </w:tc>
        <w:tc>
          <w:tcPr>
            <w:tcW w:w="1049" w:type="dxa"/>
          </w:tcPr>
          <w:p w14:paraId="04782B4A">
            <w:pPr>
              <w:rPr>
                <w:color w:val="auto"/>
                <w:highlight w:val="none"/>
              </w:rPr>
            </w:pPr>
          </w:p>
        </w:tc>
        <w:tc>
          <w:tcPr>
            <w:tcW w:w="1049" w:type="dxa"/>
          </w:tcPr>
          <w:p w14:paraId="11217520">
            <w:pPr>
              <w:rPr>
                <w:color w:val="auto"/>
                <w:highlight w:val="none"/>
              </w:rPr>
            </w:pPr>
          </w:p>
        </w:tc>
        <w:tc>
          <w:tcPr>
            <w:tcW w:w="1049" w:type="dxa"/>
          </w:tcPr>
          <w:p w14:paraId="4B970BCA">
            <w:pPr>
              <w:rPr>
                <w:color w:val="auto"/>
                <w:highlight w:val="none"/>
              </w:rPr>
            </w:pPr>
          </w:p>
        </w:tc>
        <w:tc>
          <w:tcPr>
            <w:tcW w:w="1049" w:type="dxa"/>
          </w:tcPr>
          <w:p w14:paraId="7CAC22F0">
            <w:pPr>
              <w:rPr>
                <w:color w:val="auto"/>
                <w:highlight w:val="none"/>
              </w:rPr>
            </w:pPr>
          </w:p>
        </w:tc>
      </w:tr>
      <w:tr w14:paraId="23C0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18236BD1">
            <w:pPr>
              <w:rPr>
                <w:color w:val="auto"/>
                <w:highlight w:val="none"/>
              </w:rPr>
            </w:pPr>
          </w:p>
        </w:tc>
        <w:tc>
          <w:tcPr>
            <w:tcW w:w="1050" w:type="dxa"/>
          </w:tcPr>
          <w:p w14:paraId="21EBF76F">
            <w:pPr>
              <w:rPr>
                <w:color w:val="auto"/>
                <w:highlight w:val="none"/>
              </w:rPr>
            </w:pPr>
          </w:p>
        </w:tc>
        <w:tc>
          <w:tcPr>
            <w:tcW w:w="1050" w:type="dxa"/>
          </w:tcPr>
          <w:p w14:paraId="7480343D">
            <w:pPr>
              <w:rPr>
                <w:color w:val="auto"/>
                <w:highlight w:val="none"/>
              </w:rPr>
            </w:pPr>
          </w:p>
        </w:tc>
        <w:tc>
          <w:tcPr>
            <w:tcW w:w="1049" w:type="dxa"/>
          </w:tcPr>
          <w:p w14:paraId="7560FCF8">
            <w:pPr>
              <w:rPr>
                <w:color w:val="auto"/>
                <w:highlight w:val="none"/>
              </w:rPr>
            </w:pPr>
          </w:p>
        </w:tc>
        <w:tc>
          <w:tcPr>
            <w:tcW w:w="1049" w:type="dxa"/>
          </w:tcPr>
          <w:p w14:paraId="24D5BD31">
            <w:pPr>
              <w:rPr>
                <w:color w:val="auto"/>
                <w:highlight w:val="none"/>
              </w:rPr>
            </w:pPr>
          </w:p>
        </w:tc>
        <w:tc>
          <w:tcPr>
            <w:tcW w:w="1049" w:type="dxa"/>
          </w:tcPr>
          <w:p w14:paraId="36C7C776">
            <w:pPr>
              <w:rPr>
                <w:color w:val="auto"/>
                <w:highlight w:val="none"/>
              </w:rPr>
            </w:pPr>
          </w:p>
        </w:tc>
        <w:tc>
          <w:tcPr>
            <w:tcW w:w="1049" w:type="dxa"/>
          </w:tcPr>
          <w:p w14:paraId="293BB85C">
            <w:pPr>
              <w:rPr>
                <w:color w:val="auto"/>
                <w:highlight w:val="none"/>
              </w:rPr>
            </w:pPr>
          </w:p>
        </w:tc>
        <w:tc>
          <w:tcPr>
            <w:tcW w:w="1049" w:type="dxa"/>
          </w:tcPr>
          <w:p w14:paraId="731C67A0">
            <w:pPr>
              <w:rPr>
                <w:color w:val="auto"/>
                <w:highlight w:val="none"/>
              </w:rPr>
            </w:pPr>
          </w:p>
        </w:tc>
      </w:tr>
      <w:tr w14:paraId="128D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281E6C21">
            <w:pPr>
              <w:rPr>
                <w:color w:val="auto"/>
                <w:highlight w:val="none"/>
              </w:rPr>
            </w:pPr>
          </w:p>
        </w:tc>
        <w:tc>
          <w:tcPr>
            <w:tcW w:w="1050" w:type="dxa"/>
          </w:tcPr>
          <w:p w14:paraId="3226E6C9">
            <w:pPr>
              <w:rPr>
                <w:color w:val="auto"/>
                <w:highlight w:val="none"/>
              </w:rPr>
            </w:pPr>
          </w:p>
        </w:tc>
        <w:tc>
          <w:tcPr>
            <w:tcW w:w="1050" w:type="dxa"/>
          </w:tcPr>
          <w:p w14:paraId="19707AB9">
            <w:pPr>
              <w:rPr>
                <w:color w:val="auto"/>
                <w:highlight w:val="none"/>
              </w:rPr>
            </w:pPr>
          </w:p>
        </w:tc>
        <w:tc>
          <w:tcPr>
            <w:tcW w:w="1049" w:type="dxa"/>
          </w:tcPr>
          <w:p w14:paraId="0B20CC8C">
            <w:pPr>
              <w:rPr>
                <w:color w:val="auto"/>
                <w:highlight w:val="none"/>
              </w:rPr>
            </w:pPr>
          </w:p>
        </w:tc>
        <w:tc>
          <w:tcPr>
            <w:tcW w:w="1049" w:type="dxa"/>
          </w:tcPr>
          <w:p w14:paraId="0453D953">
            <w:pPr>
              <w:rPr>
                <w:color w:val="auto"/>
                <w:highlight w:val="none"/>
              </w:rPr>
            </w:pPr>
          </w:p>
        </w:tc>
        <w:tc>
          <w:tcPr>
            <w:tcW w:w="1049" w:type="dxa"/>
          </w:tcPr>
          <w:p w14:paraId="1FC4FD0D">
            <w:pPr>
              <w:rPr>
                <w:color w:val="auto"/>
                <w:highlight w:val="none"/>
              </w:rPr>
            </w:pPr>
          </w:p>
        </w:tc>
        <w:tc>
          <w:tcPr>
            <w:tcW w:w="1049" w:type="dxa"/>
          </w:tcPr>
          <w:p w14:paraId="632CA287">
            <w:pPr>
              <w:rPr>
                <w:color w:val="auto"/>
                <w:highlight w:val="none"/>
              </w:rPr>
            </w:pPr>
          </w:p>
        </w:tc>
        <w:tc>
          <w:tcPr>
            <w:tcW w:w="1049" w:type="dxa"/>
          </w:tcPr>
          <w:p w14:paraId="426407D5">
            <w:pPr>
              <w:rPr>
                <w:color w:val="auto"/>
                <w:highlight w:val="none"/>
              </w:rPr>
            </w:pPr>
          </w:p>
        </w:tc>
      </w:tr>
      <w:tr w14:paraId="555B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53DDB3E9">
            <w:pPr>
              <w:rPr>
                <w:color w:val="auto"/>
                <w:highlight w:val="none"/>
              </w:rPr>
            </w:pPr>
          </w:p>
        </w:tc>
        <w:tc>
          <w:tcPr>
            <w:tcW w:w="1050" w:type="dxa"/>
          </w:tcPr>
          <w:p w14:paraId="7B4BC988">
            <w:pPr>
              <w:rPr>
                <w:color w:val="auto"/>
                <w:highlight w:val="none"/>
              </w:rPr>
            </w:pPr>
          </w:p>
        </w:tc>
        <w:tc>
          <w:tcPr>
            <w:tcW w:w="1050" w:type="dxa"/>
          </w:tcPr>
          <w:p w14:paraId="257F6915">
            <w:pPr>
              <w:rPr>
                <w:color w:val="auto"/>
                <w:highlight w:val="none"/>
              </w:rPr>
            </w:pPr>
          </w:p>
        </w:tc>
        <w:tc>
          <w:tcPr>
            <w:tcW w:w="1049" w:type="dxa"/>
          </w:tcPr>
          <w:p w14:paraId="23EF1C14">
            <w:pPr>
              <w:rPr>
                <w:color w:val="auto"/>
                <w:highlight w:val="none"/>
              </w:rPr>
            </w:pPr>
          </w:p>
        </w:tc>
        <w:tc>
          <w:tcPr>
            <w:tcW w:w="1049" w:type="dxa"/>
          </w:tcPr>
          <w:p w14:paraId="2714EFC0">
            <w:pPr>
              <w:rPr>
                <w:color w:val="auto"/>
                <w:highlight w:val="none"/>
              </w:rPr>
            </w:pPr>
          </w:p>
        </w:tc>
        <w:tc>
          <w:tcPr>
            <w:tcW w:w="1049" w:type="dxa"/>
          </w:tcPr>
          <w:p w14:paraId="693E7356">
            <w:pPr>
              <w:rPr>
                <w:color w:val="auto"/>
                <w:highlight w:val="none"/>
              </w:rPr>
            </w:pPr>
          </w:p>
        </w:tc>
        <w:tc>
          <w:tcPr>
            <w:tcW w:w="1049" w:type="dxa"/>
          </w:tcPr>
          <w:p w14:paraId="1BDB9B3D">
            <w:pPr>
              <w:rPr>
                <w:color w:val="auto"/>
                <w:highlight w:val="none"/>
              </w:rPr>
            </w:pPr>
          </w:p>
        </w:tc>
        <w:tc>
          <w:tcPr>
            <w:tcW w:w="1049" w:type="dxa"/>
          </w:tcPr>
          <w:p w14:paraId="52DF2357">
            <w:pPr>
              <w:rPr>
                <w:color w:val="auto"/>
                <w:highlight w:val="none"/>
              </w:rPr>
            </w:pPr>
          </w:p>
        </w:tc>
      </w:tr>
      <w:tr w14:paraId="64CB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351306AB">
            <w:pPr>
              <w:rPr>
                <w:color w:val="auto"/>
                <w:highlight w:val="none"/>
              </w:rPr>
            </w:pPr>
          </w:p>
        </w:tc>
        <w:tc>
          <w:tcPr>
            <w:tcW w:w="1050" w:type="dxa"/>
          </w:tcPr>
          <w:p w14:paraId="35F38BDD">
            <w:pPr>
              <w:rPr>
                <w:color w:val="auto"/>
                <w:highlight w:val="none"/>
              </w:rPr>
            </w:pPr>
          </w:p>
        </w:tc>
        <w:tc>
          <w:tcPr>
            <w:tcW w:w="1050" w:type="dxa"/>
          </w:tcPr>
          <w:p w14:paraId="5B496A89">
            <w:pPr>
              <w:rPr>
                <w:color w:val="auto"/>
                <w:highlight w:val="none"/>
              </w:rPr>
            </w:pPr>
          </w:p>
        </w:tc>
        <w:tc>
          <w:tcPr>
            <w:tcW w:w="1049" w:type="dxa"/>
          </w:tcPr>
          <w:p w14:paraId="2A88EE06">
            <w:pPr>
              <w:rPr>
                <w:color w:val="auto"/>
                <w:highlight w:val="none"/>
              </w:rPr>
            </w:pPr>
          </w:p>
        </w:tc>
        <w:tc>
          <w:tcPr>
            <w:tcW w:w="1049" w:type="dxa"/>
          </w:tcPr>
          <w:p w14:paraId="6220375E">
            <w:pPr>
              <w:rPr>
                <w:color w:val="auto"/>
                <w:highlight w:val="none"/>
              </w:rPr>
            </w:pPr>
          </w:p>
        </w:tc>
        <w:tc>
          <w:tcPr>
            <w:tcW w:w="1049" w:type="dxa"/>
          </w:tcPr>
          <w:p w14:paraId="08F8ED2A">
            <w:pPr>
              <w:rPr>
                <w:color w:val="auto"/>
                <w:highlight w:val="none"/>
              </w:rPr>
            </w:pPr>
          </w:p>
        </w:tc>
        <w:tc>
          <w:tcPr>
            <w:tcW w:w="1049" w:type="dxa"/>
          </w:tcPr>
          <w:p w14:paraId="50AF19D5">
            <w:pPr>
              <w:rPr>
                <w:color w:val="auto"/>
                <w:highlight w:val="none"/>
              </w:rPr>
            </w:pPr>
          </w:p>
        </w:tc>
        <w:tc>
          <w:tcPr>
            <w:tcW w:w="1049" w:type="dxa"/>
          </w:tcPr>
          <w:p w14:paraId="687ED558">
            <w:pPr>
              <w:rPr>
                <w:color w:val="auto"/>
                <w:highlight w:val="none"/>
              </w:rPr>
            </w:pPr>
          </w:p>
        </w:tc>
      </w:tr>
      <w:tr w14:paraId="52A7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707057F2">
            <w:pPr>
              <w:rPr>
                <w:color w:val="auto"/>
                <w:highlight w:val="none"/>
              </w:rPr>
            </w:pPr>
          </w:p>
        </w:tc>
        <w:tc>
          <w:tcPr>
            <w:tcW w:w="1050" w:type="dxa"/>
          </w:tcPr>
          <w:p w14:paraId="20EAE184">
            <w:pPr>
              <w:rPr>
                <w:color w:val="auto"/>
                <w:highlight w:val="none"/>
              </w:rPr>
            </w:pPr>
          </w:p>
        </w:tc>
        <w:tc>
          <w:tcPr>
            <w:tcW w:w="1050" w:type="dxa"/>
          </w:tcPr>
          <w:p w14:paraId="6DDA4F81">
            <w:pPr>
              <w:rPr>
                <w:color w:val="auto"/>
                <w:highlight w:val="none"/>
              </w:rPr>
            </w:pPr>
          </w:p>
        </w:tc>
        <w:tc>
          <w:tcPr>
            <w:tcW w:w="1049" w:type="dxa"/>
          </w:tcPr>
          <w:p w14:paraId="6B28FDCC">
            <w:pPr>
              <w:rPr>
                <w:color w:val="auto"/>
                <w:highlight w:val="none"/>
              </w:rPr>
            </w:pPr>
          </w:p>
        </w:tc>
        <w:tc>
          <w:tcPr>
            <w:tcW w:w="1049" w:type="dxa"/>
          </w:tcPr>
          <w:p w14:paraId="1E9D77B8">
            <w:pPr>
              <w:rPr>
                <w:color w:val="auto"/>
                <w:highlight w:val="none"/>
              </w:rPr>
            </w:pPr>
          </w:p>
        </w:tc>
        <w:tc>
          <w:tcPr>
            <w:tcW w:w="1049" w:type="dxa"/>
          </w:tcPr>
          <w:p w14:paraId="1A068405">
            <w:pPr>
              <w:rPr>
                <w:color w:val="auto"/>
                <w:highlight w:val="none"/>
              </w:rPr>
            </w:pPr>
          </w:p>
        </w:tc>
        <w:tc>
          <w:tcPr>
            <w:tcW w:w="1049" w:type="dxa"/>
          </w:tcPr>
          <w:p w14:paraId="070373CF">
            <w:pPr>
              <w:rPr>
                <w:color w:val="auto"/>
                <w:highlight w:val="none"/>
              </w:rPr>
            </w:pPr>
          </w:p>
        </w:tc>
        <w:tc>
          <w:tcPr>
            <w:tcW w:w="1049" w:type="dxa"/>
          </w:tcPr>
          <w:p w14:paraId="2A7E8452">
            <w:pPr>
              <w:rPr>
                <w:color w:val="auto"/>
                <w:highlight w:val="none"/>
              </w:rPr>
            </w:pPr>
          </w:p>
        </w:tc>
      </w:tr>
      <w:tr w14:paraId="4C07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6F8A29ED">
            <w:pPr>
              <w:rPr>
                <w:color w:val="auto"/>
                <w:highlight w:val="none"/>
              </w:rPr>
            </w:pPr>
          </w:p>
        </w:tc>
        <w:tc>
          <w:tcPr>
            <w:tcW w:w="1050" w:type="dxa"/>
          </w:tcPr>
          <w:p w14:paraId="22774E8D">
            <w:pPr>
              <w:rPr>
                <w:color w:val="auto"/>
                <w:highlight w:val="none"/>
              </w:rPr>
            </w:pPr>
          </w:p>
        </w:tc>
        <w:tc>
          <w:tcPr>
            <w:tcW w:w="1050" w:type="dxa"/>
          </w:tcPr>
          <w:p w14:paraId="560D4EF6">
            <w:pPr>
              <w:rPr>
                <w:color w:val="auto"/>
                <w:highlight w:val="none"/>
              </w:rPr>
            </w:pPr>
          </w:p>
        </w:tc>
        <w:tc>
          <w:tcPr>
            <w:tcW w:w="1049" w:type="dxa"/>
          </w:tcPr>
          <w:p w14:paraId="579B281B">
            <w:pPr>
              <w:rPr>
                <w:color w:val="auto"/>
                <w:highlight w:val="none"/>
              </w:rPr>
            </w:pPr>
          </w:p>
        </w:tc>
        <w:tc>
          <w:tcPr>
            <w:tcW w:w="1049" w:type="dxa"/>
          </w:tcPr>
          <w:p w14:paraId="765E6D7F">
            <w:pPr>
              <w:rPr>
                <w:color w:val="auto"/>
                <w:highlight w:val="none"/>
              </w:rPr>
            </w:pPr>
          </w:p>
        </w:tc>
        <w:tc>
          <w:tcPr>
            <w:tcW w:w="1049" w:type="dxa"/>
          </w:tcPr>
          <w:p w14:paraId="1F9B8B3D">
            <w:pPr>
              <w:rPr>
                <w:color w:val="auto"/>
                <w:highlight w:val="none"/>
              </w:rPr>
            </w:pPr>
          </w:p>
        </w:tc>
        <w:tc>
          <w:tcPr>
            <w:tcW w:w="1049" w:type="dxa"/>
          </w:tcPr>
          <w:p w14:paraId="2D395E6E">
            <w:pPr>
              <w:rPr>
                <w:color w:val="auto"/>
                <w:highlight w:val="none"/>
              </w:rPr>
            </w:pPr>
          </w:p>
        </w:tc>
        <w:tc>
          <w:tcPr>
            <w:tcW w:w="1049" w:type="dxa"/>
          </w:tcPr>
          <w:p w14:paraId="0CE86F71">
            <w:pPr>
              <w:rPr>
                <w:color w:val="auto"/>
                <w:highlight w:val="none"/>
              </w:rPr>
            </w:pPr>
          </w:p>
        </w:tc>
      </w:tr>
      <w:tr w14:paraId="1E21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6754D9DF">
            <w:pPr>
              <w:rPr>
                <w:color w:val="auto"/>
                <w:highlight w:val="none"/>
              </w:rPr>
            </w:pPr>
          </w:p>
        </w:tc>
        <w:tc>
          <w:tcPr>
            <w:tcW w:w="1050" w:type="dxa"/>
          </w:tcPr>
          <w:p w14:paraId="3D371D26">
            <w:pPr>
              <w:rPr>
                <w:color w:val="auto"/>
                <w:highlight w:val="none"/>
              </w:rPr>
            </w:pPr>
          </w:p>
        </w:tc>
        <w:tc>
          <w:tcPr>
            <w:tcW w:w="1050" w:type="dxa"/>
          </w:tcPr>
          <w:p w14:paraId="06660C2E">
            <w:pPr>
              <w:rPr>
                <w:color w:val="auto"/>
                <w:highlight w:val="none"/>
              </w:rPr>
            </w:pPr>
          </w:p>
        </w:tc>
        <w:tc>
          <w:tcPr>
            <w:tcW w:w="1049" w:type="dxa"/>
          </w:tcPr>
          <w:p w14:paraId="13EDFE3B">
            <w:pPr>
              <w:rPr>
                <w:color w:val="auto"/>
                <w:highlight w:val="none"/>
              </w:rPr>
            </w:pPr>
          </w:p>
        </w:tc>
        <w:tc>
          <w:tcPr>
            <w:tcW w:w="1049" w:type="dxa"/>
          </w:tcPr>
          <w:p w14:paraId="2C3ED5C8">
            <w:pPr>
              <w:rPr>
                <w:color w:val="auto"/>
                <w:highlight w:val="none"/>
              </w:rPr>
            </w:pPr>
          </w:p>
        </w:tc>
        <w:tc>
          <w:tcPr>
            <w:tcW w:w="1049" w:type="dxa"/>
          </w:tcPr>
          <w:p w14:paraId="019C23EA">
            <w:pPr>
              <w:rPr>
                <w:color w:val="auto"/>
                <w:highlight w:val="none"/>
              </w:rPr>
            </w:pPr>
          </w:p>
        </w:tc>
        <w:tc>
          <w:tcPr>
            <w:tcW w:w="1049" w:type="dxa"/>
          </w:tcPr>
          <w:p w14:paraId="5E1A7BB5">
            <w:pPr>
              <w:rPr>
                <w:color w:val="auto"/>
                <w:highlight w:val="none"/>
              </w:rPr>
            </w:pPr>
          </w:p>
        </w:tc>
        <w:tc>
          <w:tcPr>
            <w:tcW w:w="1049" w:type="dxa"/>
          </w:tcPr>
          <w:p w14:paraId="3908B555">
            <w:pPr>
              <w:rPr>
                <w:color w:val="auto"/>
                <w:highlight w:val="none"/>
              </w:rPr>
            </w:pPr>
          </w:p>
        </w:tc>
      </w:tr>
      <w:tr w14:paraId="2D03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7FFB41D7">
            <w:pPr>
              <w:rPr>
                <w:color w:val="auto"/>
                <w:highlight w:val="none"/>
              </w:rPr>
            </w:pPr>
          </w:p>
        </w:tc>
        <w:tc>
          <w:tcPr>
            <w:tcW w:w="1050" w:type="dxa"/>
          </w:tcPr>
          <w:p w14:paraId="6519D24F">
            <w:pPr>
              <w:rPr>
                <w:color w:val="auto"/>
                <w:highlight w:val="none"/>
              </w:rPr>
            </w:pPr>
          </w:p>
        </w:tc>
        <w:tc>
          <w:tcPr>
            <w:tcW w:w="1050" w:type="dxa"/>
          </w:tcPr>
          <w:p w14:paraId="2AA60E9F">
            <w:pPr>
              <w:rPr>
                <w:color w:val="auto"/>
                <w:highlight w:val="none"/>
              </w:rPr>
            </w:pPr>
          </w:p>
        </w:tc>
        <w:tc>
          <w:tcPr>
            <w:tcW w:w="1049" w:type="dxa"/>
          </w:tcPr>
          <w:p w14:paraId="3F8BAF25">
            <w:pPr>
              <w:rPr>
                <w:color w:val="auto"/>
                <w:highlight w:val="none"/>
              </w:rPr>
            </w:pPr>
          </w:p>
        </w:tc>
        <w:tc>
          <w:tcPr>
            <w:tcW w:w="1049" w:type="dxa"/>
          </w:tcPr>
          <w:p w14:paraId="6CCAFFEC">
            <w:pPr>
              <w:rPr>
                <w:color w:val="auto"/>
                <w:highlight w:val="none"/>
              </w:rPr>
            </w:pPr>
          </w:p>
        </w:tc>
        <w:tc>
          <w:tcPr>
            <w:tcW w:w="1049" w:type="dxa"/>
          </w:tcPr>
          <w:p w14:paraId="42C8E6A3">
            <w:pPr>
              <w:rPr>
                <w:color w:val="auto"/>
                <w:highlight w:val="none"/>
              </w:rPr>
            </w:pPr>
          </w:p>
        </w:tc>
        <w:tc>
          <w:tcPr>
            <w:tcW w:w="1049" w:type="dxa"/>
          </w:tcPr>
          <w:p w14:paraId="3044D641">
            <w:pPr>
              <w:rPr>
                <w:color w:val="auto"/>
                <w:highlight w:val="none"/>
              </w:rPr>
            </w:pPr>
          </w:p>
        </w:tc>
        <w:tc>
          <w:tcPr>
            <w:tcW w:w="1049" w:type="dxa"/>
          </w:tcPr>
          <w:p w14:paraId="5BDC49B0">
            <w:pPr>
              <w:rPr>
                <w:color w:val="auto"/>
                <w:highlight w:val="none"/>
              </w:rPr>
            </w:pPr>
          </w:p>
        </w:tc>
      </w:tr>
      <w:tr w14:paraId="5795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0547581F">
            <w:pPr>
              <w:rPr>
                <w:color w:val="auto"/>
                <w:highlight w:val="none"/>
              </w:rPr>
            </w:pPr>
          </w:p>
        </w:tc>
        <w:tc>
          <w:tcPr>
            <w:tcW w:w="1050" w:type="dxa"/>
          </w:tcPr>
          <w:p w14:paraId="1D0C5709">
            <w:pPr>
              <w:rPr>
                <w:color w:val="auto"/>
                <w:highlight w:val="none"/>
              </w:rPr>
            </w:pPr>
          </w:p>
        </w:tc>
        <w:tc>
          <w:tcPr>
            <w:tcW w:w="1050" w:type="dxa"/>
          </w:tcPr>
          <w:p w14:paraId="7D73A977">
            <w:pPr>
              <w:rPr>
                <w:color w:val="auto"/>
                <w:highlight w:val="none"/>
              </w:rPr>
            </w:pPr>
          </w:p>
        </w:tc>
        <w:tc>
          <w:tcPr>
            <w:tcW w:w="1049" w:type="dxa"/>
          </w:tcPr>
          <w:p w14:paraId="59393915">
            <w:pPr>
              <w:rPr>
                <w:color w:val="auto"/>
                <w:highlight w:val="none"/>
              </w:rPr>
            </w:pPr>
          </w:p>
        </w:tc>
        <w:tc>
          <w:tcPr>
            <w:tcW w:w="1049" w:type="dxa"/>
          </w:tcPr>
          <w:p w14:paraId="034FC867">
            <w:pPr>
              <w:rPr>
                <w:color w:val="auto"/>
                <w:highlight w:val="none"/>
              </w:rPr>
            </w:pPr>
          </w:p>
        </w:tc>
        <w:tc>
          <w:tcPr>
            <w:tcW w:w="1049" w:type="dxa"/>
          </w:tcPr>
          <w:p w14:paraId="26C7CEDE">
            <w:pPr>
              <w:rPr>
                <w:color w:val="auto"/>
                <w:highlight w:val="none"/>
              </w:rPr>
            </w:pPr>
          </w:p>
        </w:tc>
        <w:tc>
          <w:tcPr>
            <w:tcW w:w="1049" w:type="dxa"/>
          </w:tcPr>
          <w:p w14:paraId="5A57DE03">
            <w:pPr>
              <w:rPr>
                <w:color w:val="auto"/>
                <w:highlight w:val="none"/>
              </w:rPr>
            </w:pPr>
          </w:p>
        </w:tc>
        <w:tc>
          <w:tcPr>
            <w:tcW w:w="1049" w:type="dxa"/>
          </w:tcPr>
          <w:p w14:paraId="77ECEEE1">
            <w:pPr>
              <w:rPr>
                <w:color w:val="auto"/>
                <w:highlight w:val="none"/>
              </w:rPr>
            </w:pPr>
          </w:p>
        </w:tc>
      </w:tr>
      <w:tr w14:paraId="5A52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10F0A9A6">
            <w:pPr>
              <w:rPr>
                <w:color w:val="auto"/>
                <w:highlight w:val="none"/>
              </w:rPr>
            </w:pPr>
          </w:p>
        </w:tc>
        <w:tc>
          <w:tcPr>
            <w:tcW w:w="1050" w:type="dxa"/>
          </w:tcPr>
          <w:p w14:paraId="7BA8FF4C">
            <w:pPr>
              <w:rPr>
                <w:color w:val="auto"/>
                <w:highlight w:val="none"/>
              </w:rPr>
            </w:pPr>
          </w:p>
        </w:tc>
        <w:tc>
          <w:tcPr>
            <w:tcW w:w="1050" w:type="dxa"/>
          </w:tcPr>
          <w:p w14:paraId="1D56F714">
            <w:pPr>
              <w:rPr>
                <w:color w:val="auto"/>
                <w:highlight w:val="none"/>
              </w:rPr>
            </w:pPr>
          </w:p>
        </w:tc>
        <w:tc>
          <w:tcPr>
            <w:tcW w:w="1049" w:type="dxa"/>
          </w:tcPr>
          <w:p w14:paraId="2C518678">
            <w:pPr>
              <w:rPr>
                <w:color w:val="auto"/>
                <w:highlight w:val="none"/>
              </w:rPr>
            </w:pPr>
          </w:p>
        </w:tc>
        <w:tc>
          <w:tcPr>
            <w:tcW w:w="1049" w:type="dxa"/>
          </w:tcPr>
          <w:p w14:paraId="4EA07904">
            <w:pPr>
              <w:rPr>
                <w:color w:val="auto"/>
                <w:highlight w:val="none"/>
              </w:rPr>
            </w:pPr>
          </w:p>
        </w:tc>
        <w:tc>
          <w:tcPr>
            <w:tcW w:w="1049" w:type="dxa"/>
          </w:tcPr>
          <w:p w14:paraId="7D4F7CF8">
            <w:pPr>
              <w:rPr>
                <w:color w:val="auto"/>
                <w:highlight w:val="none"/>
              </w:rPr>
            </w:pPr>
          </w:p>
        </w:tc>
        <w:tc>
          <w:tcPr>
            <w:tcW w:w="1049" w:type="dxa"/>
          </w:tcPr>
          <w:p w14:paraId="6D7A3339">
            <w:pPr>
              <w:rPr>
                <w:color w:val="auto"/>
                <w:highlight w:val="none"/>
              </w:rPr>
            </w:pPr>
          </w:p>
        </w:tc>
        <w:tc>
          <w:tcPr>
            <w:tcW w:w="1049" w:type="dxa"/>
          </w:tcPr>
          <w:p w14:paraId="040BF8BD">
            <w:pPr>
              <w:rPr>
                <w:color w:val="auto"/>
                <w:highlight w:val="none"/>
              </w:rPr>
            </w:pPr>
          </w:p>
        </w:tc>
      </w:tr>
      <w:tr w14:paraId="5C65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050" w:type="dxa"/>
          </w:tcPr>
          <w:p w14:paraId="19F6866D">
            <w:pPr>
              <w:rPr>
                <w:color w:val="auto"/>
                <w:highlight w:val="none"/>
              </w:rPr>
            </w:pPr>
          </w:p>
        </w:tc>
        <w:tc>
          <w:tcPr>
            <w:tcW w:w="1050" w:type="dxa"/>
          </w:tcPr>
          <w:p w14:paraId="218FC2EA">
            <w:pPr>
              <w:rPr>
                <w:color w:val="auto"/>
                <w:highlight w:val="none"/>
              </w:rPr>
            </w:pPr>
          </w:p>
        </w:tc>
        <w:tc>
          <w:tcPr>
            <w:tcW w:w="1050" w:type="dxa"/>
          </w:tcPr>
          <w:p w14:paraId="23355125">
            <w:pPr>
              <w:rPr>
                <w:color w:val="auto"/>
                <w:highlight w:val="none"/>
              </w:rPr>
            </w:pPr>
          </w:p>
        </w:tc>
        <w:tc>
          <w:tcPr>
            <w:tcW w:w="1049" w:type="dxa"/>
          </w:tcPr>
          <w:p w14:paraId="4F76AC84">
            <w:pPr>
              <w:rPr>
                <w:color w:val="auto"/>
                <w:highlight w:val="none"/>
              </w:rPr>
            </w:pPr>
          </w:p>
        </w:tc>
        <w:tc>
          <w:tcPr>
            <w:tcW w:w="1049" w:type="dxa"/>
          </w:tcPr>
          <w:p w14:paraId="16C52703">
            <w:pPr>
              <w:rPr>
                <w:color w:val="auto"/>
                <w:highlight w:val="none"/>
              </w:rPr>
            </w:pPr>
          </w:p>
        </w:tc>
        <w:tc>
          <w:tcPr>
            <w:tcW w:w="1049" w:type="dxa"/>
          </w:tcPr>
          <w:p w14:paraId="24765683">
            <w:pPr>
              <w:rPr>
                <w:color w:val="auto"/>
                <w:highlight w:val="none"/>
              </w:rPr>
            </w:pPr>
          </w:p>
        </w:tc>
        <w:tc>
          <w:tcPr>
            <w:tcW w:w="1049" w:type="dxa"/>
          </w:tcPr>
          <w:p w14:paraId="6AE1B0CF">
            <w:pPr>
              <w:rPr>
                <w:color w:val="auto"/>
                <w:highlight w:val="none"/>
              </w:rPr>
            </w:pPr>
          </w:p>
        </w:tc>
        <w:tc>
          <w:tcPr>
            <w:tcW w:w="1049" w:type="dxa"/>
          </w:tcPr>
          <w:p w14:paraId="6F48F181">
            <w:pPr>
              <w:rPr>
                <w:color w:val="auto"/>
                <w:highlight w:val="none"/>
              </w:rPr>
            </w:pPr>
          </w:p>
        </w:tc>
      </w:tr>
    </w:tbl>
    <w:p w14:paraId="47D8A360">
      <w:pPr>
        <w:ind w:left="629"/>
        <w:rPr>
          <w:color w:val="auto"/>
          <w:highlight w:val="none"/>
        </w:rPr>
      </w:pPr>
    </w:p>
    <w:p w14:paraId="5D007DD4">
      <w:pPr>
        <w:spacing w:line="360" w:lineRule="auto"/>
        <w:ind w:left="629"/>
        <w:rPr>
          <w:color w:val="auto"/>
          <w:sz w:val="21"/>
          <w:szCs w:val="21"/>
          <w:highlight w:val="none"/>
        </w:rPr>
      </w:pPr>
      <w:r>
        <w:rPr>
          <w:rFonts w:hint="eastAsia"/>
          <w:color w:val="auto"/>
          <w:sz w:val="21"/>
          <w:szCs w:val="21"/>
          <w:highlight w:val="none"/>
        </w:rPr>
        <w:t>注：投标人应按所列格式提交包括分包在内的劳动力计划表。</w:t>
      </w:r>
    </w:p>
    <w:p w14:paraId="76E813B1">
      <w:pPr>
        <w:spacing w:line="360" w:lineRule="auto"/>
        <w:ind w:left="629" w:firstLine="459" w:firstLineChars="219"/>
        <w:rPr>
          <w:color w:val="auto"/>
          <w:sz w:val="21"/>
          <w:szCs w:val="21"/>
          <w:highlight w:val="none"/>
        </w:rPr>
      </w:pPr>
      <w:r>
        <w:rPr>
          <w:rFonts w:hint="eastAsia"/>
          <w:color w:val="auto"/>
          <w:sz w:val="21"/>
          <w:szCs w:val="21"/>
          <w:highlight w:val="none"/>
        </w:rPr>
        <w:t>本计划表是以每班八小时工作制为基础的。</w:t>
      </w:r>
    </w:p>
    <w:p w14:paraId="404859CC">
      <w:pPr>
        <w:ind w:left="629" w:firstLine="525" w:firstLineChars="219"/>
        <w:rPr>
          <w:color w:val="auto"/>
          <w:highlight w:val="none"/>
        </w:rPr>
      </w:pPr>
    </w:p>
    <w:p w14:paraId="32A9C18D">
      <w:pPr>
        <w:widowControl/>
        <w:rPr>
          <w:color w:val="auto"/>
          <w:highlight w:val="none"/>
        </w:rPr>
      </w:pPr>
      <w:r>
        <w:rPr>
          <w:color w:val="auto"/>
          <w:highlight w:val="none"/>
        </w:rPr>
        <w:br w:type="page"/>
      </w:r>
    </w:p>
    <w:p w14:paraId="3572FAEA">
      <w:pPr>
        <w:spacing w:after="490" w:afterLines="150"/>
        <w:jc w:val="center"/>
        <w:rPr>
          <w:rFonts w:hint="eastAsia" w:ascii="宋体" w:hAnsi="宋体"/>
          <w:b/>
          <w:bCs/>
          <w:color w:val="auto"/>
          <w:sz w:val="28"/>
          <w:szCs w:val="28"/>
          <w:highlight w:val="none"/>
        </w:rPr>
      </w:pPr>
    </w:p>
    <w:p w14:paraId="1710C1CC">
      <w:pPr>
        <w:spacing w:after="490" w:afterLines="150"/>
        <w:jc w:val="center"/>
        <w:rPr>
          <w:rFonts w:hint="eastAsia" w:ascii="宋体" w:hAnsi="宋体"/>
          <w:b/>
          <w:bCs/>
          <w:color w:val="auto"/>
          <w:sz w:val="28"/>
          <w:szCs w:val="28"/>
          <w:highlight w:val="none"/>
        </w:rPr>
      </w:pPr>
      <w:r>
        <w:rPr>
          <w:rFonts w:hint="eastAsia" w:ascii="宋体" w:hAnsi="宋体"/>
          <w:b/>
          <w:bCs/>
          <w:color w:val="auto"/>
          <w:sz w:val="28"/>
          <w:szCs w:val="28"/>
          <w:highlight w:val="none"/>
        </w:rPr>
        <w:t>表</w:t>
      </w:r>
      <w:r>
        <w:rPr>
          <w:rFonts w:ascii="宋体" w:hAnsi="宋体"/>
          <w:b/>
          <w:bCs/>
          <w:color w:val="auto"/>
          <w:sz w:val="28"/>
          <w:szCs w:val="28"/>
          <w:highlight w:val="none"/>
        </w:rPr>
        <w:t xml:space="preserve">3 </w:t>
      </w:r>
      <w:r>
        <w:rPr>
          <w:rFonts w:hint="eastAsia" w:ascii="仿宋" w:hAnsi="仿宋" w:eastAsia="仿宋" w:cs="宋体"/>
          <w:b/>
          <w:bCs/>
          <w:color w:val="auto"/>
          <w:sz w:val="30"/>
          <w:szCs w:val="30"/>
          <w:highlight w:val="none"/>
        </w:rPr>
        <w:t xml:space="preserve"> </w:t>
      </w:r>
      <w:r>
        <w:rPr>
          <w:rFonts w:hint="eastAsia"/>
          <w:color w:val="auto"/>
          <w:highlight w:val="none"/>
        </w:rPr>
        <w:t>☑</w:t>
      </w:r>
      <w:r>
        <w:rPr>
          <w:rFonts w:hint="eastAsia" w:ascii="宋体" w:hAnsi="宋体"/>
          <w:b/>
          <w:bCs/>
          <w:color w:val="auto"/>
          <w:sz w:val="28"/>
          <w:szCs w:val="28"/>
          <w:highlight w:val="none"/>
        </w:rPr>
        <w:t>计划开、竣工日期和施工进度图表</w:t>
      </w:r>
    </w:p>
    <w:p w14:paraId="78E759F7">
      <w:pPr>
        <w:spacing w:line="360" w:lineRule="auto"/>
        <w:ind w:firstLine="480" w:firstLineChars="200"/>
        <w:rPr>
          <w:rFonts w:hint="eastAsia" w:hAnsi="宋体" w:cs="宋体"/>
          <w:color w:val="auto"/>
          <w:szCs w:val="28"/>
          <w:highlight w:val="none"/>
        </w:rPr>
      </w:pPr>
      <w:r>
        <w:rPr>
          <w:rFonts w:hint="eastAsia" w:hAnsi="宋体" w:cs="宋体"/>
          <w:color w:val="auto"/>
          <w:szCs w:val="28"/>
          <w:highlight w:val="none"/>
        </w:rPr>
        <w:t>投标人应提交的施工进度网络图或施工进度表，说明按招标文件要求的工期进行施工的各个关键日期。中标的投标人还要按合同条件有关条款的要求提交详细的施工进度计划。</w:t>
      </w:r>
    </w:p>
    <w:p w14:paraId="5E735509">
      <w:pPr>
        <w:spacing w:line="360" w:lineRule="auto"/>
        <w:ind w:firstLine="480" w:firstLineChars="200"/>
        <w:rPr>
          <w:rFonts w:hint="eastAsia" w:hAnsi="宋体" w:cs="宋体"/>
          <w:color w:val="auto"/>
          <w:szCs w:val="28"/>
          <w:highlight w:val="none"/>
        </w:rPr>
      </w:pPr>
      <w:r>
        <w:rPr>
          <w:rFonts w:hint="eastAsia" w:hAnsi="宋体" w:cs="宋体"/>
          <w:color w:val="auto"/>
          <w:szCs w:val="28"/>
          <w:highlight w:val="none"/>
        </w:rPr>
        <w:t>施工进度表可采用关键线路网络图（或横道图）表示，说明计划开工日期和各分项工程各阶段的完工日期和分包合同签订的日期。</w:t>
      </w:r>
    </w:p>
    <w:p w14:paraId="0992214D">
      <w:pPr>
        <w:spacing w:line="360" w:lineRule="auto"/>
        <w:ind w:firstLine="480" w:firstLineChars="200"/>
        <w:rPr>
          <w:rFonts w:hint="eastAsia" w:hAnsi="宋体" w:cs="宋体"/>
          <w:color w:val="auto"/>
          <w:szCs w:val="28"/>
          <w:highlight w:val="none"/>
        </w:rPr>
      </w:pPr>
      <w:r>
        <w:rPr>
          <w:rFonts w:hint="eastAsia" w:hAnsi="宋体" w:cs="宋体"/>
          <w:color w:val="auto"/>
          <w:szCs w:val="28"/>
          <w:highlight w:val="none"/>
        </w:rPr>
        <w:t>施工进度计划应与施工组织设计相适应。</w:t>
      </w:r>
    </w:p>
    <w:p w14:paraId="46143115">
      <w:pPr>
        <w:widowControl/>
        <w:rPr>
          <w:color w:val="auto"/>
          <w:highlight w:val="none"/>
        </w:rPr>
      </w:pPr>
      <w:r>
        <w:rPr>
          <w:color w:val="auto"/>
          <w:highlight w:val="none"/>
        </w:rPr>
        <w:br w:type="page"/>
      </w:r>
    </w:p>
    <w:p w14:paraId="0FABCF9E">
      <w:pPr>
        <w:spacing w:after="490" w:afterLines="150"/>
        <w:ind w:left="629"/>
        <w:jc w:val="center"/>
        <w:rPr>
          <w:rFonts w:hint="eastAsia" w:ascii="宋体" w:hAnsi="宋体"/>
          <w:b/>
          <w:bCs/>
          <w:color w:val="auto"/>
          <w:sz w:val="28"/>
          <w:szCs w:val="28"/>
          <w:highlight w:val="none"/>
        </w:rPr>
      </w:pPr>
    </w:p>
    <w:p w14:paraId="4D48A3D5">
      <w:pPr>
        <w:spacing w:after="490" w:afterLines="150"/>
        <w:ind w:left="629"/>
        <w:jc w:val="center"/>
        <w:rPr>
          <w:rFonts w:hint="eastAsia" w:ascii="宋体" w:hAnsi="宋体"/>
          <w:b/>
          <w:bCs/>
          <w:color w:val="auto"/>
          <w:sz w:val="28"/>
          <w:szCs w:val="28"/>
          <w:highlight w:val="none"/>
        </w:rPr>
      </w:pPr>
      <w:r>
        <w:rPr>
          <w:rFonts w:hint="eastAsia" w:ascii="宋体" w:hAnsi="宋体"/>
          <w:b/>
          <w:bCs/>
          <w:color w:val="auto"/>
          <w:sz w:val="28"/>
          <w:szCs w:val="28"/>
          <w:highlight w:val="none"/>
        </w:rPr>
        <w:t>表</w:t>
      </w:r>
      <w:r>
        <w:rPr>
          <w:rFonts w:ascii="宋体" w:hAnsi="宋体"/>
          <w:b/>
          <w:bCs/>
          <w:color w:val="auto"/>
          <w:sz w:val="28"/>
          <w:szCs w:val="28"/>
          <w:highlight w:val="none"/>
        </w:rPr>
        <w:t xml:space="preserve">4 </w:t>
      </w:r>
      <w:r>
        <w:rPr>
          <w:rFonts w:hint="eastAsia" w:ascii="仿宋" w:hAnsi="仿宋" w:eastAsia="仿宋" w:cs="宋体"/>
          <w:b/>
          <w:bCs/>
          <w:color w:val="auto"/>
          <w:sz w:val="30"/>
          <w:szCs w:val="30"/>
          <w:highlight w:val="none"/>
        </w:rPr>
        <w:t xml:space="preserve"> </w:t>
      </w:r>
      <w:r>
        <w:rPr>
          <w:rFonts w:hint="eastAsia"/>
          <w:color w:val="auto"/>
          <w:highlight w:val="none"/>
        </w:rPr>
        <w:t>☑</w:t>
      </w:r>
      <w:r>
        <w:rPr>
          <w:rFonts w:hint="eastAsia" w:ascii="宋体" w:hAnsi="宋体"/>
          <w:b/>
          <w:bCs/>
          <w:color w:val="auto"/>
          <w:sz w:val="28"/>
          <w:szCs w:val="28"/>
          <w:highlight w:val="none"/>
        </w:rPr>
        <w:t>施工总平面布置图及临时用地表</w:t>
      </w:r>
    </w:p>
    <w:p w14:paraId="76C20E7F">
      <w:pPr>
        <w:numPr>
          <w:ilvl w:val="1"/>
          <w:numId w:val="51"/>
        </w:numPr>
        <w:tabs>
          <w:tab w:val="left" w:pos="0"/>
        </w:tabs>
        <w:spacing w:line="360" w:lineRule="auto"/>
        <w:ind w:left="0" w:firstLine="480" w:firstLineChars="200"/>
        <w:rPr>
          <w:rFonts w:hint="eastAsia" w:hAnsi="宋体" w:cs="宋体"/>
          <w:color w:val="auto"/>
          <w:szCs w:val="28"/>
          <w:highlight w:val="none"/>
        </w:rPr>
      </w:pPr>
      <w:r>
        <w:rPr>
          <w:rFonts w:hint="eastAsia" w:hAnsi="宋体" w:cs="宋体"/>
          <w:color w:val="auto"/>
          <w:szCs w:val="28"/>
          <w:highlight w:val="none"/>
        </w:rPr>
        <w:t>施工总平面布置图</w:t>
      </w:r>
    </w:p>
    <w:p w14:paraId="0DB32277">
      <w:pPr>
        <w:spacing w:line="360" w:lineRule="auto"/>
        <w:ind w:firstLine="480" w:firstLineChars="200"/>
        <w:rPr>
          <w:rFonts w:hint="eastAsia" w:hAnsi="宋体" w:cs="宋体"/>
          <w:color w:val="auto"/>
          <w:szCs w:val="28"/>
          <w:highlight w:val="none"/>
        </w:rPr>
      </w:pPr>
      <w:r>
        <w:rPr>
          <w:rFonts w:hint="eastAsia" w:hAnsi="宋体" w:cs="宋体"/>
          <w:color w:val="auto"/>
          <w:szCs w:val="28"/>
          <w:highlight w:val="none"/>
        </w:rPr>
        <w:t>投标人应提交一份施工总平面图，给出现场临时设施布置图表并附文字说明，说明临时设施、加工车间、现场办公、设备及仓储、供电、供水、卫生、生活等设施的情况和布置。</w:t>
      </w:r>
    </w:p>
    <w:p w14:paraId="2C3DDA51">
      <w:pPr>
        <w:numPr>
          <w:ilvl w:val="1"/>
          <w:numId w:val="51"/>
        </w:numPr>
        <w:tabs>
          <w:tab w:val="left" w:pos="0"/>
        </w:tabs>
        <w:spacing w:line="360" w:lineRule="auto"/>
        <w:ind w:left="0" w:firstLine="480" w:firstLineChars="200"/>
        <w:rPr>
          <w:rFonts w:hint="eastAsia" w:hAnsi="宋体" w:cs="宋体"/>
          <w:color w:val="auto"/>
          <w:szCs w:val="28"/>
          <w:highlight w:val="none"/>
        </w:rPr>
      </w:pPr>
      <w:r>
        <w:rPr>
          <w:rFonts w:hint="eastAsia" w:hAnsi="宋体" w:cs="宋体"/>
          <w:color w:val="auto"/>
          <w:szCs w:val="28"/>
          <w:highlight w:val="none"/>
        </w:rPr>
        <w:t>临时用地表</w:t>
      </w:r>
    </w:p>
    <w:tbl>
      <w:tblPr>
        <w:tblStyle w:val="2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2"/>
        <w:gridCol w:w="1951"/>
        <w:gridCol w:w="1951"/>
      </w:tblGrid>
      <w:tr w14:paraId="246C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trPr>
        <w:tc>
          <w:tcPr>
            <w:tcW w:w="1951" w:type="dxa"/>
            <w:vAlign w:val="center"/>
          </w:tcPr>
          <w:p w14:paraId="5BED19E9">
            <w:pPr>
              <w:jc w:val="center"/>
              <w:rPr>
                <w:rFonts w:hint="eastAsia" w:hAnsi="宋体" w:cs="宋体"/>
                <w:color w:val="auto"/>
                <w:szCs w:val="28"/>
                <w:highlight w:val="none"/>
              </w:rPr>
            </w:pPr>
            <w:r>
              <w:rPr>
                <w:rFonts w:hint="eastAsia" w:hAnsi="宋体" w:cs="宋体"/>
                <w:color w:val="auto"/>
                <w:szCs w:val="28"/>
                <w:highlight w:val="none"/>
              </w:rPr>
              <w:t>用途</w:t>
            </w:r>
          </w:p>
        </w:tc>
        <w:tc>
          <w:tcPr>
            <w:tcW w:w="1982" w:type="dxa"/>
            <w:vAlign w:val="center"/>
          </w:tcPr>
          <w:p w14:paraId="3207DA3C">
            <w:pPr>
              <w:jc w:val="center"/>
              <w:rPr>
                <w:rFonts w:hint="eastAsia" w:hAnsi="宋体" w:cs="宋体"/>
                <w:color w:val="auto"/>
                <w:szCs w:val="28"/>
                <w:highlight w:val="none"/>
              </w:rPr>
            </w:pPr>
            <w:r>
              <w:rPr>
                <w:rFonts w:hint="eastAsia" w:hAnsi="宋体" w:cs="宋体"/>
                <w:color w:val="auto"/>
                <w:szCs w:val="28"/>
                <w:highlight w:val="none"/>
              </w:rPr>
              <w:t>面积（平方米）</w:t>
            </w:r>
          </w:p>
        </w:tc>
        <w:tc>
          <w:tcPr>
            <w:tcW w:w="1951" w:type="dxa"/>
            <w:vAlign w:val="center"/>
          </w:tcPr>
          <w:p w14:paraId="724BFA6C">
            <w:pPr>
              <w:jc w:val="center"/>
              <w:rPr>
                <w:rFonts w:hint="eastAsia" w:hAnsi="宋体" w:cs="宋体"/>
                <w:color w:val="auto"/>
                <w:szCs w:val="28"/>
                <w:highlight w:val="none"/>
              </w:rPr>
            </w:pPr>
            <w:r>
              <w:rPr>
                <w:rFonts w:hint="eastAsia" w:hAnsi="宋体" w:cs="宋体"/>
                <w:color w:val="auto"/>
                <w:szCs w:val="28"/>
                <w:highlight w:val="none"/>
              </w:rPr>
              <w:t>位置</w:t>
            </w:r>
          </w:p>
        </w:tc>
        <w:tc>
          <w:tcPr>
            <w:tcW w:w="1951" w:type="dxa"/>
            <w:vAlign w:val="center"/>
          </w:tcPr>
          <w:p w14:paraId="67D2FE23">
            <w:pPr>
              <w:jc w:val="center"/>
              <w:rPr>
                <w:rFonts w:hint="eastAsia" w:hAnsi="宋体" w:cs="宋体"/>
                <w:color w:val="auto"/>
                <w:szCs w:val="28"/>
                <w:highlight w:val="none"/>
              </w:rPr>
            </w:pPr>
            <w:r>
              <w:rPr>
                <w:rFonts w:hint="eastAsia" w:hAnsi="宋体" w:cs="宋体"/>
                <w:color w:val="auto"/>
                <w:szCs w:val="28"/>
                <w:highlight w:val="none"/>
              </w:rPr>
              <w:t>需用时间</w:t>
            </w:r>
          </w:p>
        </w:tc>
      </w:tr>
      <w:tr w14:paraId="4EE4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71090A7D">
            <w:pPr>
              <w:rPr>
                <w:rFonts w:hint="eastAsia" w:hAnsi="宋体" w:cs="宋体"/>
                <w:color w:val="auto"/>
                <w:szCs w:val="28"/>
                <w:highlight w:val="none"/>
              </w:rPr>
            </w:pPr>
          </w:p>
        </w:tc>
        <w:tc>
          <w:tcPr>
            <w:tcW w:w="1982" w:type="dxa"/>
          </w:tcPr>
          <w:p w14:paraId="02E463C3">
            <w:pPr>
              <w:rPr>
                <w:rFonts w:hint="eastAsia" w:hAnsi="宋体" w:cs="宋体"/>
                <w:color w:val="auto"/>
                <w:szCs w:val="28"/>
                <w:highlight w:val="none"/>
              </w:rPr>
            </w:pPr>
          </w:p>
        </w:tc>
        <w:tc>
          <w:tcPr>
            <w:tcW w:w="1951" w:type="dxa"/>
          </w:tcPr>
          <w:p w14:paraId="0ED3D72E">
            <w:pPr>
              <w:rPr>
                <w:rFonts w:hint="eastAsia" w:hAnsi="宋体" w:cs="宋体"/>
                <w:color w:val="auto"/>
                <w:szCs w:val="28"/>
                <w:highlight w:val="none"/>
              </w:rPr>
            </w:pPr>
          </w:p>
        </w:tc>
        <w:tc>
          <w:tcPr>
            <w:tcW w:w="1951" w:type="dxa"/>
          </w:tcPr>
          <w:p w14:paraId="6FF2C10C">
            <w:pPr>
              <w:rPr>
                <w:rFonts w:hint="eastAsia" w:hAnsi="宋体" w:cs="宋体"/>
                <w:color w:val="auto"/>
                <w:szCs w:val="28"/>
                <w:highlight w:val="none"/>
              </w:rPr>
            </w:pPr>
          </w:p>
        </w:tc>
      </w:tr>
      <w:tr w14:paraId="75F0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3ED2ABC8">
            <w:pPr>
              <w:rPr>
                <w:rFonts w:hint="eastAsia" w:hAnsi="宋体" w:cs="宋体"/>
                <w:color w:val="auto"/>
                <w:szCs w:val="28"/>
                <w:highlight w:val="none"/>
              </w:rPr>
            </w:pPr>
          </w:p>
        </w:tc>
        <w:tc>
          <w:tcPr>
            <w:tcW w:w="1982" w:type="dxa"/>
          </w:tcPr>
          <w:p w14:paraId="3314ED3A">
            <w:pPr>
              <w:rPr>
                <w:rFonts w:hint="eastAsia" w:hAnsi="宋体" w:cs="宋体"/>
                <w:color w:val="auto"/>
                <w:szCs w:val="28"/>
                <w:highlight w:val="none"/>
              </w:rPr>
            </w:pPr>
          </w:p>
        </w:tc>
        <w:tc>
          <w:tcPr>
            <w:tcW w:w="1951" w:type="dxa"/>
          </w:tcPr>
          <w:p w14:paraId="44DD8E2E">
            <w:pPr>
              <w:rPr>
                <w:rFonts w:hint="eastAsia" w:hAnsi="宋体" w:cs="宋体"/>
                <w:color w:val="auto"/>
                <w:szCs w:val="28"/>
                <w:highlight w:val="none"/>
              </w:rPr>
            </w:pPr>
          </w:p>
        </w:tc>
        <w:tc>
          <w:tcPr>
            <w:tcW w:w="1951" w:type="dxa"/>
          </w:tcPr>
          <w:p w14:paraId="02A458D3">
            <w:pPr>
              <w:rPr>
                <w:rFonts w:hint="eastAsia" w:hAnsi="宋体" w:cs="宋体"/>
                <w:color w:val="auto"/>
                <w:szCs w:val="28"/>
                <w:highlight w:val="none"/>
              </w:rPr>
            </w:pPr>
          </w:p>
        </w:tc>
      </w:tr>
      <w:tr w14:paraId="1B42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1F279C5A">
            <w:pPr>
              <w:rPr>
                <w:rFonts w:hint="eastAsia" w:hAnsi="宋体" w:cs="宋体"/>
                <w:color w:val="auto"/>
                <w:szCs w:val="28"/>
                <w:highlight w:val="none"/>
              </w:rPr>
            </w:pPr>
          </w:p>
        </w:tc>
        <w:tc>
          <w:tcPr>
            <w:tcW w:w="1982" w:type="dxa"/>
          </w:tcPr>
          <w:p w14:paraId="4DA5FCFD">
            <w:pPr>
              <w:rPr>
                <w:rFonts w:hint="eastAsia" w:hAnsi="宋体" w:cs="宋体"/>
                <w:color w:val="auto"/>
                <w:szCs w:val="28"/>
                <w:highlight w:val="none"/>
              </w:rPr>
            </w:pPr>
          </w:p>
        </w:tc>
        <w:tc>
          <w:tcPr>
            <w:tcW w:w="1951" w:type="dxa"/>
          </w:tcPr>
          <w:p w14:paraId="73E75D02">
            <w:pPr>
              <w:rPr>
                <w:rFonts w:hint="eastAsia" w:hAnsi="宋体" w:cs="宋体"/>
                <w:color w:val="auto"/>
                <w:szCs w:val="28"/>
                <w:highlight w:val="none"/>
              </w:rPr>
            </w:pPr>
          </w:p>
        </w:tc>
        <w:tc>
          <w:tcPr>
            <w:tcW w:w="1951" w:type="dxa"/>
          </w:tcPr>
          <w:p w14:paraId="0DE81389">
            <w:pPr>
              <w:rPr>
                <w:rFonts w:hint="eastAsia" w:hAnsi="宋体" w:cs="宋体"/>
                <w:color w:val="auto"/>
                <w:szCs w:val="28"/>
                <w:highlight w:val="none"/>
              </w:rPr>
            </w:pPr>
          </w:p>
        </w:tc>
      </w:tr>
      <w:tr w14:paraId="0BC2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53061E1C">
            <w:pPr>
              <w:rPr>
                <w:rFonts w:hint="eastAsia" w:hAnsi="宋体" w:cs="宋体"/>
                <w:color w:val="auto"/>
                <w:szCs w:val="28"/>
                <w:highlight w:val="none"/>
              </w:rPr>
            </w:pPr>
          </w:p>
        </w:tc>
        <w:tc>
          <w:tcPr>
            <w:tcW w:w="1982" w:type="dxa"/>
          </w:tcPr>
          <w:p w14:paraId="2CBDFCA7">
            <w:pPr>
              <w:rPr>
                <w:rFonts w:hint="eastAsia" w:hAnsi="宋体" w:cs="宋体"/>
                <w:color w:val="auto"/>
                <w:szCs w:val="28"/>
                <w:highlight w:val="none"/>
              </w:rPr>
            </w:pPr>
          </w:p>
        </w:tc>
        <w:tc>
          <w:tcPr>
            <w:tcW w:w="1951" w:type="dxa"/>
          </w:tcPr>
          <w:p w14:paraId="0F925C67">
            <w:pPr>
              <w:rPr>
                <w:rFonts w:hint="eastAsia" w:hAnsi="宋体" w:cs="宋体"/>
                <w:color w:val="auto"/>
                <w:szCs w:val="28"/>
                <w:highlight w:val="none"/>
              </w:rPr>
            </w:pPr>
          </w:p>
        </w:tc>
        <w:tc>
          <w:tcPr>
            <w:tcW w:w="1951" w:type="dxa"/>
          </w:tcPr>
          <w:p w14:paraId="7CEF84B3">
            <w:pPr>
              <w:rPr>
                <w:rFonts w:hint="eastAsia" w:hAnsi="宋体" w:cs="宋体"/>
                <w:color w:val="auto"/>
                <w:szCs w:val="28"/>
                <w:highlight w:val="none"/>
              </w:rPr>
            </w:pPr>
          </w:p>
        </w:tc>
      </w:tr>
      <w:tr w14:paraId="6686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4ADD8EB2">
            <w:pPr>
              <w:rPr>
                <w:rFonts w:hint="eastAsia" w:hAnsi="宋体" w:cs="宋体"/>
                <w:color w:val="auto"/>
                <w:szCs w:val="28"/>
                <w:highlight w:val="none"/>
              </w:rPr>
            </w:pPr>
          </w:p>
        </w:tc>
        <w:tc>
          <w:tcPr>
            <w:tcW w:w="1982" w:type="dxa"/>
          </w:tcPr>
          <w:p w14:paraId="30B8123D">
            <w:pPr>
              <w:rPr>
                <w:rFonts w:hint="eastAsia" w:hAnsi="宋体" w:cs="宋体"/>
                <w:color w:val="auto"/>
                <w:szCs w:val="28"/>
                <w:highlight w:val="none"/>
              </w:rPr>
            </w:pPr>
          </w:p>
        </w:tc>
        <w:tc>
          <w:tcPr>
            <w:tcW w:w="1951" w:type="dxa"/>
          </w:tcPr>
          <w:p w14:paraId="20A08441">
            <w:pPr>
              <w:rPr>
                <w:rFonts w:hint="eastAsia" w:hAnsi="宋体" w:cs="宋体"/>
                <w:color w:val="auto"/>
                <w:szCs w:val="28"/>
                <w:highlight w:val="none"/>
              </w:rPr>
            </w:pPr>
          </w:p>
        </w:tc>
        <w:tc>
          <w:tcPr>
            <w:tcW w:w="1951" w:type="dxa"/>
          </w:tcPr>
          <w:p w14:paraId="48FE8023">
            <w:pPr>
              <w:rPr>
                <w:rFonts w:hint="eastAsia" w:hAnsi="宋体" w:cs="宋体"/>
                <w:color w:val="auto"/>
                <w:szCs w:val="28"/>
                <w:highlight w:val="none"/>
              </w:rPr>
            </w:pPr>
          </w:p>
        </w:tc>
      </w:tr>
      <w:tr w14:paraId="6803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56A83976">
            <w:pPr>
              <w:rPr>
                <w:rFonts w:hint="eastAsia" w:hAnsi="宋体" w:cs="宋体"/>
                <w:color w:val="auto"/>
                <w:szCs w:val="28"/>
                <w:highlight w:val="none"/>
              </w:rPr>
            </w:pPr>
          </w:p>
        </w:tc>
        <w:tc>
          <w:tcPr>
            <w:tcW w:w="1982" w:type="dxa"/>
          </w:tcPr>
          <w:p w14:paraId="0EB14640">
            <w:pPr>
              <w:rPr>
                <w:rFonts w:hint="eastAsia" w:hAnsi="宋体" w:cs="宋体"/>
                <w:color w:val="auto"/>
                <w:szCs w:val="28"/>
                <w:highlight w:val="none"/>
              </w:rPr>
            </w:pPr>
          </w:p>
        </w:tc>
        <w:tc>
          <w:tcPr>
            <w:tcW w:w="1951" w:type="dxa"/>
          </w:tcPr>
          <w:p w14:paraId="41E0CBAF">
            <w:pPr>
              <w:rPr>
                <w:rFonts w:hint="eastAsia" w:hAnsi="宋体" w:cs="宋体"/>
                <w:color w:val="auto"/>
                <w:szCs w:val="28"/>
                <w:highlight w:val="none"/>
              </w:rPr>
            </w:pPr>
          </w:p>
        </w:tc>
        <w:tc>
          <w:tcPr>
            <w:tcW w:w="1951" w:type="dxa"/>
          </w:tcPr>
          <w:p w14:paraId="67F2C885">
            <w:pPr>
              <w:rPr>
                <w:rFonts w:hint="eastAsia" w:hAnsi="宋体" w:cs="宋体"/>
                <w:color w:val="auto"/>
                <w:szCs w:val="28"/>
                <w:highlight w:val="none"/>
              </w:rPr>
            </w:pPr>
          </w:p>
        </w:tc>
      </w:tr>
      <w:tr w14:paraId="6FDE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6B9B6A88">
            <w:pPr>
              <w:rPr>
                <w:rFonts w:hint="eastAsia" w:hAnsi="宋体" w:cs="宋体"/>
                <w:color w:val="auto"/>
                <w:szCs w:val="28"/>
                <w:highlight w:val="none"/>
              </w:rPr>
            </w:pPr>
          </w:p>
        </w:tc>
        <w:tc>
          <w:tcPr>
            <w:tcW w:w="1982" w:type="dxa"/>
          </w:tcPr>
          <w:p w14:paraId="4452CCE8">
            <w:pPr>
              <w:rPr>
                <w:rFonts w:hint="eastAsia" w:hAnsi="宋体" w:cs="宋体"/>
                <w:color w:val="auto"/>
                <w:szCs w:val="28"/>
                <w:highlight w:val="none"/>
              </w:rPr>
            </w:pPr>
          </w:p>
        </w:tc>
        <w:tc>
          <w:tcPr>
            <w:tcW w:w="1951" w:type="dxa"/>
          </w:tcPr>
          <w:p w14:paraId="378BB088">
            <w:pPr>
              <w:rPr>
                <w:rFonts w:hint="eastAsia" w:hAnsi="宋体" w:cs="宋体"/>
                <w:color w:val="auto"/>
                <w:szCs w:val="28"/>
                <w:highlight w:val="none"/>
              </w:rPr>
            </w:pPr>
          </w:p>
        </w:tc>
        <w:tc>
          <w:tcPr>
            <w:tcW w:w="1951" w:type="dxa"/>
          </w:tcPr>
          <w:p w14:paraId="0500197E">
            <w:pPr>
              <w:rPr>
                <w:rFonts w:hint="eastAsia" w:hAnsi="宋体" w:cs="宋体"/>
                <w:color w:val="auto"/>
                <w:szCs w:val="28"/>
                <w:highlight w:val="none"/>
              </w:rPr>
            </w:pPr>
          </w:p>
        </w:tc>
      </w:tr>
      <w:tr w14:paraId="057F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4AB4FC40">
            <w:pPr>
              <w:rPr>
                <w:rFonts w:hint="eastAsia" w:hAnsi="宋体" w:cs="宋体"/>
                <w:color w:val="auto"/>
                <w:szCs w:val="28"/>
                <w:highlight w:val="none"/>
              </w:rPr>
            </w:pPr>
          </w:p>
        </w:tc>
        <w:tc>
          <w:tcPr>
            <w:tcW w:w="1982" w:type="dxa"/>
          </w:tcPr>
          <w:p w14:paraId="1C3E0BC7">
            <w:pPr>
              <w:rPr>
                <w:rFonts w:hint="eastAsia" w:hAnsi="宋体" w:cs="宋体"/>
                <w:color w:val="auto"/>
                <w:szCs w:val="28"/>
                <w:highlight w:val="none"/>
              </w:rPr>
            </w:pPr>
          </w:p>
        </w:tc>
        <w:tc>
          <w:tcPr>
            <w:tcW w:w="1951" w:type="dxa"/>
          </w:tcPr>
          <w:p w14:paraId="135693AF">
            <w:pPr>
              <w:rPr>
                <w:rFonts w:hint="eastAsia" w:hAnsi="宋体" w:cs="宋体"/>
                <w:color w:val="auto"/>
                <w:szCs w:val="28"/>
                <w:highlight w:val="none"/>
              </w:rPr>
            </w:pPr>
          </w:p>
        </w:tc>
        <w:tc>
          <w:tcPr>
            <w:tcW w:w="1951" w:type="dxa"/>
          </w:tcPr>
          <w:p w14:paraId="7B6C5180">
            <w:pPr>
              <w:rPr>
                <w:rFonts w:hint="eastAsia" w:hAnsi="宋体" w:cs="宋体"/>
                <w:color w:val="auto"/>
                <w:szCs w:val="28"/>
                <w:highlight w:val="none"/>
              </w:rPr>
            </w:pPr>
          </w:p>
        </w:tc>
      </w:tr>
      <w:tr w14:paraId="6BB1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094913CD">
            <w:pPr>
              <w:rPr>
                <w:rFonts w:hint="eastAsia" w:hAnsi="宋体" w:cs="宋体"/>
                <w:color w:val="auto"/>
                <w:szCs w:val="28"/>
                <w:highlight w:val="none"/>
              </w:rPr>
            </w:pPr>
          </w:p>
        </w:tc>
        <w:tc>
          <w:tcPr>
            <w:tcW w:w="1982" w:type="dxa"/>
          </w:tcPr>
          <w:p w14:paraId="538960F6">
            <w:pPr>
              <w:rPr>
                <w:rFonts w:hint="eastAsia" w:hAnsi="宋体" w:cs="宋体"/>
                <w:color w:val="auto"/>
                <w:szCs w:val="28"/>
                <w:highlight w:val="none"/>
              </w:rPr>
            </w:pPr>
          </w:p>
        </w:tc>
        <w:tc>
          <w:tcPr>
            <w:tcW w:w="1951" w:type="dxa"/>
          </w:tcPr>
          <w:p w14:paraId="58598DC4">
            <w:pPr>
              <w:rPr>
                <w:rFonts w:hint="eastAsia" w:hAnsi="宋体" w:cs="宋体"/>
                <w:color w:val="auto"/>
                <w:szCs w:val="28"/>
                <w:highlight w:val="none"/>
              </w:rPr>
            </w:pPr>
          </w:p>
        </w:tc>
        <w:tc>
          <w:tcPr>
            <w:tcW w:w="1951" w:type="dxa"/>
          </w:tcPr>
          <w:p w14:paraId="7EA06E38">
            <w:pPr>
              <w:rPr>
                <w:rFonts w:hint="eastAsia" w:hAnsi="宋体" w:cs="宋体"/>
                <w:color w:val="auto"/>
                <w:szCs w:val="28"/>
                <w:highlight w:val="none"/>
              </w:rPr>
            </w:pPr>
          </w:p>
        </w:tc>
      </w:tr>
      <w:tr w14:paraId="6EA9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951" w:type="dxa"/>
          </w:tcPr>
          <w:p w14:paraId="0B2E1E2A">
            <w:pPr>
              <w:rPr>
                <w:rFonts w:hint="eastAsia" w:hAnsi="宋体" w:cs="宋体"/>
                <w:color w:val="auto"/>
                <w:szCs w:val="28"/>
                <w:highlight w:val="none"/>
              </w:rPr>
            </w:pPr>
          </w:p>
        </w:tc>
        <w:tc>
          <w:tcPr>
            <w:tcW w:w="1982" w:type="dxa"/>
          </w:tcPr>
          <w:p w14:paraId="0347F36C">
            <w:pPr>
              <w:rPr>
                <w:rFonts w:hint="eastAsia" w:hAnsi="宋体" w:cs="宋体"/>
                <w:color w:val="auto"/>
                <w:szCs w:val="28"/>
                <w:highlight w:val="none"/>
              </w:rPr>
            </w:pPr>
          </w:p>
        </w:tc>
        <w:tc>
          <w:tcPr>
            <w:tcW w:w="1951" w:type="dxa"/>
          </w:tcPr>
          <w:p w14:paraId="7A52389E">
            <w:pPr>
              <w:rPr>
                <w:rFonts w:hint="eastAsia" w:hAnsi="宋体" w:cs="宋体"/>
                <w:color w:val="auto"/>
                <w:szCs w:val="28"/>
                <w:highlight w:val="none"/>
              </w:rPr>
            </w:pPr>
          </w:p>
        </w:tc>
        <w:tc>
          <w:tcPr>
            <w:tcW w:w="1951" w:type="dxa"/>
          </w:tcPr>
          <w:p w14:paraId="3F53030E">
            <w:pPr>
              <w:rPr>
                <w:rFonts w:hint="eastAsia" w:hAnsi="宋体" w:cs="宋体"/>
                <w:color w:val="auto"/>
                <w:szCs w:val="28"/>
                <w:highlight w:val="none"/>
              </w:rPr>
            </w:pPr>
          </w:p>
        </w:tc>
      </w:tr>
      <w:tr w14:paraId="70F7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1951" w:type="dxa"/>
            <w:vAlign w:val="center"/>
          </w:tcPr>
          <w:p w14:paraId="67250CCD">
            <w:pPr>
              <w:jc w:val="center"/>
              <w:rPr>
                <w:rFonts w:hint="eastAsia" w:hAnsi="宋体" w:cs="宋体"/>
                <w:color w:val="auto"/>
                <w:szCs w:val="28"/>
                <w:highlight w:val="none"/>
              </w:rPr>
            </w:pPr>
            <w:r>
              <w:rPr>
                <w:rFonts w:hint="eastAsia" w:hAnsi="宋体" w:cs="宋体"/>
                <w:color w:val="auto"/>
                <w:szCs w:val="28"/>
                <w:highlight w:val="none"/>
              </w:rPr>
              <w:t>合计</w:t>
            </w:r>
          </w:p>
        </w:tc>
        <w:tc>
          <w:tcPr>
            <w:tcW w:w="1982" w:type="dxa"/>
            <w:vAlign w:val="center"/>
          </w:tcPr>
          <w:p w14:paraId="1368FD4D">
            <w:pPr>
              <w:jc w:val="center"/>
              <w:rPr>
                <w:rFonts w:hint="eastAsia" w:hAnsi="宋体" w:cs="宋体"/>
                <w:color w:val="auto"/>
                <w:szCs w:val="28"/>
                <w:highlight w:val="none"/>
              </w:rPr>
            </w:pPr>
          </w:p>
        </w:tc>
        <w:tc>
          <w:tcPr>
            <w:tcW w:w="1951" w:type="dxa"/>
            <w:vAlign w:val="center"/>
          </w:tcPr>
          <w:p w14:paraId="3DCA2ADF">
            <w:pPr>
              <w:jc w:val="center"/>
              <w:rPr>
                <w:rFonts w:hint="eastAsia" w:hAnsi="宋体" w:cs="宋体"/>
                <w:color w:val="auto"/>
                <w:szCs w:val="28"/>
                <w:highlight w:val="none"/>
              </w:rPr>
            </w:pPr>
          </w:p>
        </w:tc>
        <w:tc>
          <w:tcPr>
            <w:tcW w:w="1951" w:type="dxa"/>
            <w:vAlign w:val="center"/>
          </w:tcPr>
          <w:p w14:paraId="0FDB73D2">
            <w:pPr>
              <w:jc w:val="center"/>
              <w:rPr>
                <w:rFonts w:hint="eastAsia" w:hAnsi="宋体" w:cs="宋体"/>
                <w:color w:val="auto"/>
                <w:szCs w:val="28"/>
                <w:highlight w:val="none"/>
              </w:rPr>
            </w:pPr>
          </w:p>
        </w:tc>
      </w:tr>
    </w:tbl>
    <w:p w14:paraId="50894FCF">
      <w:pPr>
        <w:spacing w:line="360" w:lineRule="auto"/>
        <w:ind w:left="192" w:leftChars="80"/>
        <w:rPr>
          <w:rFonts w:hint="eastAsia" w:hAnsi="宋体" w:cs="宋体"/>
          <w:color w:val="auto"/>
          <w:sz w:val="21"/>
          <w:szCs w:val="21"/>
          <w:highlight w:val="none"/>
        </w:rPr>
      </w:pPr>
      <w:r>
        <w:rPr>
          <w:rFonts w:hint="eastAsia" w:hAnsi="宋体" w:cs="宋体"/>
          <w:color w:val="auto"/>
          <w:sz w:val="21"/>
          <w:szCs w:val="21"/>
          <w:highlight w:val="none"/>
        </w:rPr>
        <w:t>注：（</w:t>
      </w:r>
      <w:r>
        <w:rPr>
          <w:rFonts w:hAnsi="宋体" w:cs="宋体"/>
          <w:color w:val="auto"/>
          <w:sz w:val="21"/>
          <w:szCs w:val="21"/>
          <w:highlight w:val="none"/>
        </w:rPr>
        <w:t>1</w:t>
      </w:r>
      <w:r>
        <w:rPr>
          <w:rFonts w:hint="eastAsia" w:hAnsi="宋体" w:cs="宋体"/>
          <w:color w:val="auto"/>
          <w:sz w:val="21"/>
          <w:szCs w:val="21"/>
          <w:highlight w:val="none"/>
        </w:rPr>
        <w:t>）投标人应逐项填写本表，指出全部临时设施用地面积以及详细用途。</w:t>
      </w:r>
    </w:p>
    <w:p w14:paraId="3EC79A6E">
      <w:pPr>
        <w:spacing w:line="360" w:lineRule="auto"/>
        <w:ind w:firstLine="630" w:firstLineChars="300"/>
        <w:rPr>
          <w:rFonts w:hint="eastAsia" w:hAnsi="宋体" w:cs="宋体"/>
          <w:color w:val="auto"/>
          <w:sz w:val="21"/>
          <w:szCs w:val="21"/>
          <w:highlight w:val="none"/>
        </w:rPr>
      </w:pPr>
      <w:r>
        <w:rPr>
          <w:rFonts w:hint="eastAsia" w:hAnsi="宋体" w:cs="宋体"/>
          <w:color w:val="auto"/>
          <w:sz w:val="21"/>
          <w:szCs w:val="21"/>
          <w:highlight w:val="none"/>
        </w:rPr>
        <w:t>（</w:t>
      </w:r>
      <w:r>
        <w:rPr>
          <w:rFonts w:hAnsi="宋体" w:cs="宋体"/>
          <w:color w:val="auto"/>
          <w:sz w:val="21"/>
          <w:szCs w:val="21"/>
          <w:highlight w:val="none"/>
        </w:rPr>
        <w:t>2</w:t>
      </w:r>
      <w:r>
        <w:rPr>
          <w:rFonts w:hint="eastAsia" w:hAnsi="宋体" w:cs="宋体"/>
          <w:color w:val="auto"/>
          <w:sz w:val="21"/>
          <w:szCs w:val="21"/>
          <w:highlight w:val="none"/>
        </w:rPr>
        <w:t>）若本表不够，可加附页。</w:t>
      </w:r>
    </w:p>
    <w:p w14:paraId="0A7C4CD3">
      <w:pPr>
        <w:widowControl/>
        <w:spacing w:line="360" w:lineRule="auto"/>
        <w:rPr>
          <w:color w:val="auto"/>
          <w:sz w:val="21"/>
          <w:szCs w:val="21"/>
          <w:highlight w:val="none"/>
        </w:rPr>
      </w:pPr>
      <w:r>
        <w:rPr>
          <w:color w:val="auto"/>
          <w:sz w:val="21"/>
          <w:szCs w:val="21"/>
          <w:highlight w:val="none"/>
        </w:rPr>
        <w:br w:type="page"/>
      </w:r>
    </w:p>
    <w:p w14:paraId="5D9BEC7A">
      <w:pPr>
        <w:spacing w:line="360" w:lineRule="auto"/>
        <w:jc w:val="center"/>
        <w:rPr>
          <w:rFonts w:hint="eastAsia" w:hAnsi="宋体" w:cs="宋体"/>
          <w:b/>
          <w:bCs/>
          <w:color w:val="auto"/>
          <w:sz w:val="36"/>
          <w:szCs w:val="36"/>
          <w:highlight w:val="none"/>
        </w:rPr>
      </w:pPr>
    </w:p>
    <w:p w14:paraId="41CBFC81">
      <w:pPr>
        <w:spacing w:line="360" w:lineRule="auto"/>
        <w:jc w:val="center"/>
        <w:rPr>
          <w:rFonts w:hint="eastAsia" w:hAnsi="宋体" w:cs="宋体"/>
          <w:b/>
          <w:bCs/>
          <w:color w:val="auto"/>
          <w:sz w:val="36"/>
          <w:szCs w:val="36"/>
          <w:highlight w:val="none"/>
        </w:rPr>
      </w:pPr>
    </w:p>
    <w:p w14:paraId="49A2C830">
      <w:pPr>
        <w:spacing w:line="360" w:lineRule="auto"/>
        <w:jc w:val="center"/>
        <w:rPr>
          <w:color w:val="auto"/>
          <w:highlight w:val="none"/>
        </w:rPr>
      </w:pPr>
      <w:r>
        <w:rPr>
          <w:rFonts w:hint="eastAsia" w:hAnsi="宋体" w:cs="宋体"/>
          <w:b/>
          <w:bCs/>
          <w:color w:val="auto"/>
          <w:sz w:val="36"/>
          <w:szCs w:val="36"/>
          <w:highlight w:val="none"/>
        </w:rPr>
        <w:t>五、拟分包项目的管理方案</w:t>
      </w:r>
    </w:p>
    <w:p w14:paraId="04E6C5CA">
      <w:pPr>
        <w:pStyle w:val="17"/>
        <w:rPr>
          <w:rFonts w:hint="eastAsia"/>
          <w:color w:val="auto"/>
          <w:highlight w:val="none"/>
        </w:rPr>
      </w:pPr>
    </w:p>
    <w:p w14:paraId="243E7C86">
      <w:pPr>
        <w:rPr>
          <w:color w:val="auto"/>
          <w:highlight w:val="none"/>
        </w:rPr>
      </w:pPr>
    </w:p>
    <w:p w14:paraId="0C3BE59E">
      <w:pPr>
        <w:pStyle w:val="17"/>
        <w:rPr>
          <w:rFonts w:hint="eastAsia"/>
          <w:color w:val="auto"/>
          <w:highlight w:val="none"/>
        </w:rPr>
      </w:pPr>
    </w:p>
    <w:p w14:paraId="70E49611">
      <w:pPr>
        <w:rPr>
          <w:color w:val="auto"/>
          <w:highlight w:val="none"/>
        </w:rPr>
      </w:pPr>
    </w:p>
    <w:p w14:paraId="0C5E08CF">
      <w:pPr>
        <w:pStyle w:val="17"/>
        <w:rPr>
          <w:rFonts w:hint="eastAsia"/>
          <w:color w:val="auto"/>
          <w:highlight w:val="none"/>
        </w:rPr>
      </w:pPr>
    </w:p>
    <w:p w14:paraId="0E849FC7">
      <w:pPr>
        <w:spacing w:line="360" w:lineRule="auto"/>
        <w:jc w:val="center"/>
        <w:rPr>
          <w:rFonts w:hint="eastAsia" w:hAnsi="宋体" w:cs="宋体"/>
          <w:b/>
          <w:bCs/>
          <w:color w:val="auto"/>
          <w:sz w:val="36"/>
          <w:szCs w:val="36"/>
          <w:highlight w:val="none"/>
        </w:rPr>
      </w:pPr>
      <w:r>
        <w:rPr>
          <w:rFonts w:hint="eastAsia" w:hAnsi="宋体" w:cs="宋体"/>
          <w:b/>
          <w:bCs/>
          <w:color w:val="auto"/>
          <w:sz w:val="36"/>
          <w:szCs w:val="36"/>
          <w:highlight w:val="none"/>
        </w:rPr>
        <w:t>六、其他资料</w:t>
      </w:r>
    </w:p>
    <w:p w14:paraId="10F26013">
      <w:pPr>
        <w:spacing w:line="360" w:lineRule="auto"/>
        <w:jc w:val="center"/>
        <w:rPr>
          <w:rFonts w:hint="eastAsia" w:hAnsi="宋体" w:cs="宋体"/>
          <w:b/>
          <w:bCs/>
          <w:color w:val="auto"/>
          <w:sz w:val="36"/>
          <w:szCs w:val="36"/>
          <w:highlight w:val="none"/>
        </w:rPr>
      </w:pPr>
    </w:p>
    <w:p w14:paraId="3D5C7705">
      <w:pPr>
        <w:rPr>
          <w:color w:val="auto"/>
          <w:highlight w:val="none"/>
        </w:rPr>
      </w:pPr>
    </w:p>
    <w:p w14:paraId="1F4EC48C">
      <w:pPr>
        <w:spacing w:line="360" w:lineRule="auto"/>
        <w:jc w:val="center"/>
        <w:rPr>
          <w:rFonts w:hint="eastAsia" w:ascii="宋体" w:hAnsi="宋体"/>
          <w:color w:val="auto"/>
          <w:highlight w:val="none"/>
        </w:rPr>
      </w:pPr>
      <w:r>
        <w:rPr>
          <w:rFonts w:ascii="宋体" w:hAnsi="宋体"/>
          <w:color w:val="auto"/>
          <w:highlight w:val="none"/>
        </w:rPr>
        <w:br w:type="page"/>
      </w:r>
    </w:p>
    <w:p w14:paraId="2BD6FE82">
      <w:pPr>
        <w:jc w:val="center"/>
        <w:rPr>
          <w:b/>
          <w:bCs/>
          <w:color w:val="auto"/>
          <w:sz w:val="28"/>
          <w:szCs w:val="28"/>
          <w:highlight w:val="none"/>
        </w:rPr>
      </w:pPr>
    </w:p>
    <w:p w14:paraId="71EE9E49">
      <w:pPr>
        <w:jc w:val="center"/>
        <w:rPr>
          <w:b/>
          <w:bCs/>
          <w:color w:val="auto"/>
          <w:sz w:val="72"/>
          <w:highlight w:val="none"/>
        </w:rPr>
      </w:pPr>
      <w:r>
        <w:rPr>
          <w:rFonts w:hint="eastAsia"/>
          <w:b/>
          <w:bCs/>
          <w:color w:val="auto"/>
          <w:sz w:val="72"/>
          <w:highlight w:val="none"/>
        </w:rPr>
        <w:t>工程总承包投标文件</w:t>
      </w:r>
    </w:p>
    <w:p w14:paraId="6A3B4749">
      <w:pPr>
        <w:jc w:val="center"/>
        <w:rPr>
          <w:color w:val="auto"/>
          <w:sz w:val="36"/>
          <w:highlight w:val="none"/>
        </w:rPr>
      </w:pPr>
      <w:r>
        <w:rPr>
          <w:rFonts w:hint="eastAsia"/>
          <w:color w:val="auto"/>
          <w:sz w:val="36"/>
          <w:highlight w:val="none"/>
        </w:rPr>
        <w:t>（封面）</w:t>
      </w:r>
    </w:p>
    <w:p w14:paraId="7F2AA397">
      <w:pPr>
        <w:rPr>
          <w:color w:val="auto"/>
          <w:highlight w:val="none"/>
        </w:rPr>
      </w:pPr>
    </w:p>
    <w:p w14:paraId="21D2E386">
      <w:pPr>
        <w:rPr>
          <w:color w:val="auto"/>
          <w:sz w:val="32"/>
          <w:highlight w:val="none"/>
        </w:rPr>
      </w:pPr>
    </w:p>
    <w:p w14:paraId="326F5556">
      <w:pPr>
        <w:rPr>
          <w:color w:val="auto"/>
          <w:sz w:val="32"/>
          <w:highlight w:val="none"/>
        </w:rPr>
      </w:pPr>
    </w:p>
    <w:p w14:paraId="74298CEB">
      <w:pPr>
        <w:spacing w:after="490" w:afterLines="150" w:line="480" w:lineRule="auto"/>
        <w:ind w:firstLine="627" w:firstLineChars="196"/>
        <w:rPr>
          <w:rFonts w:hint="eastAsia" w:ascii="宋体" w:hAnsi="宋体"/>
          <w:color w:val="auto"/>
          <w:sz w:val="32"/>
          <w:highlight w:val="none"/>
          <w:u w:val="single"/>
        </w:rPr>
      </w:pPr>
      <w:r>
        <w:rPr>
          <w:rFonts w:hint="eastAsia" w:ascii="宋体" w:hAnsi="宋体"/>
          <w:color w:val="auto"/>
          <w:sz w:val="32"/>
          <w:highlight w:val="none"/>
        </w:rPr>
        <w:t>项目名称：</w:t>
      </w:r>
      <w:r>
        <w:rPr>
          <w:rFonts w:ascii="宋体" w:hAnsi="宋体"/>
          <w:color w:val="auto"/>
          <w:sz w:val="32"/>
          <w:highlight w:val="none"/>
          <w:u w:val="single"/>
        </w:rPr>
        <w:t xml:space="preserve">                                  </w:t>
      </w:r>
    </w:p>
    <w:p w14:paraId="79101AEA">
      <w:pPr>
        <w:tabs>
          <w:tab w:val="left" w:pos="5529"/>
        </w:tabs>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投标文件内容：</w:t>
      </w:r>
      <w:r>
        <w:rPr>
          <w:rFonts w:ascii="宋体" w:hAnsi="宋体"/>
          <w:color w:val="auto"/>
          <w:sz w:val="32"/>
          <w:highlight w:val="none"/>
          <w:u w:val="single"/>
        </w:rPr>
        <w:t xml:space="preserve">        </w:t>
      </w:r>
      <w:r>
        <w:rPr>
          <w:rFonts w:hint="eastAsia" w:ascii="宋体" w:hAnsi="宋体"/>
          <w:color w:val="auto"/>
          <w:sz w:val="32"/>
          <w:highlight w:val="none"/>
          <w:u w:val="single"/>
        </w:rPr>
        <w:t xml:space="preserve">投标文件资信标 </w:t>
      </w:r>
      <w:r>
        <w:rPr>
          <w:rFonts w:ascii="宋体" w:hAnsi="宋体"/>
          <w:color w:val="auto"/>
          <w:sz w:val="32"/>
          <w:highlight w:val="none"/>
          <w:u w:val="single"/>
        </w:rPr>
        <w:t xml:space="preserve">       </w:t>
      </w:r>
    </w:p>
    <w:p w14:paraId="79E57379">
      <w:pPr>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投标人：</w:t>
      </w:r>
      <w:r>
        <w:rPr>
          <w:rFonts w:ascii="宋体" w:hAnsi="宋体"/>
          <w:color w:val="auto"/>
          <w:sz w:val="32"/>
          <w:highlight w:val="none"/>
          <w:u w:val="single"/>
        </w:rPr>
        <w:t xml:space="preserve">         （单位盖章）</w:t>
      </w:r>
      <w:r>
        <w:rPr>
          <w:rFonts w:hint="eastAsia" w:ascii="宋体" w:hAnsi="宋体"/>
          <w:color w:val="auto"/>
          <w:sz w:val="32"/>
          <w:highlight w:val="none"/>
          <w:u w:val="single"/>
        </w:rPr>
        <w:t xml:space="preserve"> </w:t>
      </w:r>
      <w:r>
        <w:rPr>
          <w:rFonts w:ascii="宋体" w:hAnsi="宋体"/>
          <w:color w:val="auto"/>
          <w:sz w:val="32"/>
          <w:highlight w:val="none"/>
          <w:u w:val="single"/>
        </w:rPr>
        <w:t xml:space="preserve">              </w:t>
      </w:r>
    </w:p>
    <w:p w14:paraId="728BDB85">
      <w:pPr>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法定代表人或委托代理人：</w:t>
      </w:r>
      <w:r>
        <w:rPr>
          <w:rFonts w:ascii="宋体" w:hAnsi="宋体"/>
          <w:color w:val="auto"/>
          <w:sz w:val="32"/>
          <w:highlight w:val="none"/>
          <w:u w:val="single"/>
        </w:rPr>
        <w:t xml:space="preserve">    （</w:t>
      </w:r>
      <w:r>
        <w:rPr>
          <w:rFonts w:hint="eastAsia"/>
          <w:color w:val="auto"/>
          <w:highlight w:val="none"/>
          <w:u w:val="single"/>
        </w:rPr>
        <w:t>签字或盖章</w:t>
      </w:r>
      <w:r>
        <w:rPr>
          <w:rFonts w:hint="eastAsia" w:ascii="宋体" w:hAnsi="宋体"/>
          <w:color w:val="auto"/>
          <w:sz w:val="32"/>
          <w:highlight w:val="none"/>
          <w:u w:val="single"/>
        </w:rPr>
        <w:t xml:space="preserve">） </w:t>
      </w:r>
      <w:r>
        <w:rPr>
          <w:rFonts w:ascii="宋体" w:hAnsi="宋体"/>
          <w:color w:val="auto"/>
          <w:sz w:val="32"/>
          <w:highlight w:val="none"/>
          <w:u w:val="single"/>
        </w:rPr>
        <w:t xml:space="preserve">   </w:t>
      </w:r>
    </w:p>
    <w:p w14:paraId="7A71732D">
      <w:pPr>
        <w:spacing w:after="490" w:afterLines="150" w:line="480" w:lineRule="auto"/>
        <w:ind w:firstLine="627" w:firstLineChars="196"/>
        <w:rPr>
          <w:rFonts w:hint="eastAsia" w:ascii="宋体" w:hAnsi="宋体"/>
          <w:color w:val="auto"/>
          <w:sz w:val="32"/>
          <w:highlight w:val="none"/>
        </w:rPr>
      </w:pPr>
    </w:p>
    <w:p w14:paraId="6D5C7AE8">
      <w:pPr>
        <w:spacing w:after="490" w:afterLines="150" w:line="480" w:lineRule="auto"/>
        <w:ind w:firstLine="627" w:firstLineChars="196"/>
        <w:rPr>
          <w:rFonts w:hint="eastAsia" w:ascii="宋体" w:hAnsi="宋体"/>
          <w:color w:val="auto"/>
          <w:sz w:val="32"/>
          <w:highlight w:val="none"/>
        </w:rPr>
      </w:pPr>
    </w:p>
    <w:p w14:paraId="0FE41656">
      <w:pPr>
        <w:spacing w:after="490" w:afterLines="150" w:line="480" w:lineRule="auto"/>
        <w:ind w:firstLine="627" w:firstLineChars="196"/>
        <w:jc w:val="center"/>
        <w:rPr>
          <w:rFonts w:hint="eastAsia" w:ascii="宋体" w:hAnsi="宋体"/>
          <w:color w:val="auto"/>
          <w:sz w:val="32"/>
          <w:highlight w:val="none"/>
        </w:rPr>
      </w:pPr>
      <w:r>
        <w:rPr>
          <w:rFonts w:hint="eastAsia" w:ascii="宋体" w:hAnsi="宋体"/>
          <w:color w:val="auto"/>
          <w:sz w:val="32"/>
          <w:highlight w:val="none"/>
        </w:rPr>
        <w:t>日期：</w:t>
      </w:r>
      <w:r>
        <w:rPr>
          <w:rFonts w:ascii="宋体" w:hAnsi="宋体"/>
          <w:color w:val="auto"/>
          <w:sz w:val="32"/>
          <w:highlight w:val="none"/>
          <w:u w:val="single"/>
        </w:rPr>
        <w:t xml:space="preserve">     </w:t>
      </w:r>
      <w:r>
        <w:rPr>
          <w:rFonts w:hint="eastAsia" w:ascii="宋体" w:hAnsi="宋体"/>
          <w:color w:val="auto"/>
          <w:sz w:val="32"/>
          <w:highlight w:val="none"/>
        </w:rPr>
        <w:t>年</w:t>
      </w:r>
      <w:r>
        <w:rPr>
          <w:rFonts w:ascii="宋体" w:hAnsi="宋体"/>
          <w:color w:val="auto"/>
          <w:sz w:val="32"/>
          <w:highlight w:val="none"/>
          <w:u w:val="single"/>
        </w:rPr>
        <w:t xml:space="preserve">     </w:t>
      </w:r>
      <w:r>
        <w:rPr>
          <w:rFonts w:hint="eastAsia" w:ascii="宋体" w:hAnsi="宋体"/>
          <w:color w:val="auto"/>
          <w:sz w:val="32"/>
          <w:highlight w:val="none"/>
        </w:rPr>
        <w:t>月</w:t>
      </w:r>
      <w:r>
        <w:rPr>
          <w:rFonts w:ascii="宋体" w:hAnsi="宋体"/>
          <w:color w:val="auto"/>
          <w:sz w:val="32"/>
          <w:highlight w:val="none"/>
          <w:u w:val="single"/>
        </w:rPr>
        <w:t xml:space="preserve">     </w:t>
      </w:r>
      <w:r>
        <w:rPr>
          <w:rFonts w:hint="eastAsia" w:ascii="宋体" w:hAnsi="宋体"/>
          <w:color w:val="auto"/>
          <w:sz w:val="32"/>
          <w:highlight w:val="none"/>
        </w:rPr>
        <w:t>日</w:t>
      </w:r>
    </w:p>
    <w:p w14:paraId="3C39A50E">
      <w:pPr>
        <w:widowControl/>
        <w:rPr>
          <w:color w:val="auto"/>
          <w:highlight w:val="none"/>
        </w:rPr>
      </w:pPr>
      <w:r>
        <w:rPr>
          <w:color w:val="auto"/>
          <w:highlight w:val="none"/>
        </w:rPr>
        <w:br w:type="page"/>
      </w:r>
    </w:p>
    <w:p w14:paraId="0A7DCC53">
      <w:pPr>
        <w:spacing w:after="490" w:afterLines="150"/>
        <w:jc w:val="center"/>
        <w:rPr>
          <w:color w:val="auto"/>
          <w:sz w:val="30"/>
          <w:highlight w:val="none"/>
        </w:rPr>
      </w:pPr>
    </w:p>
    <w:p w14:paraId="17145583">
      <w:pPr>
        <w:spacing w:line="360" w:lineRule="auto"/>
        <w:ind w:firstLine="602"/>
        <w:jc w:val="center"/>
        <w:rPr>
          <w:rFonts w:ascii="宋体" w:hAnsi="Courier New"/>
          <w:b/>
          <w:bCs/>
          <w:color w:val="auto"/>
          <w:sz w:val="36"/>
          <w:szCs w:val="36"/>
          <w:highlight w:val="none"/>
        </w:rPr>
      </w:pPr>
      <w:r>
        <w:rPr>
          <w:rFonts w:hint="eastAsia" w:ascii="宋体" w:hAnsi="Courier New"/>
          <w:b/>
          <w:bCs/>
          <w:color w:val="auto"/>
          <w:sz w:val="36"/>
          <w:szCs w:val="36"/>
          <w:highlight w:val="none"/>
        </w:rPr>
        <w:t>目</w:t>
      </w:r>
      <w:r>
        <w:rPr>
          <w:rFonts w:ascii="宋体" w:hAnsi="Courier New"/>
          <w:b/>
          <w:bCs/>
          <w:color w:val="auto"/>
          <w:sz w:val="36"/>
          <w:szCs w:val="36"/>
          <w:highlight w:val="none"/>
        </w:rPr>
        <w:t xml:space="preserve">    </w:t>
      </w:r>
      <w:r>
        <w:rPr>
          <w:rFonts w:hint="eastAsia" w:ascii="宋体" w:hAnsi="Courier New"/>
          <w:b/>
          <w:bCs/>
          <w:color w:val="auto"/>
          <w:sz w:val="36"/>
          <w:szCs w:val="36"/>
          <w:highlight w:val="none"/>
        </w:rPr>
        <w:t>录</w:t>
      </w:r>
    </w:p>
    <w:p w14:paraId="02212F67">
      <w:pPr>
        <w:spacing w:line="360" w:lineRule="auto"/>
        <w:ind w:firstLine="602"/>
        <w:jc w:val="center"/>
        <w:rPr>
          <w:rFonts w:ascii="宋体" w:hAnsi="Courier New"/>
          <w:b/>
          <w:bCs/>
          <w:color w:val="auto"/>
          <w:sz w:val="36"/>
          <w:szCs w:val="36"/>
          <w:highlight w:val="none"/>
        </w:rPr>
      </w:pPr>
    </w:p>
    <w:p w14:paraId="4E24275B">
      <w:pPr>
        <w:tabs>
          <w:tab w:val="left" w:pos="567"/>
        </w:tabs>
        <w:spacing w:after="490" w:afterLines="150" w:line="360" w:lineRule="auto"/>
        <w:ind w:firstLine="480" w:firstLineChars="200"/>
        <w:rPr>
          <w:rFonts w:hint="eastAsia" w:ascii="宋体" w:hAnsi="宋体"/>
          <w:color w:val="auto"/>
          <w:highlight w:val="none"/>
        </w:rPr>
      </w:pPr>
      <w:r>
        <w:rPr>
          <w:rFonts w:hint="eastAsia"/>
          <w:color w:val="auto"/>
          <w:highlight w:val="none"/>
        </w:rPr>
        <w:t>一、☑</w:t>
      </w:r>
      <w:r>
        <w:rPr>
          <w:rFonts w:hint="eastAsia" w:ascii="宋体" w:hAnsi="宋体"/>
          <w:color w:val="auto"/>
          <w:highlight w:val="none"/>
        </w:rPr>
        <w:t>投标人一般情况（表</w:t>
      </w:r>
      <w:r>
        <w:rPr>
          <w:rFonts w:ascii="宋体" w:hAnsi="宋体"/>
          <w:color w:val="auto"/>
          <w:highlight w:val="none"/>
        </w:rPr>
        <w:t>1</w:t>
      </w:r>
      <w:r>
        <w:rPr>
          <w:rFonts w:hint="eastAsia" w:ascii="宋体" w:hAnsi="宋体"/>
          <w:color w:val="auto"/>
          <w:highlight w:val="none"/>
        </w:rPr>
        <w:t>）</w:t>
      </w:r>
    </w:p>
    <w:p w14:paraId="5C06BCF4">
      <w:pPr>
        <w:tabs>
          <w:tab w:val="left" w:pos="567"/>
        </w:tabs>
        <w:spacing w:after="490" w:afterLines="150" w:line="360" w:lineRule="auto"/>
        <w:ind w:firstLine="480" w:firstLineChars="200"/>
        <w:rPr>
          <w:rFonts w:hint="eastAsia" w:ascii="宋体" w:hAnsi="宋体"/>
          <w:strike/>
          <w:dstrike w:val="0"/>
          <w:color w:val="auto"/>
          <w:highlight w:val="none"/>
        </w:rPr>
      </w:pPr>
      <w:r>
        <w:rPr>
          <w:rFonts w:hint="eastAsia"/>
          <w:strike/>
          <w:dstrike w:val="0"/>
          <w:color w:val="auto"/>
          <w:highlight w:val="none"/>
        </w:rPr>
        <w:t>二、</w:t>
      </w:r>
      <w:r>
        <w:rPr>
          <w:rFonts w:hint="eastAsia"/>
          <w:strike/>
          <w:dstrike w:val="0"/>
          <w:color w:val="auto"/>
          <w:highlight w:val="none"/>
          <w:lang w:eastAsia="zh-CN"/>
        </w:rPr>
        <w:t>□</w:t>
      </w:r>
      <w:r>
        <w:rPr>
          <w:rFonts w:hint="eastAsia" w:ascii="宋体" w:hAnsi="宋体"/>
          <w:strike/>
          <w:dstrike w:val="0"/>
          <w:color w:val="auto"/>
          <w:highlight w:val="none"/>
        </w:rPr>
        <w:t>近年财务状况表（表</w:t>
      </w:r>
      <w:r>
        <w:rPr>
          <w:rFonts w:ascii="宋体" w:hAnsi="宋体"/>
          <w:strike/>
          <w:dstrike w:val="0"/>
          <w:color w:val="auto"/>
          <w:highlight w:val="none"/>
        </w:rPr>
        <w:t>2</w:t>
      </w:r>
      <w:r>
        <w:rPr>
          <w:rFonts w:hint="eastAsia" w:ascii="宋体" w:hAnsi="宋体"/>
          <w:strike/>
          <w:dstrike w:val="0"/>
          <w:color w:val="auto"/>
          <w:highlight w:val="none"/>
        </w:rPr>
        <w:t>）</w:t>
      </w:r>
    </w:p>
    <w:p w14:paraId="098BC6E5">
      <w:pPr>
        <w:tabs>
          <w:tab w:val="left" w:pos="567"/>
        </w:tabs>
        <w:snapToGrid w:val="0"/>
        <w:spacing w:after="490" w:afterLines="150" w:line="360" w:lineRule="auto"/>
        <w:ind w:firstLine="480" w:firstLineChars="200"/>
        <w:rPr>
          <w:rFonts w:hint="eastAsia" w:ascii="宋体" w:hAnsi="宋体"/>
          <w:color w:val="auto"/>
          <w:highlight w:val="none"/>
        </w:rPr>
      </w:pPr>
      <w:r>
        <w:rPr>
          <w:rFonts w:hint="eastAsia" w:ascii="宋体" w:hAnsi="宋体"/>
          <w:color w:val="auto"/>
          <w:highlight w:val="none"/>
        </w:rPr>
        <w:t>三、</w:t>
      </w:r>
      <w:r>
        <w:rPr>
          <w:rFonts w:hint="eastAsia"/>
          <w:color w:val="auto"/>
          <w:highlight w:val="none"/>
        </w:rPr>
        <w:t>☑</w:t>
      </w:r>
      <w:r>
        <w:rPr>
          <w:rFonts w:hint="eastAsia" w:ascii="宋体" w:hAnsi="宋体"/>
          <w:color w:val="auto"/>
          <w:highlight w:val="none"/>
        </w:rPr>
        <w:t>业绩汇总表（表3）（评分业绩条件的汇总，附相关业绩的证明材料，且需要准确详细列入）</w:t>
      </w:r>
    </w:p>
    <w:p w14:paraId="5259E208">
      <w:pPr>
        <w:tabs>
          <w:tab w:val="left" w:pos="567"/>
        </w:tabs>
        <w:spacing w:after="490" w:afterLines="150" w:line="360" w:lineRule="auto"/>
        <w:ind w:firstLine="480" w:firstLineChars="200"/>
        <w:rPr>
          <w:rFonts w:hint="eastAsia" w:ascii="宋体" w:hAnsi="宋体"/>
          <w:color w:val="auto"/>
          <w:highlight w:val="none"/>
        </w:rPr>
      </w:pPr>
      <w:r>
        <w:rPr>
          <w:rFonts w:hint="eastAsia" w:ascii="宋体" w:hAnsi="宋体"/>
          <w:color w:val="auto"/>
          <w:highlight w:val="none"/>
        </w:rPr>
        <w:t>四、</w:t>
      </w:r>
      <w:r>
        <w:rPr>
          <w:rFonts w:hint="eastAsia"/>
          <w:color w:val="auto"/>
          <w:highlight w:val="none"/>
        </w:rPr>
        <w:t>☑</w:t>
      </w:r>
      <w:r>
        <w:rPr>
          <w:rFonts w:hint="eastAsia" w:ascii="宋体" w:hAnsi="宋体"/>
          <w:color w:val="auto"/>
          <w:highlight w:val="none"/>
        </w:rPr>
        <w:t>项目管理班子配备情况表（表4）</w:t>
      </w:r>
    </w:p>
    <w:p w14:paraId="5D413880">
      <w:pPr>
        <w:tabs>
          <w:tab w:val="left" w:pos="513"/>
          <w:tab w:val="left" w:pos="567"/>
        </w:tabs>
        <w:spacing w:after="490" w:afterLines="150" w:line="360" w:lineRule="auto"/>
        <w:ind w:firstLine="480" w:firstLineChars="200"/>
        <w:rPr>
          <w:rFonts w:hint="eastAsia" w:ascii="宋体" w:hAnsi="宋体"/>
          <w:color w:val="auto"/>
          <w:highlight w:val="none"/>
        </w:rPr>
      </w:pPr>
      <w:r>
        <w:rPr>
          <w:rFonts w:hint="eastAsia" w:ascii="宋体" w:hAnsi="宋体"/>
          <w:color w:val="auto"/>
          <w:highlight w:val="none"/>
        </w:rPr>
        <w:t>五、其他资料</w:t>
      </w:r>
      <w:r>
        <w:rPr>
          <w:rFonts w:ascii="宋体" w:hAnsi="宋体" w:cs="宋体"/>
          <w:bCs/>
          <w:color w:val="auto"/>
          <w:highlight w:val="none"/>
        </w:rPr>
        <w:t>(详见投标人须知前附表)</w:t>
      </w:r>
      <w:r>
        <w:rPr>
          <w:rFonts w:hint="eastAsia" w:ascii="宋体" w:hAnsi="宋体"/>
          <w:color w:val="auto"/>
          <w:highlight w:val="none"/>
        </w:rPr>
        <w:t>。</w:t>
      </w:r>
    </w:p>
    <w:p w14:paraId="2A218069">
      <w:pPr>
        <w:widowControl/>
        <w:rPr>
          <w:color w:val="auto"/>
          <w:highlight w:val="none"/>
        </w:rPr>
      </w:pPr>
      <w:r>
        <w:rPr>
          <w:color w:val="auto"/>
          <w:highlight w:val="none"/>
        </w:rPr>
        <w:br w:type="page"/>
      </w:r>
    </w:p>
    <w:p w14:paraId="624803ED">
      <w:pPr>
        <w:spacing w:line="360" w:lineRule="auto"/>
        <w:jc w:val="center"/>
        <w:rPr>
          <w:rFonts w:hint="eastAsia" w:ascii="宋体" w:hAnsi="宋体" w:cs="宋体"/>
          <w:b/>
          <w:bCs/>
          <w:color w:val="auto"/>
          <w:sz w:val="28"/>
          <w:szCs w:val="28"/>
          <w:highlight w:val="none"/>
        </w:rPr>
      </w:pPr>
    </w:p>
    <w:p w14:paraId="7FCB7562">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表</w:t>
      </w:r>
      <w:r>
        <w:rPr>
          <w:rFonts w:ascii="宋体" w:hAnsi="宋体" w:cs="宋体"/>
          <w:b/>
          <w:bCs/>
          <w:color w:val="auto"/>
          <w:sz w:val="28"/>
          <w:szCs w:val="28"/>
          <w:highlight w:val="none"/>
        </w:rPr>
        <w:t xml:space="preserve">1 </w:t>
      </w:r>
      <w:r>
        <w:rPr>
          <w:rFonts w:hint="eastAsia" w:ascii="仿宋" w:hAnsi="仿宋" w:eastAsia="仿宋" w:cs="宋体"/>
          <w:b/>
          <w:bCs/>
          <w:color w:val="auto"/>
          <w:sz w:val="30"/>
          <w:szCs w:val="30"/>
          <w:highlight w:val="none"/>
        </w:rPr>
        <w:t xml:space="preserve"> </w:t>
      </w:r>
      <w:r>
        <w:rPr>
          <w:rFonts w:hint="eastAsia"/>
          <w:color w:val="auto"/>
          <w:highlight w:val="none"/>
        </w:rPr>
        <w:t>☑</w:t>
      </w:r>
      <w:r>
        <w:rPr>
          <w:rFonts w:hint="eastAsia" w:ascii="宋体" w:hAnsi="宋体" w:cs="宋体"/>
          <w:b/>
          <w:bCs/>
          <w:color w:val="auto"/>
          <w:sz w:val="28"/>
          <w:szCs w:val="28"/>
          <w:highlight w:val="none"/>
        </w:rPr>
        <w:t>投标人基本情况表</w:t>
      </w:r>
    </w:p>
    <w:tbl>
      <w:tblPr>
        <w:tblStyle w:val="23"/>
        <w:tblpPr w:leftFromText="180" w:rightFromText="180" w:vertAnchor="text" w:horzAnchor="page" w:tblpX="1682" w:tblpY="2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2386"/>
        <w:gridCol w:w="452"/>
        <w:gridCol w:w="1337"/>
        <w:gridCol w:w="1272"/>
        <w:gridCol w:w="1038"/>
        <w:gridCol w:w="727"/>
      </w:tblGrid>
      <w:tr w14:paraId="7E1B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60" w:type="dxa"/>
            <w:vAlign w:val="center"/>
          </w:tcPr>
          <w:p w14:paraId="3B632C16">
            <w:pPr>
              <w:rPr>
                <w:rFonts w:hint="eastAsia" w:hAnsi="宋体"/>
                <w:color w:val="auto"/>
                <w:highlight w:val="none"/>
              </w:rPr>
            </w:pPr>
            <w:r>
              <w:rPr>
                <w:rFonts w:hint="eastAsia" w:hAnsi="宋体"/>
                <w:color w:val="auto"/>
                <w:highlight w:val="none"/>
              </w:rPr>
              <w:t>投标人名称</w:t>
            </w:r>
          </w:p>
        </w:tc>
        <w:tc>
          <w:tcPr>
            <w:tcW w:w="7212" w:type="dxa"/>
            <w:gridSpan w:val="6"/>
            <w:vAlign w:val="center"/>
          </w:tcPr>
          <w:p w14:paraId="669F08A7">
            <w:pPr>
              <w:rPr>
                <w:rFonts w:hint="eastAsia" w:hAnsi="宋体"/>
                <w:color w:val="auto"/>
                <w:highlight w:val="none"/>
              </w:rPr>
            </w:pPr>
          </w:p>
        </w:tc>
      </w:tr>
      <w:tr w14:paraId="4493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360" w:type="dxa"/>
            <w:vAlign w:val="center"/>
          </w:tcPr>
          <w:p w14:paraId="0F4062DA">
            <w:pPr>
              <w:rPr>
                <w:rFonts w:hint="eastAsia" w:hAnsi="宋体"/>
                <w:color w:val="auto"/>
                <w:highlight w:val="none"/>
              </w:rPr>
            </w:pPr>
            <w:r>
              <w:rPr>
                <w:rFonts w:hint="eastAsia" w:hAnsi="宋体"/>
                <w:color w:val="auto"/>
                <w:highlight w:val="none"/>
              </w:rPr>
              <w:t>注册地址</w:t>
            </w:r>
          </w:p>
        </w:tc>
        <w:tc>
          <w:tcPr>
            <w:tcW w:w="4175" w:type="dxa"/>
            <w:gridSpan w:val="3"/>
            <w:vAlign w:val="center"/>
          </w:tcPr>
          <w:p w14:paraId="341D08B5">
            <w:pPr>
              <w:rPr>
                <w:rFonts w:hint="eastAsia" w:hAnsi="宋体"/>
                <w:color w:val="auto"/>
                <w:highlight w:val="none"/>
              </w:rPr>
            </w:pPr>
          </w:p>
        </w:tc>
        <w:tc>
          <w:tcPr>
            <w:tcW w:w="1272" w:type="dxa"/>
            <w:vAlign w:val="center"/>
          </w:tcPr>
          <w:p w14:paraId="58E3D47B">
            <w:pPr>
              <w:rPr>
                <w:rFonts w:hint="eastAsia" w:hAnsi="宋体"/>
                <w:color w:val="auto"/>
                <w:highlight w:val="none"/>
              </w:rPr>
            </w:pPr>
            <w:r>
              <w:rPr>
                <w:rFonts w:hint="eastAsia" w:hAnsi="宋体"/>
                <w:color w:val="auto"/>
                <w:highlight w:val="none"/>
              </w:rPr>
              <w:t>邮政编码</w:t>
            </w:r>
          </w:p>
        </w:tc>
        <w:tc>
          <w:tcPr>
            <w:tcW w:w="1765" w:type="dxa"/>
            <w:gridSpan w:val="2"/>
            <w:vAlign w:val="center"/>
          </w:tcPr>
          <w:p w14:paraId="375B4C86">
            <w:pPr>
              <w:rPr>
                <w:rFonts w:hint="eastAsia" w:hAnsi="宋体"/>
                <w:color w:val="auto"/>
                <w:highlight w:val="none"/>
              </w:rPr>
            </w:pPr>
          </w:p>
        </w:tc>
      </w:tr>
      <w:tr w14:paraId="4B88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60" w:type="dxa"/>
            <w:vAlign w:val="center"/>
          </w:tcPr>
          <w:p w14:paraId="69FC9015">
            <w:pPr>
              <w:numPr>
                <w:ins w:id="0" w:author="XH" w:date="2025-06-29T13:54:00Z"/>
              </w:numPr>
              <w:snapToGrid w:val="0"/>
              <w:jc w:val="center"/>
              <w:rPr>
                <w:rFonts w:hint="eastAsia" w:hAnsi="宋体"/>
                <w:color w:val="auto"/>
                <w:highlight w:val="none"/>
              </w:rPr>
            </w:pPr>
            <w:r>
              <w:rPr>
                <w:rFonts w:hint="eastAsia" w:hAnsi="宋体"/>
                <w:color w:val="auto"/>
                <w:highlight w:val="none"/>
              </w:rPr>
              <w:t>联系人</w:t>
            </w:r>
          </w:p>
        </w:tc>
        <w:tc>
          <w:tcPr>
            <w:tcW w:w="4175" w:type="dxa"/>
            <w:gridSpan w:val="3"/>
            <w:vAlign w:val="center"/>
          </w:tcPr>
          <w:p w14:paraId="19306A38">
            <w:pPr>
              <w:numPr>
                <w:ins w:id="1" w:author="XH" w:date="2025-06-29T13:54:00Z"/>
              </w:numPr>
              <w:snapToGrid w:val="0"/>
              <w:jc w:val="center"/>
              <w:rPr>
                <w:rFonts w:hint="eastAsia" w:hAnsi="宋体"/>
                <w:color w:val="auto"/>
                <w:highlight w:val="none"/>
              </w:rPr>
            </w:pPr>
          </w:p>
        </w:tc>
        <w:tc>
          <w:tcPr>
            <w:tcW w:w="1272" w:type="dxa"/>
            <w:vAlign w:val="center"/>
          </w:tcPr>
          <w:p w14:paraId="7167B218">
            <w:pPr>
              <w:numPr>
                <w:ins w:id="2" w:author="XH" w:date="2025-06-29T13:54:00Z"/>
              </w:numPr>
              <w:snapToGrid w:val="0"/>
              <w:jc w:val="center"/>
              <w:rPr>
                <w:rFonts w:hint="eastAsia" w:hAnsi="宋体"/>
                <w:color w:val="auto"/>
                <w:highlight w:val="none"/>
              </w:rPr>
            </w:pPr>
            <w:r>
              <w:rPr>
                <w:rFonts w:hint="eastAsia" w:hAnsi="宋体"/>
                <w:color w:val="auto"/>
                <w:highlight w:val="none"/>
              </w:rPr>
              <w:t>电话</w:t>
            </w:r>
          </w:p>
        </w:tc>
        <w:tc>
          <w:tcPr>
            <w:tcW w:w="1765" w:type="dxa"/>
            <w:gridSpan w:val="2"/>
            <w:vAlign w:val="center"/>
          </w:tcPr>
          <w:p w14:paraId="3228350F">
            <w:pPr>
              <w:numPr>
                <w:ins w:id="3" w:author="XH" w:date="2025-06-29T13:54:00Z"/>
              </w:numPr>
              <w:snapToGrid w:val="0"/>
              <w:jc w:val="center"/>
              <w:rPr>
                <w:rFonts w:hint="eastAsia" w:hAnsi="宋体"/>
                <w:color w:val="auto"/>
                <w:highlight w:val="none"/>
              </w:rPr>
            </w:pPr>
          </w:p>
        </w:tc>
      </w:tr>
      <w:tr w14:paraId="5DBC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60" w:type="dxa"/>
            <w:vMerge w:val="restart"/>
            <w:vAlign w:val="center"/>
          </w:tcPr>
          <w:p w14:paraId="4A108E24">
            <w:pPr>
              <w:numPr>
                <w:ins w:id="4" w:author="XH" w:date="2025-06-29T13:54:00Z"/>
              </w:numPr>
              <w:snapToGrid w:val="0"/>
              <w:jc w:val="center"/>
              <w:rPr>
                <w:rFonts w:hint="eastAsia" w:hAnsi="宋体"/>
                <w:color w:val="auto"/>
                <w:highlight w:val="none"/>
              </w:rPr>
            </w:pPr>
            <w:r>
              <w:rPr>
                <w:rFonts w:hint="eastAsia" w:hAnsi="宋体"/>
                <w:color w:val="auto"/>
                <w:highlight w:val="none"/>
              </w:rPr>
              <w:t>投标责任人（法律责任人）</w:t>
            </w:r>
          </w:p>
        </w:tc>
        <w:tc>
          <w:tcPr>
            <w:tcW w:w="2386" w:type="dxa"/>
            <w:vAlign w:val="center"/>
          </w:tcPr>
          <w:p w14:paraId="7829C87A">
            <w:pPr>
              <w:pStyle w:val="19"/>
              <w:widowControl/>
              <w:shd w:val="clear" w:color="auto" w:fill="FFFFFF"/>
              <w:jc w:val="center"/>
              <w:rPr>
                <w:color w:val="auto"/>
                <w:sz w:val="21"/>
                <w:szCs w:val="21"/>
                <w:highlight w:val="none"/>
                <w:shd w:val="clear" w:color="auto" w:fill="FFFFFF"/>
              </w:rPr>
            </w:pPr>
            <w:r>
              <w:rPr>
                <w:color w:val="auto"/>
                <w:sz w:val="21"/>
                <w:szCs w:val="21"/>
                <w:highlight w:val="none"/>
                <w:shd w:val="clear" w:color="auto" w:fill="FFFFFF"/>
              </w:rPr>
              <w:t>投标直接责任人员为本次投标委托授权代表</w:t>
            </w:r>
          </w:p>
        </w:tc>
        <w:tc>
          <w:tcPr>
            <w:tcW w:w="1789" w:type="dxa"/>
            <w:gridSpan w:val="2"/>
            <w:vAlign w:val="center"/>
          </w:tcPr>
          <w:p w14:paraId="75FCE282">
            <w:pPr>
              <w:numPr>
                <w:ins w:id="5" w:author="XH" w:date="2025-06-29T13:54:00Z"/>
              </w:numPr>
              <w:snapToGrid w:val="0"/>
              <w:jc w:val="center"/>
              <w:rPr>
                <w:rFonts w:hint="eastAsia" w:hAnsi="宋体"/>
                <w:color w:val="auto"/>
                <w:highlight w:val="none"/>
              </w:rPr>
            </w:pPr>
          </w:p>
        </w:tc>
        <w:tc>
          <w:tcPr>
            <w:tcW w:w="1272" w:type="dxa"/>
            <w:vAlign w:val="center"/>
          </w:tcPr>
          <w:p w14:paraId="018A8E8A">
            <w:pPr>
              <w:numPr>
                <w:ins w:id="6" w:author="XH" w:date="2025-06-29T13:54:00Z"/>
              </w:numPr>
              <w:snapToGrid w:val="0"/>
              <w:jc w:val="center"/>
              <w:rPr>
                <w:rFonts w:hint="eastAsia" w:hAnsi="宋体"/>
                <w:color w:val="auto"/>
                <w:highlight w:val="none"/>
              </w:rPr>
            </w:pPr>
            <w:r>
              <w:rPr>
                <w:rFonts w:hint="eastAsia" w:hAnsi="宋体"/>
                <w:color w:val="auto"/>
                <w:highlight w:val="none"/>
              </w:rPr>
              <w:t>电话</w:t>
            </w:r>
          </w:p>
        </w:tc>
        <w:tc>
          <w:tcPr>
            <w:tcW w:w="1765" w:type="dxa"/>
            <w:gridSpan w:val="2"/>
            <w:vAlign w:val="center"/>
          </w:tcPr>
          <w:p w14:paraId="3B8AFA9B">
            <w:pPr>
              <w:numPr>
                <w:ins w:id="7" w:author="XH" w:date="2025-06-29T13:54:00Z"/>
              </w:numPr>
              <w:snapToGrid w:val="0"/>
              <w:jc w:val="center"/>
              <w:rPr>
                <w:rFonts w:hint="eastAsia" w:hAnsi="宋体"/>
                <w:color w:val="auto"/>
                <w:highlight w:val="none"/>
              </w:rPr>
            </w:pPr>
          </w:p>
        </w:tc>
      </w:tr>
      <w:tr w14:paraId="6853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60" w:type="dxa"/>
            <w:vMerge w:val="continue"/>
            <w:vAlign w:val="center"/>
          </w:tcPr>
          <w:p w14:paraId="3323B973">
            <w:pPr>
              <w:numPr>
                <w:ins w:id="8" w:author="XH" w:date="2025-06-29T13:54:00Z"/>
              </w:numPr>
              <w:snapToGrid w:val="0"/>
              <w:jc w:val="center"/>
              <w:rPr>
                <w:rFonts w:hint="eastAsia" w:hAnsi="宋体"/>
                <w:color w:val="auto"/>
                <w:highlight w:val="none"/>
              </w:rPr>
            </w:pPr>
          </w:p>
        </w:tc>
        <w:tc>
          <w:tcPr>
            <w:tcW w:w="2386" w:type="dxa"/>
            <w:vAlign w:val="center"/>
          </w:tcPr>
          <w:p w14:paraId="7C8E45F8">
            <w:pPr>
              <w:numPr>
                <w:ins w:id="9" w:author="XH" w:date="2025-06-29T13:54:00Z"/>
              </w:numPr>
              <w:snapToGrid w:val="0"/>
              <w:jc w:val="center"/>
              <w:rPr>
                <w:rFonts w:hint="eastAsia" w:ascii="宋体" w:hAnsi="宋体" w:cs="宋体"/>
                <w:color w:val="auto"/>
                <w:sz w:val="21"/>
                <w:szCs w:val="21"/>
                <w:highlight w:val="none"/>
                <w:shd w:val="clear" w:color="auto" w:fill="FFFFFF"/>
                <w:lang w:bidi="ar"/>
              </w:rPr>
            </w:pPr>
            <w:r>
              <w:rPr>
                <w:rFonts w:hint="eastAsia" w:ascii="宋体" w:hAnsi="宋体" w:cs="宋体"/>
                <w:color w:val="auto"/>
                <w:sz w:val="21"/>
                <w:szCs w:val="21"/>
                <w:highlight w:val="none"/>
                <w:shd w:val="clear" w:color="auto" w:fill="FFFFFF"/>
                <w:lang w:bidi="ar"/>
              </w:rPr>
              <w:t>身份证号</w:t>
            </w:r>
          </w:p>
        </w:tc>
        <w:tc>
          <w:tcPr>
            <w:tcW w:w="1789" w:type="dxa"/>
            <w:gridSpan w:val="2"/>
            <w:vAlign w:val="center"/>
          </w:tcPr>
          <w:p w14:paraId="791F2916">
            <w:pPr>
              <w:numPr>
                <w:ins w:id="10" w:author="XH" w:date="2025-06-29T13:54:00Z"/>
              </w:numPr>
              <w:snapToGrid w:val="0"/>
              <w:jc w:val="center"/>
              <w:rPr>
                <w:rFonts w:hint="eastAsia" w:hAnsi="宋体"/>
                <w:color w:val="auto"/>
                <w:highlight w:val="none"/>
              </w:rPr>
            </w:pPr>
          </w:p>
        </w:tc>
        <w:tc>
          <w:tcPr>
            <w:tcW w:w="1272" w:type="dxa"/>
            <w:vAlign w:val="center"/>
          </w:tcPr>
          <w:p w14:paraId="3B7823B5">
            <w:pPr>
              <w:numPr>
                <w:ins w:id="11" w:author="XH" w:date="2025-06-29T13:54:00Z"/>
              </w:numPr>
              <w:snapToGrid w:val="0"/>
              <w:jc w:val="center"/>
              <w:rPr>
                <w:rFonts w:hint="eastAsia" w:hAnsi="宋体"/>
                <w:color w:val="auto"/>
                <w:highlight w:val="none"/>
              </w:rPr>
            </w:pPr>
            <w:r>
              <w:rPr>
                <w:rFonts w:hint="eastAsia" w:hAnsi="宋体"/>
                <w:color w:val="auto"/>
                <w:highlight w:val="none"/>
              </w:rPr>
              <w:t>住址</w:t>
            </w:r>
          </w:p>
        </w:tc>
        <w:tc>
          <w:tcPr>
            <w:tcW w:w="1765" w:type="dxa"/>
            <w:gridSpan w:val="2"/>
            <w:vAlign w:val="center"/>
          </w:tcPr>
          <w:p w14:paraId="0AFEB431">
            <w:pPr>
              <w:numPr>
                <w:ins w:id="12" w:author="XH" w:date="2025-06-29T13:54:00Z"/>
              </w:numPr>
              <w:snapToGrid w:val="0"/>
              <w:jc w:val="center"/>
              <w:rPr>
                <w:rFonts w:hint="eastAsia" w:hAnsi="宋体"/>
                <w:color w:val="auto"/>
                <w:highlight w:val="none"/>
              </w:rPr>
            </w:pPr>
          </w:p>
        </w:tc>
      </w:tr>
      <w:tr w14:paraId="1049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60" w:type="dxa"/>
            <w:vMerge w:val="continue"/>
            <w:vAlign w:val="center"/>
          </w:tcPr>
          <w:p w14:paraId="66C946F8">
            <w:pPr>
              <w:numPr>
                <w:ins w:id="13" w:author="XH" w:date="2025-06-29T13:54:00Z"/>
              </w:numPr>
              <w:snapToGrid w:val="0"/>
              <w:jc w:val="center"/>
              <w:rPr>
                <w:rFonts w:hint="eastAsia" w:hAnsi="宋体"/>
                <w:color w:val="auto"/>
                <w:highlight w:val="none"/>
              </w:rPr>
            </w:pPr>
          </w:p>
        </w:tc>
        <w:tc>
          <w:tcPr>
            <w:tcW w:w="2386" w:type="dxa"/>
            <w:vAlign w:val="center"/>
          </w:tcPr>
          <w:p w14:paraId="52B4784D">
            <w:pPr>
              <w:pStyle w:val="19"/>
              <w:widowControl/>
              <w:shd w:val="clear" w:color="auto" w:fill="FFFFFF"/>
              <w:jc w:val="center"/>
              <w:rPr>
                <w:color w:val="auto"/>
                <w:sz w:val="21"/>
                <w:szCs w:val="21"/>
                <w:highlight w:val="none"/>
                <w:shd w:val="clear" w:color="auto" w:fill="FFFFFF"/>
              </w:rPr>
            </w:pPr>
            <w:r>
              <w:rPr>
                <w:color w:val="auto"/>
                <w:sz w:val="21"/>
                <w:szCs w:val="21"/>
                <w:highlight w:val="none"/>
                <w:shd w:val="clear" w:color="auto" w:fill="FFFFFF"/>
              </w:rPr>
              <w:t>投标的主管人员为法定代表人</w:t>
            </w:r>
          </w:p>
        </w:tc>
        <w:tc>
          <w:tcPr>
            <w:tcW w:w="1789" w:type="dxa"/>
            <w:gridSpan w:val="2"/>
            <w:vAlign w:val="center"/>
          </w:tcPr>
          <w:p w14:paraId="70780480">
            <w:pPr>
              <w:snapToGrid w:val="0"/>
              <w:jc w:val="center"/>
              <w:rPr>
                <w:rFonts w:hint="eastAsia" w:hAnsi="宋体"/>
                <w:color w:val="auto"/>
                <w:highlight w:val="none"/>
              </w:rPr>
            </w:pPr>
          </w:p>
        </w:tc>
        <w:tc>
          <w:tcPr>
            <w:tcW w:w="1272" w:type="dxa"/>
            <w:vAlign w:val="center"/>
          </w:tcPr>
          <w:p w14:paraId="47519D3C">
            <w:pPr>
              <w:snapToGrid w:val="0"/>
              <w:jc w:val="center"/>
              <w:rPr>
                <w:rFonts w:hint="eastAsia" w:hAnsi="宋体"/>
                <w:color w:val="auto"/>
                <w:highlight w:val="none"/>
              </w:rPr>
            </w:pPr>
            <w:r>
              <w:rPr>
                <w:rFonts w:hint="eastAsia" w:hAnsi="宋体"/>
                <w:color w:val="auto"/>
                <w:highlight w:val="none"/>
              </w:rPr>
              <w:t>电话</w:t>
            </w:r>
          </w:p>
        </w:tc>
        <w:tc>
          <w:tcPr>
            <w:tcW w:w="1765" w:type="dxa"/>
            <w:gridSpan w:val="2"/>
            <w:vAlign w:val="center"/>
          </w:tcPr>
          <w:p w14:paraId="2109CEA8">
            <w:pPr>
              <w:numPr>
                <w:ins w:id="14" w:author="XH" w:date="2025-06-29T13:54:00Z"/>
              </w:numPr>
              <w:snapToGrid w:val="0"/>
              <w:jc w:val="center"/>
              <w:rPr>
                <w:rFonts w:hint="eastAsia" w:hAnsi="宋体"/>
                <w:color w:val="auto"/>
                <w:highlight w:val="none"/>
              </w:rPr>
            </w:pPr>
          </w:p>
        </w:tc>
      </w:tr>
      <w:tr w14:paraId="29DF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60" w:type="dxa"/>
            <w:vMerge w:val="continue"/>
            <w:vAlign w:val="center"/>
          </w:tcPr>
          <w:p w14:paraId="7807FE18">
            <w:pPr>
              <w:numPr>
                <w:ins w:id="15" w:author="XH" w:date="2025-06-29T13:54:00Z"/>
              </w:numPr>
              <w:snapToGrid w:val="0"/>
              <w:jc w:val="center"/>
              <w:rPr>
                <w:rFonts w:hint="eastAsia" w:hAnsi="宋体"/>
                <w:color w:val="auto"/>
                <w:highlight w:val="none"/>
              </w:rPr>
            </w:pPr>
          </w:p>
        </w:tc>
        <w:tc>
          <w:tcPr>
            <w:tcW w:w="2386" w:type="dxa"/>
            <w:vAlign w:val="center"/>
          </w:tcPr>
          <w:p w14:paraId="65ABC61E">
            <w:pPr>
              <w:snapToGrid w:val="0"/>
              <w:jc w:val="center"/>
              <w:rPr>
                <w:rFonts w:hint="eastAsia" w:ascii="宋体" w:hAnsi="宋体" w:cs="宋体"/>
                <w:color w:val="auto"/>
                <w:sz w:val="21"/>
                <w:szCs w:val="21"/>
                <w:highlight w:val="none"/>
                <w:shd w:val="clear" w:color="auto" w:fill="FFFFFF"/>
                <w:lang w:bidi="ar"/>
              </w:rPr>
            </w:pPr>
            <w:r>
              <w:rPr>
                <w:rFonts w:hint="eastAsia" w:ascii="宋体" w:hAnsi="宋体" w:cs="宋体"/>
                <w:color w:val="auto"/>
                <w:sz w:val="21"/>
                <w:szCs w:val="21"/>
                <w:highlight w:val="none"/>
                <w:shd w:val="clear" w:color="auto" w:fill="FFFFFF"/>
                <w:lang w:bidi="ar"/>
              </w:rPr>
              <w:t>身份证号</w:t>
            </w:r>
          </w:p>
        </w:tc>
        <w:tc>
          <w:tcPr>
            <w:tcW w:w="1789" w:type="dxa"/>
            <w:gridSpan w:val="2"/>
            <w:vAlign w:val="center"/>
          </w:tcPr>
          <w:p w14:paraId="09DC6037">
            <w:pPr>
              <w:snapToGrid w:val="0"/>
              <w:jc w:val="center"/>
              <w:rPr>
                <w:rFonts w:hint="eastAsia" w:hAnsi="宋体"/>
                <w:color w:val="auto"/>
                <w:highlight w:val="none"/>
              </w:rPr>
            </w:pPr>
          </w:p>
        </w:tc>
        <w:tc>
          <w:tcPr>
            <w:tcW w:w="1272" w:type="dxa"/>
            <w:vAlign w:val="center"/>
          </w:tcPr>
          <w:p w14:paraId="6663E65C">
            <w:pPr>
              <w:snapToGrid w:val="0"/>
              <w:jc w:val="center"/>
              <w:rPr>
                <w:rFonts w:hint="eastAsia" w:hAnsi="宋体"/>
                <w:color w:val="auto"/>
                <w:highlight w:val="none"/>
              </w:rPr>
            </w:pPr>
            <w:r>
              <w:rPr>
                <w:rFonts w:hint="eastAsia" w:hAnsi="宋体"/>
                <w:color w:val="auto"/>
                <w:highlight w:val="none"/>
              </w:rPr>
              <w:t>住址</w:t>
            </w:r>
          </w:p>
        </w:tc>
        <w:tc>
          <w:tcPr>
            <w:tcW w:w="1765" w:type="dxa"/>
            <w:gridSpan w:val="2"/>
            <w:vAlign w:val="center"/>
          </w:tcPr>
          <w:p w14:paraId="21894319">
            <w:pPr>
              <w:numPr>
                <w:ins w:id="16" w:author="XH" w:date="2025-06-29T13:54:00Z"/>
              </w:numPr>
              <w:snapToGrid w:val="0"/>
              <w:jc w:val="center"/>
              <w:rPr>
                <w:rFonts w:hint="eastAsia" w:hAnsi="宋体"/>
                <w:color w:val="auto"/>
                <w:highlight w:val="none"/>
              </w:rPr>
            </w:pPr>
          </w:p>
        </w:tc>
      </w:tr>
      <w:tr w14:paraId="6F8F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60" w:type="dxa"/>
            <w:vAlign w:val="center"/>
          </w:tcPr>
          <w:p w14:paraId="095E2376">
            <w:pPr>
              <w:rPr>
                <w:rFonts w:hint="eastAsia" w:hAnsi="宋体"/>
                <w:color w:val="auto"/>
                <w:highlight w:val="none"/>
              </w:rPr>
            </w:pPr>
            <w:r>
              <w:rPr>
                <w:rFonts w:hint="eastAsia" w:hAnsi="宋体"/>
                <w:color w:val="auto"/>
                <w:highlight w:val="none"/>
              </w:rPr>
              <w:t>组织结构</w:t>
            </w:r>
          </w:p>
        </w:tc>
        <w:tc>
          <w:tcPr>
            <w:tcW w:w="7212" w:type="dxa"/>
            <w:gridSpan w:val="6"/>
            <w:vAlign w:val="center"/>
          </w:tcPr>
          <w:p w14:paraId="7B831A2A">
            <w:pPr>
              <w:rPr>
                <w:rFonts w:hint="eastAsia" w:hAnsi="宋体"/>
                <w:color w:val="auto"/>
                <w:highlight w:val="none"/>
              </w:rPr>
            </w:pPr>
          </w:p>
        </w:tc>
      </w:tr>
      <w:tr w14:paraId="0691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60" w:type="dxa"/>
            <w:vAlign w:val="center"/>
          </w:tcPr>
          <w:p w14:paraId="7727F7D6">
            <w:pPr>
              <w:rPr>
                <w:rFonts w:hint="eastAsia" w:hAnsi="宋体"/>
                <w:color w:val="auto"/>
                <w:highlight w:val="none"/>
              </w:rPr>
            </w:pPr>
            <w:r>
              <w:rPr>
                <w:rFonts w:hint="eastAsia" w:hAnsi="宋体"/>
                <w:color w:val="auto"/>
                <w:highlight w:val="none"/>
              </w:rPr>
              <w:t>法定代表人姓名</w:t>
            </w:r>
          </w:p>
        </w:tc>
        <w:tc>
          <w:tcPr>
            <w:tcW w:w="2838" w:type="dxa"/>
            <w:gridSpan w:val="2"/>
            <w:vAlign w:val="center"/>
          </w:tcPr>
          <w:p w14:paraId="535BCC7E">
            <w:pPr>
              <w:rPr>
                <w:rFonts w:hint="eastAsia" w:hAnsi="宋体"/>
                <w:color w:val="auto"/>
                <w:highlight w:val="none"/>
              </w:rPr>
            </w:pPr>
          </w:p>
        </w:tc>
        <w:tc>
          <w:tcPr>
            <w:tcW w:w="1337" w:type="dxa"/>
            <w:vAlign w:val="center"/>
          </w:tcPr>
          <w:p w14:paraId="03C0F271">
            <w:pPr>
              <w:rPr>
                <w:rFonts w:hint="eastAsia" w:hAnsi="宋体"/>
                <w:color w:val="auto"/>
                <w:highlight w:val="none"/>
              </w:rPr>
            </w:pPr>
            <w:r>
              <w:rPr>
                <w:rFonts w:hint="eastAsia" w:hAnsi="宋体"/>
                <w:color w:val="auto"/>
                <w:highlight w:val="none"/>
              </w:rPr>
              <w:t>技术职称</w:t>
            </w:r>
          </w:p>
        </w:tc>
        <w:tc>
          <w:tcPr>
            <w:tcW w:w="1272" w:type="dxa"/>
            <w:vAlign w:val="center"/>
          </w:tcPr>
          <w:p w14:paraId="1C218569">
            <w:pPr>
              <w:rPr>
                <w:rFonts w:hint="eastAsia" w:hAnsi="宋体"/>
                <w:color w:val="auto"/>
                <w:highlight w:val="none"/>
              </w:rPr>
            </w:pPr>
          </w:p>
        </w:tc>
        <w:tc>
          <w:tcPr>
            <w:tcW w:w="1038" w:type="dxa"/>
            <w:vAlign w:val="center"/>
          </w:tcPr>
          <w:p w14:paraId="4D07D500">
            <w:pPr>
              <w:rPr>
                <w:rFonts w:hint="eastAsia" w:hAnsi="宋体"/>
                <w:color w:val="auto"/>
                <w:highlight w:val="none"/>
              </w:rPr>
            </w:pPr>
            <w:r>
              <w:rPr>
                <w:rFonts w:hint="eastAsia" w:hAnsi="宋体"/>
                <w:color w:val="auto"/>
                <w:highlight w:val="none"/>
              </w:rPr>
              <w:t>电话</w:t>
            </w:r>
          </w:p>
        </w:tc>
        <w:tc>
          <w:tcPr>
            <w:tcW w:w="727" w:type="dxa"/>
            <w:vAlign w:val="center"/>
          </w:tcPr>
          <w:p w14:paraId="40834242">
            <w:pPr>
              <w:rPr>
                <w:rFonts w:hint="eastAsia" w:hAnsi="宋体"/>
                <w:color w:val="auto"/>
                <w:highlight w:val="none"/>
              </w:rPr>
            </w:pPr>
          </w:p>
        </w:tc>
      </w:tr>
      <w:tr w14:paraId="2A7C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360" w:type="dxa"/>
            <w:vAlign w:val="center"/>
          </w:tcPr>
          <w:p w14:paraId="1DF26DDC">
            <w:pPr>
              <w:rPr>
                <w:rFonts w:hint="eastAsia" w:hAnsi="宋体"/>
                <w:color w:val="auto"/>
                <w:highlight w:val="none"/>
              </w:rPr>
            </w:pPr>
            <w:r>
              <w:rPr>
                <w:rFonts w:hint="eastAsia" w:hAnsi="宋体"/>
                <w:color w:val="auto"/>
                <w:highlight w:val="none"/>
              </w:rPr>
              <w:t>技术负责人姓名</w:t>
            </w:r>
          </w:p>
        </w:tc>
        <w:tc>
          <w:tcPr>
            <w:tcW w:w="2838" w:type="dxa"/>
            <w:gridSpan w:val="2"/>
            <w:vAlign w:val="center"/>
          </w:tcPr>
          <w:p w14:paraId="786D5DDF">
            <w:pPr>
              <w:rPr>
                <w:rFonts w:hint="eastAsia" w:hAnsi="宋体"/>
                <w:color w:val="auto"/>
                <w:highlight w:val="none"/>
              </w:rPr>
            </w:pPr>
          </w:p>
        </w:tc>
        <w:tc>
          <w:tcPr>
            <w:tcW w:w="1337" w:type="dxa"/>
            <w:vAlign w:val="center"/>
          </w:tcPr>
          <w:p w14:paraId="16B722C2">
            <w:pPr>
              <w:rPr>
                <w:rFonts w:hint="eastAsia" w:hAnsi="宋体"/>
                <w:color w:val="auto"/>
                <w:highlight w:val="none"/>
              </w:rPr>
            </w:pPr>
            <w:r>
              <w:rPr>
                <w:rFonts w:hint="eastAsia" w:hAnsi="宋体"/>
                <w:color w:val="auto"/>
                <w:highlight w:val="none"/>
              </w:rPr>
              <w:t>技术职称</w:t>
            </w:r>
          </w:p>
        </w:tc>
        <w:tc>
          <w:tcPr>
            <w:tcW w:w="1272" w:type="dxa"/>
            <w:vAlign w:val="center"/>
          </w:tcPr>
          <w:p w14:paraId="0ABD31F0">
            <w:pPr>
              <w:rPr>
                <w:rFonts w:hint="eastAsia" w:hAnsi="宋体"/>
                <w:color w:val="auto"/>
                <w:highlight w:val="none"/>
              </w:rPr>
            </w:pPr>
          </w:p>
        </w:tc>
        <w:tc>
          <w:tcPr>
            <w:tcW w:w="1038" w:type="dxa"/>
            <w:vAlign w:val="center"/>
          </w:tcPr>
          <w:p w14:paraId="17318647">
            <w:pPr>
              <w:rPr>
                <w:rFonts w:hint="eastAsia" w:hAnsi="宋体"/>
                <w:color w:val="auto"/>
                <w:highlight w:val="none"/>
              </w:rPr>
            </w:pPr>
            <w:r>
              <w:rPr>
                <w:rFonts w:hint="eastAsia" w:hAnsi="宋体"/>
                <w:color w:val="auto"/>
                <w:highlight w:val="none"/>
              </w:rPr>
              <w:t>电话</w:t>
            </w:r>
          </w:p>
        </w:tc>
        <w:tc>
          <w:tcPr>
            <w:tcW w:w="727" w:type="dxa"/>
            <w:vAlign w:val="center"/>
          </w:tcPr>
          <w:p w14:paraId="61F90D36">
            <w:pPr>
              <w:rPr>
                <w:rFonts w:hint="eastAsia" w:hAnsi="宋体"/>
                <w:color w:val="auto"/>
                <w:highlight w:val="none"/>
              </w:rPr>
            </w:pPr>
          </w:p>
        </w:tc>
      </w:tr>
      <w:tr w14:paraId="0502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60" w:type="dxa"/>
            <w:vAlign w:val="center"/>
          </w:tcPr>
          <w:p w14:paraId="0BE07977">
            <w:pPr>
              <w:rPr>
                <w:rFonts w:hint="eastAsia" w:hAnsi="宋体"/>
                <w:color w:val="auto"/>
                <w:highlight w:val="none"/>
              </w:rPr>
            </w:pPr>
            <w:r>
              <w:rPr>
                <w:rFonts w:hint="eastAsia" w:hAnsi="宋体"/>
                <w:color w:val="auto"/>
                <w:highlight w:val="none"/>
              </w:rPr>
              <w:t>成立时间</w:t>
            </w:r>
          </w:p>
        </w:tc>
        <w:tc>
          <w:tcPr>
            <w:tcW w:w="2838" w:type="dxa"/>
            <w:gridSpan w:val="2"/>
            <w:vAlign w:val="center"/>
          </w:tcPr>
          <w:p w14:paraId="3DA07371">
            <w:pPr>
              <w:rPr>
                <w:rFonts w:hint="eastAsia" w:hAnsi="宋体"/>
                <w:color w:val="auto"/>
                <w:highlight w:val="none"/>
              </w:rPr>
            </w:pPr>
          </w:p>
        </w:tc>
        <w:tc>
          <w:tcPr>
            <w:tcW w:w="4374" w:type="dxa"/>
            <w:gridSpan w:val="4"/>
            <w:vAlign w:val="center"/>
          </w:tcPr>
          <w:p w14:paraId="4F798C25">
            <w:pPr>
              <w:rPr>
                <w:rFonts w:hint="eastAsia" w:hAnsi="宋体"/>
                <w:color w:val="auto"/>
                <w:highlight w:val="none"/>
              </w:rPr>
            </w:pPr>
            <w:r>
              <w:rPr>
                <w:rFonts w:hint="eastAsia" w:hAnsi="宋体"/>
                <w:color w:val="auto"/>
                <w:highlight w:val="none"/>
              </w:rPr>
              <w:t>员工总人数：</w:t>
            </w:r>
          </w:p>
        </w:tc>
      </w:tr>
      <w:tr w14:paraId="1D89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360" w:type="dxa"/>
            <w:vAlign w:val="center"/>
          </w:tcPr>
          <w:p w14:paraId="40DD2C5B">
            <w:pPr>
              <w:rPr>
                <w:rFonts w:hint="eastAsia" w:hAnsi="宋体"/>
                <w:color w:val="auto"/>
                <w:highlight w:val="none"/>
              </w:rPr>
            </w:pPr>
            <w:r>
              <w:rPr>
                <w:rFonts w:hint="eastAsia" w:hAnsi="宋体"/>
                <w:color w:val="auto"/>
                <w:highlight w:val="none"/>
              </w:rPr>
              <w:t>企业资质等级</w:t>
            </w:r>
          </w:p>
        </w:tc>
        <w:tc>
          <w:tcPr>
            <w:tcW w:w="2838" w:type="dxa"/>
            <w:gridSpan w:val="2"/>
            <w:vAlign w:val="center"/>
          </w:tcPr>
          <w:p w14:paraId="7FFB80E9">
            <w:pPr>
              <w:rPr>
                <w:rFonts w:hint="eastAsia" w:hAnsi="宋体"/>
                <w:color w:val="auto"/>
                <w:highlight w:val="none"/>
              </w:rPr>
            </w:pPr>
          </w:p>
        </w:tc>
        <w:tc>
          <w:tcPr>
            <w:tcW w:w="1337" w:type="dxa"/>
            <w:vMerge w:val="restart"/>
            <w:vAlign w:val="center"/>
          </w:tcPr>
          <w:p w14:paraId="6E8D7363">
            <w:pPr>
              <w:rPr>
                <w:rFonts w:hint="eastAsia" w:hAnsi="宋体"/>
                <w:color w:val="auto"/>
                <w:highlight w:val="none"/>
              </w:rPr>
            </w:pPr>
            <w:r>
              <w:rPr>
                <w:rFonts w:hint="eastAsia" w:hAnsi="宋体"/>
                <w:color w:val="auto"/>
                <w:highlight w:val="none"/>
              </w:rPr>
              <w:t>其中</w:t>
            </w:r>
          </w:p>
        </w:tc>
        <w:tc>
          <w:tcPr>
            <w:tcW w:w="1272" w:type="dxa"/>
            <w:vAlign w:val="center"/>
          </w:tcPr>
          <w:p w14:paraId="439089D6">
            <w:pPr>
              <w:rPr>
                <w:rFonts w:hint="eastAsia" w:hAnsi="宋体"/>
                <w:color w:val="auto"/>
                <w:highlight w:val="none"/>
              </w:rPr>
            </w:pPr>
            <w:r>
              <w:rPr>
                <w:rFonts w:hint="eastAsia" w:hAnsi="宋体"/>
                <w:color w:val="auto"/>
                <w:highlight w:val="none"/>
              </w:rPr>
              <w:t>项目负责人</w:t>
            </w:r>
          </w:p>
        </w:tc>
        <w:tc>
          <w:tcPr>
            <w:tcW w:w="1765" w:type="dxa"/>
            <w:gridSpan w:val="2"/>
            <w:vAlign w:val="center"/>
          </w:tcPr>
          <w:p w14:paraId="1B04ADBD">
            <w:pPr>
              <w:rPr>
                <w:rFonts w:hint="eastAsia" w:hAnsi="宋体"/>
                <w:color w:val="auto"/>
                <w:highlight w:val="none"/>
              </w:rPr>
            </w:pPr>
          </w:p>
        </w:tc>
      </w:tr>
      <w:tr w14:paraId="06FC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360" w:type="dxa"/>
            <w:vAlign w:val="center"/>
          </w:tcPr>
          <w:p w14:paraId="4C987B04">
            <w:pPr>
              <w:rPr>
                <w:rFonts w:hint="eastAsia" w:hAnsi="宋体"/>
                <w:color w:val="auto"/>
                <w:highlight w:val="none"/>
              </w:rPr>
            </w:pPr>
            <w:r>
              <w:rPr>
                <w:rFonts w:hint="eastAsia" w:hAnsi="宋体"/>
                <w:color w:val="auto"/>
                <w:highlight w:val="none"/>
              </w:rPr>
              <w:t>营业执照号</w:t>
            </w:r>
          </w:p>
        </w:tc>
        <w:tc>
          <w:tcPr>
            <w:tcW w:w="2838" w:type="dxa"/>
            <w:gridSpan w:val="2"/>
            <w:vAlign w:val="center"/>
          </w:tcPr>
          <w:p w14:paraId="10B42ECF">
            <w:pPr>
              <w:rPr>
                <w:rFonts w:hint="eastAsia" w:hAnsi="宋体"/>
                <w:color w:val="auto"/>
                <w:highlight w:val="none"/>
              </w:rPr>
            </w:pPr>
          </w:p>
        </w:tc>
        <w:tc>
          <w:tcPr>
            <w:tcW w:w="1337" w:type="dxa"/>
            <w:vMerge w:val="continue"/>
            <w:vAlign w:val="center"/>
          </w:tcPr>
          <w:p w14:paraId="6B747351">
            <w:pPr>
              <w:rPr>
                <w:rFonts w:hint="eastAsia" w:hAnsi="宋体"/>
                <w:color w:val="auto"/>
                <w:highlight w:val="none"/>
              </w:rPr>
            </w:pPr>
          </w:p>
        </w:tc>
        <w:tc>
          <w:tcPr>
            <w:tcW w:w="1272" w:type="dxa"/>
            <w:vAlign w:val="center"/>
          </w:tcPr>
          <w:p w14:paraId="6D78EC80">
            <w:pPr>
              <w:rPr>
                <w:rFonts w:hint="eastAsia" w:hAnsi="宋体"/>
                <w:color w:val="auto"/>
                <w:highlight w:val="none"/>
              </w:rPr>
            </w:pPr>
            <w:r>
              <w:rPr>
                <w:rFonts w:hint="eastAsia" w:hAnsi="宋体"/>
                <w:color w:val="auto"/>
                <w:highlight w:val="none"/>
              </w:rPr>
              <w:t>高级职称人员</w:t>
            </w:r>
          </w:p>
        </w:tc>
        <w:tc>
          <w:tcPr>
            <w:tcW w:w="1765" w:type="dxa"/>
            <w:gridSpan w:val="2"/>
            <w:vAlign w:val="center"/>
          </w:tcPr>
          <w:p w14:paraId="5315D0ED">
            <w:pPr>
              <w:rPr>
                <w:rFonts w:hint="eastAsia" w:hAnsi="宋体"/>
                <w:color w:val="auto"/>
                <w:highlight w:val="none"/>
              </w:rPr>
            </w:pPr>
          </w:p>
        </w:tc>
      </w:tr>
      <w:tr w14:paraId="3A31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360" w:type="dxa"/>
            <w:vAlign w:val="center"/>
          </w:tcPr>
          <w:p w14:paraId="32014DB0">
            <w:pPr>
              <w:rPr>
                <w:rFonts w:hint="eastAsia" w:hAnsi="宋体"/>
                <w:color w:val="auto"/>
                <w:highlight w:val="none"/>
              </w:rPr>
            </w:pPr>
            <w:r>
              <w:rPr>
                <w:rFonts w:hint="eastAsia" w:hAnsi="宋体"/>
                <w:color w:val="auto"/>
                <w:highlight w:val="none"/>
              </w:rPr>
              <w:t>注册资金</w:t>
            </w:r>
          </w:p>
        </w:tc>
        <w:tc>
          <w:tcPr>
            <w:tcW w:w="2838" w:type="dxa"/>
            <w:gridSpan w:val="2"/>
            <w:vAlign w:val="center"/>
          </w:tcPr>
          <w:p w14:paraId="770E1540">
            <w:pPr>
              <w:rPr>
                <w:rFonts w:hint="eastAsia" w:hAnsi="宋体"/>
                <w:color w:val="auto"/>
                <w:highlight w:val="none"/>
              </w:rPr>
            </w:pPr>
          </w:p>
        </w:tc>
        <w:tc>
          <w:tcPr>
            <w:tcW w:w="1337" w:type="dxa"/>
            <w:vMerge w:val="continue"/>
            <w:vAlign w:val="center"/>
          </w:tcPr>
          <w:p w14:paraId="725240EB">
            <w:pPr>
              <w:rPr>
                <w:rFonts w:hint="eastAsia" w:hAnsi="宋体"/>
                <w:color w:val="auto"/>
                <w:highlight w:val="none"/>
              </w:rPr>
            </w:pPr>
          </w:p>
        </w:tc>
        <w:tc>
          <w:tcPr>
            <w:tcW w:w="1272" w:type="dxa"/>
            <w:vAlign w:val="center"/>
          </w:tcPr>
          <w:p w14:paraId="58915D33">
            <w:pPr>
              <w:rPr>
                <w:rFonts w:hint="eastAsia" w:hAnsi="宋体"/>
                <w:color w:val="auto"/>
                <w:highlight w:val="none"/>
              </w:rPr>
            </w:pPr>
            <w:r>
              <w:rPr>
                <w:rFonts w:hint="eastAsia" w:hAnsi="宋体"/>
                <w:color w:val="auto"/>
                <w:highlight w:val="none"/>
              </w:rPr>
              <w:t>中级职称人员</w:t>
            </w:r>
          </w:p>
        </w:tc>
        <w:tc>
          <w:tcPr>
            <w:tcW w:w="1765" w:type="dxa"/>
            <w:gridSpan w:val="2"/>
            <w:vAlign w:val="center"/>
          </w:tcPr>
          <w:p w14:paraId="5BB141AC">
            <w:pPr>
              <w:rPr>
                <w:rFonts w:hint="eastAsia" w:hAnsi="宋体"/>
                <w:color w:val="auto"/>
                <w:highlight w:val="none"/>
              </w:rPr>
            </w:pPr>
          </w:p>
        </w:tc>
      </w:tr>
      <w:tr w14:paraId="08D9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360" w:type="dxa"/>
            <w:vAlign w:val="center"/>
          </w:tcPr>
          <w:p w14:paraId="0DF08BFE">
            <w:pPr>
              <w:rPr>
                <w:rFonts w:hint="eastAsia" w:hAnsi="宋体"/>
                <w:color w:val="auto"/>
                <w:highlight w:val="none"/>
              </w:rPr>
            </w:pPr>
            <w:r>
              <w:rPr>
                <w:rFonts w:hint="eastAsia" w:hAnsi="宋体"/>
                <w:color w:val="auto"/>
                <w:highlight w:val="none"/>
              </w:rPr>
              <w:t>开户银行</w:t>
            </w:r>
          </w:p>
        </w:tc>
        <w:tc>
          <w:tcPr>
            <w:tcW w:w="2838" w:type="dxa"/>
            <w:gridSpan w:val="2"/>
            <w:vAlign w:val="center"/>
          </w:tcPr>
          <w:p w14:paraId="60374106">
            <w:pPr>
              <w:rPr>
                <w:rFonts w:hint="eastAsia" w:hAnsi="宋体"/>
                <w:color w:val="auto"/>
                <w:highlight w:val="none"/>
              </w:rPr>
            </w:pPr>
          </w:p>
        </w:tc>
        <w:tc>
          <w:tcPr>
            <w:tcW w:w="1337" w:type="dxa"/>
            <w:vMerge w:val="continue"/>
            <w:vAlign w:val="center"/>
          </w:tcPr>
          <w:p w14:paraId="42C67466">
            <w:pPr>
              <w:rPr>
                <w:rFonts w:hint="eastAsia" w:hAnsi="宋体"/>
                <w:color w:val="auto"/>
                <w:highlight w:val="none"/>
              </w:rPr>
            </w:pPr>
          </w:p>
        </w:tc>
        <w:tc>
          <w:tcPr>
            <w:tcW w:w="1272" w:type="dxa"/>
            <w:vAlign w:val="center"/>
          </w:tcPr>
          <w:p w14:paraId="526C3223">
            <w:pPr>
              <w:rPr>
                <w:rFonts w:hint="eastAsia" w:hAnsi="宋体"/>
                <w:color w:val="auto"/>
                <w:highlight w:val="none"/>
              </w:rPr>
            </w:pPr>
            <w:r>
              <w:rPr>
                <w:rFonts w:hint="eastAsia" w:hAnsi="宋体"/>
                <w:color w:val="auto"/>
                <w:highlight w:val="none"/>
              </w:rPr>
              <w:t>初级职称人员</w:t>
            </w:r>
          </w:p>
        </w:tc>
        <w:tc>
          <w:tcPr>
            <w:tcW w:w="1765" w:type="dxa"/>
            <w:gridSpan w:val="2"/>
            <w:vAlign w:val="center"/>
          </w:tcPr>
          <w:p w14:paraId="1BCC54B0">
            <w:pPr>
              <w:rPr>
                <w:rFonts w:hint="eastAsia" w:hAnsi="宋体"/>
                <w:color w:val="auto"/>
                <w:highlight w:val="none"/>
              </w:rPr>
            </w:pPr>
          </w:p>
        </w:tc>
      </w:tr>
      <w:tr w14:paraId="240C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60" w:type="dxa"/>
            <w:vAlign w:val="center"/>
          </w:tcPr>
          <w:p w14:paraId="22D9BDE9">
            <w:pPr>
              <w:rPr>
                <w:rFonts w:hint="eastAsia" w:hAnsi="宋体"/>
                <w:color w:val="auto"/>
                <w:highlight w:val="none"/>
              </w:rPr>
            </w:pPr>
            <w:r>
              <w:rPr>
                <w:rFonts w:hint="eastAsia" w:hAnsi="宋体"/>
                <w:color w:val="auto"/>
                <w:highlight w:val="none"/>
              </w:rPr>
              <w:t>账号</w:t>
            </w:r>
          </w:p>
        </w:tc>
        <w:tc>
          <w:tcPr>
            <w:tcW w:w="2838" w:type="dxa"/>
            <w:gridSpan w:val="2"/>
            <w:vAlign w:val="center"/>
          </w:tcPr>
          <w:p w14:paraId="16574972">
            <w:pPr>
              <w:rPr>
                <w:rFonts w:hint="eastAsia" w:hAnsi="宋体"/>
                <w:color w:val="auto"/>
                <w:highlight w:val="none"/>
              </w:rPr>
            </w:pPr>
          </w:p>
        </w:tc>
        <w:tc>
          <w:tcPr>
            <w:tcW w:w="1337" w:type="dxa"/>
            <w:vMerge w:val="continue"/>
            <w:vAlign w:val="center"/>
          </w:tcPr>
          <w:p w14:paraId="2DA95DED">
            <w:pPr>
              <w:rPr>
                <w:rFonts w:hint="eastAsia" w:hAnsi="宋体"/>
                <w:color w:val="auto"/>
                <w:highlight w:val="none"/>
              </w:rPr>
            </w:pPr>
          </w:p>
        </w:tc>
        <w:tc>
          <w:tcPr>
            <w:tcW w:w="1272" w:type="dxa"/>
            <w:vAlign w:val="center"/>
          </w:tcPr>
          <w:p w14:paraId="558519D3">
            <w:pPr>
              <w:rPr>
                <w:rFonts w:hint="eastAsia" w:hAnsi="宋体"/>
                <w:color w:val="auto"/>
                <w:highlight w:val="none"/>
              </w:rPr>
            </w:pPr>
            <w:r>
              <w:rPr>
                <w:rFonts w:hint="eastAsia" w:hAnsi="宋体"/>
                <w:color w:val="auto"/>
                <w:highlight w:val="none"/>
              </w:rPr>
              <w:t>技工</w:t>
            </w:r>
          </w:p>
        </w:tc>
        <w:tc>
          <w:tcPr>
            <w:tcW w:w="1765" w:type="dxa"/>
            <w:gridSpan w:val="2"/>
            <w:vAlign w:val="center"/>
          </w:tcPr>
          <w:p w14:paraId="6E3C8D7D">
            <w:pPr>
              <w:rPr>
                <w:rFonts w:hint="eastAsia" w:hAnsi="宋体"/>
                <w:color w:val="auto"/>
                <w:highlight w:val="none"/>
              </w:rPr>
            </w:pPr>
          </w:p>
        </w:tc>
      </w:tr>
      <w:tr w14:paraId="17FE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360" w:type="dxa"/>
            <w:vAlign w:val="center"/>
          </w:tcPr>
          <w:p w14:paraId="1ED7AAF5">
            <w:pPr>
              <w:rPr>
                <w:rFonts w:hint="eastAsia" w:hAnsi="宋体"/>
                <w:color w:val="auto"/>
                <w:highlight w:val="none"/>
              </w:rPr>
            </w:pPr>
            <w:r>
              <w:rPr>
                <w:rFonts w:hint="eastAsia" w:hAnsi="宋体"/>
                <w:color w:val="auto"/>
                <w:highlight w:val="none"/>
              </w:rPr>
              <w:t>经营范围备注</w:t>
            </w:r>
          </w:p>
        </w:tc>
        <w:tc>
          <w:tcPr>
            <w:tcW w:w="7212" w:type="dxa"/>
            <w:gridSpan w:val="6"/>
            <w:vAlign w:val="center"/>
          </w:tcPr>
          <w:p w14:paraId="52C62ECD">
            <w:pPr>
              <w:ind w:firstLine="480" w:firstLineChars="200"/>
              <w:rPr>
                <w:rFonts w:hint="eastAsia" w:hAnsi="宋体"/>
                <w:color w:val="auto"/>
                <w:highlight w:val="none"/>
              </w:rPr>
            </w:pPr>
          </w:p>
        </w:tc>
      </w:tr>
    </w:tbl>
    <w:p w14:paraId="13901B10">
      <w:pPr>
        <w:widowControl/>
        <w:rPr>
          <w:color w:val="auto"/>
          <w:highlight w:val="none"/>
        </w:rPr>
      </w:pPr>
      <w:r>
        <w:rPr>
          <w:rFonts w:hint="eastAsia"/>
          <w:color w:val="auto"/>
          <w:highlight w:val="none"/>
        </w:rPr>
        <w:t>附营业执照、资质证书、认证体系证书等相关打分资料。（如为联合体投标，所有成员单位均应附此表）</w:t>
      </w:r>
    </w:p>
    <w:p w14:paraId="1A6AE84A">
      <w:pPr>
        <w:rPr>
          <w:color w:val="auto"/>
          <w:highlight w:val="none"/>
        </w:rPr>
      </w:pPr>
      <w:r>
        <w:rPr>
          <w:color w:val="auto"/>
          <w:highlight w:val="none"/>
        </w:rPr>
        <w:br w:type="page"/>
      </w:r>
    </w:p>
    <w:p w14:paraId="125E308F">
      <w:pPr>
        <w:widowControl/>
        <w:rPr>
          <w:color w:val="auto"/>
          <w:highlight w:val="none"/>
        </w:rPr>
      </w:pPr>
    </w:p>
    <w:p w14:paraId="427990FA">
      <w:pPr>
        <w:spacing w:line="360" w:lineRule="auto"/>
        <w:jc w:val="center"/>
        <w:rPr>
          <w:rFonts w:hint="eastAsia" w:ascii="宋体" w:hAnsi="宋体" w:cs="宋体"/>
          <w:b/>
          <w:bCs/>
          <w:color w:val="auto"/>
          <w:sz w:val="28"/>
          <w:szCs w:val="28"/>
          <w:highlight w:val="none"/>
        </w:rPr>
      </w:pPr>
    </w:p>
    <w:p w14:paraId="4CBB950C">
      <w:pPr>
        <w:spacing w:line="360" w:lineRule="auto"/>
        <w:jc w:val="center"/>
        <w:rPr>
          <w:rFonts w:hint="eastAsia" w:ascii="宋体" w:hAnsi="宋体" w:cs="宋体"/>
          <w:b/>
          <w:bCs/>
          <w:strike/>
          <w:dstrike w:val="0"/>
          <w:color w:val="auto"/>
          <w:sz w:val="28"/>
          <w:szCs w:val="28"/>
          <w:highlight w:val="none"/>
        </w:rPr>
      </w:pPr>
      <w:r>
        <w:rPr>
          <w:rFonts w:hint="eastAsia" w:ascii="宋体" w:hAnsi="宋体" w:cs="宋体"/>
          <w:b/>
          <w:bCs/>
          <w:strike/>
          <w:dstrike w:val="0"/>
          <w:color w:val="auto"/>
          <w:sz w:val="28"/>
          <w:szCs w:val="28"/>
          <w:highlight w:val="none"/>
        </w:rPr>
        <w:t>表</w:t>
      </w:r>
      <w:r>
        <w:rPr>
          <w:rFonts w:ascii="宋体" w:hAnsi="宋体" w:cs="宋体"/>
          <w:b/>
          <w:bCs/>
          <w:strike/>
          <w:dstrike w:val="0"/>
          <w:color w:val="auto"/>
          <w:sz w:val="28"/>
          <w:szCs w:val="28"/>
          <w:highlight w:val="none"/>
        </w:rPr>
        <w:t xml:space="preserve">2 </w:t>
      </w:r>
      <w:r>
        <w:rPr>
          <w:rFonts w:hint="eastAsia" w:ascii="仿宋" w:hAnsi="仿宋" w:eastAsia="仿宋" w:cs="宋体"/>
          <w:b/>
          <w:bCs/>
          <w:strike/>
          <w:dstrike w:val="0"/>
          <w:color w:val="auto"/>
          <w:sz w:val="30"/>
          <w:szCs w:val="30"/>
          <w:highlight w:val="none"/>
        </w:rPr>
        <w:t xml:space="preserve"> </w:t>
      </w:r>
      <w:r>
        <w:rPr>
          <w:rFonts w:hint="eastAsia"/>
          <w:strike/>
          <w:dstrike w:val="0"/>
          <w:color w:val="auto"/>
          <w:highlight w:val="none"/>
          <w:lang w:eastAsia="zh-CN"/>
        </w:rPr>
        <w:t>□</w:t>
      </w:r>
      <w:r>
        <w:rPr>
          <w:rFonts w:hint="eastAsia" w:ascii="宋体" w:hAnsi="宋体" w:cs="宋体"/>
          <w:b/>
          <w:bCs/>
          <w:strike/>
          <w:dstrike w:val="0"/>
          <w:color w:val="auto"/>
          <w:sz w:val="28"/>
          <w:szCs w:val="28"/>
          <w:highlight w:val="none"/>
        </w:rPr>
        <w:t>近年财务状况表</w:t>
      </w:r>
    </w:p>
    <w:p w14:paraId="5351B91C">
      <w:pPr>
        <w:spacing w:line="360" w:lineRule="auto"/>
        <w:jc w:val="center"/>
        <w:rPr>
          <w:rFonts w:hint="eastAsia" w:ascii="宋体" w:hAnsi="宋体"/>
          <w:strike/>
          <w:dstrike w:val="0"/>
          <w:color w:val="auto"/>
          <w:highlight w:val="none"/>
        </w:rPr>
      </w:pPr>
      <w:r>
        <w:rPr>
          <w:rFonts w:hint="eastAsia" w:ascii="宋体" w:hAnsi="宋体"/>
          <w:strike/>
          <w:dstrike w:val="0"/>
          <w:color w:val="auto"/>
          <w:highlight w:val="none"/>
        </w:rPr>
        <w:t>（格式招标人自拟或者有投标人自拟）</w:t>
      </w:r>
    </w:p>
    <w:p w14:paraId="01375984">
      <w:pPr>
        <w:widowControl/>
        <w:rPr>
          <w:strike/>
          <w:dstrike w:val="0"/>
          <w:color w:val="auto"/>
          <w:highlight w:val="none"/>
        </w:rPr>
      </w:pPr>
      <w:r>
        <w:rPr>
          <w:strike/>
          <w:dstrike w:val="0"/>
          <w:color w:val="auto"/>
          <w:highlight w:val="none"/>
        </w:rPr>
        <w:br w:type="page"/>
      </w:r>
    </w:p>
    <w:p w14:paraId="4371D779">
      <w:pPr>
        <w:widowControl/>
        <w:rPr>
          <w:color w:val="auto"/>
          <w:highlight w:val="none"/>
        </w:rPr>
      </w:pPr>
    </w:p>
    <w:p w14:paraId="0164117B">
      <w:pPr>
        <w:spacing w:line="360" w:lineRule="auto"/>
        <w:jc w:val="center"/>
        <w:rPr>
          <w:rFonts w:hint="eastAsia" w:ascii="宋体" w:hAnsi="宋体" w:cs="宋体"/>
          <w:b/>
          <w:bCs/>
          <w:color w:val="auto"/>
          <w:sz w:val="28"/>
          <w:szCs w:val="28"/>
          <w:highlight w:val="none"/>
        </w:rPr>
      </w:pPr>
    </w:p>
    <w:p w14:paraId="76FF566D">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表</w:t>
      </w:r>
      <w:bookmarkStart w:id="196" w:name="_Hlk36562863"/>
      <w:r>
        <w:rPr>
          <w:rFonts w:hint="eastAsia" w:ascii="宋体" w:hAnsi="宋体" w:cs="宋体"/>
          <w:b/>
          <w:bCs/>
          <w:color w:val="auto"/>
          <w:sz w:val="28"/>
          <w:szCs w:val="28"/>
          <w:highlight w:val="none"/>
        </w:rPr>
        <w:t xml:space="preserve">3 </w:t>
      </w:r>
      <w:r>
        <w:rPr>
          <w:rFonts w:hint="eastAsia" w:ascii="仿宋" w:hAnsi="仿宋" w:eastAsia="仿宋" w:cs="宋体"/>
          <w:b/>
          <w:bCs/>
          <w:color w:val="auto"/>
          <w:sz w:val="30"/>
          <w:szCs w:val="30"/>
          <w:highlight w:val="none"/>
        </w:rPr>
        <w:t xml:space="preserve"> </w:t>
      </w:r>
      <w:r>
        <w:rPr>
          <w:rFonts w:hint="eastAsia"/>
          <w:color w:val="auto"/>
          <w:highlight w:val="none"/>
        </w:rPr>
        <w:t>☑</w:t>
      </w:r>
      <w:r>
        <w:rPr>
          <w:rFonts w:hint="eastAsia" w:ascii="宋体" w:hAnsi="宋体" w:cs="宋体"/>
          <w:b/>
          <w:bCs/>
          <w:color w:val="auto"/>
          <w:sz w:val="28"/>
          <w:szCs w:val="28"/>
          <w:highlight w:val="none"/>
        </w:rPr>
        <w:t>业绩汇总表（评分业绩条件的汇总）</w:t>
      </w:r>
      <w:bookmarkEnd w:id="196"/>
    </w:p>
    <w:tbl>
      <w:tblPr>
        <w:tblStyle w:val="23"/>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52"/>
        <w:gridCol w:w="1370"/>
        <w:gridCol w:w="1210"/>
        <w:gridCol w:w="1230"/>
        <w:gridCol w:w="1640"/>
        <w:gridCol w:w="1170"/>
        <w:gridCol w:w="1260"/>
      </w:tblGrid>
      <w:tr w14:paraId="4F1180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900" w:hRule="atLeast"/>
        </w:trPr>
        <w:tc>
          <w:tcPr>
            <w:tcW w:w="652" w:type="dxa"/>
            <w:vAlign w:val="center"/>
          </w:tcPr>
          <w:p w14:paraId="3CA37D06">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1370" w:type="dxa"/>
            <w:vAlign w:val="center"/>
          </w:tcPr>
          <w:p w14:paraId="67002412">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该业绩证明对象</w:t>
            </w:r>
          </w:p>
        </w:tc>
        <w:tc>
          <w:tcPr>
            <w:tcW w:w="1210" w:type="dxa"/>
            <w:vAlign w:val="center"/>
          </w:tcPr>
          <w:p w14:paraId="0B74BF07">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1230" w:type="dxa"/>
            <w:vAlign w:val="center"/>
          </w:tcPr>
          <w:p w14:paraId="18D12605">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建设单位</w:t>
            </w:r>
          </w:p>
          <w:p w14:paraId="2AAC4351">
            <w:pPr>
              <w:kinsoku w:val="0"/>
              <w:overflowPunct w:val="0"/>
              <w:spacing w:line="320" w:lineRule="exact"/>
              <w:jc w:val="center"/>
              <w:rPr>
                <w:rFonts w:hint="eastAsia" w:ascii="宋体" w:hAnsi="宋体"/>
                <w:color w:val="auto"/>
                <w:szCs w:val="21"/>
                <w:highlight w:val="none"/>
              </w:rPr>
            </w:pPr>
            <w:r>
              <w:rPr>
                <w:rFonts w:hint="eastAsia" w:ascii="宋体" w:hAnsi="宋体"/>
                <w:color w:val="auto"/>
                <w:spacing w:val="-20"/>
                <w:szCs w:val="21"/>
                <w:highlight w:val="none"/>
              </w:rPr>
              <w:t>（项目业主）</w:t>
            </w:r>
          </w:p>
        </w:tc>
        <w:tc>
          <w:tcPr>
            <w:tcW w:w="1640" w:type="dxa"/>
            <w:vAlign w:val="center"/>
          </w:tcPr>
          <w:p w14:paraId="2D9F486D">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与评审有关的时间、规模、技术指标及其他要求</w:t>
            </w:r>
          </w:p>
        </w:tc>
        <w:tc>
          <w:tcPr>
            <w:tcW w:w="1170" w:type="dxa"/>
            <w:vAlign w:val="center"/>
          </w:tcPr>
          <w:p w14:paraId="52AA5ACF">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提交证明材料内容</w:t>
            </w:r>
          </w:p>
        </w:tc>
        <w:tc>
          <w:tcPr>
            <w:tcW w:w="1260" w:type="dxa"/>
            <w:vAlign w:val="center"/>
          </w:tcPr>
          <w:p w14:paraId="6C6A8F8A">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在投标文件的位置</w:t>
            </w:r>
          </w:p>
        </w:tc>
      </w:tr>
      <w:tr w14:paraId="73296E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72" w:hRule="atLeast"/>
        </w:trPr>
        <w:tc>
          <w:tcPr>
            <w:tcW w:w="652" w:type="dxa"/>
            <w:vAlign w:val="center"/>
          </w:tcPr>
          <w:p w14:paraId="6D8A8A0F">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1370" w:type="dxa"/>
            <w:vAlign w:val="center"/>
          </w:tcPr>
          <w:p w14:paraId="76DF5C7A">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例如：企业名称或项目负责人名字等</w:t>
            </w:r>
          </w:p>
        </w:tc>
        <w:tc>
          <w:tcPr>
            <w:tcW w:w="1210" w:type="dxa"/>
            <w:vAlign w:val="center"/>
          </w:tcPr>
          <w:p w14:paraId="71EBBE69">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例如：XX工程等</w:t>
            </w:r>
          </w:p>
        </w:tc>
        <w:tc>
          <w:tcPr>
            <w:tcW w:w="1230" w:type="dxa"/>
            <w:vAlign w:val="center"/>
          </w:tcPr>
          <w:p w14:paraId="7BF4B95A">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例如：XX公司或指挥部等</w:t>
            </w:r>
          </w:p>
        </w:tc>
        <w:tc>
          <w:tcPr>
            <w:tcW w:w="1640" w:type="dxa"/>
            <w:vAlign w:val="center"/>
          </w:tcPr>
          <w:p w14:paraId="7677B198">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例如：X年X月X日完成，长度或深度X米等</w:t>
            </w:r>
          </w:p>
        </w:tc>
        <w:tc>
          <w:tcPr>
            <w:tcW w:w="1170" w:type="dxa"/>
            <w:vAlign w:val="center"/>
          </w:tcPr>
          <w:p w14:paraId="68E516D1">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例如：合同或</w:t>
            </w:r>
            <w:r>
              <w:rPr>
                <w:rFonts w:hint="eastAsia" w:ascii="宋体" w:hAnsi="宋体"/>
                <w:color w:val="auto"/>
                <w:highlight w:val="none"/>
              </w:rPr>
              <w:t>施工许可证</w:t>
            </w:r>
            <w:r>
              <w:rPr>
                <w:rFonts w:hint="eastAsia" w:ascii="宋体" w:hAnsi="宋体"/>
                <w:color w:val="auto"/>
                <w:szCs w:val="21"/>
                <w:highlight w:val="none"/>
              </w:rPr>
              <w:t>等</w:t>
            </w:r>
          </w:p>
        </w:tc>
        <w:tc>
          <w:tcPr>
            <w:tcW w:w="1260" w:type="dxa"/>
            <w:vAlign w:val="center"/>
          </w:tcPr>
          <w:p w14:paraId="37A940D8">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例如：投标文件第X页</w:t>
            </w:r>
          </w:p>
        </w:tc>
      </w:tr>
      <w:tr w14:paraId="2E76DB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63" w:hRule="atLeast"/>
        </w:trPr>
        <w:tc>
          <w:tcPr>
            <w:tcW w:w="652" w:type="dxa"/>
            <w:vAlign w:val="center"/>
          </w:tcPr>
          <w:p w14:paraId="176F7217">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1370" w:type="dxa"/>
            <w:vAlign w:val="center"/>
          </w:tcPr>
          <w:p w14:paraId="2978AAF5">
            <w:pPr>
              <w:kinsoku w:val="0"/>
              <w:overflowPunct w:val="0"/>
              <w:spacing w:line="320" w:lineRule="exact"/>
              <w:jc w:val="center"/>
              <w:rPr>
                <w:rFonts w:hint="eastAsia" w:ascii="宋体" w:hAnsi="宋体"/>
                <w:color w:val="auto"/>
                <w:szCs w:val="21"/>
                <w:highlight w:val="none"/>
              </w:rPr>
            </w:pPr>
            <w:r>
              <w:rPr>
                <w:rFonts w:hint="eastAsia" w:ascii="宋体" w:hAnsi="宋体"/>
                <w:color w:val="auto"/>
                <w:szCs w:val="21"/>
                <w:highlight w:val="none"/>
              </w:rPr>
              <w:t>……</w:t>
            </w:r>
          </w:p>
        </w:tc>
        <w:tc>
          <w:tcPr>
            <w:tcW w:w="1210" w:type="dxa"/>
            <w:vAlign w:val="center"/>
          </w:tcPr>
          <w:p w14:paraId="1543413D">
            <w:pPr>
              <w:kinsoku w:val="0"/>
              <w:overflowPunct w:val="0"/>
              <w:spacing w:line="320" w:lineRule="exact"/>
              <w:jc w:val="center"/>
              <w:rPr>
                <w:rFonts w:hint="eastAsia" w:ascii="宋体" w:hAnsi="宋体"/>
                <w:color w:val="auto"/>
                <w:szCs w:val="21"/>
                <w:highlight w:val="none"/>
              </w:rPr>
            </w:pPr>
          </w:p>
        </w:tc>
        <w:tc>
          <w:tcPr>
            <w:tcW w:w="1230" w:type="dxa"/>
            <w:vAlign w:val="center"/>
          </w:tcPr>
          <w:p w14:paraId="502A7888">
            <w:pPr>
              <w:kinsoku w:val="0"/>
              <w:overflowPunct w:val="0"/>
              <w:spacing w:line="320" w:lineRule="exact"/>
              <w:jc w:val="center"/>
              <w:rPr>
                <w:rFonts w:hint="eastAsia" w:ascii="宋体" w:hAnsi="宋体"/>
                <w:color w:val="auto"/>
                <w:szCs w:val="21"/>
                <w:highlight w:val="none"/>
              </w:rPr>
            </w:pPr>
          </w:p>
        </w:tc>
        <w:tc>
          <w:tcPr>
            <w:tcW w:w="1640" w:type="dxa"/>
            <w:vAlign w:val="center"/>
          </w:tcPr>
          <w:p w14:paraId="085EDC2A">
            <w:pPr>
              <w:kinsoku w:val="0"/>
              <w:overflowPunct w:val="0"/>
              <w:spacing w:line="320" w:lineRule="exact"/>
              <w:jc w:val="center"/>
              <w:rPr>
                <w:rFonts w:hint="eastAsia" w:ascii="宋体" w:hAnsi="宋体"/>
                <w:color w:val="auto"/>
                <w:szCs w:val="21"/>
                <w:highlight w:val="none"/>
              </w:rPr>
            </w:pPr>
          </w:p>
        </w:tc>
        <w:tc>
          <w:tcPr>
            <w:tcW w:w="1170" w:type="dxa"/>
            <w:vAlign w:val="center"/>
          </w:tcPr>
          <w:p w14:paraId="3A30FA2B">
            <w:pPr>
              <w:kinsoku w:val="0"/>
              <w:overflowPunct w:val="0"/>
              <w:spacing w:line="320" w:lineRule="exact"/>
              <w:jc w:val="center"/>
              <w:rPr>
                <w:rFonts w:hint="eastAsia" w:ascii="宋体" w:hAnsi="宋体"/>
                <w:color w:val="auto"/>
                <w:szCs w:val="21"/>
                <w:highlight w:val="none"/>
              </w:rPr>
            </w:pPr>
          </w:p>
        </w:tc>
        <w:tc>
          <w:tcPr>
            <w:tcW w:w="1260" w:type="dxa"/>
            <w:vAlign w:val="center"/>
          </w:tcPr>
          <w:p w14:paraId="03FA2555">
            <w:pPr>
              <w:spacing w:line="320" w:lineRule="exact"/>
              <w:jc w:val="center"/>
              <w:rPr>
                <w:rFonts w:hint="eastAsia" w:ascii="宋体" w:hAnsi="宋体"/>
                <w:color w:val="auto"/>
                <w:szCs w:val="21"/>
                <w:highlight w:val="none"/>
              </w:rPr>
            </w:pPr>
          </w:p>
        </w:tc>
      </w:tr>
      <w:tr w14:paraId="7875A5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52" w:type="dxa"/>
            <w:vAlign w:val="center"/>
          </w:tcPr>
          <w:p w14:paraId="20E13B0B">
            <w:pPr>
              <w:spacing w:line="320" w:lineRule="exact"/>
              <w:jc w:val="center"/>
              <w:rPr>
                <w:rFonts w:hint="eastAsia" w:ascii="宋体" w:hAnsi="宋体"/>
                <w:color w:val="auto"/>
                <w:sz w:val="21"/>
                <w:szCs w:val="21"/>
                <w:highlight w:val="none"/>
              </w:rPr>
            </w:pPr>
          </w:p>
        </w:tc>
        <w:tc>
          <w:tcPr>
            <w:tcW w:w="1370" w:type="dxa"/>
            <w:vAlign w:val="center"/>
          </w:tcPr>
          <w:p w14:paraId="7BA2E431">
            <w:pPr>
              <w:kinsoku w:val="0"/>
              <w:overflowPunct w:val="0"/>
              <w:spacing w:line="320" w:lineRule="exact"/>
              <w:jc w:val="center"/>
              <w:rPr>
                <w:rFonts w:hint="eastAsia" w:ascii="宋体" w:hAnsi="宋体"/>
                <w:color w:val="auto"/>
                <w:sz w:val="21"/>
                <w:szCs w:val="21"/>
                <w:highlight w:val="none"/>
              </w:rPr>
            </w:pPr>
          </w:p>
        </w:tc>
        <w:tc>
          <w:tcPr>
            <w:tcW w:w="1210" w:type="dxa"/>
            <w:vAlign w:val="center"/>
          </w:tcPr>
          <w:p w14:paraId="33192BC8">
            <w:pPr>
              <w:kinsoku w:val="0"/>
              <w:overflowPunct w:val="0"/>
              <w:spacing w:line="320" w:lineRule="exact"/>
              <w:jc w:val="center"/>
              <w:rPr>
                <w:rFonts w:hint="eastAsia" w:ascii="宋体" w:hAnsi="宋体"/>
                <w:color w:val="auto"/>
                <w:sz w:val="21"/>
                <w:szCs w:val="21"/>
                <w:highlight w:val="none"/>
              </w:rPr>
            </w:pPr>
          </w:p>
        </w:tc>
        <w:tc>
          <w:tcPr>
            <w:tcW w:w="1230" w:type="dxa"/>
            <w:vAlign w:val="center"/>
          </w:tcPr>
          <w:p w14:paraId="67B1546C">
            <w:pPr>
              <w:spacing w:line="320" w:lineRule="exact"/>
              <w:jc w:val="center"/>
              <w:rPr>
                <w:rFonts w:hint="eastAsia" w:ascii="宋体" w:hAnsi="宋体"/>
                <w:color w:val="auto"/>
                <w:sz w:val="21"/>
                <w:szCs w:val="21"/>
                <w:highlight w:val="none"/>
              </w:rPr>
            </w:pPr>
          </w:p>
        </w:tc>
        <w:tc>
          <w:tcPr>
            <w:tcW w:w="1640" w:type="dxa"/>
            <w:vAlign w:val="center"/>
          </w:tcPr>
          <w:p w14:paraId="190098FD">
            <w:pPr>
              <w:spacing w:line="320" w:lineRule="exact"/>
              <w:jc w:val="center"/>
              <w:rPr>
                <w:rFonts w:hint="eastAsia" w:ascii="宋体" w:hAnsi="宋体"/>
                <w:color w:val="auto"/>
                <w:sz w:val="21"/>
                <w:szCs w:val="21"/>
                <w:highlight w:val="none"/>
              </w:rPr>
            </w:pPr>
          </w:p>
        </w:tc>
        <w:tc>
          <w:tcPr>
            <w:tcW w:w="1170" w:type="dxa"/>
            <w:vAlign w:val="center"/>
          </w:tcPr>
          <w:p w14:paraId="46F9EF03">
            <w:pPr>
              <w:spacing w:line="320" w:lineRule="exact"/>
              <w:jc w:val="center"/>
              <w:rPr>
                <w:rFonts w:hint="eastAsia" w:ascii="宋体" w:hAnsi="宋体"/>
                <w:color w:val="auto"/>
                <w:sz w:val="21"/>
                <w:szCs w:val="21"/>
                <w:highlight w:val="none"/>
              </w:rPr>
            </w:pPr>
          </w:p>
        </w:tc>
        <w:tc>
          <w:tcPr>
            <w:tcW w:w="1260" w:type="dxa"/>
            <w:vAlign w:val="center"/>
          </w:tcPr>
          <w:p w14:paraId="7D531C67">
            <w:pPr>
              <w:spacing w:line="320" w:lineRule="exact"/>
              <w:jc w:val="center"/>
              <w:rPr>
                <w:rFonts w:hint="eastAsia" w:ascii="宋体" w:hAnsi="宋体"/>
                <w:color w:val="auto"/>
                <w:sz w:val="21"/>
                <w:szCs w:val="21"/>
                <w:highlight w:val="none"/>
              </w:rPr>
            </w:pPr>
          </w:p>
        </w:tc>
      </w:tr>
    </w:tbl>
    <w:p w14:paraId="544FE3F4">
      <w:pPr>
        <w:spacing w:line="360" w:lineRule="auto"/>
        <w:jc w:val="both"/>
        <w:rPr>
          <w:rFonts w:hint="eastAsia" w:hAnsi="宋体"/>
          <w:color w:val="auto"/>
          <w:sz w:val="21"/>
          <w:szCs w:val="21"/>
          <w:highlight w:val="none"/>
        </w:rPr>
      </w:pPr>
      <w:r>
        <w:rPr>
          <w:rFonts w:hint="eastAsia" w:hAnsi="宋体"/>
          <w:color w:val="auto"/>
          <w:sz w:val="21"/>
          <w:szCs w:val="21"/>
          <w:highlight w:val="none"/>
        </w:rPr>
        <w:t>注：填写此表时应附上相关附件，不录入此表的不作为评审依据。</w:t>
      </w:r>
    </w:p>
    <w:p w14:paraId="17E8F1AB">
      <w:pPr>
        <w:spacing w:line="360" w:lineRule="auto"/>
        <w:jc w:val="center"/>
        <w:rPr>
          <w:rFonts w:hint="eastAsia" w:hAnsi="宋体"/>
          <w:color w:val="auto"/>
          <w:sz w:val="21"/>
          <w:szCs w:val="21"/>
          <w:highlight w:val="none"/>
        </w:rPr>
      </w:pPr>
    </w:p>
    <w:p w14:paraId="5E8BE16B">
      <w:pPr>
        <w:spacing w:line="360" w:lineRule="auto"/>
        <w:jc w:val="center"/>
        <w:rPr>
          <w:color w:val="auto"/>
          <w:highlight w:val="none"/>
        </w:rPr>
      </w:pPr>
      <w:r>
        <w:rPr>
          <w:color w:val="auto"/>
          <w:highlight w:val="none"/>
        </w:rPr>
        <w:br w:type="page"/>
      </w:r>
    </w:p>
    <w:p w14:paraId="3753BDD5">
      <w:pPr>
        <w:spacing w:line="360" w:lineRule="auto"/>
        <w:jc w:val="center"/>
        <w:rPr>
          <w:color w:val="auto"/>
          <w:highlight w:val="none"/>
        </w:rPr>
      </w:pPr>
    </w:p>
    <w:p w14:paraId="22A666CD">
      <w:pPr>
        <w:spacing w:line="360" w:lineRule="auto"/>
        <w:jc w:val="center"/>
        <w:rPr>
          <w:rFonts w:hint="eastAsia" w:ascii="宋体" w:hAnsi="宋体" w:cs="宋体"/>
          <w:b/>
          <w:bCs/>
          <w:color w:val="auto"/>
          <w:szCs w:val="28"/>
          <w:highlight w:val="none"/>
        </w:rPr>
      </w:pPr>
      <w:r>
        <w:rPr>
          <w:rFonts w:hint="eastAsia" w:ascii="宋体" w:hAnsi="宋体" w:cs="宋体"/>
          <w:b/>
          <w:bCs/>
          <w:color w:val="auto"/>
          <w:sz w:val="28"/>
          <w:szCs w:val="28"/>
          <w:highlight w:val="none"/>
        </w:rPr>
        <w:t>表4</w:t>
      </w:r>
      <w:r>
        <w:rPr>
          <w:rFonts w:ascii="宋体" w:hAnsi="宋体" w:cs="宋体"/>
          <w:b/>
          <w:bCs/>
          <w:color w:val="auto"/>
          <w:sz w:val="28"/>
          <w:szCs w:val="28"/>
          <w:highlight w:val="none"/>
        </w:rPr>
        <w:t xml:space="preserve"> </w:t>
      </w:r>
      <w:r>
        <w:rPr>
          <w:rFonts w:hint="eastAsia" w:ascii="仿宋" w:hAnsi="仿宋" w:eastAsia="仿宋" w:cs="宋体"/>
          <w:b/>
          <w:bCs/>
          <w:color w:val="auto"/>
          <w:sz w:val="30"/>
          <w:szCs w:val="30"/>
          <w:highlight w:val="none"/>
        </w:rPr>
        <w:t xml:space="preserve"> </w:t>
      </w:r>
      <w:r>
        <w:rPr>
          <w:rFonts w:hint="eastAsia"/>
          <w:color w:val="auto"/>
          <w:highlight w:val="none"/>
        </w:rPr>
        <w:t>☑</w:t>
      </w:r>
      <w:r>
        <w:rPr>
          <w:rFonts w:hint="eastAsia" w:ascii="宋体" w:hAnsi="宋体" w:cs="宋体"/>
          <w:b/>
          <w:bCs/>
          <w:color w:val="auto"/>
          <w:sz w:val="28"/>
          <w:szCs w:val="28"/>
          <w:highlight w:val="none"/>
        </w:rPr>
        <w:t>项目管理班子配备情况表（可根据评审因素设置）</w:t>
      </w:r>
    </w:p>
    <w:p w14:paraId="64C298D1">
      <w:pPr>
        <w:spacing w:line="360" w:lineRule="auto"/>
        <w:ind w:firstLine="717" w:firstLineChars="299"/>
        <w:rPr>
          <w:rFonts w:hint="eastAsia" w:hAnsi="宋体" w:cs="宋体"/>
          <w:color w:val="auto"/>
          <w:szCs w:val="28"/>
          <w:highlight w:val="none"/>
        </w:rPr>
      </w:pPr>
      <w:r>
        <w:rPr>
          <w:rFonts w:hint="eastAsia" w:hAnsi="宋体" w:cs="宋体"/>
          <w:color w:val="auto"/>
          <w:szCs w:val="28"/>
          <w:highlight w:val="none"/>
        </w:rPr>
        <w:t>项目名称：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20"/>
        <w:gridCol w:w="720"/>
        <w:gridCol w:w="888"/>
        <w:gridCol w:w="888"/>
        <w:gridCol w:w="888"/>
        <w:gridCol w:w="888"/>
        <w:gridCol w:w="1085"/>
        <w:gridCol w:w="870"/>
        <w:gridCol w:w="1040"/>
      </w:tblGrid>
      <w:tr w14:paraId="1A8D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restart"/>
            <w:vAlign w:val="center"/>
          </w:tcPr>
          <w:p w14:paraId="186D7BAB">
            <w:pPr>
              <w:jc w:val="center"/>
              <w:rPr>
                <w:rFonts w:hint="eastAsia" w:hAnsi="宋体" w:cs="宋体"/>
                <w:color w:val="auto"/>
                <w:szCs w:val="28"/>
                <w:highlight w:val="none"/>
              </w:rPr>
            </w:pPr>
            <w:r>
              <w:rPr>
                <w:rFonts w:hint="eastAsia" w:hAnsi="宋体" w:cs="宋体"/>
                <w:color w:val="auto"/>
                <w:szCs w:val="28"/>
                <w:highlight w:val="none"/>
              </w:rPr>
              <w:t>职务</w:t>
            </w:r>
          </w:p>
        </w:tc>
        <w:tc>
          <w:tcPr>
            <w:tcW w:w="720" w:type="dxa"/>
            <w:vMerge w:val="restart"/>
            <w:vAlign w:val="center"/>
          </w:tcPr>
          <w:p w14:paraId="3B2E1E9F">
            <w:pPr>
              <w:jc w:val="center"/>
              <w:rPr>
                <w:rFonts w:hint="eastAsia" w:hAnsi="宋体" w:cs="宋体"/>
                <w:color w:val="auto"/>
                <w:szCs w:val="28"/>
                <w:highlight w:val="none"/>
              </w:rPr>
            </w:pPr>
            <w:r>
              <w:rPr>
                <w:rFonts w:hint="eastAsia" w:hAnsi="宋体" w:cs="宋体"/>
                <w:color w:val="auto"/>
                <w:szCs w:val="28"/>
                <w:highlight w:val="none"/>
              </w:rPr>
              <w:t>姓名</w:t>
            </w:r>
          </w:p>
        </w:tc>
        <w:tc>
          <w:tcPr>
            <w:tcW w:w="720" w:type="dxa"/>
            <w:vMerge w:val="restart"/>
            <w:vAlign w:val="center"/>
          </w:tcPr>
          <w:p w14:paraId="735988E2">
            <w:pPr>
              <w:jc w:val="center"/>
              <w:rPr>
                <w:rFonts w:hint="eastAsia" w:hAnsi="宋体" w:cs="宋体"/>
                <w:color w:val="auto"/>
                <w:szCs w:val="28"/>
                <w:highlight w:val="none"/>
              </w:rPr>
            </w:pPr>
            <w:r>
              <w:rPr>
                <w:rFonts w:hint="eastAsia" w:hAnsi="宋体" w:cs="宋体"/>
                <w:color w:val="auto"/>
                <w:szCs w:val="28"/>
                <w:highlight w:val="none"/>
              </w:rPr>
              <w:t>职称</w:t>
            </w:r>
          </w:p>
        </w:tc>
        <w:tc>
          <w:tcPr>
            <w:tcW w:w="4637" w:type="dxa"/>
            <w:gridSpan w:val="5"/>
            <w:vAlign w:val="center"/>
          </w:tcPr>
          <w:p w14:paraId="4CE53F1C">
            <w:pPr>
              <w:jc w:val="center"/>
              <w:rPr>
                <w:rFonts w:hint="eastAsia" w:hAnsi="宋体" w:cs="宋体"/>
                <w:color w:val="auto"/>
                <w:szCs w:val="28"/>
                <w:highlight w:val="none"/>
              </w:rPr>
            </w:pPr>
            <w:r>
              <w:rPr>
                <w:rFonts w:hint="eastAsia" w:hAnsi="宋体" w:cs="宋体"/>
                <w:color w:val="auto"/>
                <w:szCs w:val="28"/>
                <w:highlight w:val="none"/>
              </w:rPr>
              <w:t>岗位资格证明</w:t>
            </w:r>
          </w:p>
        </w:tc>
        <w:tc>
          <w:tcPr>
            <w:tcW w:w="1910" w:type="dxa"/>
            <w:gridSpan w:val="2"/>
            <w:vAlign w:val="center"/>
          </w:tcPr>
          <w:p w14:paraId="11B2FC80">
            <w:pPr>
              <w:jc w:val="center"/>
              <w:rPr>
                <w:rFonts w:hint="eastAsia" w:hAnsi="宋体" w:cs="宋体"/>
                <w:color w:val="auto"/>
                <w:szCs w:val="28"/>
                <w:highlight w:val="none"/>
              </w:rPr>
            </w:pPr>
            <w:r>
              <w:rPr>
                <w:rFonts w:hint="eastAsia" w:hAnsi="宋体" w:cs="宋体"/>
                <w:color w:val="auto"/>
                <w:szCs w:val="28"/>
                <w:highlight w:val="none"/>
              </w:rPr>
              <w:t>已承担在建工程情况</w:t>
            </w:r>
          </w:p>
        </w:tc>
      </w:tr>
      <w:tr w14:paraId="7B78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continue"/>
          </w:tcPr>
          <w:p w14:paraId="4186E18D">
            <w:pPr>
              <w:spacing w:line="360" w:lineRule="auto"/>
              <w:rPr>
                <w:rFonts w:hint="eastAsia" w:hAnsi="宋体" w:cs="宋体"/>
                <w:color w:val="auto"/>
                <w:szCs w:val="28"/>
                <w:highlight w:val="none"/>
              </w:rPr>
            </w:pPr>
          </w:p>
        </w:tc>
        <w:tc>
          <w:tcPr>
            <w:tcW w:w="720" w:type="dxa"/>
            <w:vMerge w:val="continue"/>
            <w:tcBorders>
              <w:bottom w:val="single" w:color="auto" w:sz="4" w:space="0"/>
            </w:tcBorders>
          </w:tcPr>
          <w:p w14:paraId="6E87A327">
            <w:pPr>
              <w:spacing w:line="360" w:lineRule="auto"/>
              <w:rPr>
                <w:rFonts w:hint="eastAsia" w:hAnsi="宋体" w:cs="宋体"/>
                <w:color w:val="auto"/>
                <w:szCs w:val="28"/>
                <w:highlight w:val="none"/>
              </w:rPr>
            </w:pPr>
          </w:p>
        </w:tc>
        <w:tc>
          <w:tcPr>
            <w:tcW w:w="720" w:type="dxa"/>
            <w:vMerge w:val="continue"/>
          </w:tcPr>
          <w:p w14:paraId="648B1390">
            <w:pPr>
              <w:spacing w:line="360" w:lineRule="auto"/>
              <w:rPr>
                <w:rFonts w:hint="eastAsia" w:hAnsi="宋体" w:cs="宋体"/>
                <w:color w:val="auto"/>
                <w:szCs w:val="28"/>
                <w:highlight w:val="none"/>
              </w:rPr>
            </w:pPr>
          </w:p>
        </w:tc>
        <w:tc>
          <w:tcPr>
            <w:tcW w:w="888" w:type="dxa"/>
            <w:vAlign w:val="center"/>
          </w:tcPr>
          <w:p w14:paraId="467A7A04">
            <w:pPr>
              <w:jc w:val="center"/>
              <w:rPr>
                <w:rFonts w:hint="eastAsia" w:hAnsi="宋体" w:cs="宋体"/>
                <w:color w:val="auto"/>
                <w:szCs w:val="28"/>
                <w:highlight w:val="none"/>
              </w:rPr>
            </w:pPr>
            <w:r>
              <w:rPr>
                <w:rFonts w:hint="eastAsia" w:hAnsi="宋体" w:cs="宋体"/>
                <w:color w:val="auto"/>
                <w:szCs w:val="28"/>
                <w:highlight w:val="none"/>
              </w:rPr>
              <w:t>证书</w:t>
            </w:r>
          </w:p>
          <w:p w14:paraId="63A7CB36">
            <w:pPr>
              <w:jc w:val="center"/>
              <w:rPr>
                <w:rFonts w:hint="eastAsia" w:hAnsi="宋体" w:cs="宋体"/>
                <w:color w:val="auto"/>
                <w:szCs w:val="28"/>
                <w:highlight w:val="none"/>
              </w:rPr>
            </w:pPr>
            <w:r>
              <w:rPr>
                <w:rFonts w:hint="eastAsia" w:hAnsi="宋体" w:cs="宋体"/>
                <w:color w:val="auto"/>
                <w:szCs w:val="28"/>
                <w:highlight w:val="none"/>
              </w:rPr>
              <w:t>名称</w:t>
            </w:r>
          </w:p>
        </w:tc>
        <w:tc>
          <w:tcPr>
            <w:tcW w:w="888" w:type="dxa"/>
            <w:vAlign w:val="center"/>
          </w:tcPr>
          <w:p w14:paraId="372BB5B4">
            <w:pPr>
              <w:jc w:val="center"/>
              <w:rPr>
                <w:rFonts w:hint="eastAsia" w:hAnsi="宋体" w:cs="宋体"/>
                <w:color w:val="auto"/>
                <w:szCs w:val="28"/>
                <w:highlight w:val="none"/>
              </w:rPr>
            </w:pPr>
            <w:r>
              <w:rPr>
                <w:rFonts w:hint="eastAsia" w:hAnsi="宋体" w:cs="宋体"/>
                <w:color w:val="auto"/>
                <w:szCs w:val="28"/>
                <w:highlight w:val="none"/>
              </w:rPr>
              <w:t>级别</w:t>
            </w:r>
          </w:p>
        </w:tc>
        <w:tc>
          <w:tcPr>
            <w:tcW w:w="888" w:type="dxa"/>
            <w:tcBorders>
              <w:bottom w:val="single" w:color="auto" w:sz="4" w:space="0"/>
            </w:tcBorders>
            <w:vAlign w:val="center"/>
          </w:tcPr>
          <w:p w14:paraId="22E68120">
            <w:pPr>
              <w:jc w:val="center"/>
              <w:rPr>
                <w:rFonts w:hint="eastAsia" w:hAnsi="宋体" w:cs="宋体"/>
                <w:color w:val="auto"/>
                <w:szCs w:val="28"/>
                <w:highlight w:val="none"/>
              </w:rPr>
            </w:pPr>
            <w:r>
              <w:rPr>
                <w:rFonts w:hint="eastAsia" w:hAnsi="宋体" w:cs="宋体"/>
                <w:color w:val="auto"/>
                <w:szCs w:val="28"/>
                <w:highlight w:val="none"/>
              </w:rPr>
              <w:t>证号</w:t>
            </w:r>
          </w:p>
        </w:tc>
        <w:tc>
          <w:tcPr>
            <w:tcW w:w="888" w:type="dxa"/>
            <w:vAlign w:val="center"/>
          </w:tcPr>
          <w:p w14:paraId="7FF46E14">
            <w:pPr>
              <w:jc w:val="center"/>
              <w:rPr>
                <w:rFonts w:hint="eastAsia" w:hAnsi="宋体" w:cs="宋体"/>
                <w:color w:val="auto"/>
                <w:szCs w:val="28"/>
                <w:highlight w:val="none"/>
              </w:rPr>
            </w:pPr>
            <w:r>
              <w:rPr>
                <w:rFonts w:hint="eastAsia" w:hAnsi="宋体" w:cs="宋体"/>
                <w:color w:val="auto"/>
                <w:szCs w:val="28"/>
                <w:highlight w:val="none"/>
              </w:rPr>
              <w:t>专业</w:t>
            </w:r>
          </w:p>
        </w:tc>
        <w:tc>
          <w:tcPr>
            <w:tcW w:w="1085" w:type="dxa"/>
            <w:tcBorders>
              <w:bottom w:val="single" w:color="auto" w:sz="4" w:space="0"/>
            </w:tcBorders>
            <w:vAlign w:val="center"/>
          </w:tcPr>
          <w:p w14:paraId="5F300414">
            <w:pPr>
              <w:jc w:val="center"/>
              <w:rPr>
                <w:rFonts w:hint="eastAsia" w:hAnsi="宋体" w:cs="宋体"/>
                <w:color w:val="auto"/>
                <w:szCs w:val="28"/>
                <w:highlight w:val="none"/>
              </w:rPr>
            </w:pPr>
            <w:r>
              <w:rPr>
                <w:rFonts w:hint="eastAsia" w:hAnsi="宋体" w:cs="宋体"/>
                <w:color w:val="auto"/>
                <w:szCs w:val="28"/>
                <w:highlight w:val="none"/>
              </w:rPr>
              <w:t>原服务单位</w:t>
            </w:r>
          </w:p>
        </w:tc>
        <w:tc>
          <w:tcPr>
            <w:tcW w:w="870" w:type="dxa"/>
            <w:tcBorders>
              <w:bottom w:val="single" w:color="auto" w:sz="4" w:space="0"/>
            </w:tcBorders>
            <w:vAlign w:val="center"/>
          </w:tcPr>
          <w:p w14:paraId="50195532">
            <w:pPr>
              <w:jc w:val="center"/>
              <w:rPr>
                <w:rFonts w:hint="eastAsia" w:hAnsi="宋体" w:cs="宋体"/>
                <w:color w:val="auto"/>
                <w:szCs w:val="28"/>
                <w:highlight w:val="none"/>
              </w:rPr>
            </w:pPr>
            <w:r>
              <w:rPr>
                <w:rFonts w:hint="eastAsia" w:hAnsi="宋体" w:cs="宋体"/>
                <w:color w:val="auto"/>
                <w:szCs w:val="28"/>
                <w:highlight w:val="none"/>
              </w:rPr>
              <w:t>项目数</w:t>
            </w:r>
          </w:p>
        </w:tc>
        <w:tc>
          <w:tcPr>
            <w:tcW w:w="1040" w:type="dxa"/>
            <w:tcBorders>
              <w:bottom w:val="single" w:color="auto" w:sz="4" w:space="0"/>
            </w:tcBorders>
            <w:vAlign w:val="center"/>
          </w:tcPr>
          <w:p w14:paraId="76E64883">
            <w:pPr>
              <w:jc w:val="center"/>
              <w:rPr>
                <w:rFonts w:hint="eastAsia" w:hAnsi="宋体" w:cs="宋体"/>
                <w:color w:val="auto"/>
                <w:szCs w:val="28"/>
                <w:highlight w:val="none"/>
              </w:rPr>
            </w:pPr>
            <w:r>
              <w:rPr>
                <w:rFonts w:hint="eastAsia" w:hAnsi="宋体" w:cs="宋体"/>
                <w:color w:val="auto"/>
                <w:szCs w:val="28"/>
                <w:highlight w:val="none"/>
              </w:rPr>
              <w:t>主要项目名称</w:t>
            </w:r>
          </w:p>
        </w:tc>
      </w:tr>
      <w:tr w14:paraId="678A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605BAB19">
            <w:pPr>
              <w:spacing w:line="360" w:lineRule="auto"/>
              <w:rPr>
                <w:rFonts w:hint="eastAsia" w:hAnsi="宋体" w:cs="宋体"/>
                <w:color w:val="auto"/>
                <w:szCs w:val="28"/>
                <w:highlight w:val="none"/>
              </w:rPr>
            </w:pPr>
          </w:p>
        </w:tc>
        <w:tc>
          <w:tcPr>
            <w:tcW w:w="720" w:type="dxa"/>
            <w:tcBorders>
              <w:bottom w:val="single" w:color="auto" w:sz="4" w:space="0"/>
            </w:tcBorders>
          </w:tcPr>
          <w:p w14:paraId="37BFDA8A">
            <w:pPr>
              <w:spacing w:line="360" w:lineRule="auto"/>
              <w:rPr>
                <w:rFonts w:hint="eastAsia" w:hAnsi="宋体" w:cs="宋体"/>
                <w:color w:val="auto"/>
                <w:szCs w:val="28"/>
                <w:highlight w:val="none"/>
              </w:rPr>
            </w:pPr>
          </w:p>
        </w:tc>
        <w:tc>
          <w:tcPr>
            <w:tcW w:w="720" w:type="dxa"/>
          </w:tcPr>
          <w:p w14:paraId="562FAEA8">
            <w:pPr>
              <w:spacing w:line="360" w:lineRule="auto"/>
              <w:rPr>
                <w:rFonts w:hint="eastAsia" w:hAnsi="宋体" w:cs="宋体"/>
                <w:color w:val="auto"/>
                <w:szCs w:val="28"/>
                <w:highlight w:val="none"/>
              </w:rPr>
            </w:pPr>
          </w:p>
        </w:tc>
        <w:tc>
          <w:tcPr>
            <w:tcW w:w="888" w:type="dxa"/>
            <w:vAlign w:val="center"/>
          </w:tcPr>
          <w:p w14:paraId="7E4C4AA7">
            <w:pPr>
              <w:jc w:val="center"/>
              <w:rPr>
                <w:rFonts w:hint="eastAsia" w:hAnsi="宋体" w:cs="宋体"/>
                <w:color w:val="auto"/>
                <w:szCs w:val="28"/>
                <w:highlight w:val="none"/>
              </w:rPr>
            </w:pPr>
          </w:p>
        </w:tc>
        <w:tc>
          <w:tcPr>
            <w:tcW w:w="888" w:type="dxa"/>
            <w:vAlign w:val="center"/>
          </w:tcPr>
          <w:p w14:paraId="4FD8F0E3">
            <w:pPr>
              <w:jc w:val="center"/>
              <w:rPr>
                <w:rFonts w:hint="eastAsia" w:hAnsi="宋体" w:cs="宋体"/>
                <w:color w:val="auto"/>
                <w:szCs w:val="28"/>
                <w:highlight w:val="none"/>
              </w:rPr>
            </w:pPr>
          </w:p>
        </w:tc>
        <w:tc>
          <w:tcPr>
            <w:tcW w:w="888" w:type="dxa"/>
            <w:tcBorders>
              <w:bottom w:val="single" w:color="auto" w:sz="4" w:space="0"/>
            </w:tcBorders>
            <w:vAlign w:val="center"/>
          </w:tcPr>
          <w:p w14:paraId="509E16FF">
            <w:pPr>
              <w:jc w:val="center"/>
              <w:rPr>
                <w:rFonts w:hint="eastAsia" w:hAnsi="宋体" w:cs="宋体"/>
                <w:color w:val="auto"/>
                <w:szCs w:val="28"/>
                <w:highlight w:val="none"/>
              </w:rPr>
            </w:pPr>
          </w:p>
        </w:tc>
        <w:tc>
          <w:tcPr>
            <w:tcW w:w="888" w:type="dxa"/>
            <w:vAlign w:val="center"/>
          </w:tcPr>
          <w:p w14:paraId="5BE50901">
            <w:pPr>
              <w:jc w:val="center"/>
              <w:rPr>
                <w:rFonts w:hint="eastAsia" w:hAnsi="宋体" w:cs="宋体"/>
                <w:color w:val="auto"/>
                <w:szCs w:val="28"/>
                <w:highlight w:val="none"/>
              </w:rPr>
            </w:pPr>
          </w:p>
        </w:tc>
        <w:tc>
          <w:tcPr>
            <w:tcW w:w="1085" w:type="dxa"/>
            <w:tcBorders>
              <w:bottom w:val="single" w:color="auto" w:sz="4" w:space="0"/>
            </w:tcBorders>
            <w:vAlign w:val="center"/>
          </w:tcPr>
          <w:p w14:paraId="7C97596E">
            <w:pPr>
              <w:jc w:val="center"/>
              <w:rPr>
                <w:rFonts w:hint="eastAsia" w:hAnsi="宋体" w:cs="宋体"/>
                <w:color w:val="auto"/>
                <w:szCs w:val="28"/>
                <w:highlight w:val="none"/>
              </w:rPr>
            </w:pPr>
          </w:p>
        </w:tc>
        <w:tc>
          <w:tcPr>
            <w:tcW w:w="870" w:type="dxa"/>
            <w:tcBorders>
              <w:bottom w:val="single" w:color="auto" w:sz="4" w:space="0"/>
            </w:tcBorders>
            <w:vAlign w:val="center"/>
          </w:tcPr>
          <w:p w14:paraId="554ECAA5">
            <w:pPr>
              <w:jc w:val="center"/>
              <w:rPr>
                <w:rFonts w:hint="eastAsia" w:hAnsi="宋体" w:cs="宋体"/>
                <w:color w:val="auto"/>
                <w:szCs w:val="28"/>
                <w:highlight w:val="none"/>
              </w:rPr>
            </w:pPr>
          </w:p>
        </w:tc>
        <w:tc>
          <w:tcPr>
            <w:tcW w:w="1040" w:type="dxa"/>
            <w:tcBorders>
              <w:bottom w:val="single" w:color="auto" w:sz="4" w:space="0"/>
            </w:tcBorders>
            <w:vAlign w:val="center"/>
          </w:tcPr>
          <w:p w14:paraId="4AC0F52E">
            <w:pPr>
              <w:jc w:val="center"/>
              <w:rPr>
                <w:rFonts w:hint="eastAsia" w:hAnsi="宋体" w:cs="宋体"/>
                <w:color w:val="auto"/>
                <w:szCs w:val="28"/>
                <w:highlight w:val="none"/>
              </w:rPr>
            </w:pPr>
          </w:p>
        </w:tc>
      </w:tr>
      <w:tr w14:paraId="003C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52CEDFC7">
            <w:pPr>
              <w:spacing w:line="360" w:lineRule="auto"/>
              <w:rPr>
                <w:rFonts w:hint="eastAsia" w:hAnsi="宋体" w:cs="宋体"/>
                <w:color w:val="auto"/>
                <w:szCs w:val="28"/>
                <w:highlight w:val="none"/>
              </w:rPr>
            </w:pPr>
          </w:p>
        </w:tc>
        <w:tc>
          <w:tcPr>
            <w:tcW w:w="720" w:type="dxa"/>
            <w:tcBorders>
              <w:bottom w:val="single" w:color="auto" w:sz="4" w:space="0"/>
            </w:tcBorders>
          </w:tcPr>
          <w:p w14:paraId="656BC6E2">
            <w:pPr>
              <w:spacing w:line="360" w:lineRule="auto"/>
              <w:rPr>
                <w:rFonts w:hint="eastAsia" w:hAnsi="宋体" w:cs="宋体"/>
                <w:color w:val="auto"/>
                <w:szCs w:val="28"/>
                <w:highlight w:val="none"/>
              </w:rPr>
            </w:pPr>
          </w:p>
        </w:tc>
        <w:tc>
          <w:tcPr>
            <w:tcW w:w="720" w:type="dxa"/>
          </w:tcPr>
          <w:p w14:paraId="72B9B406">
            <w:pPr>
              <w:spacing w:line="360" w:lineRule="auto"/>
              <w:rPr>
                <w:rFonts w:hint="eastAsia" w:hAnsi="宋体" w:cs="宋体"/>
                <w:color w:val="auto"/>
                <w:szCs w:val="28"/>
                <w:highlight w:val="none"/>
              </w:rPr>
            </w:pPr>
          </w:p>
        </w:tc>
        <w:tc>
          <w:tcPr>
            <w:tcW w:w="888" w:type="dxa"/>
            <w:vAlign w:val="center"/>
          </w:tcPr>
          <w:p w14:paraId="593C47E8">
            <w:pPr>
              <w:jc w:val="center"/>
              <w:rPr>
                <w:rFonts w:hint="eastAsia" w:hAnsi="宋体" w:cs="宋体"/>
                <w:color w:val="auto"/>
                <w:szCs w:val="28"/>
                <w:highlight w:val="none"/>
              </w:rPr>
            </w:pPr>
          </w:p>
        </w:tc>
        <w:tc>
          <w:tcPr>
            <w:tcW w:w="888" w:type="dxa"/>
            <w:vAlign w:val="center"/>
          </w:tcPr>
          <w:p w14:paraId="789F87B0">
            <w:pPr>
              <w:jc w:val="center"/>
              <w:rPr>
                <w:rFonts w:hint="eastAsia" w:hAnsi="宋体" w:cs="宋体"/>
                <w:color w:val="auto"/>
                <w:szCs w:val="28"/>
                <w:highlight w:val="none"/>
              </w:rPr>
            </w:pPr>
          </w:p>
        </w:tc>
        <w:tc>
          <w:tcPr>
            <w:tcW w:w="888" w:type="dxa"/>
            <w:tcBorders>
              <w:bottom w:val="single" w:color="auto" w:sz="4" w:space="0"/>
            </w:tcBorders>
            <w:vAlign w:val="center"/>
          </w:tcPr>
          <w:p w14:paraId="1B25672C">
            <w:pPr>
              <w:jc w:val="center"/>
              <w:rPr>
                <w:rFonts w:hint="eastAsia" w:hAnsi="宋体" w:cs="宋体"/>
                <w:color w:val="auto"/>
                <w:szCs w:val="28"/>
                <w:highlight w:val="none"/>
              </w:rPr>
            </w:pPr>
          </w:p>
        </w:tc>
        <w:tc>
          <w:tcPr>
            <w:tcW w:w="888" w:type="dxa"/>
            <w:vAlign w:val="center"/>
          </w:tcPr>
          <w:p w14:paraId="04F3BCC2">
            <w:pPr>
              <w:jc w:val="center"/>
              <w:rPr>
                <w:rFonts w:hint="eastAsia" w:hAnsi="宋体" w:cs="宋体"/>
                <w:color w:val="auto"/>
                <w:szCs w:val="28"/>
                <w:highlight w:val="none"/>
              </w:rPr>
            </w:pPr>
          </w:p>
        </w:tc>
        <w:tc>
          <w:tcPr>
            <w:tcW w:w="1085" w:type="dxa"/>
            <w:tcBorders>
              <w:bottom w:val="single" w:color="auto" w:sz="4" w:space="0"/>
            </w:tcBorders>
            <w:vAlign w:val="center"/>
          </w:tcPr>
          <w:p w14:paraId="159D13AE">
            <w:pPr>
              <w:jc w:val="center"/>
              <w:rPr>
                <w:rFonts w:hint="eastAsia" w:hAnsi="宋体" w:cs="宋体"/>
                <w:color w:val="auto"/>
                <w:szCs w:val="28"/>
                <w:highlight w:val="none"/>
              </w:rPr>
            </w:pPr>
          </w:p>
        </w:tc>
        <w:tc>
          <w:tcPr>
            <w:tcW w:w="870" w:type="dxa"/>
            <w:tcBorders>
              <w:bottom w:val="single" w:color="auto" w:sz="4" w:space="0"/>
            </w:tcBorders>
            <w:vAlign w:val="center"/>
          </w:tcPr>
          <w:p w14:paraId="4608AC57">
            <w:pPr>
              <w:jc w:val="center"/>
              <w:rPr>
                <w:rFonts w:hint="eastAsia" w:hAnsi="宋体" w:cs="宋体"/>
                <w:color w:val="auto"/>
                <w:szCs w:val="28"/>
                <w:highlight w:val="none"/>
              </w:rPr>
            </w:pPr>
          </w:p>
        </w:tc>
        <w:tc>
          <w:tcPr>
            <w:tcW w:w="1040" w:type="dxa"/>
            <w:tcBorders>
              <w:bottom w:val="single" w:color="auto" w:sz="4" w:space="0"/>
            </w:tcBorders>
            <w:vAlign w:val="center"/>
          </w:tcPr>
          <w:p w14:paraId="55C84CF0">
            <w:pPr>
              <w:jc w:val="center"/>
              <w:rPr>
                <w:rFonts w:hint="eastAsia" w:hAnsi="宋体" w:cs="宋体"/>
                <w:color w:val="auto"/>
                <w:szCs w:val="28"/>
                <w:highlight w:val="none"/>
              </w:rPr>
            </w:pPr>
          </w:p>
        </w:tc>
      </w:tr>
      <w:tr w14:paraId="1969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28BC7C64">
            <w:pPr>
              <w:spacing w:line="360" w:lineRule="auto"/>
              <w:rPr>
                <w:rFonts w:hint="eastAsia" w:hAnsi="宋体" w:cs="宋体"/>
                <w:color w:val="auto"/>
                <w:szCs w:val="28"/>
                <w:highlight w:val="none"/>
              </w:rPr>
            </w:pPr>
          </w:p>
        </w:tc>
        <w:tc>
          <w:tcPr>
            <w:tcW w:w="720" w:type="dxa"/>
            <w:tcBorders>
              <w:bottom w:val="single" w:color="auto" w:sz="4" w:space="0"/>
            </w:tcBorders>
          </w:tcPr>
          <w:p w14:paraId="61FCC6BE">
            <w:pPr>
              <w:spacing w:line="360" w:lineRule="auto"/>
              <w:rPr>
                <w:rFonts w:hint="eastAsia" w:hAnsi="宋体" w:cs="宋体"/>
                <w:color w:val="auto"/>
                <w:szCs w:val="28"/>
                <w:highlight w:val="none"/>
              </w:rPr>
            </w:pPr>
          </w:p>
        </w:tc>
        <w:tc>
          <w:tcPr>
            <w:tcW w:w="720" w:type="dxa"/>
          </w:tcPr>
          <w:p w14:paraId="39615B03">
            <w:pPr>
              <w:spacing w:line="360" w:lineRule="auto"/>
              <w:rPr>
                <w:rFonts w:hint="eastAsia" w:hAnsi="宋体" w:cs="宋体"/>
                <w:color w:val="auto"/>
                <w:szCs w:val="28"/>
                <w:highlight w:val="none"/>
              </w:rPr>
            </w:pPr>
          </w:p>
        </w:tc>
        <w:tc>
          <w:tcPr>
            <w:tcW w:w="888" w:type="dxa"/>
            <w:vAlign w:val="center"/>
          </w:tcPr>
          <w:p w14:paraId="66ED62D2">
            <w:pPr>
              <w:jc w:val="center"/>
              <w:rPr>
                <w:rFonts w:hint="eastAsia" w:hAnsi="宋体" w:cs="宋体"/>
                <w:color w:val="auto"/>
                <w:szCs w:val="28"/>
                <w:highlight w:val="none"/>
              </w:rPr>
            </w:pPr>
          </w:p>
        </w:tc>
        <w:tc>
          <w:tcPr>
            <w:tcW w:w="888" w:type="dxa"/>
            <w:vAlign w:val="center"/>
          </w:tcPr>
          <w:p w14:paraId="3BF4FF3C">
            <w:pPr>
              <w:jc w:val="center"/>
              <w:rPr>
                <w:rFonts w:hint="eastAsia" w:hAnsi="宋体" w:cs="宋体"/>
                <w:color w:val="auto"/>
                <w:szCs w:val="28"/>
                <w:highlight w:val="none"/>
              </w:rPr>
            </w:pPr>
          </w:p>
        </w:tc>
        <w:tc>
          <w:tcPr>
            <w:tcW w:w="888" w:type="dxa"/>
            <w:tcBorders>
              <w:bottom w:val="single" w:color="auto" w:sz="4" w:space="0"/>
            </w:tcBorders>
            <w:vAlign w:val="center"/>
          </w:tcPr>
          <w:p w14:paraId="40F07EAF">
            <w:pPr>
              <w:jc w:val="center"/>
              <w:rPr>
                <w:rFonts w:hint="eastAsia" w:hAnsi="宋体" w:cs="宋体"/>
                <w:color w:val="auto"/>
                <w:szCs w:val="28"/>
                <w:highlight w:val="none"/>
              </w:rPr>
            </w:pPr>
          </w:p>
        </w:tc>
        <w:tc>
          <w:tcPr>
            <w:tcW w:w="888" w:type="dxa"/>
            <w:vAlign w:val="center"/>
          </w:tcPr>
          <w:p w14:paraId="6538C9E7">
            <w:pPr>
              <w:jc w:val="center"/>
              <w:rPr>
                <w:rFonts w:hint="eastAsia" w:hAnsi="宋体" w:cs="宋体"/>
                <w:color w:val="auto"/>
                <w:szCs w:val="28"/>
                <w:highlight w:val="none"/>
              </w:rPr>
            </w:pPr>
          </w:p>
        </w:tc>
        <w:tc>
          <w:tcPr>
            <w:tcW w:w="1085" w:type="dxa"/>
            <w:tcBorders>
              <w:bottom w:val="single" w:color="auto" w:sz="4" w:space="0"/>
            </w:tcBorders>
            <w:vAlign w:val="center"/>
          </w:tcPr>
          <w:p w14:paraId="4EA683F3">
            <w:pPr>
              <w:jc w:val="center"/>
              <w:rPr>
                <w:rFonts w:hint="eastAsia" w:hAnsi="宋体" w:cs="宋体"/>
                <w:color w:val="auto"/>
                <w:szCs w:val="28"/>
                <w:highlight w:val="none"/>
              </w:rPr>
            </w:pPr>
          </w:p>
        </w:tc>
        <w:tc>
          <w:tcPr>
            <w:tcW w:w="870" w:type="dxa"/>
            <w:tcBorders>
              <w:bottom w:val="single" w:color="auto" w:sz="4" w:space="0"/>
            </w:tcBorders>
            <w:vAlign w:val="center"/>
          </w:tcPr>
          <w:p w14:paraId="6520E3BB">
            <w:pPr>
              <w:jc w:val="center"/>
              <w:rPr>
                <w:rFonts w:hint="eastAsia" w:hAnsi="宋体" w:cs="宋体"/>
                <w:color w:val="auto"/>
                <w:szCs w:val="28"/>
                <w:highlight w:val="none"/>
              </w:rPr>
            </w:pPr>
          </w:p>
        </w:tc>
        <w:tc>
          <w:tcPr>
            <w:tcW w:w="1040" w:type="dxa"/>
            <w:tcBorders>
              <w:bottom w:val="single" w:color="auto" w:sz="4" w:space="0"/>
            </w:tcBorders>
            <w:vAlign w:val="center"/>
          </w:tcPr>
          <w:p w14:paraId="39CD70B3">
            <w:pPr>
              <w:jc w:val="center"/>
              <w:rPr>
                <w:rFonts w:hint="eastAsia" w:hAnsi="宋体" w:cs="宋体"/>
                <w:color w:val="auto"/>
                <w:szCs w:val="28"/>
                <w:highlight w:val="none"/>
              </w:rPr>
            </w:pPr>
          </w:p>
        </w:tc>
      </w:tr>
      <w:tr w14:paraId="4908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7802FA80">
            <w:pPr>
              <w:spacing w:line="360" w:lineRule="auto"/>
              <w:rPr>
                <w:rFonts w:hint="eastAsia" w:hAnsi="宋体" w:cs="宋体"/>
                <w:color w:val="auto"/>
                <w:szCs w:val="28"/>
                <w:highlight w:val="none"/>
              </w:rPr>
            </w:pPr>
          </w:p>
        </w:tc>
        <w:tc>
          <w:tcPr>
            <w:tcW w:w="720" w:type="dxa"/>
            <w:tcBorders>
              <w:bottom w:val="single" w:color="auto" w:sz="4" w:space="0"/>
            </w:tcBorders>
          </w:tcPr>
          <w:p w14:paraId="255103A0">
            <w:pPr>
              <w:spacing w:line="360" w:lineRule="auto"/>
              <w:rPr>
                <w:rFonts w:hint="eastAsia" w:hAnsi="宋体" w:cs="宋体"/>
                <w:color w:val="auto"/>
                <w:szCs w:val="28"/>
                <w:highlight w:val="none"/>
              </w:rPr>
            </w:pPr>
          </w:p>
        </w:tc>
        <w:tc>
          <w:tcPr>
            <w:tcW w:w="720" w:type="dxa"/>
          </w:tcPr>
          <w:p w14:paraId="3004E62B">
            <w:pPr>
              <w:spacing w:line="360" w:lineRule="auto"/>
              <w:rPr>
                <w:rFonts w:hint="eastAsia" w:hAnsi="宋体" w:cs="宋体"/>
                <w:color w:val="auto"/>
                <w:szCs w:val="28"/>
                <w:highlight w:val="none"/>
              </w:rPr>
            </w:pPr>
          </w:p>
        </w:tc>
        <w:tc>
          <w:tcPr>
            <w:tcW w:w="888" w:type="dxa"/>
            <w:vAlign w:val="center"/>
          </w:tcPr>
          <w:p w14:paraId="46FEDFAE">
            <w:pPr>
              <w:jc w:val="center"/>
              <w:rPr>
                <w:rFonts w:hint="eastAsia" w:hAnsi="宋体" w:cs="宋体"/>
                <w:color w:val="auto"/>
                <w:szCs w:val="28"/>
                <w:highlight w:val="none"/>
              </w:rPr>
            </w:pPr>
          </w:p>
        </w:tc>
        <w:tc>
          <w:tcPr>
            <w:tcW w:w="888" w:type="dxa"/>
            <w:vAlign w:val="center"/>
          </w:tcPr>
          <w:p w14:paraId="3AD7EACE">
            <w:pPr>
              <w:jc w:val="center"/>
              <w:rPr>
                <w:rFonts w:hint="eastAsia" w:hAnsi="宋体" w:cs="宋体"/>
                <w:color w:val="auto"/>
                <w:szCs w:val="28"/>
                <w:highlight w:val="none"/>
              </w:rPr>
            </w:pPr>
          </w:p>
        </w:tc>
        <w:tc>
          <w:tcPr>
            <w:tcW w:w="888" w:type="dxa"/>
            <w:tcBorders>
              <w:bottom w:val="single" w:color="auto" w:sz="4" w:space="0"/>
            </w:tcBorders>
            <w:vAlign w:val="center"/>
          </w:tcPr>
          <w:p w14:paraId="0857BD73">
            <w:pPr>
              <w:jc w:val="center"/>
              <w:rPr>
                <w:rFonts w:hint="eastAsia" w:hAnsi="宋体" w:cs="宋体"/>
                <w:color w:val="auto"/>
                <w:szCs w:val="28"/>
                <w:highlight w:val="none"/>
              </w:rPr>
            </w:pPr>
          </w:p>
        </w:tc>
        <w:tc>
          <w:tcPr>
            <w:tcW w:w="888" w:type="dxa"/>
            <w:vAlign w:val="center"/>
          </w:tcPr>
          <w:p w14:paraId="290BABBC">
            <w:pPr>
              <w:jc w:val="center"/>
              <w:rPr>
                <w:rFonts w:hint="eastAsia" w:hAnsi="宋体" w:cs="宋体"/>
                <w:color w:val="auto"/>
                <w:szCs w:val="28"/>
                <w:highlight w:val="none"/>
              </w:rPr>
            </w:pPr>
          </w:p>
        </w:tc>
        <w:tc>
          <w:tcPr>
            <w:tcW w:w="1085" w:type="dxa"/>
            <w:tcBorders>
              <w:bottom w:val="single" w:color="auto" w:sz="4" w:space="0"/>
            </w:tcBorders>
            <w:vAlign w:val="center"/>
          </w:tcPr>
          <w:p w14:paraId="3FC825A9">
            <w:pPr>
              <w:jc w:val="center"/>
              <w:rPr>
                <w:rFonts w:hint="eastAsia" w:hAnsi="宋体" w:cs="宋体"/>
                <w:color w:val="auto"/>
                <w:szCs w:val="28"/>
                <w:highlight w:val="none"/>
              </w:rPr>
            </w:pPr>
          </w:p>
        </w:tc>
        <w:tc>
          <w:tcPr>
            <w:tcW w:w="870" w:type="dxa"/>
            <w:tcBorders>
              <w:bottom w:val="single" w:color="auto" w:sz="4" w:space="0"/>
            </w:tcBorders>
            <w:vAlign w:val="center"/>
          </w:tcPr>
          <w:p w14:paraId="7C59A07A">
            <w:pPr>
              <w:jc w:val="center"/>
              <w:rPr>
                <w:rFonts w:hint="eastAsia" w:hAnsi="宋体" w:cs="宋体"/>
                <w:color w:val="auto"/>
                <w:szCs w:val="28"/>
                <w:highlight w:val="none"/>
              </w:rPr>
            </w:pPr>
          </w:p>
        </w:tc>
        <w:tc>
          <w:tcPr>
            <w:tcW w:w="1040" w:type="dxa"/>
            <w:tcBorders>
              <w:bottom w:val="single" w:color="auto" w:sz="4" w:space="0"/>
            </w:tcBorders>
            <w:vAlign w:val="center"/>
          </w:tcPr>
          <w:p w14:paraId="156E7198">
            <w:pPr>
              <w:jc w:val="center"/>
              <w:rPr>
                <w:rFonts w:hint="eastAsia" w:hAnsi="宋体" w:cs="宋体"/>
                <w:color w:val="auto"/>
                <w:szCs w:val="28"/>
                <w:highlight w:val="none"/>
              </w:rPr>
            </w:pPr>
          </w:p>
        </w:tc>
      </w:tr>
      <w:tr w14:paraId="3577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65F198DA">
            <w:pPr>
              <w:spacing w:line="360" w:lineRule="auto"/>
              <w:rPr>
                <w:rFonts w:hint="eastAsia" w:hAnsi="宋体" w:cs="宋体"/>
                <w:color w:val="auto"/>
                <w:szCs w:val="28"/>
                <w:highlight w:val="none"/>
              </w:rPr>
            </w:pPr>
          </w:p>
        </w:tc>
        <w:tc>
          <w:tcPr>
            <w:tcW w:w="720" w:type="dxa"/>
            <w:tcBorders>
              <w:bottom w:val="single" w:color="auto" w:sz="4" w:space="0"/>
            </w:tcBorders>
          </w:tcPr>
          <w:p w14:paraId="0081DEC2">
            <w:pPr>
              <w:spacing w:line="360" w:lineRule="auto"/>
              <w:rPr>
                <w:rFonts w:hint="eastAsia" w:hAnsi="宋体" w:cs="宋体"/>
                <w:color w:val="auto"/>
                <w:szCs w:val="28"/>
                <w:highlight w:val="none"/>
              </w:rPr>
            </w:pPr>
          </w:p>
        </w:tc>
        <w:tc>
          <w:tcPr>
            <w:tcW w:w="720" w:type="dxa"/>
          </w:tcPr>
          <w:p w14:paraId="114B59BF">
            <w:pPr>
              <w:spacing w:line="360" w:lineRule="auto"/>
              <w:rPr>
                <w:rFonts w:hint="eastAsia" w:hAnsi="宋体" w:cs="宋体"/>
                <w:color w:val="auto"/>
                <w:szCs w:val="28"/>
                <w:highlight w:val="none"/>
              </w:rPr>
            </w:pPr>
          </w:p>
        </w:tc>
        <w:tc>
          <w:tcPr>
            <w:tcW w:w="888" w:type="dxa"/>
            <w:vAlign w:val="center"/>
          </w:tcPr>
          <w:p w14:paraId="12BEC0BE">
            <w:pPr>
              <w:jc w:val="center"/>
              <w:rPr>
                <w:rFonts w:hint="eastAsia" w:hAnsi="宋体" w:cs="宋体"/>
                <w:color w:val="auto"/>
                <w:szCs w:val="28"/>
                <w:highlight w:val="none"/>
              </w:rPr>
            </w:pPr>
          </w:p>
        </w:tc>
        <w:tc>
          <w:tcPr>
            <w:tcW w:w="888" w:type="dxa"/>
            <w:vAlign w:val="center"/>
          </w:tcPr>
          <w:p w14:paraId="3AF4FB86">
            <w:pPr>
              <w:jc w:val="center"/>
              <w:rPr>
                <w:rFonts w:hint="eastAsia" w:hAnsi="宋体" w:cs="宋体"/>
                <w:color w:val="auto"/>
                <w:szCs w:val="28"/>
                <w:highlight w:val="none"/>
              </w:rPr>
            </w:pPr>
          </w:p>
        </w:tc>
        <w:tc>
          <w:tcPr>
            <w:tcW w:w="888" w:type="dxa"/>
            <w:tcBorders>
              <w:bottom w:val="single" w:color="auto" w:sz="4" w:space="0"/>
            </w:tcBorders>
            <w:vAlign w:val="center"/>
          </w:tcPr>
          <w:p w14:paraId="6362123D">
            <w:pPr>
              <w:jc w:val="center"/>
              <w:rPr>
                <w:rFonts w:hint="eastAsia" w:hAnsi="宋体" w:cs="宋体"/>
                <w:color w:val="auto"/>
                <w:szCs w:val="28"/>
                <w:highlight w:val="none"/>
              </w:rPr>
            </w:pPr>
          </w:p>
        </w:tc>
        <w:tc>
          <w:tcPr>
            <w:tcW w:w="888" w:type="dxa"/>
            <w:vAlign w:val="center"/>
          </w:tcPr>
          <w:p w14:paraId="4462AC7D">
            <w:pPr>
              <w:jc w:val="center"/>
              <w:rPr>
                <w:rFonts w:hint="eastAsia" w:hAnsi="宋体" w:cs="宋体"/>
                <w:color w:val="auto"/>
                <w:szCs w:val="28"/>
                <w:highlight w:val="none"/>
              </w:rPr>
            </w:pPr>
          </w:p>
        </w:tc>
        <w:tc>
          <w:tcPr>
            <w:tcW w:w="1085" w:type="dxa"/>
            <w:tcBorders>
              <w:bottom w:val="single" w:color="auto" w:sz="4" w:space="0"/>
            </w:tcBorders>
            <w:vAlign w:val="center"/>
          </w:tcPr>
          <w:p w14:paraId="18801AB1">
            <w:pPr>
              <w:jc w:val="center"/>
              <w:rPr>
                <w:rFonts w:hint="eastAsia" w:hAnsi="宋体" w:cs="宋体"/>
                <w:color w:val="auto"/>
                <w:szCs w:val="28"/>
                <w:highlight w:val="none"/>
              </w:rPr>
            </w:pPr>
          </w:p>
        </w:tc>
        <w:tc>
          <w:tcPr>
            <w:tcW w:w="870" w:type="dxa"/>
            <w:tcBorders>
              <w:bottom w:val="single" w:color="auto" w:sz="4" w:space="0"/>
            </w:tcBorders>
            <w:vAlign w:val="center"/>
          </w:tcPr>
          <w:p w14:paraId="058CC5A1">
            <w:pPr>
              <w:jc w:val="center"/>
              <w:rPr>
                <w:rFonts w:hint="eastAsia" w:hAnsi="宋体" w:cs="宋体"/>
                <w:color w:val="auto"/>
                <w:szCs w:val="28"/>
                <w:highlight w:val="none"/>
              </w:rPr>
            </w:pPr>
          </w:p>
        </w:tc>
        <w:tc>
          <w:tcPr>
            <w:tcW w:w="1040" w:type="dxa"/>
            <w:tcBorders>
              <w:bottom w:val="single" w:color="auto" w:sz="4" w:space="0"/>
            </w:tcBorders>
            <w:vAlign w:val="center"/>
          </w:tcPr>
          <w:p w14:paraId="0486765A">
            <w:pPr>
              <w:jc w:val="center"/>
              <w:rPr>
                <w:rFonts w:hint="eastAsia" w:hAnsi="宋体" w:cs="宋体"/>
                <w:color w:val="auto"/>
                <w:szCs w:val="28"/>
                <w:highlight w:val="none"/>
              </w:rPr>
            </w:pPr>
          </w:p>
        </w:tc>
      </w:tr>
      <w:tr w14:paraId="156C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32FD2471">
            <w:pPr>
              <w:spacing w:line="360" w:lineRule="auto"/>
              <w:rPr>
                <w:rFonts w:hint="eastAsia" w:hAnsi="宋体" w:cs="宋体"/>
                <w:color w:val="auto"/>
                <w:szCs w:val="28"/>
                <w:highlight w:val="none"/>
              </w:rPr>
            </w:pPr>
          </w:p>
        </w:tc>
        <w:tc>
          <w:tcPr>
            <w:tcW w:w="720" w:type="dxa"/>
            <w:tcBorders>
              <w:bottom w:val="single" w:color="auto" w:sz="4" w:space="0"/>
            </w:tcBorders>
          </w:tcPr>
          <w:p w14:paraId="346BDB78">
            <w:pPr>
              <w:spacing w:line="360" w:lineRule="auto"/>
              <w:rPr>
                <w:rFonts w:hint="eastAsia" w:hAnsi="宋体" w:cs="宋体"/>
                <w:color w:val="auto"/>
                <w:szCs w:val="28"/>
                <w:highlight w:val="none"/>
              </w:rPr>
            </w:pPr>
          </w:p>
        </w:tc>
        <w:tc>
          <w:tcPr>
            <w:tcW w:w="720" w:type="dxa"/>
          </w:tcPr>
          <w:p w14:paraId="28CF4AF5">
            <w:pPr>
              <w:spacing w:line="360" w:lineRule="auto"/>
              <w:rPr>
                <w:rFonts w:hint="eastAsia" w:hAnsi="宋体" w:cs="宋体"/>
                <w:color w:val="auto"/>
                <w:szCs w:val="28"/>
                <w:highlight w:val="none"/>
              </w:rPr>
            </w:pPr>
          </w:p>
        </w:tc>
        <w:tc>
          <w:tcPr>
            <w:tcW w:w="888" w:type="dxa"/>
            <w:vAlign w:val="center"/>
          </w:tcPr>
          <w:p w14:paraId="337B73F8">
            <w:pPr>
              <w:jc w:val="center"/>
              <w:rPr>
                <w:rFonts w:hint="eastAsia" w:hAnsi="宋体" w:cs="宋体"/>
                <w:color w:val="auto"/>
                <w:szCs w:val="28"/>
                <w:highlight w:val="none"/>
              </w:rPr>
            </w:pPr>
          </w:p>
        </w:tc>
        <w:tc>
          <w:tcPr>
            <w:tcW w:w="888" w:type="dxa"/>
            <w:vAlign w:val="center"/>
          </w:tcPr>
          <w:p w14:paraId="221CB834">
            <w:pPr>
              <w:jc w:val="center"/>
              <w:rPr>
                <w:rFonts w:hint="eastAsia" w:hAnsi="宋体" w:cs="宋体"/>
                <w:color w:val="auto"/>
                <w:szCs w:val="28"/>
                <w:highlight w:val="none"/>
              </w:rPr>
            </w:pPr>
          </w:p>
        </w:tc>
        <w:tc>
          <w:tcPr>
            <w:tcW w:w="888" w:type="dxa"/>
            <w:tcBorders>
              <w:bottom w:val="single" w:color="auto" w:sz="4" w:space="0"/>
            </w:tcBorders>
            <w:vAlign w:val="center"/>
          </w:tcPr>
          <w:p w14:paraId="42D364D4">
            <w:pPr>
              <w:jc w:val="center"/>
              <w:rPr>
                <w:rFonts w:hint="eastAsia" w:hAnsi="宋体" w:cs="宋体"/>
                <w:color w:val="auto"/>
                <w:szCs w:val="28"/>
                <w:highlight w:val="none"/>
              </w:rPr>
            </w:pPr>
          </w:p>
        </w:tc>
        <w:tc>
          <w:tcPr>
            <w:tcW w:w="888" w:type="dxa"/>
            <w:vAlign w:val="center"/>
          </w:tcPr>
          <w:p w14:paraId="42CFECDC">
            <w:pPr>
              <w:jc w:val="center"/>
              <w:rPr>
                <w:rFonts w:hint="eastAsia" w:hAnsi="宋体" w:cs="宋体"/>
                <w:color w:val="auto"/>
                <w:szCs w:val="28"/>
                <w:highlight w:val="none"/>
              </w:rPr>
            </w:pPr>
          </w:p>
        </w:tc>
        <w:tc>
          <w:tcPr>
            <w:tcW w:w="1085" w:type="dxa"/>
            <w:tcBorders>
              <w:bottom w:val="single" w:color="auto" w:sz="4" w:space="0"/>
            </w:tcBorders>
            <w:vAlign w:val="center"/>
          </w:tcPr>
          <w:p w14:paraId="3DBE9794">
            <w:pPr>
              <w:jc w:val="center"/>
              <w:rPr>
                <w:rFonts w:hint="eastAsia" w:hAnsi="宋体" w:cs="宋体"/>
                <w:color w:val="auto"/>
                <w:szCs w:val="28"/>
                <w:highlight w:val="none"/>
              </w:rPr>
            </w:pPr>
          </w:p>
        </w:tc>
        <w:tc>
          <w:tcPr>
            <w:tcW w:w="870" w:type="dxa"/>
            <w:tcBorders>
              <w:bottom w:val="single" w:color="auto" w:sz="4" w:space="0"/>
            </w:tcBorders>
            <w:vAlign w:val="center"/>
          </w:tcPr>
          <w:p w14:paraId="53C9D292">
            <w:pPr>
              <w:jc w:val="center"/>
              <w:rPr>
                <w:rFonts w:hint="eastAsia" w:hAnsi="宋体" w:cs="宋体"/>
                <w:color w:val="auto"/>
                <w:szCs w:val="28"/>
                <w:highlight w:val="none"/>
              </w:rPr>
            </w:pPr>
          </w:p>
        </w:tc>
        <w:tc>
          <w:tcPr>
            <w:tcW w:w="1040" w:type="dxa"/>
            <w:tcBorders>
              <w:bottom w:val="single" w:color="auto" w:sz="4" w:space="0"/>
            </w:tcBorders>
            <w:vAlign w:val="center"/>
          </w:tcPr>
          <w:p w14:paraId="00A001A9">
            <w:pPr>
              <w:jc w:val="center"/>
              <w:rPr>
                <w:rFonts w:hint="eastAsia" w:hAnsi="宋体" w:cs="宋体"/>
                <w:color w:val="auto"/>
                <w:szCs w:val="28"/>
                <w:highlight w:val="none"/>
              </w:rPr>
            </w:pPr>
          </w:p>
        </w:tc>
      </w:tr>
      <w:tr w14:paraId="32D2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7A1DB53C">
            <w:pPr>
              <w:spacing w:line="360" w:lineRule="auto"/>
              <w:rPr>
                <w:rFonts w:hint="eastAsia" w:hAnsi="宋体" w:cs="宋体"/>
                <w:color w:val="auto"/>
                <w:szCs w:val="28"/>
                <w:highlight w:val="none"/>
              </w:rPr>
            </w:pPr>
          </w:p>
        </w:tc>
        <w:tc>
          <w:tcPr>
            <w:tcW w:w="720" w:type="dxa"/>
            <w:tcBorders>
              <w:bottom w:val="single" w:color="auto" w:sz="4" w:space="0"/>
            </w:tcBorders>
          </w:tcPr>
          <w:p w14:paraId="60BEAEC7">
            <w:pPr>
              <w:spacing w:line="360" w:lineRule="auto"/>
              <w:rPr>
                <w:rFonts w:hint="eastAsia" w:hAnsi="宋体" w:cs="宋体"/>
                <w:color w:val="auto"/>
                <w:szCs w:val="28"/>
                <w:highlight w:val="none"/>
              </w:rPr>
            </w:pPr>
          </w:p>
        </w:tc>
        <w:tc>
          <w:tcPr>
            <w:tcW w:w="720" w:type="dxa"/>
          </w:tcPr>
          <w:p w14:paraId="0E43E0C9">
            <w:pPr>
              <w:spacing w:line="360" w:lineRule="auto"/>
              <w:rPr>
                <w:rFonts w:hint="eastAsia" w:hAnsi="宋体" w:cs="宋体"/>
                <w:color w:val="auto"/>
                <w:szCs w:val="28"/>
                <w:highlight w:val="none"/>
              </w:rPr>
            </w:pPr>
          </w:p>
        </w:tc>
        <w:tc>
          <w:tcPr>
            <w:tcW w:w="888" w:type="dxa"/>
            <w:vAlign w:val="center"/>
          </w:tcPr>
          <w:p w14:paraId="5D13465A">
            <w:pPr>
              <w:jc w:val="center"/>
              <w:rPr>
                <w:rFonts w:hint="eastAsia" w:hAnsi="宋体" w:cs="宋体"/>
                <w:color w:val="auto"/>
                <w:szCs w:val="28"/>
                <w:highlight w:val="none"/>
              </w:rPr>
            </w:pPr>
          </w:p>
        </w:tc>
        <w:tc>
          <w:tcPr>
            <w:tcW w:w="888" w:type="dxa"/>
            <w:vAlign w:val="center"/>
          </w:tcPr>
          <w:p w14:paraId="477EC189">
            <w:pPr>
              <w:jc w:val="center"/>
              <w:rPr>
                <w:rFonts w:hint="eastAsia" w:hAnsi="宋体" w:cs="宋体"/>
                <w:color w:val="auto"/>
                <w:szCs w:val="28"/>
                <w:highlight w:val="none"/>
              </w:rPr>
            </w:pPr>
          </w:p>
        </w:tc>
        <w:tc>
          <w:tcPr>
            <w:tcW w:w="888" w:type="dxa"/>
            <w:tcBorders>
              <w:bottom w:val="single" w:color="auto" w:sz="4" w:space="0"/>
            </w:tcBorders>
            <w:vAlign w:val="center"/>
          </w:tcPr>
          <w:p w14:paraId="64D3929D">
            <w:pPr>
              <w:jc w:val="center"/>
              <w:rPr>
                <w:rFonts w:hint="eastAsia" w:hAnsi="宋体" w:cs="宋体"/>
                <w:color w:val="auto"/>
                <w:szCs w:val="28"/>
                <w:highlight w:val="none"/>
              </w:rPr>
            </w:pPr>
          </w:p>
        </w:tc>
        <w:tc>
          <w:tcPr>
            <w:tcW w:w="888" w:type="dxa"/>
            <w:vAlign w:val="center"/>
          </w:tcPr>
          <w:p w14:paraId="23AC75D1">
            <w:pPr>
              <w:jc w:val="center"/>
              <w:rPr>
                <w:rFonts w:hint="eastAsia" w:hAnsi="宋体" w:cs="宋体"/>
                <w:color w:val="auto"/>
                <w:szCs w:val="28"/>
                <w:highlight w:val="none"/>
              </w:rPr>
            </w:pPr>
          </w:p>
        </w:tc>
        <w:tc>
          <w:tcPr>
            <w:tcW w:w="1085" w:type="dxa"/>
            <w:tcBorders>
              <w:bottom w:val="single" w:color="auto" w:sz="4" w:space="0"/>
            </w:tcBorders>
            <w:vAlign w:val="center"/>
          </w:tcPr>
          <w:p w14:paraId="2A30922B">
            <w:pPr>
              <w:jc w:val="center"/>
              <w:rPr>
                <w:rFonts w:hint="eastAsia" w:hAnsi="宋体" w:cs="宋体"/>
                <w:color w:val="auto"/>
                <w:szCs w:val="28"/>
                <w:highlight w:val="none"/>
              </w:rPr>
            </w:pPr>
          </w:p>
        </w:tc>
        <w:tc>
          <w:tcPr>
            <w:tcW w:w="870" w:type="dxa"/>
            <w:tcBorders>
              <w:bottom w:val="single" w:color="auto" w:sz="4" w:space="0"/>
            </w:tcBorders>
            <w:vAlign w:val="center"/>
          </w:tcPr>
          <w:p w14:paraId="24643ACA">
            <w:pPr>
              <w:jc w:val="center"/>
              <w:rPr>
                <w:rFonts w:hint="eastAsia" w:hAnsi="宋体" w:cs="宋体"/>
                <w:color w:val="auto"/>
                <w:szCs w:val="28"/>
                <w:highlight w:val="none"/>
              </w:rPr>
            </w:pPr>
          </w:p>
        </w:tc>
        <w:tc>
          <w:tcPr>
            <w:tcW w:w="1040" w:type="dxa"/>
            <w:tcBorders>
              <w:bottom w:val="single" w:color="auto" w:sz="4" w:space="0"/>
            </w:tcBorders>
            <w:vAlign w:val="center"/>
          </w:tcPr>
          <w:p w14:paraId="34300F95">
            <w:pPr>
              <w:jc w:val="center"/>
              <w:rPr>
                <w:rFonts w:hint="eastAsia" w:hAnsi="宋体" w:cs="宋体"/>
                <w:color w:val="auto"/>
                <w:szCs w:val="28"/>
                <w:highlight w:val="none"/>
              </w:rPr>
            </w:pPr>
          </w:p>
        </w:tc>
      </w:tr>
      <w:tr w14:paraId="355C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51098EB8">
            <w:pPr>
              <w:spacing w:line="360" w:lineRule="auto"/>
              <w:rPr>
                <w:rFonts w:hint="eastAsia" w:hAnsi="宋体" w:cs="宋体"/>
                <w:color w:val="auto"/>
                <w:szCs w:val="28"/>
                <w:highlight w:val="none"/>
              </w:rPr>
            </w:pPr>
          </w:p>
        </w:tc>
        <w:tc>
          <w:tcPr>
            <w:tcW w:w="720" w:type="dxa"/>
            <w:tcBorders>
              <w:bottom w:val="single" w:color="auto" w:sz="4" w:space="0"/>
            </w:tcBorders>
          </w:tcPr>
          <w:p w14:paraId="76B50EAB">
            <w:pPr>
              <w:spacing w:line="360" w:lineRule="auto"/>
              <w:rPr>
                <w:rFonts w:hint="eastAsia" w:hAnsi="宋体" w:cs="宋体"/>
                <w:color w:val="auto"/>
                <w:szCs w:val="28"/>
                <w:highlight w:val="none"/>
              </w:rPr>
            </w:pPr>
          </w:p>
        </w:tc>
        <w:tc>
          <w:tcPr>
            <w:tcW w:w="720" w:type="dxa"/>
          </w:tcPr>
          <w:p w14:paraId="1B00B08E">
            <w:pPr>
              <w:spacing w:line="360" w:lineRule="auto"/>
              <w:rPr>
                <w:rFonts w:hint="eastAsia" w:hAnsi="宋体" w:cs="宋体"/>
                <w:color w:val="auto"/>
                <w:szCs w:val="28"/>
                <w:highlight w:val="none"/>
              </w:rPr>
            </w:pPr>
          </w:p>
        </w:tc>
        <w:tc>
          <w:tcPr>
            <w:tcW w:w="888" w:type="dxa"/>
            <w:vAlign w:val="center"/>
          </w:tcPr>
          <w:p w14:paraId="048209F0">
            <w:pPr>
              <w:jc w:val="center"/>
              <w:rPr>
                <w:rFonts w:hint="eastAsia" w:hAnsi="宋体" w:cs="宋体"/>
                <w:color w:val="auto"/>
                <w:szCs w:val="28"/>
                <w:highlight w:val="none"/>
              </w:rPr>
            </w:pPr>
          </w:p>
        </w:tc>
        <w:tc>
          <w:tcPr>
            <w:tcW w:w="888" w:type="dxa"/>
            <w:vAlign w:val="center"/>
          </w:tcPr>
          <w:p w14:paraId="0BC3E135">
            <w:pPr>
              <w:jc w:val="center"/>
              <w:rPr>
                <w:rFonts w:hint="eastAsia" w:hAnsi="宋体" w:cs="宋体"/>
                <w:color w:val="auto"/>
                <w:szCs w:val="28"/>
                <w:highlight w:val="none"/>
              </w:rPr>
            </w:pPr>
          </w:p>
        </w:tc>
        <w:tc>
          <w:tcPr>
            <w:tcW w:w="888" w:type="dxa"/>
            <w:tcBorders>
              <w:bottom w:val="single" w:color="auto" w:sz="4" w:space="0"/>
            </w:tcBorders>
            <w:vAlign w:val="center"/>
          </w:tcPr>
          <w:p w14:paraId="74A35763">
            <w:pPr>
              <w:jc w:val="center"/>
              <w:rPr>
                <w:rFonts w:hint="eastAsia" w:hAnsi="宋体" w:cs="宋体"/>
                <w:color w:val="auto"/>
                <w:szCs w:val="28"/>
                <w:highlight w:val="none"/>
              </w:rPr>
            </w:pPr>
          </w:p>
        </w:tc>
        <w:tc>
          <w:tcPr>
            <w:tcW w:w="888" w:type="dxa"/>
            <w:vAlign w:val="center"/>
          </w:tcPr>
          <w:p w14:paraId="395C6674">
            <w:pPr>
              <w:jc w:val="center"/>
              <w:rPr>
                <w:rFonts w:hint="eastAsia" w:hAnsi="宋体" w:cs="宋体"/>
                <w:color w:val="auto"/>
                <w:szCs w:val="28"/>
                <w:highlight w:val="none"/>
              </w:rPr>
            </w:pPr>
          </w:p>
        </w:tc>
        <w:tc>
          <w:tcPr>
            <w:tcW w:w="1085" w:type="dxa"/>
            <w:tcBorders>
              <w:bottom w:val="single" w:color="auto" w:sz="4" w:space="0"/>
            </w:tcBorders>
            <w:vAlign w:val="center"/>
          </w:tcPr>
          <w:p w14:paraId="28D342CA">
            <w:pPr>
              <w:jc w:val="center"/>
              <w:rPr>
                <w:rFonts w:hint="eastAsia" w:hAnsi="宋体" w:cs="宋体"/>
                <w:color w:val="auto"/>
                <w:szCs w:val="28"/>
                <w:highlight w:val="none"/>
              </w:rPr>
            </w:pPr>
          </w:p>
        </w:tc>
        <w:tc>
          <w:tcPr>
            <w:tcW w:w="870" w:type="dxa"/>
            <w:tcBorders>
              <w:bottom w:val="single" w:color="auto" w:sz="4" w:space="0"/>
            </w:tcBorders>
            <w:vAlign w:val="center"/>
          </w:tcPr>
          <w:p w14:paraId="4BB60045">
            <w:pPr>
              <w:jc w:val="center"/>
              <w:rPr>
                <w:rFonts w:hint="eastAsia" w:hAnsi="宋体" w:cs="宋体"/>
                <w:color w:val="auto"/>
                <w:szCs w:val="28"/>
                <w:highlight w:val="none"/>
              </w:rPr>
            </w:pPr>
          </w:p>
        </w:tc>
        <w:tc>
          <w:tcPr>
            <w:tcW w:w="1040" w:type="dxa"/>
            <w:tcBorders>
              <w:bottom w:val="single" w:color="auto" w:sz="4" w:space="0"/>
            </w:tcBorders>
            <w:vAlign w:val="center"/>
          </w:tcPr>
          <w:p w14:paraId="20353C72">
            <w:pPr>
              <w:jc w:val="center"/>
              <w:rPr>
                <w:rFonts w:hint="eastAsia" w:hAnsi="宋体" w:cs="宋体"/>
                <w:color w:val="auto"/>
                <w:szCs w:val="28"/>
                <w:highlight w:val="none"/>
              </w:rPr>
            </w:pPr>
          </w:p>
        </w:tc>
      </w:tr>
      <w:tr w14:paraId="0F37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4026EE31">
            <w:pPr>
              <w:spacing w:line="360" w:lineRule="auto"/>
              <w:rPr>
                <w:rFonts w:hint="eastAsia" w:hAnsi="宋体" w:cs="宋体"/>
                <w:color w:val="auto"/>
                <w:szCs w:val="28"/>
                <w:highlight w:val="none"/>
              </w:rPr>
            </w:pPr>
          </w:p>
        </w:tc>
        <w:tc>
          <w:tcPr>
            <w:tcW w:w="720" w:type="dxa"/>
            <w:tcBorders>
              <w:bottom w:val="single" w:color="auto" w:sz="4" w:space="0"/>
            </w:tcBorders>
          </w:tcPr>
          <w:p w14:paraId="308CAF5C">
            <w:pPr>
              <w:spacing w:line="360" w:lineRule="auto"/>
              <w:rPr>
                <w:rFonts w:hint="eastAsia" w:hAnsi="宋体" w:cs="宋体"/>
                <w:color w:val="auto"/>
                <w:szCs w:val="28"/>
                <w:highlight w:val="none"/>
              </w:rPr>
            </w:pPr>
          </w:p>
        </w:tc>
        <w:tc>
          <w:tcPr>
            <w:tcW w:w="720" w:type="dxa"/>
          </w:tcPr>
          <w:p w14:paraId="203022EF">
            <w:pPr>
              <w:spacing w:line="360" w:lineRule="auto"/>
              <w:rPr>
                <w:rFonts w:hint="eastAsia" w:hAnsi="宋体" w:cs="宋体"/>
                <w:color w:val="auto"/>
                <w:szCs w:val="28"/>
                <w:highlight w:val="none"/>
              </w:rPr>
            </w:pPr>
          </w:p>
        </w:tc>
        <w:tc>
          <w:tcPr>
            <w:tcW w:w="888" w:type="dxa"/>
            <w:vAlign w:val="center"/>
          </w:tcPr>
          <w:p w14:paraId="71B8DB60">
            <w:pPr>
              <w:jc w:val="center"/>
              <w:rPr>
                <w:rFonts w:hint="eastAsia" w:hAnsi="宋体" w:cs="宋体"/>
                <w:color w:val="auto"/>
                <w:szCs w:val="28"/>
                <w:highlight w:val="none"/>
              </w:rPr>
            </w:pPr>
          </w:p>
        </w:tc>
        <w:tc>
          <w:tcPr>
            <w:tcW w:w="888" w:type="dxa"/>
            <w:vAlign w:val="center"/>
          </w:tcPr>
          <w:p w14:paraId="5BC4E6B0">
            <w:pPr>
              <w:jc w:val="center"/>
              <w:rPr>
                <w:rFonts w:hint="eastAsia" w:hAnsi="宋体" w:cs="宋体"/>
                <w:color w:val="auto"/>
                <w:szCs w:val="28"/>
                <w:highlight w:val="none"/>
              </w:rPr>
            </w:pPr>
          </w:p>
        </w:tc>
        <w:tc>
          <w:tcPr>
            <w:tcW w:w="888" w:type="dxa"/>
            <w:tcBorders>
              <w:bottom w:val="single" w:color="auto" w:sz="4" w:space="0"/>
            </w:tcBorders>
            <w:vAlign w:val="center"/>
          </w:tcPr>
          <w:p w14:paraId="2BD2CEAC">
            <w:pPr>
              <w:jc w:val="center"/>
              <w:rPr>
                <w:rFonts w:hint="eastAsia" w:hAnsi="宋体" w:cs="宋体"/>
                <w:color w:val="auto"/>
                <w:szCs w:val="28"/>
                <w:highlight w:val="none"/>
              </w:rPr>
            </w:pPr>
          </w:p>
        </w:tc>
        <w:tc>
          <w:tcPr>
            <w:tcW w:w="888" w:type="dxa"/>
            <w:vAlign w:val="center"/>
          </w:tcPr>
          <w:p w14:paraId="514F6311">
            <w:pPr>
              <w:jc w:val="center"/>
              <w:rPr>
                <w:rFonts w:hint="eastAsia" w:hAnsi="宋体" w:cs="宋体"/>
                <w:color w:val="auto"/>
                <w:szCs w:val="28"/>
                <w:highlight w:val="none"/>
              </w:rPr>
            </w:pPr>
          </w:p>
        </w:tc>
        <w:tc>
          <w:tcPr>
            <w:tcW w:w="1085" w:type="dxa"/>
            <w:tcBorders>
              <w:bottom w:val="single" w:color="auto" w:sz="4" w:space="0"/>
            </w:tcBorders>
            <w:vAlign w:val="center"/>
          </w:tcPr>
          <w:p w14:paraId="6D98610F">
            <w:pPr>
              <w:jc w:val="center"/>
              <w:rPr>
                <w:rFonts w:hint="eastAsia" w:hAnsi="宋体" w:cs="宋体"/>
                <w:color w:val="auto"/>
                <w:szCs w:val="28"/>
                <w:highlight w:val="none"/>
              </w:rPr>
            </w:pPr>
          </w:p>
        </w:tc>
        <w:tc>
          <w:tcPr>
            <w:tcW w:w="870" w:type="dxa"/>
            <w:tcBorders>
              <w:bottom w:val="single" w:color="auto" w:sz="4" w:space="0"/>
            </w:tcBorders>
            <w:vAlign w:val="center"/>
          </w:tcPr>
          <w:p w14:paraId="09D06D25">
            <w:pPr>
              <w:jc w:val="center"/>
              <w:rPr>
                <w:rFonts w:hint="eastAsia" w:hAnsi="宋体" w:cs="宋体"/>
                <w:color w:val="auto"/>
                <w:szCs w:val="28"/>
                <w:highlight w:val="none"/>
              </w:rPr>
            </w:pPr>
          </w:p>
        </w:tc>
        <w:tc>
          <w:tcPr>
            <w:tcW w:w="1040" w:type="dxa"/>
            <w:tcBorders>
              <w:bottom w:val="single" w:color="auto" w:sz="4" w:space="0"/>
            </w:tcBorders>
            <w:vAlign w:val="center"/>
          </w:tcPr>
          <w:p w14:paraId="1BF7DF1D">
            <w:pPr>
              <w:jc w:val="center"/>
              <w:rPr>
                <w:rFonts w:hint="eastAsia" w:hAnsi="宋体" w:cs="宋体"/>
                <w:color w:val="auto"/>
                <w:szCs w:val="28"/>
                <w:highlight w:val="none"/>
              </w:rPr>
            </w:pPr>
          </w:p>
        </w:tc>
      </w:tr>
      <w:tr w14:paraId="313E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4F9248E3">
            <w:pPr>
              <w:spacing w:line="360" w:lineRule="auto"/>
              <w:rPr>
                <w:rFonts w:hint="eastAsia" w:hAnsi="宋体" w:cs="宋体"/>
                <w:color w:val="auto"/>
                <w:szCs w:val="28"/>
                <w:highlight w:val="none"/>
              </w:rPr>
            </w:pPr>
          </w:p>
        </w:tc>
        <w:tc>
          <w:tcPr>
            <w:tcW w:w="720" w:type="dxa"/>
            <w:tcBorders>
              <w:bottom w:val="single" w:color="auto" w:sz="4" w:space="0"/>
            </w:tcBorders>
          </w:tcPr>
          <w:p w14:paraId="3A031EA8">
            <w:pPr>
              <w:spacing w:line="360" w:lineRule="auto"/>
              <w:rPr>
                <w:rFonts w:hint="eastAsia" w:hAnsi="宋体" w:cs="宋体"/>
                <w:color w:val="auto"/>
                <w:szCs w:val="28"/>
                <w:highlight w:val="none"/>
              </w:rPr>
            </w:pPr>
          </w:p>
        </w:tc>
        <w:tc>
          <w:tcPr>
            <w:tcW w:w="720" w:type="dxa"/>
          </w:tcPr>
          <w:p w14:paraId="24BBE5FB">
            <w:pPr>
              <w:spacing w:line="360" w:lineRule="auto"/>
              <w:rPr>
                <w:rFonts w:hint="eastAsia" w:hAnsi="宋体" w:cs="宋体"/>
                <w:color w:val="auto"/>
                <w:szCs w:val="28"/>
                <w:highlight w:val="none"/>
              </w:rPr>
            </w:pPr>
          </w:p>
        </w:tc>
        <w:tc>
          <w:tcPr>
            <w:tcW w:w="888" w:type="dxa"/>
            <w:vAlign w:val="center"/>
          </w:tcPr>
          <w:p w14:paraId="57728495">
            <w:pPr>
              <w:jc w:val="center"/>
              <w:rPr>
                <w:rFonts w:hint="eastAsia" w:hAnsi="宋体" w:cs="宋体"/>
                <w:color w:val="auto"/>
                <w:szCs w:val="28"/>
                <w:highlight w:val="none"/>
              </w:rPr>
            </w:pPr>
          </w:p>
        </w:tc>
        <w:tc>
          <w:tcPr>
            <w:tcW w:w="888" w:type="dxa"/>
            <w:vAlign w:val="center"/>
          </w:tcPr>
          <w:p w14:paraId="5F551D05">
            <w:pPr>
              <w:jc w:val="center"/>
              <w:rPr>
                <w:rFonts w:hint="eastAsia" w:hAnsi="宋体" w:cs="宋体"/>
                <w:color w:val="auto"/>
                <w:szCs w:val="28"/>
                <w:highlight w:val="none"/>
              </w:rPr>
            </w:pPr>
          </w:p>
        </w:tc>
        <w:tc>
          <w:tcPr>
            <w:tcW w:w="888" w:type="dxa"/>
            <w:tcBorders>
              <w:bottom w:val="single" w:color="auto" w:sz="4" w:space="0"/>
            </w:tcBorders>
            <w:vAlign w:val="center"/>
          </w:tcPr>
          <w:p w14:paraId="5F47414D">
            <w:pPr>
              <w:jc w:val="center"/>
              <w:rPr>
                <w:rFonts w:hint="eastAsia" w:hAnsi="宋体" w:cs="宋体"/>
                <w:color w:val="auto"/>
                <w:szCs w:val="28"/>
                <w:highlight w:val="none"/>
              </w:rPr>
            </w:pPr>
          </w:p>
        </w:tc>
        <w:tc>
          <w:tcPr>
            <w:tcW w:w="888" w:type="dxa"/>
            <w:vAlign w:val="center"/>
          </w:tcPr>
          <w:p w14:paraId="4BA103CF">
            <w:pPr>
              <w:jc w:val="center"/>
              <w:rPr>
                <w:rFonts w:hint="eastAsia" w:hAnsi="宋体" w:cs="宋体"/>
                <w:color w:val="auto"/>
                <w:szCs w:val="28"/>
                <w:highlight w:val="none"/>
              </w:rPr>
            </w:pPr>
          </w:p>
        </w:tc>
        <w:tc>
          <w:tcPr>
            <w:tcW w:w="1085" w:type="dxa"/>
            <w:tcBorders>
              <w:bottom w:val="single" w:color="auto" w:sz="4" w:space="0"/>
            </w:tcBorders>
            <w:vAlign w:val="center"/>
          </w:tcPr>
          <w:p w14:paraId="7B1BF80F">
            <w:pPr>
              <w:jc w:val="center"/>
              <w:rPr>
                <w:rFonts w:hint="eastAsia" w:hAnsi="宋体" w:cs="宋体"/>
                <w:color w:val="auto"/>
                <w:szCs w:val="28"/>
                <w:highlight w:val="none"/>
              </w:rPr>
            </w:pPr>
          </w:p>
        </w:tc>
        <w:tc>
          <w:tcPr>
            <w:tcW w:w="870" w:type="dxa"/>
            <w:tcBorders>
              <w:bottom w:val="single" w:color="auto" w:sz="4" w:space="0"/>
            </w:tcBorders>
            <w:vAlign w:val="center"/>
          </w:tcPr>
          <w:p w14:paraId="7B084BCF">
            <w:pPr>
              <w:jc w:val="center"/>
              <w:rPr>
                <w:rFonts w:hint="eastAsia" w:hAnsi="宋体" w:cs="宋体"/>
                <w:color w:val="auto"/>
                <w:szCs w:val="28"/>
                <w:highlight w:val="none"/>
              </w:rPr>
            </w:pPr>
          </w:p>
        </w:tc>
        <w:tc>
          <w:tcPr>
            <w:tcW w:w="1040" w:type="dxa"/>
            <w:tcBorders>
              <w:bottom w:val="single" w:color="auto" w:sz="4" w:space="0"/>
            </w:tcBorders>
            <w:vAlign w:val="center"/>
          </w:tcPr>
          <w:p w14:paraId="085147DA">
            <w:pPr>
              <w:jc w:val="center"/>
              <w:rPr>
                <w:rFonts w:hint="eastAsia" w:hAnsi="宋体" w:cs="宋体"/>
                <w:color w:val="auto"/>
                <w:szCs w:val="28"/>
                <w:highlight w:val="none"/>
              </w:rPr>
            </w:pPr>
          </w:p>
        </w:tc>
      </w:tr>
      <w:tr w14:paraId="3197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39A63396">
            <w:pPr>
              <w:spacing w:line="360" w:lineRule="auto"/>
              <w:rPr>
                <w:rFonts w:hint="eastAsia" w:hAnsi="宋体" w:cs="宋体"/>
                <w:color w:val="auto"/>
                <w:szCs w:val="28"/>
                <w:highlight w:val="none"/>
              </w:rPr>
            </w:pPr>
          </w:p>
        </w:tc>
        <w:tc>
          <w:tcPr>
            <w:tcW w:w="720" w:type="dxa"/>
            <w:tcBorders>
              <w:bottom w:val="single" w:color="auto" w:sz="4" w:space="0"/>
            </w:tcBorders>
          </w:tcPr>
          <w:p w14:paraId="3815DCD5">
            <w:pPr>
              <w:spacing w:line="360" w:lineRule="auto"/>
              <w:rPr>
                <w:rFonts w:hint="eastAsia" w:hAnsi="宋体" w:cs="宋体"/>
                <w:color w:val="auto"/>
                <w:szCs w:val="28"/>
                <w:highlight w:val="none"/>
              </w:rPr>
            </w:pPr>
          </w:p>
        </w:tc>
        <w:tc>
          <w:tcPr>
            <w:tcW w:w="720" w:type="dxa"/>
          </w:tcPr>
          <w:p w14:paraId="39C59AF7">
            <w:pPr>
              <w:spacing w:line="360" w:lineRule="auto"/>
              <w:rPr>
                <w:rFonts w:hint="eastAsia" w:hAnsi="宋体" w:cs="宋体"/>
                <w:color w:val="auto"/>
                <w:szCs w:val="28"/>
                <w:highlight w:val="none"/>
              </w:rPr>
            </w:pPr>
          </w:p>
        </w:tc>
        <w:tc>
          <w:tcPr>
            <w:tcW w:w="888" w:type="dxa"/>
            <w:vAlign w:val="center"/>
          </w:tcPr>
          <w:p w14:paraId="6CD6C96C">
            <w:pPr>
              <w:jc w:val="center"/>
              <w:rPr>
                <w:rFonts w:hint="eastAsia" w:hAnsi="宋体" w:cs="宋体"/>
                <w:color w:val="auto"/>
                <w:szCs w:val="28"/>
                <w:highlight w:val="none"/>
              </w:rPr>
            </w:pPr>
          </w:p>
        </w:tc>
        <w:tc>
          <w:tcPr>
            <w:tcW w:w="888" w:type="dxa"/>
            <w:vAlign w:val="center"/>
          </w:tcPr>
          <w:p w14:paraId="06FA3052">
            <w:pPr>
              <w:jc w:val="center"/>
              <w:rPr>
                <w:rFonts w:hint="eastAsia" w:hAnsi="宋体" w:cs="宋体"/>
                <w:color w:val="auto"/>
                <w:szCs w:val="28"/>
                <w:highlight w:val="none"/>
              </w:rPr>
            </w:pPr>
          </w:p>
        </w:tc>
        <w:tc>
          <w:tcPr>
            <w:tcW w:w="888" w:type="dxa"/>
            <w:tcBorders>
              <w:bottom w:val="single" w:color="auto" w:sz="4" w:space="0"/>
            </w:tcBorders>
            <w:vAlign w:val="center"/>
          </w:tcPr>
          <w:p w14:paraId="471C6579">
            <w:pPr>
              <w:jc w:val="center"/>
              <w:rPr>
                <w:rFonts w:hint="eastAsia" w:hAnsi="宋体" w:cs="宋体"/>
                <w:color w:val="auto"/>
                <w:szCs w:val="28"/>
                <w:highlight w:val="none"/>
              </w:rPr>
            </w:pPr>
          </w:p>
        </w:tc>
        <w:tc>
          <w:tcPr>
            <w:tcW w:w="888" w:type="dxa"/>
            <w:vAlign w:val="center"/>
          </w:tcPr>
          <w:p w14:paraId="276DA8D4">
            <w:pPr>
              <w:jc w:val="center"/>
              <w:rPr>
                <w:rFonts w:hint="eastAsia" w:hAnsi="宋体" w:cs="宋体"/>
                <w:color w:val="auto"/>
                <w:szCs w:val="28"/>
                <w:highlight w:val="none"/>
              </w:rPr>
            </w:pPr>
          </w:p>
        </w:tc>
        <w:tc>
          <w:tcPr>
            <w:tcW w:w="1085" w:type="dxa"/>
            <w:tcBorders>
              <w:bottom w:val="single" w:color="auto" w:sz="4" w:space="0"/>
            </w:tcBorders>
            <w:vAlign w:val="center"/>
          </w:tcPr>
          <w:p w14:paraId="34F286A3">
            <w:pPr>
              <w:jc w:val="center"/>
              <w:rPr>
                <w:rFonts w:hint="eastAsia" w:hAnsi="宋体" w:cs="宋体"/>
                <w:color w:val="auto"/>
                <w:szCs w:val="28"/>
                <w:highlight w:val="none"/>
              </w:rPr>
            </w:pPr>
          </w:p>
        </w:tc>
        <w:tc>
          <w:tcPr>
            <w:tcW w:w="870" w:type="dxa"/>
            <w:tcBorders>
              <w:bottom w:val="single" w:color="auto" w:sz="4" w:space="0"/>
            </w:tcBorders>
            <w:vAlign w:val="center"/>
          </w:tcPr>
          <w:p w14:paraId="5723E8D7">
            <w:pPr>
              <w:jc w:val="center"/>
              <w:rPr>
                <w:rFonts w:hint="eastAsia" w:hAnsi="宋体" w:cs="宋体"/>
                <w:color w:val="auto"/>
                <w:szCs w:val="28"/>
                <w:highlight w:val="none"/>
              </w:rPr>
            </w:pPr>
          </w:p>
        </w:tc>
        <w:tc>
          <w:tcPr>
            <w:tcW w:w="1040" w:type="dxa"/>
            <w:tcBorders>
              <w:bottom w:val="single" w:color="auto" w:sz="4" w:space="0"/>
            </w:tcBorders>
            <w:vAlign w:val="center"/>
          </w:tcPr>
          <w:p w14:paraId="17A860D7">
            <w:pPr>
              <w:jc w:val="center"/>
              <w:rPr>
                <w:rFonts w:hint="eastAsia" w:hAnsi="宋体" w:cs="宋体"/>
                <w:color w:val="auto"/>
                <w:szCs w:val="28"/>
                <w:highlight w:val="none"/>
              </w:rPr>
            </w:pPr>
          </w:p>
        </w:tc>
      </w:tr>
      <w:tr w14:paraId="6CA6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2A46E3D3">
            <w:pPr>
              <w:spacing w:line="360" w:lineRule="auto"/>
              <w:rPr>
                <w:rFonts w:hint="eastAsia" w:hAnsi="宋体" w:cs="宋体"/>
                <w:color w:val="auto"/>
                <w:szCs w:val="28"/>
                <w:highlight w:val="none"/>
              </w:rPr>
            </w:pPr>
          </w:p>
        </w:tc>
        <w:tc>
          <w:tcPr>
            <w:tcW w:w="720" w:type="dxa"/>
            <w:tcBorders>
              <w:bottom w:val="single" w:color="auto" w:sz="4" w:space="0"/>
            </w:tcBorders>
          </w:tcPr>
          <w:p w14:paraId="7C9EDFFA">
            <w:pPr>
              <w:spacing w:line="360" w:lineRule="auto"/>
              <w:rPr>
                <w:rFonts w:hint="eastAsia" w:hAnsi="宋体" w:cs="宋体"/>
                <w:color w:val="auto"/>
                <w:szCs w:val="28"/>
                <w:highlight w:val="none"/>
              </w:rPr>
            </w:pPr>
          </w:p>
        </w:tc>
        <w:tc>
          <w:tcPr>
            <w:tcW w:w="720" w:type="dxa"/>
          </w:tcPr>
          <w:p w14:paraId="76038136">
            <w:pPr>
              <w:spacing w:line="360" w:lineRule="auto"/>
              <w:rPr>
                <w:rFonts w:hint="eastAsia" w:hAnsi="宋体" w:cs="宋体"/>
                <w:color w:val="auto"/>
                <w:szCs w:val="28"/>
                <w:highlight w:val="none"/>
              </w:rPr>
            </w:pPr>
          </w:p>
        </w:tc>
        <w:tc>
          <w:tcPr>
            <w:tcW w:w="888" w:type="dxa"/>
            <w:vAlign w:val="center"/>
          </w:tcPr>
          <w:p w14:paraId="7F80FD82">
            <w:pPr>
              <w:jc w:val="center"/>
              <w:rPr>
                <w:rFonts w:hint="eastAsia" w:hAnsi="宋体" w:cs="宋体"/>
                <w:color w:val="auto"/>
                <w:szCs w:val="28"/>
                <w:highlight w:val="none"/>
              </w:rPr>
            </w:pPr>
          </w:p>
        </w:tc>
        <w:tc>
          <w:tcPr>
            <w:tcW w:w="888" w:type="dxa"/>
            <w:vAlign w:val="center"/>
          </w:tcPr>
          <w:p w14:paraId="128A5F0A">
            <w:pPr>
              <w:jc w:val="center"/>
              <w:rPr>
                <w:rFonts w:hint="eastAsia" w:hAnsi="宋体" w:cs="宋体"/>
                <w:color w:val="auto"/>
                <w:szCs w:val="28"/>
                <w:highlight w:val="none"/>
              </w:rPr>
            </w:pPr>
          </w:p>
        </w:tc>
        <w:tc>
          <w:tcPr>
            <w:tcW w:w="888" w:type="dxa"/>
            <w:tcBorders>
              <w:bottom w:val="single" w:color="auto" w:sz="4" w:space="0"/>
            </w:tcBorders>
            <w:vAlign w:val="center"/>
          </w:tcPr>
          <w:p w14:paraId="616CAB04">
            <w:pPr>
              <w:jc w:val="center"/>
              <w:rPr>
                <w:rFonts w:hint="eastAsia" w:hAnsi="宋体" w:cs="宋体"/>
                <w:color w:val="auto"/>
                <w:szCs w:val="28"/>
                <w:highlight w:val="none"/>
              </w:rPr>
            </w:pPr>
          </w:p>
        </w:tc>
        <w:tc>
          <w:tcPr>
            <w:tcW w:w="888" w:type="dxa"/>
            <w:vAlign w:val="center"/>
          </w:tcPr>
          <w:p w14:paraId="20E9B4FC">
            <w:pPr>
              <w:jc w:val="center"/>
              <w:rPr>
                <w:rFonts w:hint="eastAsia" w:hAnsi="宋体" w:cs="宋体"/>
                <w:color w:val="auto"/>
                <w:szCs w:val="28"/>
                <w:highlight w:val="none"/>
              </w:rPr>
            </w:pPr>
          </w:p>
        </w:tc>
        <w:tc>
          <w:tcPr>
            <w:tcW w:w="1085" w:type="dxa"/>
            <w:tcBorders>
              <w:bottom w:val="single" w:color="auto" w:sz="4" w:space="0"/>
            </w:tcBorders>
            <w:vAlign w:val="center"/>
          </w:tcPr>
          <w:p w14:paraId="40D0FD0A">
            <w:pPr>
              <w:jc w:val="center"/>
              <w:rPr>
                <w:rFonts w:hint="eastAsia" w:hAnsi="宋体" w:cs="宋体"/>
                <w:color w:val="auto"/>
                <w:szCs w:val="28"/>
                <w:highlight w:val="none"/>
              </w:rPr>
            </w:pPr>
          </w:p>
        </w:tc>
        <w:tc>
          <w:tcPr>
            <w:tcW w:w="870" w:type="dxa"/>
            <w:tcBorders>
              <w:bottom w:val="single" w:color="auto" w:sz="4" w:space="0"/>
            </w:tcBorders>
            <w:vAlign w:val="center"/>
          </w:tcPr>
          <w:p w14:paraId="2C884C24">
            <w:pPr>
              <w:jc w:val="center"/>
              <w:rPr>
                <w:rFonts w:hint="eastAsia" w:hAnsi="宋体" w:cs="宋体"/>
                <w:color w:val="auto"/>
                <w:szCs w:val="28"/>
                <w:highlight w:val="none"/>
              </w:rPr>
            </w:pPr>
          </w:p>
        </w:tc>
        <w:tc>
          <w:tcPr>
            <w:tcW w:w="1040" w:type="dxa"/>
            <w:tcBorders>
              <w:bottom w:val="single" w:color="auto" w:sz="4" w:space="0"/>
            </w:tcBorders>
            <w:vAlign w:val="center"/>
          </w:tcPr>
          <w:p w14:paraId="03DDBCF3">
            <w:pPr>
              <w:jc w:val="center"/>
              <w:rPr>
                <w:rFonts w:hint="eastAsia" w:hAnsi="宋体" w:cs="宋体"/>
                <w:color w:val="auto"/>
                <w:szCs w:val="28"/>
                <w:highlight w:val="none"/>
              </w:rPr>
            </w:pPr>
          </w:p>
        </w:tc>
      </w:tr>
      <w:tr w14:paraId="02B8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47F47A1F">
            <w:pPr>
              <w:spacing w:line="360" w:lineRule="auto"/>
              <w:rPr>
                <w:rFonts w:hint="eastAsia" w:hAnsi="宋体" w:cs="宋体"/>
                <w:color w:val="auto"/>
                <w:szCs w:val="28"/>
                <w:highlight w:val="none"/>
              </w:rPr>
            </w:pPr>
          </w:p>
        </w:tc>
        <w:tc>
          <w:tcPr>
            <w:tcW w:w="720" w:type="dxa"/>
            <w:tcBorders>
              <w:bottom w:val="single" w:color="auto" w:sz="4" w:space="0"/>
            </w:tcBorders>
          </w:tcPr>
          <w:p w14:paraId="08FDC929">
            <w:pPr>
              <w:spacing w:line="360" w:lineRule="auto"/>
              <w:rPr>
                <w:rFonts w:hint="eastAsia" w:hAnsi="宋体" w:cs="宋体"/>
                <w:color w:val="auto"/>
                <w:szCs w:val="28"/>
                <w:highlight w:val="none"/>
              </w:rPr>
            </w:pPr>
          </w:p>
        </w:tc>
        <w:tc>
          <w:tcPr>
            <w:tcW w:w="720" w:type="dxa"/>
          </w:tcPr>
          <w:p w14:paraId="0B1AF1D4">
            <w:pPr>
              <w:spacing w:line="360" w:lineRule="auto"/>
              <w:rPr>
                <w:rFonts w:hint="eastAsia" w:hAnsi="宋体" w:cs="宋体"/>
                <w:color w:val="auto"/>
                <w:szCs w:val="28"/>
                <w:highlight w:val="none"/>
              </w:rPr>
            </w:pPr>
          </w:p>
        </w:tc>
        <w:tc>
          <w:tcPr>
            <w:tcW w:w="888" w:type="dxa"/>
            <w:vAlign w:val="center"/>
          </w:tcPr>
          <w:p w14:paraId="23BC13E1">
            <w:pPr>
              <w:jc w:val="center"/>
              <w:rPr>
                <w:rFonts w:hint="eastAsia" w:hAnsi="宋体" w:cs="宋体"/>
                <w:color w:val="auto"/>
                <w:szCs w:val="28"/>
                <w:highlight w:val="none"/>
              </w:rPr>
            </w:pPr>
          </w:p>
        </w:tc>
        <w:tc>
          <w:tcPr>
            <w:tcW w:w="888" w:type="dxa"/>
            <w:vAlign w:val="center"/>
          </w:tcPr>
          <w:p w14:paraId="01536B9E">
            <w:pPr>
              <w:jc w:val="center"/>
              <w:rPr>
                <w:rFonts w:hint="eastAsia" w:hAnsi="宋体" w:cs="宋体"/>
                <w:color w:val="auto"/>
                <w:szCs w:val="28"/>
                <w:highlight w:val="none"/>
              </w:rPr>
            </w:pPr>
          </w:p>
        </w:tc>
        <w:tc>
          <w:tcPr>
            <w:tcW w:w="888" w:type="dxa"/>
            <w:tcBorders>
              <w:bottom w:val="single" w:color="auto" w:sz="4" w:space="0"/>
            </w:tcBorders>
            <w:vAlign w:val="center"/>
          </w:tcPr>
          <w:p w14:paraId="78544DCF">
            <w:pPr>
              <w:jc w:val="center"/>
              <w:rPr>
                <w:rFonts w:hint="eastAsia" w:hAnsi="宋体" w:cs="宋体"/>
                <w:color w:val="auto"/>
                <w:szCs w:val="28"/>
                <w:highlight w:val="none"/>
              </w:rPr>
            </w:pPr>
          </w:p>
        </w:tc>
        <w:tc>
          <w:tcPr>
            <w:tcW w:w="888" w:type="dxa"/>
            <w:vAlign w:val="center"/>
          </w:tcPr>
          <w:p w14:paraId="5539EDFE">
            <w:pPr>
              <w:jc w:val="center"/>
              <w:rPr>
                <w:rFonts w:hint="eastAsia" w:hAnsi="宋体" w:cs="宋体"/>
                <w:color w:val="auto"/>
                <w:szCs w:val="28"/>
                <w:highlight w:val="none"/>
              </w:rPr>
            </w:pPr>
          </w:p>
        </w:tc>
        <w:tc>
          <w:tcPr>
            <w:tcW w:w="1085" w:type="dxa"/>
            <w:tcBorders>
              <w:bottom w:val="single" w:color="auto" w:sz="4" w:space="0"/>
            </w:tcBorders>
            <w:vAlign w:val="center"/>
          </w:tcPr>
          <w:p w14:paraId="2A6C0EF4">
            <w:pPr>
              <w:jc w:val="center"/>
              <w:rPr>
                <w:rFonts w:hint="eastAsia" w:hAnsi="宋体" w:cs="宋体"/>
                <w:color w:val="auto"/>
                <w:szCs w:val="28"/>
                <w:highlight w:val="none"/>
              </w:rPr>
            </w:pPr>
          </w:p>
        </w:tc>
        <w:tc>
          <w:tcPr>
            <w:tcW w:w="870" w:type="dxa"/>
            <w:tcBorders>
              <w:bottom w:val="single" w:color="auto" w:sz="4" w:space="0"/>
            </w:tcBorders>
            <w:vAlign w:val="center"/>
          </w:tcPr>
          <w:p w14:paraId="0E866CC7">
            <w:pPr>
              <w:jc w:val="center"/>
              <w:rPr>
                <w:rFonts w:hint="eastAsia" w:hAnsi="宋体" w:cs="宋体"/>
                <w:color w:val="auto"/>
                <w:szCs w:val="28"/>
                <w:highlight w:val="none"/>
              </w:rPr>
            </w:pPr>
          </w:p>
        </w:tc>
        <w:tc>
          <w:tcPr>
            <w:tcW w:w="1040" w:type="dxa"/>
            <w:tcBorders>
              <w:bottom w:val="single" w:color="auto" w:sz="4" w:space="0"/>
            </w:tcBorders>
            <w:vAlign w:val="center"/>
          </w:tcPr>
          <w:p w14:paraId="5607C25E">
            <w:pPr>
              <w:jc w:val="center"/>
              <w:rPr>
                <w:rFonts w:hint="eastAsia" w:hAnsi="宋体" w:cs="宋体"/>
                <w:color w:val="auto"/>
                <w:szCs w:val="28"/>
                <w:highlight w:val="none"/>
              </w:rPr>
            </w:pPr>
          </w:p>
        </w:tc>
      </w:tr>
      <w:tr w14:paraId="7B83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792870AC">
            <w:pPr>
              <w:spacing w:line="360" w:lineRule="auto"/>
              <w:rPr>
                <w:rFonts w:hint="eastAsia" w:hAnsi="宋体" w:cs="宋体"/>
                <w:color w:val="auto"/>
                <w:szCs w:val="28"/>
                <w:highlight w:val="none"/>
              </w:rPr>
            </w:pPr>
          </w:p>
        </w:tc>
        <w:tc>
          <w:tcPr>
            <w:tcW w:w="720" w:type="dxa"/>
            <w:tcBorders>
              <w:bottom w:val="single" w:color="auto" w:sz="4" w:space="0"/>
            </w:tcBorders>
          </w:tcPr>
          <w:p w14:paraId="1F776E13">
            <w:pPr>
              <w:spacing w:line="360" w:lineRule="auto"/>
              <w:rPr>
                <w:rFonts w:hint="eastAsia" w:hAnsi="宋体" w:cs="宋体"/>
                <w:color w:val="auto"/>
                <w:szCs w:val="28"/>
                <w:highlight w:val="none"/>
              </w:rPr>
            </w:pPr>
          </w:p>
        </w:tc>
        <w:tc>
          <w:tcPr>
            <w:tcW w:w="720" w:type="dxa"/>
          </w:tcPr>
          <w:p w14:paraId="43C6958F">
            <w:pPr>
              <w:spacing w:line="360" w:lineRule="auto"/>
              <w:rPr>
                <w:rFonts w:hint="eastAsia" w:hAnsi="宋体" w:cs="宋体"/>
                <w:color w:val="auto"/>
                <w:szCs w:val="28"/>
                <w:highlight w:val="none"/>
              </w:rPr>
            </w:pPr>
          </w:p>
        </w:tc>
        <w:tc>
          <w:tcPr>
            <w:tcW w:w="888" w:type="dxa"/>
            <w:vAlign w:val="center"/>
          </w:tcPr>
          <w:p w14:paraId="346473CE">
            <w:pPr>
              <w:jc w:val="center"/>
              <w:rPr>
                <w:rFonts w:hint="eastAsia" w:hAnsi="宋体" w:cs="宋体"/>
                <w:color w:val="auto"/>
                <w:szCs w:val="28"/>
                <w:highlight w:val="none"/>
              </w:rPr>
            </w:pPr>
          </w:p>
        </w:tc>
        <w:tc>
          <w:tcPr>
            <w:tcW w:w="888" w:type="dxa"/>
            <w:vAlign w:val="center"/>
          </w:tcPr>
          <w:p w14:paraId="0CBB6C0C">
            <w:pPr>
              <w:jc w:val="center"/>
              <w:rPr>
                <w:rFonts w:hint="eastAsia" w:hAnsi="宋体" w:cs="宋体"/>
                <w:color w:val="auto"/>
                <w:szCs w:val="28"/>
                <w:highlight w:val="none"/>
              </w:rPr>
            </w:pPr>
          </w:p>
        </w:tc>
        <w:tc>
          <w:tcPr>
            <w:tcW w:w="888" w:type="dxa"/>
            <w:tcBorders>
              <w:bottom w:val="single" w:color="auto" w:sz="4" w:space="0"/>
            </w:tcBorders>
            <w:vAlign w:val="center"/>
          </w:tcPr>
          <w:p w14:paraId="0D2CC368">
            <w:pPr>
              <w:jc w:val="center"/>
              <w:rPr>
                <w:rFonts w:hint="eastAsia" w:hAnsi="宋体" w:cs="宋体"/>
                <w:color w:val="auto"/>
                <w:szCs w:val="28"/>
                <w:highlight w:val="none"/>
              </w:rPr>
            </w:pPr>
          </w:p>
        </w:tc>
        <w:tc>
          <w:tcPr>
            <w:tcW w:w="888" w:type="dxa"/>
            <w:vAlign w:val="center"/>
          </w:tcPr>
          <w:p w14:paraId="0951255B">
            <w:pPr>
              <w:jc w:val="center"/>
              <w:rPr>
                <w:rFonts w:hint="eastAsia" w:hAnsi="宋体" w:cs="宋体"/>
                <w:color w:val="auto"/>
                <w:szCs w:val="28"/>
                <w:highlight w:val="none"/>
              </w:rPr>
            </w:pPr>
          </w:p>
        </w:tc>
        <w:tc>
          <w:tcPr>
            <w:tcW w:w="1085" w:type="dxa"/>
            <w:tcBorders>
              <w:bottom w:val="single" w:color="auto" w:sz="4" w:space="0"/>
            </w:tcBorders>
            <w:vAlign w:val="center"/>
          </w:tcPr>
          <w:p w14:paraId="0912CCDC">
            <w:pPr>
              <w:jc w:val="center"/>
              <w:rPr>
                <w:rFonts w:hint="eastAsia" w:hAnsi="宋体" w:cs="宋体"/>
                <w:color w:val="auto"/>
                <w:szCs w:val="28"/>
                <w:highlight w:val="none"/>
              </w:rPr>
            </w:pPr>
          </w:p>
        </w:tc>
        <w:tc>
          <w:tcPr>
            <w:tcW w:w="870" w:type="dxa"/>
            <w:tcBorders>
              <w:bottom w:val="single" w:color="auto" w:sz="4" w:space="0"/>
            </w:tcBorders>
            <w:vAlign w:val="center"/>
          </w:tcPr>
          <w:p w14:paraId="3149BB43">
            <w:pPr>
              <w:jc w:val="center"/>
              <w:rPr>
                <w:rFonts w:hint="eastAsia" w:hAnsi="宋体" w:cs="宋体"/>
                <w:color w:val="auto"/>
                <w:szCs w:val="28"/>
                <w:highlight w:val="none"/>
              </w:rPr>
            </w:pPr>
          </w:p>
        </w:tc>
        <w:tc>
          <w:tcPr>
            <w:tcW w:w="1040" w:type="dxa"/>
            <w:tcBorders>
              <w:bottom w:val="single" w:color="auto" w:sz="4" w:space="0"/>
            </w:tcBorders>
            <w:vAlign w:val="center"/>
          </w:tcPr>
          <w:p w14:paraId="74A1BAAD">
            <w:pPr>
              <w:jc w:val="center"/>
              <w:rPr>
                <w:rFonts w:hint="eastAsia" w:hAnsi="宋体" w:cs="宋体"/>
                <w:color w:val="auto"/>
                <w:szCs w:val="28"/>
                <w:highlight w:val="none"/>
              </w:rPr>
            </w:pPr>
          </w:p>
        </w:tc>
      </w:tr>
      <w:tr w14:paraId="7AF3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7B2D0FD1">
            <w:pPr>
              <w:spacing w:line="360" w:lineRule="auto"/>
              <w:rPr>
                <w:rFonts w:hint="eastAsia" w:hAnsi="宋体" w:cs="宋体"/>
                <w:color w:val="auto"/>
                <w:szCs w:val="28"/>
                <w:highlight w:val="none"/>
              </w:rPr>
            </w:pPr>
          </w:p>
        </w:tc>
        <w:tc>
          <w:tcPr>
            <w:tcW w:w="720" w:type="dxa"/>
            <w:tcBorders>
              <w:bottom w:val="single" w:color="auto" w:sz="4" w:space="0"/>
            </w:tcBorders>
          </w:tcPr>
          <w:p w14:paraId="0AC4B925">
            <w:pPr>
              <w:spacing w:line="360" w:lineRule="auto"/>
              <w:rPr>
                <w:rFonts w:hint="eastAsia" w:hAnsi="宋体" w:cs="宋体"/>
                <w:color w:val="auto"/>
                <w:szCs w:val="28"/>
                <w:highlight w:val="none"/>
              </w:rPr>
            </w:pPr>
          </w:p>
        </w:tc>
        <w:tc>
          <w:tcPr>
            <w:tcW w:w="720" w:type="dxa"/>
          </w:tcPr>
          <w:p w14:paraId="37FF696E">
            <w:pPr>
              <w:spacing w:line="360" w:lineRule="auto"/>
              <w:rPr>
                <w:rFonts w:hint="eastAsia" w:hAnsi="宋体" w:cs="宋体"/>
                <w:color w:val="auto"/>
                <w:szCs w:val="28"/>
                <w:highlight w:val="none"/>
              </w:rPr>
            </w:pPr>
          </w:p>
        </w:tc>
        <w:tc>
          <w:tcPr>
            <w:tcW w:w="888" w:type="dxa"/>
            <w:vAlign w:val="center"/>
          </w:tcPr>
          <w:p w14:paraId="5C7C6226">
            <w:pPr>
              <w:jc w:val="center"/>
              <w:rPr>
                <w:rFonts w:hint="eastAsia" w:hAnsi="宋体" w:cs="宋体"/>
                <w:color w:val="auto"/>
                <w:szCs w:val="28"/>
                <w:highlight w:val="none"/>
              </w:rPr>
            </w:pPr>
          </w:p>
        </w:tc>
        <w:tc>
          <w:tcPr>
            <w:tcW w:w="888" w:type="dxa"/>
            <w:vAlign w:val="center"/>
          </w:tcPr>
          <w:p w14:paraId="2ACE26B2">
            <w:pPr>
              <w:jc w:val="center"/>
              <w:rPr>
                <w:rFonts w:hint="eastAsia" w:hAnsi="宋体" w:cs="宋体"/>
                <w:color w:val="auto"/>
                <w:szCs w:val="28"/>
                <w:highlight w:val="none"/>
              </w:rPr>
            </w:pPr>
          </w:p>
        </w:tc>
        <w:tc>
          <w:tcPr>
            <w:tcW w:w="888" w:type="dxa"/>
            <w:tcBorders>
              <w:bottom w:val="single" w:color="auto" w:sz="4" w:space="0"/>
            </w:tcBorders>
            <w:vAlign w:val="center"/>
          </w:tcPr>
          <w:p w14:paraId="41AF3ACE">
            <w:pPr>
              <w:jc w:val="center"/>
              <w:rPr>
                <w:rFonts w:hint="eastAsia" w:hAnsi="宋体" w:cs="宋体"/>
                <w:color w:val="auto"/>
                <w:szCs w:val="28"/>
                <w:highlight w:val="none"/>
              </w:rPr>
            </w:pPr>
          </w:p>
        </w:tc>
        <w:tc>
          <w:tcPr>
            <w:tcW w:w="888" w:type="dxa"/>
            <w:vAlign w:val="center"/>
          </w:tcPr>
          <w:p w14:paraId="7A6FB6E4">
            <w:pPr>
              <w:jc w:val="center"/>
              <w:rPr>
                <w:rFonts w:hint="eastAsia" w:hAnsi="宋体" w:cs="宋体"/>
                <w:color w:val="auto"/>
                <w:szCs w:val="28"/>
                <w:highlight w:val="none"/>
              </w:rPr>
            </w:pPr>
          </w:p>
        </w:tc>
        <w:tc>
          <w:tcPr>
            <w:tcW w:w="1085" w:type="dxa"/>
            <w:tcBorders>
              <w:bottom w:val="single" w:color="auto" w:sz="4" w:space="0"/>
            </w:tcBorders>
            <w:vAlign w:val="center"/>
          </w:tcPr>
          <w:p w14:paraId="2AC842AA">
            <w:pPr>
              <w:jc w:val="center"/>
              <w:rPr>
                <w:rFonts w:hint="eastAsia" w:hAnsi="宋体" w:cs="宋体"/>
                <w:color w:val="auto"/>
                <w:szCs w:val="28"/>
                <w:highlight w:val="none"/>
              </w:rPr>
            </w:pPr>
          </w:p>
        </w:tc>
        <w:tc>
          <w:tcPr>
            <w:tcW w:w="870" w:type="dxa"/>
            <w:tcBorders>
              <w:bottom w:val="single" w:color="auto" w:sz="4" w:space="0"/>
            </w:tcBorders>
            <w:vAlign w:val="center"/>
          </w:tcPr>
          <w:p w14:paraId="5FB234B8">
            <w:pPr>
              <w:jc w:val="center"/>
              <w:rPr>
                <w:rFonts w:hint="eastAsia" w:hAnsi="宋体" w:cs="宋体"/>
                <w:color w:val="auto"/>
                <w:szCs w:val="28"/>
                <w:highlight w:val="none"/>
              </w:rPr>
            </w:pPr>
          </w:p>
        </w:tc>
        <w:tc>
          <w:tcPr>
            <w:tcW w:w="1040" w:type="dxa"/>
            <w:tcBorders>
              <w:bottom w:val="single" w:color="auto" w:sz="4" w:space="0"/>
            </w:tcBorders>
            <w:vAlign w:val="center"/>
          </w:tcPr>
          <w:p w14:paraId="529D6330">
            <w:pPr>
              <w:jc w:val="center"/>
              <w:rPr>
                <w:rFonts w:hint="eastAsia" w:hAnsi="宋体" w:cs="宋体"/>
                <w:color w:val="auto"/>
                <w:szCs w:val="28"/>
                <w:highlight w:val="none"/>
              </w:rPr>
            </w:pPr>
          </w:p>
        </w:tc>
      </w:tr>
      <w:tr w14:paraId="6129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5B6B4445">
            <w:pPr>
              <w:spacing w:line="360" w:lineRule="auto"/>
              <w:rPr>
                <w:rFonts w:hint="eastAsia" w:hAnsi="宋体" w:cs="宋体"/>
                <w:color w:val="auto"/>
                <w:szCs w:val="28"/>
                <w:highlight w:val="none"/>
              </w:rPr>
            </w:pPr>
          </w:p>
        </w:tc>
        <w:tc>
          <w:tcPr>
            <w:tcW w:w="720" w:type="dxa"/>
            <w:tcBorders>
              <w:bottom w:val="single" w:color="auto" w:sz="4" w:space="0"/>
            </w:tcBorders>
          </w:tcPr>
          <w:p w14:paraId="3D26E91A">
            <w:pPr>
              <w:spacing w:line="360" w:lineRule="auto"/>
              <w:rPr>
                <w:rFonts w:hint="eastAsia" w:hAnsi="宋体" w:cs="宋体"/>
                <w:color w:val="auto"/>
                <w:szCs w:val="28"/>
                <w:highlight w:val="none"/>
              </w:rPr>
            </w:pPr>
          </w:p>
        </w:tc>
        <w:tc>
          <w:tcPr>
            <w:tcW w:w="720" w:type="dxa"/>
          </w:tcPr>
          <w:p w14:paraId="18C962B7">
            <w:pPr>
              <w:spacing w:line="360" w:lineRule="auto"/>
              <w:rPr>
                <w:rFonts w:hint="eastAsia" w:hAnsi="宋体" w:cs="宋体"/>
                <w:color w:val="auto"/>
                <w:szCs w:val="28"/>
                <w:highlight w:val="none"/>
              </w:rPr>
            </w:pPr>
          </w:p>
        </w:tc>
        <w:tc>
          <w:tcPr>
            <w:tcW w:w="888" w:type="dxa"/>
            <w:vAlign w:val="center"/>
          </w:tcPr>
          <w:p w14:paraId="00DCB8E9">
            <w:pPr>
              <w:jc w:val="center"/>
              <w:rPr>
                <w:rFonts w:hint="eastAsia" w:hAnsi="宋体" w:cs="宋体"/>
                <w:color w:val="auto"/>
                <w:szCs w:val="28"/>
                <w:highlight w:val="none"/>
              </w:rPr>
            </w:pPr>
          </w:p>
        </w:tc>
        <w:tc>
          <w:tcPr>
            <w:tcW w:w="888" w:type="dxa"/>
            <w:vAlign w:val="center"/>
          </w:tcPr>
          <w:p w14:paraId="2EAE7F7D">
            <w:pPr>
              <w:jc w:val="center"/>
              <w:rPr>
                <w:rFonts w:hint="eastAsia" w:hAnsi="宋体" w:cs="宋体"/>
                <w:color w:val="auto"/>
                <w:szCs w:val="28"/>
                <w:highlight w:val="none"/>
              </w:rPr>
            </w:pPr>
          </w:p>
        </w:tc>
        <w:tc>
          <w:tcPr>
            <w:tcW w:w="888" w:type="dxa"/>
            <w:tcBorders>
              <w:bottom w:val="single" w:color="auto" w:sz="4" w:space="0"/>
            </w:tcBorders>
            <w:vAlign w:val="center"/>
          </w:tcPr>
          <w:p w14:paraId="775DA4C4">
            <w:pPr>
              <w:jc w:val="center"/>
              <w:rPr>
                <w:rFonts w:hint="eastAsia" w:hAnsi="宋体" w:cs="宋体"/>
                <w:color w:val="auto"/>
                <w:szCs w:val="28"/>
                <w:highlight w:val="none"/>
              </w:rPr>
            </w:pPr>
          </w:p>
        </w:tc>
        <w:tc>
          <w:tcPr>
            <w:tcW w:w="888" w:type="dxa"/>
            <w:vAlign w:val="center"/>
          </w:tcPr>
          <w:p w14:paraId="5E86EE0C">
            <w:pPr>
              <w:jc w:val="center"/>
              <w:rPr>
                <w:rFonts w:hint="eastAsia" w:hAnsi="宋体" w:cs="宋体"/>
                <w:color w:val="auto"/>
                <w:szCs w:val="28"/>
                <w:highlight w:val="none"/>
              </w:rPr>
            </w:pPr>
          </w:p>
        </w:tc>
        <w:tc>
          <w:tcPr>
            <w:tcW w:w="1085" w:type="dxa"/>
            <w:tcBorders>
              <w:bottom w:val="single" w:color="auto" w:sz="4" w:space="0"/>
            </w:tcBorders>
            <w:vAlign w:val="center"/>
          </w:tcPr>
          <w:p w14:paraId="796727BC">
            <w:pPr>
              <w:jc w:val="center"/>
              <w:rPr>
                <w:rFonts w:hint="eastAsia" w:hAnsi="宋体" w:cs="宋体"/>
                <w:color w:val="auto"/>
                <w:szCs w:val="28"/>
                <w:highlight w:val="none"/>
              </w:rPr>
            </w:pPr>
          </w:p>
        </w:tc>
        <w:tc>
          <w:tcPr>
            <w:tcW w:w="870" w:type="dxa"/>
            <w:tcBorders>
              <w:bottom w:val="single" w:color="auto" w:sz="4" w:space="0"/>
            </w:tcBorders>
            <w:vAlign w:val="center"/>
          </w:tcPr>
          <w:p w14:paraId="056C4E49">
            <w:pPr>
              <w:jc w:val="center"/>
              <w:rPr>
                <w:rFonts w:hint="eastAsia" w:hAnsi="宋体" w:cs="宋体"/>
                <w:color w:val="auto"/>
                <w:szCs w:val="28"/>
                <w:highlight w:val="none"/>
              </w:rPr>
            </w:pPr>
          </w:p>
        </w:tc>
        <w:tc>
          <w:tcPr>
            <w:tcW w:w="1040" w:type="dxa"/>
            <w:tcBorders>
              <w:bottom w:val="single" w:color="auto" w:sz="4" w:space="0"/>
            </w:tcBorders>
            <w:vAlign w:val="center"/>
          </w:tcPr>
          <w:p w14:paraId="27040B15">
            <w:pPr>
              <w:jc w:val="center"/>
              <w:rPr>
                <w:rFonts w:hint="eastAsia" w:hAnsi="宋体" w:cs="宋体"/>
                <w:color w:val="auto"/>
                <w:szCs w:val="28"/>
                <w:highlight w:val="none"/>
              </w:rPr>
            </w:pPr>
          </w:p>
        </w:tc>
      </w:tr>
      <w:tr w14:paraId="6D47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Pr>
          <w:p w14:paraId="1E7C682A">
            <w:pPr>
              <w:spacing w:line="360" w:lineRule="auto"/>
              <w:rPr>
                <w:rFonts w:hint="eastAsia" w:hAnsi="宋体" w:cs="宋体"/>
                <w:color w:val="auto"/>
                <w:szCs w:val="28"/>
                <w:highlight w:val="none"/>
              </w:rPr>
            </w:pPr>
          </w:p>
        </w:tc>
        <w:tc>
          <w:tcPr>
            <w:tcW w:w="720" w:type="dxa"/>
            <w:tcBorders>
              <w:bottom w:val="single" w:color="auto" w:sz="4" w:space="0"/>
            </w:tcBorders>
          </w:tcPr>
          <w:p w14:paraId="25B4C3D0">
            <w:pPr>
              <w:spacing w:line="360" w:lineRule="auto"/>
              <w:rPr>
                <w:rFonts w:hint="eastAsia" w:hAnsi="宋体" w:cs="宋体"/>
                <w:color w:val="auto"/>
                <w:szCs w:val="28"/>
                <w:highlight w:val="none"/>
              </w:rPr>
            </w:pPr>
          </w:p>
        </w:tc>
        <w:tc>
          <w:tcPr>
            <w:tcW w:w="720" w:type="dxa"/>
          </w:tcPr>
          <w:p w14:paraId="22C8D104">
            <w:pPr>
              <w:spacing w:line="360" w:lineRule="auto"/>
              <w:rPr>
                <w:rFonts w:hint="eastAsia" w:hAnsi="宋体" w:cs="宋体"/>
                <w:color w:val="auto"/>
                <w:szCs w:val="28"/>
                <w:highlight w:val="none"/>
              </w:rPr>
            </w:pPr>
          </w:p>
        </w:tc>
        <w:tc>
          <w:tcPr>
            <w:tcW w:w="888" w:type="dxa"/>
            <w:vAlign w:val="center"/>
          </w:tcPr>
          <w:p w14:paraId="0D0740C0">
            <w:pPr>
              <w:jc w:val="center"/>
              <w:rPr>
                <w:rFonts w:hint="eastAsia" w:hAnsi="宋体" w:cs="宋体"/>
                <w:color w:val="auto"/>
                <w:szCs w:val="28"/>
                <w:highlight w:val="none"/>
              </w:rPr>
            </w:pPr>
          </w:p>
        </w:tc>
        <w:tc>
          <w:tcPr>
            <w:tcW w:w="888" w:type="dxa"/>
            <w:vAlign w:val="center"/>
          </w:tcPr>
          <w:p w14:paraId="6A4BC55D">
            <w:pPr>
              <w:jc w:val="center"/>
              <w:rPr>
                <w:rFonts w:hint="eastAsia" w:hAnsi="宋体" w:cs="宋体"/>
                <w:color w:val="auto"/>
                <w:szCs w:val="28"/>
                <w:highlight w:val="none"/>
              </w:rPr>
            </w:pPr>
          </w:p>
        </w:tc>
        <w:tc>
          <w:tcPr>
            <w:tcW w:w="888" w:type="dxa"/>
            <w:tcBorders>
              <w:bottom w:val="single" w:color="auto" w:sz="4" w:space="0"/>
            </w:tcBorders>
            <w:vAlign w:val="center"/>
          </w:tcPr>
          <w:p w14:paraId="77DF62CA">
            <w:pPr>
              <w:jc w:val="center"/>
              <w:rPr>
                <w:rFonts w:hint="eastAsia" w:hAnsi="宋体" w:cs="宋体"/>
                <w:color w:val="auto"/>
                <w:szCs w:val="28"/>
                <w:highlight w:val="none"/>
              </w:rPr>
            </w:pPr>
          </w:p>
        </w:tc>
        <w:tc>
          <w:tcPr>
            <w:tcW w:w="888" w:type="dxa"/>
            <w:vAlign w:val="center"/>
          </w:tcPr>
          <w:p w14:paraId="4FDDCFB3">
            <w:pPr>
              <w:jc w:val="center"/>
              <w:rPr>
                <w:rFonts w:hint="eastAsia" w:hAnsi="宋体" w:cs="宋体"/>
                <w:color w:val="auto"/>
                <w:szCs w:val="28"/>
                <w:highlight w:val="none"/>
              </w:rPr>
            </w:pPr>
          </w:p>
        </w:tc>
        <w:tc>
          <w:tcPr>
            <w:tcW w:w="1085" w:type="dxa"/>
            <w:tcBorders>
              <w:bottom w:val="single" w:color="auto" w:sz="4" w:space="0"/>
            </w:tcBorders>
            <w:vAlign w:val="center"/>
          </w:tcPr>
          <w:p w14:paraId="0B75EAA9">
            <w:pPr>
              <w:jc w:val="center"/>
              <w:rPr>
                <w:rFonts w:hint="eastAsia" w:hAnsi="宋体" w:cs="宋体"/>
                <w:color w:val="auto"/>
                <w:szCs w:val="28"/>
                <w:highlight w:val="none"/>
              </w:rPr>
            </w:pPr>
          </w:p>
        </w:tc>
        <w:tc>
          <w:tcPr>
            <w:tcW w:w="870" w:type="dxa"/>
            <w:tcBorders>
              <w:bottom w:val="single" w:color="auto" w:sz="4" w:space="0"/>
            </w:tcBorders>
            <w:vAlign w:val="center"/>
          </w:tcPr>
          <w:p w14:paraId="45B806B3">
            <w:pPr>
              <w:jc w:val="center"/>
              <w:rPr>
                <w:rFonts w:hint="eastAsia" w:hAnsi="宋体" w:cs="宋体"/>
                <w:color w:val="auto"/>
                <w:szCs w:val="28"/>
                <w:highlight w:val="none"/>
              </w:rPr>
            </w:pPr>
          </w:p>
        </w:tc>
        <w:tc>
          <w:tcPr>
            <w:tcW w:w="1040" w:type="dxa"/>
            <w:tcBorders>
              <w:bottom w:val="single" w:color="auto" w:sz="4" w:space="0"/>
            </w:tcBorders>
            <w:vAlign w:val="center"/>
          </w:tcPr>
          <w:p w14:paraId="3FE5C86F">
            <w:pPr>
              <w:jc w:val="center"/>
              <w:rPr>
                <w:rFonts w:hint="eastAsia" w:hAnsi="宋体" w:cs="宋体"/>
                <w:color w:val="auto"/>
                <w:szCs w:val="28"/>
                <w:highlight w:val="none"/>
              </w:rPr>
            </w:pPr>
          </w:p>
        </w:tc>
      </w:tr>
      <w:tr w14:paraId="4A4C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8" w:hRule="exact"/>
        </w:trPr>
        <w:tc>
          <w:tcPr>
            <w:tcW w:w="8635" w:type="dxa"/>
            <w:gridSpan w:val="10"/>
          </w:tcPr>
          <w:p w14:paraId="5DDB8A13">
            <w:pPr>
              <w:spacing w:line="360" w:lineRule="auto"/>
              <w:ind w:firstLine="540" w:firstLineChars="225"/>
              <w:rPr>
                <w:rFonts w:hint="eastAsia" w:hAnsi="宋体" w:cs="宋体"/>
                <w:color w:val="auto"/>
                <w:szCs w:val="28"/>
                <w:highlight w:val="none"/>
              </w:rPr>
            </w:pPr>
            <w:r>
              <w:rPr>
                <w:rFonts w:hint="eastAsia" w:hAnsi="宋体" w:cs="宋体"/>
                <w:color w:val="auto"/>
                <w:szCs w:val="28"/>
                <w:highlight w:val="none"/>
              </w:rPr>
              <w:t>本工程一旦我单位中标，将实行项目负责人负责制，并配备上述项目管理班子。上述填报内容真实，若不真实，愿按有关规定接受处理。项目管理班子机构设置、职责分工等情况另附资料说明。</w:t>
            </w:r>
          </w:p>
        </w:tc>
      </w:tr>
    </w:tbl>
    <w:p w14:paraId="023F3B0B">
      <w:pPr>
        <w:widowControl/>
        <w:rPr>
          <w:rFonts w:hint="eastAsia" w:hAnsi="宋体" w:cs="宋体"/>
          <w:b/>
          <w:bCs/>
          <w:color w:val="auto"/>
          <w:sz w:val="36"/>
          <w:szCs w:val="36"/>
          <w:highlight w:val="none"/>
        </w:rPr>
      </w:pPr>
      <w:r>
        <w:rPr>
          <w:rFonts w:hAnsi="宋体" w:cs="宋体"/>
          <w:b/>
          <w:bCs/>
          <w:color w:val="auto"/>
          <w:sz w:val="36"/>
          <w:szCs w:val="36"/>
          <w:highlight w:val="none"/>
        </w:rPr>
        <w:br w:type="page"/>
      </w:r>
    </w:p>
    <w:p w14:paraId="4EC8BB6F">
      <w:pPr>
        <w:spacing w:line="460" w:lineRule="exact"/>
        <w:jc w:val="center"/>
        <w:rPr>
          <w:rFonts w:hint="eastAsia" w:ascii="宋体" w:hAnsi="宋体" w:cs="宋体"/>
          <w:color w:val="auto"/>
          <w:highlight w:val="none"/>
        </w:rPr>
      </w:pPr>
    </w:p>
    <w:p w14:paraId="05CB7223">
      <w:pPr>
        <w:jc w:val="center"/>
        <w:rPr>
          <w:b/>
          <w:bCs/>
          <w:color w:val="auto"/>
          <w:sz w:val="28"/>
          <w:szCs w:val="28"/>
          <w:highlight w:val="none"/>
        </w:rPr>
      </w:pPr>
    </w:p>
    <w:p w14:paraId="68E666E7">
      <w:pPr>
        <w:jc w:val="center"/>
        <w:rPr>
          <w:b/>
          <w:bCs/>
          <w:color w:val="auto"/>
          <w:sz w:val="72"/>
          <w:highlight w:val="none"/>
        </w:rPr>
      </w:pPr>
      <w:r>
        <w:rPr>
          <w:rFonts w:hint="eastAsia"/>
          <w:b/>
          <w:bCs/>
          <w:color w:val="auto"/>
          <w:sz w:val="72"/>
          <w:highlight w:val="none"/>
        </w:rPr>
        <w:t>工程总承包投标文件</w:t>
      </w:r>
    </w:p>
    <w:p w14:paraId="6A06A2FA">
      <w:pPr>
        <w:jc w:val="center"/>
        <w:rPr>
          <w:color w:val="auto"/>
          <w:sz w:val="36"/>
          <w:highlight w:val="none"/>
        </w:rPr>
      </w:pPr>
      <w:r>
        <w:rPr>
          <w:rFonts w:hint="eastAsia"/>
          <w:color w:val="auto"/>
          <w:sz w:val="36"/>
          <w:highlight w:val="none"/>
        </w:rPr>
        <w:t>（封面）</w:t>
      </w:r>
    </w:p>
    <w:p w14:paraId="1BA742B7">
      <w:pPr>
        <w:rPr>
          <w:color w:val="auto"/>
          <w:highlight w:val="none"/>
        </w:rPr>
      </w:pPr>
    </w:p>
    <w:p w14:paraId="7AB71D8D">
      <w:pPr>
        <w:rPr>
          <w:color w:val="auto"/>
          <w:sz w:val="32"/>
          <w:highlight w:val="none"/>
        </w:rPr>
      </w:pPr>
    </w:p>
    <w:p w14:paraId="5DF59777">
      <w:pPr>
        <w:rPr>
          <w:color w:val="auto"/>
          <w:sz w:val="32"/>
          <w:highlight w:val="none"/>
        </w:rPr>
      </w:pPr>
    </w:p>
    <w:p w14:paraId="31C0AA24">
      <w:pPr>
        <w:spacing w:after="490" w:afterLines="150" w:line="480" w:lineRule="auto"/>
        <w:ind w:firstLine="627" w:firstLineChars="196"/>
        <w:rPr>
          <w:rFonts w:hint="eastAsia" w:ascii="宋体" w:hAnsi="宋体"/>
          <w:color w:val="auto"/>
          <w:sz w:val="32"/>
          <w:highlight w:val="none"/>
          <w:u w:val="single"/>
        </w:rPr>
      </w:pPr>
      <w:r>
        <w:rPr>
          <w:rFonts w:hint="eastAsia" w:ascii="宋体" w:hAnsi="宋体"/>
          <w:color w:val="auto"/>
          <w:sz w:val="32"/>
          <w:highlight w:val="none"/>
        </w:rPr>
        <w:t>项目名称：</w:t>
      </w:r>
      <w:r>
        <w:rPr>
          <w:rFonts w:ascii="宋体" w:hAnsi="宋体"/>
          <w:color w:val="auto"/>
          <w:sz w:val="32"/>
          <w:highlight w:val="none"/>
          <w:u w:val="single"/>
        </w:rPr>
        <w:t xml:space="preserve">                                  </w:t>
      </w:r>
    </w:p>
    <w:p w14:paraId="474BEEDC">
      <w:pPr>
        <w:tabs>
          <w:tab w:val="left" w:pos="5529"/>
        </w:tabs>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投标文件内容：</w:t>
      </w:r>
      <w:r>
        <w:rPr>
          <w:rFonts w:ascii="宋体" w:hAnsi="宋体"/>
          <w:color w:val="auto"/>
          <w:sz w:val="32"/>
          <w:highlight w:val="none"/>
          <w:u w:val="single"/>
        </w:rPr>
        <w:t xml:space="preserve">      投标文件商务标格式</w:t>
      </w:r>
      <w:r>
        <w:rPr>
          <w:rFonts w:hint="eastAsia" w:ascii="宋体" w:hAnsi="宋体"/>
          <w:color w:val="auto"/>
          <w:sz w:val="32"/>
          <w:highlight w:val="none"/>
          <w:u w:val="single"/>
        </w:rPr>
        <w:t xml:space="preserve"> </w:t>
      </w:r>
      <w:r>
        <w:rPr>
          <w:rFonts w:ascii="宋体" w:hAnsi="宋体"/>
          <w:color w:val="auto"/>
          <w:sz w:val="32"/>
          <w:highlight w:val="none"/>
          <w:u w:val="single"/>
        </w:rPr>
        <w:t xml:space="preserve">     </w:t>
      </w:r>
    </w:p>
    <w:p w14:paraId="47174836">
      <w:pPr>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投标人：</w:t>
      </w:r>
      <w:r>
        <w:rPr>
          <w:rFonts w:ascii="宋体" w:hAnsi="宋体"/>
          <w:color w:val="auto"/>
          <w:sz w:val="32"/>
          <w:highlight w:val="none"/>
          <w:u w:val="single"/>
        </w:rPr>
        <w:t xml:space="preserve">                         （单位盖章）</w:t>
      </w:r>
    </w:p>
    <w:p w14:paraId="633A14BC">
      <w:pPr>
        <w:spacing w:after="490" w:afterLines="150" w:line="480" w:lineRule="auto"/>
        <w:ind w:firstLine="627" w:firstLineChars="196"/>
        <w:rPr>
          <w:rFonts w:hint="eastAsia" w:ascii="宋体" w:hAnsi="宋体"/>
          <w:color w:val="auto"/>
          <w:sz w:val="32"/>
          <w:highlight w:val="none"/>
        </w:rPr>
      </w:pPr>
      <w:r>
        <w:rPr>
          <w:rFonts w:hint="eastAsia" w:ascii="宋体" w:hAnsi="宋体"/>
          <w:color w:val="auto"/>
          <w:sz w:val="32"/>
          <w:highlight w:val="none"/>
        </w:rPr>
        <w:t>法定代表人或委托代理人：</w:t>
      </w:r>
      <w:r>
        <w:rPr>
          <w:rFonts w:ascii="宋体" w:hAnsi="宋体"/>
          <w:color w:val="auto"/>
          <w:sz w:val="32"/>
          <w:highlight w:val="none"/>
          <w:u w:val="single"/>
        </w:rPr>
        <w:t xml:space="preserve">       （</w:t>
      </w:r>
      <w:r>
        <w:rPr>
          <w:rFonts w:hint="eastAsia"/>
          <w:color w:val="auto"/>
          <w:highlight w:val="none"/>
          <w:u w:val="single"/>
        </w:rPr>
        <w:t>签字或盖章</w:t>
      </w:r>
      <w:r>
        <w:rPr>
          <w:rFonts w:hint="eastAsia" w:ascii="宋体" w:hAnsi="宋体"/>
          <w:color w:val="auto"/>
          <w:sz w:val="32"/>
          <w:highlight w:val="none"/>
          <w:u w:val="single"/>
        </w:rPr>
        <w:t>）</w:t>
      </w:r>
    </w:p>
    <w:p w14:paraId="463A5753">
      <w:pPr>
        <w:spacing w:after="490" w:afterLines="150" w:line="480" w:lineRule="auto"/>
        <w:ind w:firstLine="627" w:firstLineChars="196"/>
        <w:rPr>
          <w:rFonts w:hint="eastAsia" w:ascii="宋体" w:hAnsi="宋体"/>
          <w:color w:val="auto"/>
          <w:sz w:val="32"/>
          <w:highlight w:val="none"/>
        </w:rPr>
      </w:pPr>
    </w:p>
    <w:p w14:paraId="4734DBA0">
      <w:pPr>
        <w:spacing w:after="490" w:afterLines="150" w:line="480" w:lineRule="auto"/>
        <w:ind w:firstLine="627" w:firstLineChars="196"/>
        <w:rPr>
          <w:rFonts w:hint="eastAsia" w:ascii="宋体" w:hAnsi="宋体"/>
          <w:color w:val="auto"/>
          <w:sz w:val="32"/>
          <w:highlight w:val="none"/>
        </w:rPr>
      </w:pPr>
    </w:p>
    <w:p w14:paraId="51DA661C">
      <w:pPr>
        <w:spacing w:after="490" w:afterLines="150" w:line="480" w:lineRule="auto"/>
        <w:ind w:firstLine="627" w:firstLineChars="196"/>
        <w:jc w:val="center"/>
        <w:rPr>
          <w:rFonts w:hint="eastAsia" w:ascii="宋体" w:hAnsi="宋体"/>
          <w:color w:val="auto"/>
          <w:sz w:val="32"/>
          <w:highlight w:val="none"/>
        </w:rPr>
      </w:pPr>
      <w:r>
        <w:rPr>
          <w:rFonts w:hint="eastAsia" w:ascii="宋体" w:hAnsi="宋体"/>
          <w:color w:val="auto"/>
          <w:sz w:val="32"/>
          <w:highlight w:val="none"/>
        </w:rPr>
        <w:t>日期：</w:t>
      </w:r>
      <w:r>
        <w:rPr>
          <w:rFonts w:ascii="宋体" w:hAnsi="宋体"/>
          <w:color w:val="auto"/>
          <w:sz w:val="32"/>
          <w:highlight w:val="none"/>
          <w:u w:val="single"/>
        </w:rPr>
        <w:t xml:space="preserve">     </w:t>
      </w:r>
      <w:r>
        <w:rPr>
          <w:rFonts w:hint="eastAsia" w:ascii="宋体" w:hAnsi="宋体"/>
          <w:color w:val="auto"/>
          <w:sz w:val="32"/>
          <w:highlight w:val="none"/>
        </w:rPr>
        <w:t>年</w:t>
      </w:r>
      <w:r>
        <w:rPr>
          <w:rFonts w:ascii="宋体" w:hAnsi="宋体"/>
          <w:color w:val="auto"/>
          <w:sz w:val="32"/>
          <w:highlight w:val="none"/>
          <w:u w:val="single"/>
        </w:rPr>
        <w:t xml:space="preserve">     </w:t>
      </w:r>
      <w:r>
        <w:rPr>
          <w:rFonts w:hint="eastAsia" w:ascii="宋体" w:hAnsi="宋体"/>
          <w:color w:val="auto"/>
          <w:sz w:val="32"/>
          <w:highlight w:val="none"/>
        </w:rPr>
        <w:t>月</w:t>
      </w:r>
      <w:r>
        <w:rPr>
          <w:rFonts w:ascii="宋体" w:hAnsi="宋体"/>
          <w:color w:val="auto"/>
          <w:sz w:val="32"/>
          <w:highlight w:val="none"/>
          <w:u w:val="single"/>
        </w:rPr>
        <w:t xml:space="preserve">     </w:t>
      </w:r>
      <w:r>
        <w:rPr>
          <w:rFonts w:hint="eastAsia" w:ascii="宋体" w:hAnsi="宋体"/>
          <w:color w:val="auto"/>
          <w:sz w:val="32"/>
          <w:highlight w:val="none"/>
        </w:rPr>
        <w:t>日</w:t>
      </w:r>
    </w:p>
    <w:p w14:paraId="428C29F9">
      <w:pPr>
        <w:widowControl/>
        <w:rPr>
          <w:rFonts w:hint="eastAsia" w:ascii="宋体" w:hAnsi="宋体" w:cs="Courier New"/>
          <w:color w:val="auto"/>
          <w:highlight w:val="none"/>
        </w:rPr>
      </w:pPr>
      <w:r>
        <w:rPr>
          <w:rFonts w:ascii="宋体" w:hAnsi="宋体" w:cs="Courier New"/>
          <w:color w:val="auto"/>
          <w:highlight w:val="none"/>
        </w:rPr>
        <w:br w:type="page"/>
      </w:r>
    </w:p>
    <w:p w14:paraId="1632FB38">
      <w:pPr>
        <w:spacing w:line="360" w:lineRule="auto"/>
        <w:ind w:firstLine="602"/>
        <w:jc w:val="center"/>
        <w:rPr>
          <w:rFonts w:ascii="宋体" w:hAnsi="Courier New"/>
          <w:b/>
          <w:bCs/>
          <w:color w:val="auto"/>
          <w:sz w:val="36"/>
          <w:szCs w:val="36"/>
          <w:highlight w:val="none"/>
        </w:rPr>
      </w:pPr>
    </w:p>
    <w:p w14:paraId="3CDC4AF1">
      <w:pPr>
        <w:spacing w:line="360" w:lineRule="auto"/>
        <w:ind w:firstLine="602"/>
        <w:jc w:val="center"/>
        <w:rPr>
          <w:rFonts w:ascii="宋体" w:hAnsi="Courier New"/>
          <w:b/>
          <w:bCs/>
          <w:color w:val="auto"/>
          <w:sz w:val="36"/>
          <w:szCs w:val="36"/>
          <w:highlight w:val="none"/>
        </w:rPr>
      </w:pPr>
      <w:r>
        <w:rPr>
          <w:rFonts w:hint="eastAsia" w:ascii="宋体" w:hAnsi="Courier New"/>
          <w:b/>
          <w:bCs/>
          <w:color w:val="auto"/>
          <w:sz w:val="36"/>
          <w:szCs w:val="36"/>
          <w:highlight w:val="none"/>
        </w:rPr>
        <w:t>目</w:t>
      </w:r>
      <w:r>
        <w:rPr>
          <w:rFonts w:ascii="宋体" w:hAnsi="Courier New"/>
          <w:b/>
          <w:bCs/>
          <w:color w:val="auto"/>
          <w:sz w:val="36"/>
          <w:szCs w:val="36"/>
          <w:highlight w:val="none"/>
        </w:rPr>
        <w:t xml:space="preserve">    </w:t>
      </w:r>
      <w:r>
        <w:rPr>
          <w:rFonts w:hint="eastAsia" w:ascii="宋体" w:hAnsi="Courier New"/>
          <w:b/>
          <w:bCs/>
          <w:color w:val="auto"/>
          <w:sz w:val="36"/>
          <w:szCs w:val="36"/>
          <w:highlight w:val="none"/>
        </w:rPr>
        <w:t>录</w:t>
      </w:r>
    </w:p>
    <w:p w14:paraId="6A33D0D9">
      <w:pPr>
        <w:spacing w:line="360" w:lineRule="auto"/>
        <w:ind w:firstLine="480" w:firstLineChars="200"/>
        <w:rPr>
          <w:rFonts w:hint="eastAsia" w:ascii="宋体" w:hAnsi="宋体"/>
          <w:color w:val="auto"/>
          <w:highlight w:val="none"/>
        </w:rPr>
      </w:pPr>
      <w:r>
        <w:rPr>
          <w:rFonts w:ascii="宋体" w:hAnsi="宋体"/>
          <w:color w:val="auto"/>
          <w:highlight w:val="none"/>
        </w:rPr>
        <w:t>1.</w:t>
      </w:r>
      <w:r>
        <w:rPr>
          <w:rFonts w:hint="eastAsia" w:ascii="宋体" w:hAnsi="宋体"/>
          <w:color w:val="auto"/>
          <w:highlight w:val="none"/>
        </w:rPr>
        <w:t>法定代表人身份证明书</w:t>
      </w:r>
    </w:p>
    <w:p w14:paraId="60DFF1BE">
      <w:pPr>
        <w:spacing w:line="360" w:lineRule="auto"/>
        <w:ind w:firstLine="480" w:firstLineChars="200"/>
        <w:rPr>
          <w:rFonts w:hint="eastAsia" w:ascii="宋体" w:hAnsi="宋体"/>
          <w:color w:val="auto"/>
          <w:highlight w:val="none"/>
        </w:rPr>
      </w:pPr>
      <w:r>
        <w:rPr>
          <w:rFonts w:ascii="宋体" w:hAnsi="宋体"/>
          <w:color w:val="auto"/>
          <w:highlight w:val="none"/>
        </w:rPr>
        <w:t>2.</w:t>
      </w:r>
      <w:r>
        <w:rPr>
          <w:rFonts w:hint="eastAsia" w:ascii="宋体" w:hAnsi="宋体"/>
          <w:color w:val="auto"/>
          <w:highlight w:val="none"/>
        </w:rPr>
        <w:t>授权委托书</w:t>
      </w:r>
    </w:p>
    <w:p w14:paraId="0A49E8DC">
      <w:pPr>
        <w:spacing w:line="360" w:lineRule="auto"/>
        <w:ind w:firstLine="480" w:firstLineChars="200"/>
        <w:rPr>
          <w:rFonts w:hint="eastAsia" w:ascii="宋体" w:hAnsi="宋体"/>
          <w:color w:val="auto"/>
          <w:highlight w:val="none"/>
        </w:rPr>
      </w:pPr>
      <w:r>
        <w:rPr>
          <w:rFonts w:ascii="宋体" w:hAnsi="宋体"/>
          <w:color w:val="auto"/>
          <w:highlight w:val="none"/>
        </w:rPr>
        <w:t>3.</w:t>
      </w:r>
      <w:r>
        <w:rPr>
          <w:rFonts w:hint="eastAsia" w:ascii="宋体" w:hAnsi="宋体"/>
          <w:color w:val="auto"/>
          <w:highlight w:val="none"/>
        </w:rPr>
        <w:t>投标函</w:t>
      </w:r>
    </w:p>
    <w:p w14:paraId="5076E370">
      <w:pPr>
        <w:spacing w:line="360" w:lineRule="auto"/>
        <w:ind w:firstLine="480" w:firstLineChars="200"/>
        <w:rPr>
          <w:rFonts w:hint="eastAsia" w:ascii="宋体" w:hAnsi="宋体"/>
          <w:color w:val="auto"/>
          <w:highlight w:val="none"/>
        </w:rPr>
      </w:pPr>
      <w:r>
        <w:rPr>
          <w:rFonts w:ascii="宋体" w:hAnsi="宋体" w:eastAsia="等线"/>
          <w:color w:val="auto"/>
          <w:highlight w:val="none"/>
        </w:rPr>
        <w:t>4.</w:t>
      </w:r>
      <w:r>
        <w:rPr>
          <w:rFonts w:hint="eastAsia" w:ascii="宋体" w:hAnsi="宋体"/>
          <w:color w:val="auto"/>
          <w:highlight w:val="none"/>
        </w:rPr>
        <w:t>投标函附录</w:t>
      </w:r>
    </w:p>
    <w:p w14:paraId="7C001D45">
      <w:pPr>
        <w:spacing w:line="360" w:lineRule="auto"/>
        <w:ind w:firstLine="480" w:firstLineChars="200"/>
        <w:rPr>
          <w:rFonts w:hint="eastAsia" w:ascii="宋体" w:hAnsi="宋体"/>
          <w:color w:val="auto"/>
          <w:highlight w:val="none"/>
        </w:rPr>
      </w:pPr>
      <w:r>
        <w:rPr>
          <w:rFonts w:ascii="宋体" w:hAnsi="宋体"/>
          <w:color w:val="auto"/>
          <w:highlight w:val="none"/>
        </w:rPr>
        <w:t>5.</w:t>
      </w:r>
      <w:r>
        <w:rPr>
          <w:rFonts w:hint="eastAsia" w:ascii="宋体" w:hAnsi="宋体"/>
          <w:color w:val="auto"/>
          <w:highlight w:val="none"/>
        </w:rPr>
        <w:t>投标承诺书</w:t>
      </w:r>
    </w:p>
    <w:p w14:paraId="2B6FDB40">
      <w:pPr>
        <w:spacing w:line="360" w:lineRule="auto"/>
        <w:ind w:firstLine="480" w:firstLineChars="200"/>
        <w:rPr>
          <w:rFonts w:hint="eastAsia" w:ascii="宋体" w:hAnsi="宋体"/>
          <w:color w:val="auto"/>
          <w:highlight w:val="none"/>
        </w:rPr>
      </w:pPr>
      <w:r>
        <w:rPr>
          <w:rFonts w:hint="eastAsia" w:ascii="宋体" w:hAnsi="宋体"/>
          <w:color w:val="auto"/>
          <w:highlight w:val="none"/>
        </w:rPr>
        <w:t>6.投标总价封面</w:t>
      </w:r>
    </w:p>
    <w:p w14:paraId="7D3AF166">
      <w:pPr>
        <w:spacing w:line="360" w:lineRule="auto"/>
        <w:ind w:firstLine="480" w:firstLineChars="200"/>
        <w:rPr>
          <w:rFonts w:hint="eastAsia" w:ascii="宋体" w:hAnsi="宋体"/>
          <w:color w:val="auto"/>
          <w:highlight w:val="none"/>
        </w:rPr>
      </w:pPr>
      <w:r>
        <w:rPr>
          <w:rFonts w:hint="eastAsia" w:ascii="宋体" w:hAnsi="宋体"/>
          <w:color w:val="auto"/>
          <w:highlight w:val="none"/>
        </w:rPr>
        <w:t>7</w:t>
      </w:r>
      <w:r>
        <w:rPr>
          <w:rFonts w:ascii="宋体" w:hAnsi="宋体"/>
          <w:color w:val="auto"/>
          <w:highlight w:val="none"/>
        </w:rPr>
        <w:t>.</w:t>
      </w:r>
      <w:r>
        <w:rPr>
          <w:rFonts w:hint="eastAsia" w:ascii="宋体" w:hAnsi="宋体"/>
          <w:color w:val="auto"/>
          <w:highlight w:val="none"/>
        </w:rPr>
        <w:t>工程总承包项目清单及计价表</w:t>
      </w:r>
    </w:p>
    <w:p w14:paraId="594BDD60">
      <w:pPr>
        <w:tabs>
          <w:tab w:val="left" w:pos="284"/>
        </w:tabs>
        <w:spacing w:line="360" w:lineRule="auto"/>
        <w:ind w:firstLine="480" w:firstLineChars="200"/>
        <w:rPr>
          <w:rFonts w:hint="eastAsia" w:ascii="宋体" w:hAnsi="宋体"/>
          <w:color w:val="auto"/>
          <w:sz w:val="28"/>
          <w:szCs w:val="28"/>
          <w:highlight w:val="none"/>
        </w:rPr>
      </w:pPr>
      <w:r>
        <w:rPr>
          <w:rFonts w:hint="eastAsia" w:ascii="宋体" w:hAnsi="宋体"/>
          <w:color w:val="auto"/>
          <w:highlight w:val="none"/>
        </w:rPr>
        <w:t>8.其它资料（本项无表格，需要时由招标人用文字提出</w:t>
      </w:r>
      <w:r>
        <w:rPr>
          <w:rFonts w:hint="eastAsia" w:ascii="宋体" w:hAnsi="宋体"/>
          <w:color w:val="auto"/>
          <w:sz w:val="28"/>
          <w:szCs w:val="28"/>
          <w:highlight w:val="none"/>
        </w:rPr>
        <w:t>）</w:t>
      </w:r>
    </w:p>
    <w:p w14:paraId="4E788783">
      <w:pPr>
        <w:widowControl/>
        <w:spacing w:line="360" w:lineRule="auto"/>
        <w:rPr>
          <w:rFonts w:hint="eastAsia" w:ascii="宋体" w:hAnsi="宋体" w:cs="Courier New"/>
          <w:color w:val="auto"/>
          <w:highlight w:val="none"/>
        </w:rPr>
      </w:pPr>
      <w:r>
        <w:rPr>
          <w:rFonts w:ascii="宋体" w:hAnsi="宋体" w:cs="Courier New"/>
          <w:color w:val="auto"/>
          <w:highlight w:val="none"/>
        </w:rPr>
        <w:br w:type="page"/>
      </w:r>
    </w:p>
    <w:p w14:paraId="00F38C0D">
      <w:pPr>
        <w:jc w:val="center"/>
        <w:rPr>
          <w:b/>
          <w:bCs/>
          <w:color w:val="auto"/>
          <w:sz w:val="36"/>
          <w:highlight w:val="none"/>
        </w:rPr>
      </w:pPr>
    </w:p>
    <w:p w14:paraId="1A5091F0">
      <w:pPr>
        <w:jc w:val="center"/>
        <w:rPr>
          <w:color w:val="auto"/>
          <w:sz w:val="36"/>
          <w:highlight w:val="none"/>
        </w:rPr>
      </w:pPr>
      <w:r>
        <w:rPr>
          <w:rFonts w:hint="eastAsia"/>
          <w:b/>
          <w:bCs/>
          <w:color w:val="auto"/>
          <w:sz w:val="36"/>
          <w:highlight w:val="none"/>
        </w:rPr>
        <w:t>法定代表人身份证明书</w:t>
      </w:r>
    </w:p>
    <w:p w14:paraId="1FFB550B">
      <w:pPr>
        <w:rPr>
          <w:color w:val="auto"/>
          <w:highlight w:val="none"/>
        </w:rPr>
      </w:pPr>
    </w:p>
    <w:p w14:paraId="07FA5676">
      <w:pPr>
        <w:spacing w:line="480" w:lineRule="auto"/>
        <w:rPr>
          <w:color w:val="auto"/>
          <w:highlight w:val="none"/>
          <w:u w:val="single"/>
        </w:rPr>
      </w:pPr>
      <w:r>
        <w:rPr>
          <w:rFonts w:hint="eastAsia"/>
          <w:color w:val="auto"/>
          <w:highlight w:val="none"/>
        </w:rPr>
        <w:t>单位名称：</w:t>
      </w:r>
      <w:r>
        <w:rPr>
          <w:color w:val="auto"/>
          <w:highlight w:val="none"/>
          <w:u w:val="single"/>
        </w:rPr>
        <w:t xml:space="preserve">                                    </w:t>
      </w:r>
    </w:p>
    <w:p w14:paraId="29D3A554">
      <w:pPr>
        <w:spacing w:line="480" w:lineRule="auto"/>
        <w:rPr>
          <w:color w:val="auto"/>
          <w:highlight w:val="none"/>
          <w:u w:val="single"/>
        </w:rPr>
      </w:pPr>
      <w:r>
        <w:rPr>
          <w:rFonts w:hint="eastAsia" w:ascii="宋体" w:hAnsi="宋体"/>
          <w:color w:val="auto"/>
          <w:highlight w:val="none"/>
        </w:rPr>
        <w:t>地</w:t>
      </w:r>
      <w:r>
        <w:rPr>
          <w:rFonts w:ascii="宋体" w:hAnsi="宋体"/>
          <w:color w:val="auto"/>
          <w:highlight w:val="none"/>
        </w:rPr>
        <w:t xml:space="preserve">    </w:t>
      </w:r>
      <w:r>
        <w:rPr>
          <w:rFonts w:hint="eastAsia" w:ascii="宋体" w:hAnsi="宋体"/>
          <w:color w:val="auto"/>
          <w:highlight w:val="none"/>
        </w:rPr>
        <w:t>址</w:t>
      </w:r>
      <w:r>
        <w:rPr>
          <w:rFonts w:hint="eastAsia"/>
          <w:color w:val="auto"/>
          <w:highlight w:val="none"/>
        </w:rPr>
        <w:t>：</w:t>
      </w:r>
      <w:r>
        <w:rPr>
          <w:color w:val="auto"/>
          <w:highlight w:val="none"/>
          <w:u w:val="single"/>
        </w:rPr>
        <w:t xml:space="preserve">                                     </w:t>
      </w:r>
    </w:p>
    <w:p w14:paraId="377A490B">
      <w:pPr>
        <w:spacing w:line="480" w:lineRule="auto"/>
        <w:rPr>
          <w:color w:val="auto"/>
          <w:highlight w:val="none"/>
        </w:rPr>
      </w:pPr>
      <w:r>
        <w:rPr>
          <w:rFonts w:hint="eastAsia"/>
          <w:color w:val="auto"/>
          <w:highlight w:val="none"/>
        </w:rPr>
        <w:t>姓名：</w:t>
      </w:r>
      <w:r>
        <w:rPr>
          <w:color w:val="auto"/>
          <w:highlight w:val="none"/>
          <w:u w:val="single"/>
        </w:rPr>
        <w:t xml:space="preserve">          </w:t>
      </w:r>
      <w:r>
        <w:rPr>
          <w:rFonts w:hint="eastAsia"/>
          <w:color w:val="auto"/>
          <w:highlight w:val="none"/>
        </w:rPr>
        <w:t>性别：</w:t>
      </w:r>
      <w:r>
        <w:rPr>
          <w:color w:val="auto"/>
          <w:highlight w:val="none"/>
          <w:u w:val="single"/>
        </w:rPr>
        <w:t xml:space="preserve">      </w:t>
      </w:r>
      <w:r>
        <w:rPr>
          <w:rFonts w:hint="eastAsia"/>
          <w:color w:val="auto"/>
          <w:highlight w:val="none"/>
        </w:rPr>
        <w:t>年龄：</w:t>
      </w:r>
      <w:r>
        <w:rPr>
          <w:color w:val="auto"/>
          <w:highlight w:val="none"/>
          <w:u w:val="single"/>
        </w:rPr>
        <w:t xml:space="preserve">      </w:t>
      </w:r>
      <w:r>
        <w:rPr>
          <w:rFonts w:hint="eastAsia"/>
          <w:color w:val="auto"/>
          <w:highlight w:val="none"/>
        </w:rPr>
        <w:t>职务：</w:t>
      </w:r>
      <w:r>
        <w:rPr>
          <w:color w:val="auto"/>
          <w:highlight w:val="none"/>
          <w:u w:val="single"/>
        </w:rPr>
        <w:t xml:space="preserve">                         </w:t>
      </w:r>
      <w:r>
        <w:rPr>
          <w:rFonts w:hint="eastAsia"/>
          <w:color w:val="auto"/>
          <w:highlight w:val="none"/>
        </w:rPr>
        <w:t>系</w:t>
      </w:r>
      <w:r>
        <w:rPr>
          <w:color w:val="auto"/>
          <w:highlight w:val="none"/>
          <w:u w:val="single"/>
        </w:rPr>
        <w:t xml:space="preserve">                          </w:t>
      </w:r>
      <w:r>
        <w:rPr>
          <w:rFonts w:hint="eastAsia"/>
          <w:color w:val="auto"/>
          <w:highlight w:val="none"/>
        </w:rPr>
        <w:t>的法定代表人。为</w:t>
      </w:r>
      <w:r>
        <w:rPr>
          <w:rFonts w:hint="eastAsia"/>
          <w:color w:val="auto"/>
          <w:highlight w:val="none"/>
          <w:u w:val="single"/>
        </w:rPr>
        <w:t xml:space="preserve">    （</w:t>
      </w:r>
      <w:r>
        <w:rPr>
          <w:color w:val="auto"/>
          <w:highlight w:val="none"/>
          <w:u w:val="single"/>
        </w:rPr>
        <w:t>项目</w:t>
      </w:r>
      <w:r>
        <w:rPr>
          <w:rFonts w:hint="eastAsia"/>
          <w:color w:val="auto"/>
          <w:highlight w:val="none"/>
          <w:u w:val="single"/>
        </w:rPr>
        <w:t>名称）</w:t>
      </w:r>
      <w:r>
        <w:rPr>
          <w:rFonts w:hint="eastAsia"/>
          <w:color w:val="auto"/>
          <w:highlight w:val="none"/>
        </w:rPr>
        <w:t>签署的投标文件内容均有效，并进行合同谈判、签署合同和处理与之有关的一切事务。</w:t>
      </w:r>
    </w:p>
    <w:p w14:paraId="6950EBB2">
      <w:pPr>
        <w:tabs>
          <w:tab w:val="left" w:pos="482"/>
          <w:tab w:val="left" w:pos="2183"/>
          <w:tab w:val="left" w:pos="3884"/>
          <w:tab w:val="left" w:pos="5585"/>
        </w:tabs>
        <w:spacing w:line="500" w:lineRule="exact"/>
        <w:ind w:firstLine="240" w:firstLineChars="100"/>
        <w:rPr>
          <w:rFonts w:hint="eastAsia" w:ascii="宋体" w:hAnsi="宋体" w:cs="宋体"/>
          <w:color w:val="auto"/>
          <w:highlight w:val="none"/>
        </w:rPr>
      </w:pPr>
    </w:p>
    <w:p w14:paraId="606EF2C4">
      <w:pPr>
        <w:tabs>
          <w:tab w:val="left" w:pos="482"/>
          <w:tab w:val="left" w:pos="2183"/>
          <w:tab w:val="left" w:pos="3884"/>
          <w:tab w:val="left" w:pos="5585"/>
        </w:tabs>
        <w:spacing w:line="500" w:lineRule="exact"/>
        <w:ind w:firstLine="240" w:firstLineChars="100"/>
        <w:rPr>
          <w:rFonts w:hint="eastAsia" w:ascii="宋体" w:hAnsi="宋体" w:cs="宋体"/>
          <w:color w:val="auto"/>
          <w:highlight w:val="none"/>
        </w:rPr>
      </w:pPr>
      <w:r>
        <w:rPr>
          <w:rFonts w:hint="eastAsia" w:ascii="宋体" w:hAnsi="宋体" w:cs="宋体"/>
          <w:color w:val="auto"/>
          <w:highlight w:val="none"/>
        </w:rPr>
        <w:t>附</w:t>
      </w:r>
    </w:p>
    <w:tbl>
      <w:tblPr>
        <w:tblStyle w:val="23"/>
        <w:tblW w:w="0" w:type="auto"/>
        <w:tblInd w:w="1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14:paraId="6B45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6662" w:type="dxa"/>
            <w:vAlign w:val="center"/>
          </w:tcPr>
          <w:p w14:paraId="1B6420A6">
            <w:pPr>
              <w:tabs>
                <w:tab w:val="left" w:leader="middleDot" w:pos="8400"/>
              </w:tabs>
              <w:spacing w:line="360" w:lineRule="auto"/>
              <w:jc w:val="center"/>
              <w:rPr>
                <w:rFonts w:hint="eastAsia" w:ascii="宋体" w:hAnsi="宋体"/>
                <w:color w:val="auto"/>
                <w:highlight w:val="none"/>
              </w:rPr>
            </w:pPr>
            <w:r>
              <w:rPr>
                <w:rFonts w:hint="eastAsia" w:ascii="宋体" w:hAnsi="宋体"/>
                <w:color w:val="auto"/>
                <w:highlight w:val="none"/>
              </w:rPr>
              <w:t>法定代表人身份证正面原件的复制件粘贴处</w:t>
            </w:r>
          </w:p>
        </w:tc>
      </w:tr>
      <w:tr w14:paraId="1709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6662" w:type="dxa"/>
            <w:vAlign w:val="center"/>
          </w:tcPr>
          <w:p w14:paraId="58BAF302">
            <w:pPr>
              <w:tabs>
                <w:tab w:val="left" w:leader="middleDot" w:pos="8400"/>
              </w:tabs>
              <w:spacing w:line="360" w:lineRule="auto"/>
              <w:jc w:val="center"/>
              <w:rPr>
                <w:rFonts w:hint="eastAsia" w:ascii="宋体" w:hAnsi="宋体"/>
                <w:color w:val="auto"/>
                <w:highlight w:val="none"/>
              </w:rPr>
            </w:pPr>
            <w:r>
              <w:rPr>
                <w:rFonts w:hint="eastAsia" w:ascii="宋体" w:hAnsi="宋体"/>
                <w:color w:val="auto"/>
                <w:highlight w:val="none"/>
              </w:rPr>
              <w:t>法定代表人身份证背面原件的复制件粘贴处</w:t>
            </w:r>
          </w:p>
        </w:tc>
      </w:tr>
    </w:tbl>
    <w:p w14:paraId="61F64BBD">
      <w:pPr>
        <w:spacing w:line="480" w:lineRule="auto"/>
        <w:rPr>
          <w:color w:val="auto"/>
          <w:highlight w:val="none"/>
        </w:rPr>
      </w:pPr>
      <w:r>
        <w:rPr>
          <w:rFonts w:hint="eastAsia"/>
          <w:color w:val="auto"/>
          <w:highlight w:val="none"/>
        </w:rPr>
        <w:t>特此证明。</w:t>
      </w:r>
    </w:p>
    <w:p w14:paraId="40C48713">
      <w:pPr>
        <w:spacing w:line="360" w:lineRule="auto"/>
        <w:jc w:val="center"/>
        <w:rPr>
          <w:rFonts w:hint="eastAsia" w:ascii="宋体" w:hAnsi="宋体"/>
          <w:color w:val="auto"/>
          <w:highlight w:val="none"/>
        </w:rPr>
      </w:pPr>
    </w:p>
    <w:p w14:paraId="4E7EAF94">
      <w:pPr>
        <w:spacing w:line="480" w:lineRule="auto"/>
        <w:ind w:firstLine="3240" w:firstLineChars="1350"/>
        <w:rPr>
          <w:color w:val="auto"/>
          <w:highlight w:val="none"/>
          <w:u w:val="single"/>
        </w:rPr>
      </w:pPr>
      <w:r>
        <w:rPr>
          <w:rFonts w:hint="eastAsia"/>
          <w:color w:val="auto"/>
          <w:highlight w:val="none"/>
        </w:rPr>
        <w:t>投标人：</w:t>
      </w:r>
      <w:r>
        <w:rPr>
          <w:color w:val="auto"/>
          <w:highlight w:val="none"/>
          <w:u w:val="single"/>
        </w:rPr>
        <w:t xml:space="preserve">        </w:t>
      </w:r>
      <w:r>
        <w:rPr>
          <w:rFonts w:hint="eastAsia"/>
          <w:color w:val="auto"/>
          <w:highlight w:val="none"/>
          <w:u w:val="single"/>
        </w:rPr>
        <w:t>（单位盖章）</w:t>
      </w:r>
      <w:r>
        <w:rPr>
          <w:color w:val="auto"/>
          <w:highlight w:val="none"/>
          <w:u w:val="single"/>
        </w:rPr>
        <w:t xml:space="preserve">      </w:t>
      </w:r>
    </w:p>
    <w:p w14:paraId="6D22AC23">
      <w:pPr>
        <w:spacing w:line="480" w:lineRule="auto"/>
        <w:ind w:firstLine="3240" w:firstLineChars="1350"/>
        <w:rPr>
          <w:color w:val="auto"/>
          <w:highlight w:val="none"/>
        </w:rPr>
      </w:pP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14:paraId="66329FB7">
      <w:pPr>
        <w:rPr>
          <w:rFonts w:hint="eastAsia" w:ascii="宋体" w:hAnsi="宋体" w:cs="宋体"/>
          <w:color w:val="auto"/>
          <w:szCs w:val="21"/>
          <w:highlight w:val="none"/>
        </w:rPr>
      </w:pPr>
    </w:p>
    <w:p w14:paraId="3F2629FD">
      <w:pPr>
        <w:spacing w:line="480" w:lineRule="auto"/>
        <w:rPr>
          <w:color w:val="auto"/>
          <w:highlight w:val="none"/>
        </w:rPr>
      </w:pPr>
      <w:r>
        <w:rPr>
          <w:rFonts w:hint="eastAsia" w:ascii="宋体" w:hAnsi="宋体"/>
          <w:color w:val="auto"/>
          <w:highlight w:val="none"/>
        </w:rPr>
        <w:t>（注：此证明书格式供参考，各地可根据实际需求更改</w:t>
      </w:r>
      <w:r>
        <w:rPr>
          <w:rFonts w:hint="eastAsia"/>
          <w:color w:val="auto"/>
          <w:sz w:val="28"/>
          <w:szCs w:val="28"/>
          <w:highlight w:val="none"/>
        </w:rPr>
        <w:t>）</w:t>
      </w:r>
    </w:p>
    <w:p w14:paraId="3625A813">
      <w:pPr>
        <w:widowControl/>
        <w:rPr>
          <w:rFonts w:hint="eastAsia" w:ascii="宋体" w:hAnsi="宋体" w:cs="Courier New"/>
          <w:color w:val="auto"/>
          <w:highlight w:val="none"/>
        </w:rPr>
      </w:pPr>
      <w:r>
        <w:rPr>
          <w:rFonts w:ascii="宋体" w:hAnsi="宋体" w:cs="Courier New"/>
          <w:color w:val="auto"/>
          <w:highlight w:val="none"/>
        </w:rPr>
        <w:br w:type="page"/>
      </w:r>
    </w:p>
    <w:p w14:paraId="5DADC096">
      <w:pPr>
        <w:jc w:val="center"/>
        <w:rPr>
          <w:rFonts w:hint="eastAsia" w:ascii="宋体" w:hAnsi="宋体" w:cs="宋体"/>
          <w:b/>
          <w:color w:val="auto"/>
          <w:sz w:val="36"/>
          <w:szCs w:val="36"/>
          <w:highlight w:val="none"/>
        </w:rPr>
      </w:pPr>
    </w:p>
    <w:p w14:paraId="6DC2129B">
      <w:pPr>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授权委托书</w:t>
      </w:r>
    </w:p>
    <w:p w14:paraId="4950B586">
      <w:pPr>
        <w:spacing w:line="480" w:lineRule="auto"/>
        <w:ind w:firstLine="720" w:firstLineChars="300"/>
        <w:rPr>
          <w:color w:val="auto"/>
          <w:sz w:val="28"/>
          <w:szCs w:val="28"/>
          <w:highlight w:val="none"/>
        </w:rPr>
      </w:pPr>
      <w:r>
        <w:rPr>
          <w:rFonts w:hint="eastAsia" w:ascii="宋体" w:hAnsi="宋体" w:cs="宋体"/>
          <w:color w:val="auto"/>
          <w:highlight w:val="none"/>
        </w:rPr>
        <w:t>本授权委托书声明：我</w:t>
      </w:r>
      <w:r>
        <w:rPr>
          <w:rFonts w:ascii="宋体" w:hAnsi="宋体" w:cs="宋体"/>
          <w:color w:val="auto"/>
          <w:highlight w:val="none"/>
          <w:u w:val="single"/>
        </w:rPr>
        <w:t xml:space="preserve">  （姓名） </w:t>
      </w:r>
      <w:r>
        <w:rPr>
          <w:rFonts w:hint="eastAsia" w:ascii="宋体" w:hAnsi="宋体" w:cs="宋体"/>
          <w:color w:val="auto"/>
          <w:highlight w:val="none"/>
        </w:rPr>
        <w:t>系</w:t>
      </w:r>
      <w:r>
        <w:rPr>
          <w:rFonts w:ascii="宋体" w:hAnsi="宋体" w:cs="宋体"/>
          <w:color w:val="auto"/>
          <w:highlight w:val="none"/>
          <w:u w:val="single"/>
        </w:rPr>
        <w:t xml:space="preserve">   （投标单位名称） </w:t>
      </w:r>
      <w:r>
        <w:rPr>
          <w:rFonts w:hint="eastAsia" w:ascii="宋体" w:hAnsi="宋体" w:cs="宋体"/>
          <w:color w:val="auto"/>
          <w:highlight w:val="none"/>
        </w:rPr>
        <w:t>的法定代表人，现授权委托</w:t>
      </w:r>
      <w:r>
        <w:rPr>
          <w:rFonts w:hint="eastAsia"/>
          <w:color w:val="auto"/>
          <w:highlight w:val="none"/>
          <w:u w:val="single"/>
        </w:rPr>
        <w:t xml:space="preserve">（单位名称） </w:t>
      </w:r>
      <w:r>
        <w:rPr>
          <w:rFonts w:hint="eastAsia"/>
          <w:color w:val="auto"/>
          <w:highlight w:val="none"/>
        </w:rPr>
        <w:t>的</w:t>
      </w:r>
      <w:r>
        <w:rPr>
          <w:rFonts w:hint="eastAsia"/>
          <w:color w:val="auto"/>
          <w:highlight w:val="none"/>
          <w:u w:val="single"/>
        </w:rPr>
        <w:t>（姓名）</w:t>
      </w:r>
      <w:r>
        <w:rPr>
          <w:rFonts w:hint="eastAsia" w:ascii="宋体" w:hAnsi="宋体" w:cs="宋体"/>
          <w:color w:val="auto"/>
          <w:highlight w:val="none"/>
        </w:rPr>
        <w:t>在</w:t>
      </w:r>
      <w:r>
        <w:rPr>
          <w:rFonts w:ascii="宋体" w:hAnsi="宋体" w:cs="宋体"/>
          <w:color w:val="auto"/>
          <w:highlight w:val="none"/>
          <w:u w:val="single"/>
        </w:rPr>
        <w:t xml:space="preserve">  </w:t>
      </w:r>
      <w:r>
        <w:rPr>
          <w:rFonts w:hint="eastAsia" w:ascii="宋体" w:hAnsi="宋体" w:cs="宋体"/>
          <w:color w:val="auto"/>
          <w:highlight w:val="none"/>
        </w:rPr>
        <w:t>年</w:t>
      </w:r>
      <w:r>
        <w:rPr>
          <w:rFonts w:ascii="宋体" w:hAnsi="宋体" w:cs="宋体"/>
          <w:color w:val="auto"/>
          <w:highlight w:val="none"/>
          <w:u w:val="single"/>
        </w:rPr>
        <w:t xml:space="preserve">  </w:t>
      </w:r>
      <w:r>
        <w:rPr>
          <w:rFonts w:ascii="宋体" w:hAnsi="宋体" w:cs="宋体"/>
          <w:color w:val="auto"/>
          <w:highlight w:val="none"/>
        </w:rPr>
        <w:t>月</w:t>
      </w:r>
      <w:r>
        <w:rPr>
          <w:rFonts w:ascii="宋体" w:hAnsi="宋体" w:cs="宋体"/>
          <w:color w:val="auto"/>
          <w:highlight w:val="none"/>
          <w:u w:val="single"/>
        </w:rPr>
        <w:t xml:space="preserve">  </w:t>
      </w:r>
      <w:r>
        <w:rPr>
          <w:rFonts w:hint="eastAsia" w:ascii="宋体" w:hAnsi="宋体" w:cs="宋体"/>
          <w:color w:val="auto"/>
          <w:highlight w:val="none"/>
        </w:rPr>
        <w:t>日至</w:t>
      </w:r>
      <w:r>
        <w:rPr>
          <w:rFonts w:ascii="宋体" w:hAnsi="宋体" w:cs="宋体"/>
          <w:color w:val="auto"/>
          <w:highlight w:val="none"/>
          <w:u w:val="single"/>
        </w:rPr>
        <w:t xml:space="preserve">   </w:t>
      </w:r>
      <w:r>
        <w:rPr>
          <w:rFonts w:hint="eastAsia" w:ascii="宋体" w:hAnsi="宋体" w:cs="宋体"/>
          <w:color w:val="auto"/>
          <w:highlight w:val="none"/>
        </w:rPr>
        <w:t>年</w:t>
      </w:r>
      <w:r>
        <w:rPr>
          <w:rFonts w:ascii="宋体" w:hAnsi="宋体" w:cs="宋体"/>
          <w:color w:val="auto"/>
          <w:highlight w:val="none"/>
          <w:u w:val="single"/>
        </w:rPr>
        <w:t xml:space="preserve">  </w:t>
      </w:r>
      <w:r>
        <w:rPr>
          <w:rFonts w:hint="eastAsia" w:ascii="宋体" w:hAnsi="宋体" w:cs="宋体"/>
          <w:color w:val="auto"/>
          <w:highlight w:val="none"/>
        </w:rPr>
        <w:t>月</w:t>
      </w:r>
      <w:r>
        <w:rPr>
          <w:rFonts w:ascii="宋体" w:hAnsi="宋体" w:cs="宋体"/>
          <w:color w:val="auto"/>
          <w:highlight w:val="none"/>
          <w:u w:val="single"/>
        </w:rPr>
        <w:t xml:space="preserve">  </w:t>
      </w:r>
      <w:r>
        <w:rPr>
          <w:rFonts w:hint="eastAsia" w:ascii="宋体" w:hAnsi="宋体" w:cs="宋体"/>
          <w:color w:val="auto"/>
          <w:highlight w:val="none"/>
        </w:rPr>
        <w:t>日（代理时限）为我公司的代理人，以本公司的名义参加</w:t>
      </w:r>
      <w:r>
        <w:rPr>
          <w:rFonts w:ascii="宋体" w:hAnsi="宋体" w:cs="宋体"/>
          <w:color w:val="auto"/>
          <w:highlight w:val="none"/>
          <w:u w:val="single"/>
        </w:rPr>
        <w:t xml:space="preserve"> </w:t>
      </w:r>
      <w:r>
        <w:rPr>
          <w:rFonts w:hint="eastAsia"/>
          <w:color w:val="auto"/>
          <w:highlight w:val="none"/>
          <w:u w:val="single"/>
        </w:rPr>
        <w:t>（</w:t>
      </w:r>
      <w:r>
        <w:rPr>
          <w:color w:val="auto"/>
          <w:highlight w:val="none"/>
          <w:u w:val="single"/>
        </w:rPr>
        <w:t>项目</w:t>
      </w:r>
      <w:r>
        <w:rPr>
          <w:rFonts w:hint="eastAsia"/>
          <w:color w:val="auto"/>
          <w:highlight w:val="none"/>
          <w:u w:val="single"/>
        </w:rPr>
        <w:t>名称）</w:t>
      </w:r>
      <w:r>
        <w:rPr>
          <w:rFonts w:ascii="宋体" w:hAnsi="宋体" w:cs="宋体"/>
          <w:color w:val="auto"/>
          <w:highlight w:val="none"/>
          <w:u w:val="single"/>
        </w:rPr>
        <w:t xml:space="preserve"> </w:t>
      </w:r>
      <w:r>
        <w:rPr>
          <w:rFonts w:hint="eastAsia" w:ascii="宋体" w:hAnsi="宋体" w:cs="宋体"/>
          <w:color w:val="auto"/>
          <w:highlight w:val="none"/>
        </w:rPr>
        <w:t>的投标活动。代理人在代理时间内参加投标、开标、询标过程中所签署的一切文件和处理与之相关的一切事务，本人均予以承认，并承诺诚信投标。</w:t>
      </w:r>
    </w:p>
    <w:p w14:paraId="3850C134">
      <w:pPr>
        <w:spacing w:line="500" w:lineRule="exact"/>
        <w:rPr>
          <w:rFonts w:hint="eastAsia" w:ascii="宋体" w:hAnsi="宋体" w:cs="宋体"/>
          <w:color w:val="auto"/>
          <w:szCs w:val="20"/>
          <w:highlight w:val="none"/>
        </w:rPr>
      </w:pPr>
      <w:r>
        <w:rPr>
          <w:rFonts w:hint="eastAsia" w:ascii="宋体" w:hAnsi="宋体" w:cs="宋体"/>
          <w:color w:val="auto"/>
          <w:szCs w:val="20"/>
          <w:highlight w:val="none"/>
        </w:rPr>
        <w:t>代理人无权转委托。特此委托。</w:t>
      </w:r>
    </w:p>
    <w:p w14:paraId="0D10B479">
      <w:pPr>
        <w:tabs>
          <w:tab w:val="left" w:pos="482"/>
          <w:tab w:val="left" w:pos="2183"/>
          <w:tab w:val="left" w:pos="3884"/>
          <w:tab w:val="left" w:pos="5585"/>
        </w:tabs>
        <w:spacing w:line="500" w:lineRule="exact"/>
        <w:ind w:firstLine="240" w:firstLineChars="100"/>
        <w:rPr>
          <w:rFonts w:hint="eastAsia" w:ascii="宋体" w:hAnsi="宋体" w:cs="宋体"/>
          <w:color w:val="auto"/>
          <w:highlight w:val="none"/>
        </w:rPr>
      </w:pPr>
      <w:r>
        <w:rPr>
          <w:rFonts w:hint="eastAsia" w:ascii="宋体" w:hAnsi="宋体" w:cs="宋体"/>
          <w:color w:val="auto"/>
          <w:highlight w:val="none"/>
        </w:rPr>
        <w:t>附</w:t>
      </w:r>
    </w:p>
    <w:tbl>
      <w:tblPr>
        <w:tblStyle w:val="23"/>
        <w:tblW w:w="0" w:type="auto"/>
        <w:tblInd w:w="1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14:paraId="69D9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5" w:hRule="atLeast"/>
        </w:trPr>
        <w:tc>
          <w:tcPr>
            <w:tcW w:w="6662" w:type="dxa"/>
            <w:vAlign w:val="center"/>
          </w:tcPr>
          <w:p w14:paraId="54E82B7F">
            <w:pPr>
              <w:tabs>
                <w:tab w:val="left" w:leader="middleDot" w:pos="8400"/>
              </w:tabs>
              <w:spacing w:line="360" w:lineRule="auto"/>
              <w:jc w:val="center"/>
              <w:rPr>
                <w:rFonts w:hint="eastAsia" w:ascii="宋体" w:hAnsi="宋体"/>
                <w:color w:val="auto"/>
                <w:highlight w:val="none"/>
              </w:rPr>
            </w:pPr>
            <w:r>
              <w:rPr>
                <w:rFonts w:hint="eastAsia" w:ascii="宋体" w:hAnsi="宋体"/>
                <w:color w:val="auto"/>
                <w:highlight w:val="none"/>
              </w:rPr>
              <w:t>代理人身份证正面原件的复制件粘贴处</w:t>
            </w:r>
          </w:p>
        </w:tc>
      </w:tr>
      <w:tr w14:paraId="109F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trPr>
        <w:tc>
          <w:tcPr>
            <w:tcW w:w="6662" w:type="dxa"/>
            <w:vAlign w:val="center"/>
          </w:tcPr>
          <w:p w14:paraId="5838A85D">
            <w:pPr>
              <w:tabs>
                <w:tab w:val="left" w:leader="middleDot" w:pos="8400"/>
              </w:tabs>
              <w:spacing w:line="360" w:lineRule="auto"/>
              <w:jc w:val="center"/>
              <w:rPr>
                <w:rFonts w:hint="eastAsia" w:ascii="宋体" w:hAnsi="宋体"/>
                <w:color w:val="auto"/>
                <w:highlight w:val="none"/>
              </w:rPr>
            </w:pPr>
            <w:r>
              <w:rPr>
                <w:rFonts w:hint="eastAsia" w:ascii="宋体" w:hAnsi="宋体"/>
                <w:color w:val="auto"/>
                <w:highlight w:val="none"/>
              </w:rPr>
              <w:t>代理人身份证背面原件的复制件粘贴处</w:t>
            </w:r>
          </w:p>
        </w:tc>
      </w:tr>
    </w:tbl>
    <w:p w14:paraId="5D8A60AF">
      <w:pPr>
        <w:tabs>
          <w:tab w:val="left" w:leader="middleDot" w:pos="8400"/>
        </w:tabs>
        <w:spacing w:line="360" w:lineRule="auto"/>
        <w:ind w:firstLine="2760" w:firstLineChars="1150"/>
        <w:rPr>
          <w:rFonts w:hint="eastAsia" w:ascii="宋体" w:hAnsi="宋体"/>
          <w:color w:val="auto"/>
          <w:highlight w:val="none"/>
          <w:u w:val="single"/>
        </w:rPr>
      </w:pPr>
      <w:r>
        <w:rPr>
          <w:rFonts w:hint="eastAsia" w:ascii="宋体" w:hAnsi="宋体"/>
          <w:color w:val="auto"/>
          <w:highlight w:val="none"/>
        </w:rPr>
        <w:t xml:space="preserve">投 </w:t>
      </w:r>
      <w:r>
        <w:rPr>
          <w:rFonts w:ascii="宋体" w:hAnsi="宋体"/>
          <w:color w:val="auto"/>
          <w:highlight w:val="none"/>
        </w:rPr>
        <w:t xml:space="preserve"> </w:t>
      </w:r>
      <w:r>
        <w:rPr>
          <w:rFonts w:hint="eastAsia" w:ascii="宋体" w:hAnsi="宋体"/>
          <w:color w:val="auto"/>
          <w:highlight w:val="none"/>
        </w:rPr>
        <w:t xml:space="preserve">标 </w:t>
      </w:r>
      <w:r>
        <w:rPr>
          <w:rFonts w:ascii="宋体" w:hAnsi="宋体"/>
          <w:color w:val="auto"/>
          <w:highlight w:val="none"/>
        </w:rPr>
        <w:t xml:space="preserve"> </w:t>
      </w:r>
      <w:r>
        <w:rPr>
          <w:rFonts w:hint="eastAsia" w:ascii="宋体" w:hAnsi="宋体"/>
          <w:color w:val="auto"/>
          <w:highlight w:val="none"/>
        </w:rPr>
        <w:t xml:space="preserve">人（单 </w:t>
      </w:r>
      <w:r>
        <w:rPr>
          <w:rFonts w:ascii="宋体" w:hAnsi="宋体"/>
          <w:color w:val="auto"/>
          <w:highlight w:val="none"/>
        </w:rPr>
        <w:t xml:space="preserve"> </w:t>
      </w:r>
      <w:r>
        <w:rPr>
          <w:rFonts w:hint="eastAsia" w:ascii="宋体" w:hAnsi="宋体"/>
          <w:color w:val="auto"/>
          <w:highlight w:val="none"/>
        </w:rPr>
        <w:t>位盖章）：</w:t>
      </w:r>
      <w:r>
        <w:rPr>
          <w:rFonts w:ascii="宋体" w:hAnsi="宋体"/>
          <w:color w:val="auto"/>
          <w:highlight w:val="none"/>
          <w:u w:val="single"/>
        </w:rPr>
        <w:t xml:space="preserve">                   </w:t>
      </w:r>
    </w:p>
    <w:p w14:paraId="20AC082C">
      <w:pPr>
        <w:tabs>
          <w:tab w:val="left" w:leader="middleDot" w:pos="8400"/>
        </w:tabs>
        <w:spacing w:line="360" w:lineRule="auto"/>
        <w:ind w:firstLine="2760" w:firstLineChars="1150"/>
        <w:rPr>
          <w:rFonts w:hint="eastAsia" w:ascii="宋体" w:hAnsi="宋体"/>
          <w:color w:val="auto"/>
          <w:highlight w:val="none"/>
          <w:u w:val="single"/>
        </w:rPr>
      </w:pPr>
      <w:r>
        <w:rPr>
          <w:rFonts w:hint="eastAsia" w:ascii="宋体" w:hAnsi="宋体"/>
          <w:color w:val="auto"/>
          <w:highlight w:val="none"/>
        </w:rPr>
        <w:t>法定代表人（签字或盖章）：</w:t>
      </w:r>
      <w:r>
        <w:rPr>
          <w:rFonts w:ascii="宋体" w:hAnsi="宋体"/>
          <w:color w:val="auto"/>
          <w:highlight w:val="none"/>
        </w:rPr>
        <w:t xml:space="preserve"> </w:t>
      </w:r>
      <w:r>
        <w:rPr>
          <w:rFonts w:ascii="宋体" w:hAnsi="宋体"/>
          <w:color w:val="auto"/>
          <w:highlight w:val="none"/>
          <w:u w:val="single"/>
        </w:rPr>
        <w:t xml:space="preserve">                  </w:t>
      </w:r>
    </w:p>
    <w:p w14:paraId="02C2375C">
      <w:pPr>
        <w:tabs>
          <w:tab w:val="left" w:leader="middleDot" w:pos="8400"/>
        </w:tabs>
        <w:spacing w:line="360" w:lineRule="auto"/>
        <w:ind w:firstLine="2760" w:firstLineChars="1150"/>
        <w:rPr>
          <w:rFonts w:hint="eastAsia" w:ascii="宋体" w:hAnsi="宋体"/>
          <w:color w:val="auto"/>
          <w:highlight w:val="none"/>
        </w:rPr>
      </w:pPr>
      <w:r>
        <w:rPr>
          <w:rFonts w:hint="eastAsia" w:ascii="宋体" w:hAnsi="宋体"/>
          <w:color w:val="auto"/>
          <w:highlight w:val="none"/>
        </w:rPr>
        <w:t xml:space="preserve">日 </w:t>
      </w:r>
      <w:r>
        <w:rPr>
          <w:rFonts w:ascii="宋体" w:hAnsi="宋体"/>
          <w:color w:val="auto"/>
          <w:highlight w:val="none"/>
        </w:rPr>
        <w:t xml:space="preserve">                   </w:t>
      </w:r>
      <w:r>
        <w:rPr>
          <w:rFonts w:hint="eastAsia" w:ascii="宋体" w:hAnsi="宋体"/>
          <w:color w:val="auto"/>
          <w:highlight w:val="none"/>
        </w:rPr>
        <w:t>期：</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rPr>
        <w:t xml:space="preserve"> </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rPr>
        <w:t xml:space="preserve"> </w:t>
      </w:r>
      <w:r>
        <w:rPr>
          <w:rFonts w:ascii="宋体" w:hAnsi="宋体"/>
          <w:color w:val="auto"/>
          <w:highlight w:val="none"/>
          <w:u w:val="single"/>
        </w:rPr>
        <w:t xml:space="preserve">   </w:t>
      </w:r>
      <w:r>
        <w:rPr>
          <w:rFonts w:hint="eastAsia" w:ascii="宋体" w:hAnsi="宋体"/>
          <w:color w:val="auto"/>
          <w:highlight w:val="none"/>
        </w:rPr>
        <w:t>日</w:t>
      </w:r>
    </w:p>
    <w:p w14:paraId="6FD280D0">
      <w:pPr>
        <w:rPr>
          <w:rFonts w:hint="eastAsia" w:ascii="宋体" w:hAnsi="宋体" w:cs="宋体"/>
          <w:color w:val="auto"/>
          <w:szCs w:val="21"/>
          <w:highlight w:val="none"/>
        </w:rPr>
      </w:pPr>
    </w:p>
    <w:p w14:paraId="79A494D6">
      <w:pPr>
        <w:tabs>
          <w:tab w:val="left" w:leader="middleDot" w:pos="8400"/>
        </w:tabs>
        <w:spacing w:line="360" w:lineRule="auto"/>
        <w:rPr>
          <w:rFonts w:hint="eastAsia" w:ascii="宋体" w:hAnsi="宋体"/>
          <w:color w:val="auto"/>
          <w:highlight w:val="none"/>
        </w:rPr>
      </w:pPr>
      <w:r>
        <w:rPr>
          <w:rFonts w:hint="eastAsia" w:ascii="宋体" w:hAnsi="宋体"/>
          <w:color w:val="auto"/>
          <w:highlight w:val="none"/>
        </w:rPr>
        <w:t>（注：此委托书格式供参考，各地可根据实际需求更改）</w:t>
      </w:r>
    </w:p>
    <w:p w14:paraId="39EECE74">
      <w:pPr>
        <w:widowControl/>
        <w:rPr>
          <w:rFonts w:hint="eastAsia" w:ascii="宋体" w:hAnsi="宋体" w:cs="Courier New"/>
          <w:color w:val="auto"/>
          <w:highlight w:val="none"/>
        </w:rPr>
      </w:pPr>
      <w:r>
        <w:rPr>
          <w:rFonts w:ascii="宋体" w:hAnsi="宋体" w:cs="Courier New"/>
          <w:color w:val="auto"/>
          <w:highlight w:val="none"/>
        </w:rPr>
        <w:br w:type="page"/>
      </w:r>
    </w:p>
    <w:p w14:paraId="19730399">
      <w:pPr>
        <w:tabs>
          <w:tab w:val="left" w:pos="0"/>
        </w:tabs>
        <w:spacing w:line="400" w:lineRule="exact"/>
        <w:jc w:val="center"/>
        <w:rPr>
          <w:rFonts w:hint="eastAsia" w:ascii="宋体" w:hAnsi="宋体"/>
          <w:color w:val="auto"/>
          <w:sz w:val="36"/>
          <w:szCs w:val="36"/>
          <w:highlight w:val="none"/>
          <w:u w:val="single"/>
        </w:rPr>
      </w:pPr>
      <w:r>
        <w:rPr>
          <w:rFonts w:hint="eastAsia"/>
          <w:b/>
          <w:bCs/>
          <w:color w:val="auto"/>
          <w:sz w:val="36"/>
          <w:szCs w:val="36"/>
          <w:highlight w:val="none"/>
        </w:rPr>
        <w:t>投</w:t>
      </w:r>
      <w:r>
        <w:rPr>
          <w:b/>
          <w:bCs/>
          <w:color w:val="auto"/>
          <w:sz w:val="36"/>
          <w:szCs w:val="36"/>
          <w:highlight w:val="none"/>
        </w:rPr>
        <w:t xml:space="preserve"> </w:t>
      </w:r>
      <w:r>
        <w:rPr>
          <w:rFonts w:hint="eastAsia"/>
          <w:b/>
          <w:bCs/>
          <w:color w:val="auto"/>
          <w:sz w:val="36"/>
          <w:szCs w:val="36"/>
          <w:highlight w:val="none"/>
        </w:rPr>
        <w:t>标</w:t>
      </w:r>
      <w:r>
        <w:rPr>
          <w:b/>
          <w:bCs/>
          <w:color w:val="auto"/>
          <w:sz w:val="36"/>
          <w:szCs w:val="36"/>
          <w:highlight w:val="none"/>
        </w:rPr>
        <w:t xml:space="preserve"> </w:t>
      </w:r>
      <w:r>
        <w:rPr>
          <w:rFonts w:hint="eastAsia"/>
          <w:b/>
          <w:bCs/>
          <w:color w:val="auto"/>
          <w:sz w:val="36"/>
          <w:szCs w:val="36"/>
          <w:highlight w:val="none"/>
        </w:rPr>
        <w:t>函</w:t>
      </w:r>
    </w:p>
    <w:p w14:paraId="6C5DB4AF">
      <w:pPr>
        <w:snapToGrid w:val="0"/>
        <w:spacing w:line="480" w:lineRule="exact"/>
        <w:rPr>
          <w:rFonts w:hint="eastAsia" w:ascii="宋体" w:hAnsi="宋体"/>
          <w:color w:val="auto"/>
          <w:highlight w:val="none"/>
        </w:rPr>
      </w:pPr>
      <w:r>
        <w:rPr>
          <w:rFonts w:hint="eastAsia" w:ascii="宋体" w:hAnsi="宋体"/>
          <w:color w:val="auto"/>
          <w:highlight w:val="none"/>
          <w:u w:val="single"/>
        </w:rPr>
        <w:t>（招标人名称）</w:t>
      </w:r>
      <w:r>
        <w:rPr>
          <w:rFonts w:ascii="宋体" w:hAnsi="宋体"/>
          <w:color w:val="auto"/>
          <w:highlight w:val="none"/>
        </w:rPr>
        <w:t>:</w:t>
      </w:r>
    </w:p>
    <w:p w14:paraId="61E98EF0">
      <w:pPr>
        <w:numPr>
          <w:ilvl w:val="0"/>
          <w:numId w:val="52"/>
        </w:numPr>
        <w:snapToGrid w:val="0"/>
        <w:spacing w:line="480" w:lineRule="exact"/>
        <w:ind w:firstLine="480" w:firstLineChars="200"/>
        <w:rPr>
          <w:rFonts w:hint="eastAsia" w:ascii="宋体" w:hAnsi="宋体"/>
          <w:color w:val="auto"/>
          <w:highlight w:val="none"/>
          <w:u w:val="single"/>
        </w:rPr>
      </w:pPr>
      <w:r>
        <w:rPr>
          <w:color w:val="auto"/>
          <w:highlight w:val="none"/>
        </w:rPr>
        <w:t>我方己仔细研究了</w:t>
      </w:r>
      <w:r>
        <w:rPr>
          <w:color w:val="auto"/>
          <w:highlight w:val="none"/>
          <w:u w:val="single"/>
        </w:rPr>
        <w:t>（项目名称）</w:t>
      </w:r>
      <w:r>
        <w:rPr>
          <w:color w:val="auto"/>
          <w:highlight w:val="none"/>
        </w:rPr>
        <w:t>工程总承包标段招标文件的全部内容，愿意以人民币（大写）</w:t>
      </w:r>
      <w:r>
        <w:rPr>
          <w:color w:val="auto"/>
          <w:highlight w:val="none"/>
          <w:u w:val="single"/>
        </w:rPr>
        <w:t xml:space="preserve">     </w:t>
      </w:r>
      <w:r>
        <w:rPr>
          <w:color w:val="auto"/>
          <w:highlight w:val="none"/>
        </w:rPr>
        <w:t>（￥</w:t>
      </w:r>
      <w:r>
        <w:rPr>
          <w:color w:val="auto"/>
          <w:highlight w:val="none"/>
          <w:u w:val="single"/>
        </w:rPr>
        <w:t xml:space="preserve">     </w:t>
      </w:r>
      <w:r>
        <w:rPr>
          <w:color w:val="auto"/>
          <w:highlight w:val="none"/>
        </w:rPr>
        <w:t>）的投标报价，项目负责人</w:t>
      </w:r>
      <w:r>
        <w:rPr>
          <w:color w:val="auto"/>
          <w:highlight w:val="none"/>
          <w:u w:val="single"/>
        </w:rPr>
        <w:t xml:space="preserve">      </w:t>
      </w:r>
      <w:r>
        <w:rPr>
          <w:color w:val="auto"/>
          <w:highlight w:val="none"/>
        </w:rPr>
        <w:t>（身份证号码</w:t>
      </w:r>
      <w:r>
        <w:rPr>
          <w:color w:val="auto"/>
          <w:highlight w:val="none"/>
          <w:u w:val="single"/>
        </w:rPr>
        <w:t xml:space="preserve">        </w:t>
      </w:r>
      <w:r>
        <w:rPr>
          <w:color w:val="auto"/>
          <w:highlight w:val="none"/>
        </w:rPr>
        <w:t>）</w:t>
      </w:r>
      <w:r>
        <w:rPr>
          <w:rFonts w:hint="eastAsia"/>
          <w:color w:val="auto"/>
          <w:highlight w:val="none"/>
        </w:rPr>
        <w:t>所在单位：</w:t>
      </w:r>
      <w:r>
        <w:rPr>
          <w:rFonts w:hint="eastAsia"/>
          <w:color w:val="auto"/>
          <w:highlight w:val="none"/>
          <w:u w:val="single"/>
        </w:rPr>
        <w:t xml:space="preserve">    </w:t>
      </w:r>
      <w:r>
        <w:rPr>
          <w:color w:val="auto"/>
          <w:highlight w:val="none"/>
        </w:rPr>
        <w:t>， 设计负责人</w:t>
      </w:r>
      <w:r>
        <w:rPr>
          <w:color w:val="auto"/>
          <w:highlight w:val="none"/>
          <w:u w:val="single"/>
        </w:rPr>
        <w:t xml:space="preserve">        </w:t>
      </w:r>
      <w:r>
        <w:rPr>
          <w:color w:val="auto"/>
          <w:highlight w:val="none"/>
        </w:rPr>
        <w:t>（身份证号码</w:t>
      </w:r>
      <w:r>
        <w:rPr>
          <w:color w:val="auto"/>
          <w:highlight w:val="none"/>
          <w:u w:val="single"/>
        </w:rPr>
        <w:t xml:space="preserve">         </w:t>
      </w:r>
      <w:r>
        <w:rPr>
          <w:color w:val="auto"/>
          <w:highlight w:val="none"/>
        </w:rPr>
        <w:t>）</w:t>
      </w:r>
      <w:r>
        <w:rPr>
          <w:rFonts w:hint="eastAsia"/>
          <w:color w:val="auto"/>
          <w:highlight w:val="none"/>
        </w:rPr>
        <w:t>所在单位：</w:t>
      </w:r>
      <w:r>
        <w:rPr>
          <w:rFonts w:hint="eastAsia"/>
          <w:color w:val="auto"/>
          <w:highlight w:val="none"/>
          <w:u w:val="single"/>
        </w:rPr>
        <w:t xml:space="preserve">    </w:t>
      </w:r>
      <w:r>
        <w:rPr>
          <w:color w:val="auto"/>
          <w:highlight w:val="none"/>
        </w:rPr>
        <w:t>，施工负责人</w:t>
      </w:r>
      <w:r>
        <w:rPr>
          <w:color w:val="auto"/>
          <w:highlight w:val="none"/>
          <w:u w:val="single"/>
        </w:rPr>
        <w:t xml:space="preserve">         </w:t>
      </w:r>
      <w:r>
        <w:rPr>
          <w:color w:val="auto"/>
          <w:highlight w:val="none"/>
        </w:rPr>
        <w:t>（身份证号</w:t>
      </w:r>
      <w:r>
        <w:rPr>
          <w:color w:val="auto"/>
          <w:highlight w:val="none"/>
          <w:u w:val="single"/>
        </w:rPr>
        <w:t xml:space="preserve">         </w:t>
      </w:r>
      <w:r>
        <w:rPr>
          <w:color w:val="auto"/>
          <w:highlight w:val="none"/>
        </w:rPr>
        <w:t>）</w:t>
      </w:r>
      <w:r>
        <w:rPr>
          <w:rFonts w:hint="eastAsia"/>
          <w:color w:val="auto"/>
          <w:highlight w:val="none"/>
        </w:rPr>
        <w:t>所在单位：</w:t>
      </w:r>
      <w:r>
        <w:rPr>
          <w:rFonts w:hint="eastAsia"/>
          <w:color w:val="auto"/>
          <w:highlight w:val="none"/>
          <w:u w:val="single"/>
        </w:rPr>
        <w:t xml:space="preserve">    </w:t>
      </w:r>
      <w:r>
        <w:rPr>
          <w:color w:val="auto"/>
          <w:highlight w:val="none"/>
        </w:rPr>
        <w:t>，工期</w:t>
      </w:r>
      <w:r>
        <w:rPr>
          <w:color w:val="auto"/>
          <w:highlight w:val="none"/>
          <w:u w:val="single"/>
        </w:rPr>
        <w:t xml:space="preserve">     </w:t>
      </w:r>
      <w:r>
        <w:rPr>
          <w:color w:val="auto"/>
          <w:highlight w:val="none"/>
        </w:rPr>
        <w:t>个日历天，按合同约定实施和完成承包工程，修补工程中的任何缺陷</w:t>
      </w:r>
      <w:r>
        <w:rPr>
          <w:rFonts w:hint="eastAsia"/>
          <w:color w:val="auto"/>
          <w:highlight w:val="none"/>
        </w:rPr>
        <w:t>。</w:t>
      </w:r>
      <w:r>
        <w:rPr>
          <w:color w:val="auto"/>
          <w:highlight w:val="none"/>
        </w:rPr>
        <w:t>质量标准</w:t>
      </w:r>
      <w:r>
        <w:rPr>
          <w:rFonts w:hint="eastAsia"/>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ascii="宋体" w:hAnsi="宋体"/>
          <w:color w:val="auto"/>
          <w:highlight w:val="none"/>
        </w:rPr>
        <w:t>。</w:t>
      </w:r>
    </w:p>
    <w:p w14:paraId="581D86A5">
      <w:pPr>
        <w:snapToGrid w:val="0"/>
        <w:spacing w:line="480" w:lineRule="exact"/>
        <w:ind w:firstLine="480" w:firstLineChars="200"/>
        <w:rPr>
          <w:rFonts w:hint="eastAsia" w:ascii="宋体" w:hAnsi="宋体"/>
          <w:color w:val="auto"/>
          <w:highlight w:val="none"/>
        </w:rPr>
      </w:pPr>
      <w:r>
        <w:rPr>
          <w:rFonts w:ascii="宋体" w:hAnsi="宋体"/>
          <w:color w:val="auto"/>
          <w:highlight w:val="none"/>
        </w:rPr>
        <w:t>2.我方承诺在投标有效期内不修改、撤销投标文件。</w:t>
      </w:r>
    </w:p>
    <w:p w14:paraId="7FC352A3">
      <w:pPr>
        <w:spacing w:line="480" w:lineRule="exact"/>
        <w:ind w:firstLine="200"/>
        <w:rPr>
          <w:rFonts w:hint="eastAsia" w:ascii="宋体" w:hAnsi="宋体"/>
          <w:color w:val="auto"/>
          <w:highlight w:val="none"/>
        </w:rPr>
      </w:pPr>
      <w:r>
        <w:rPr>
          <w:rFonts w:ascii="宋体" w:hAnsi="宋体"/>
          <w:color w:val="auto"/>
          <w:highlight w:val="none"/>
        </w:rPr>
        <w:t xml:space="preserve">  3.</w:t>
      </w:r>
      <w:r>
        <w:rPr>
          <w:rFonts w:hint="eastAsia" w:ascii="宋体" w:hAnsi="宋体"/>
          <w:color w:val="auto"/>
          <w:highlight w:val="none"/>
        </w:rPr>
        <w:t>我方承认投标函附录是我方投标函的组成部分。</w:t>
      </w:r>
      <w:r>
        <w:rPr>
          <w:rFonts w:ascii="宋体" w:hAnsi="宋体"/>
          <w:color w:val="auto"/>
          <w:highlight w:val="none"/>
        </w:rPr>
        <w:t>投标人投标函与投标函附录不一致的，以投标函为准</w:t>
      </w:r>
      <w:r>
        <w:rPr>
          <w:rFonts w:hint="eastAsia" w:ascii="宋体" w:hAnsi="宋体"/>
          <w:color w:val="auto"/>
          <w:highlight w:val="none"/>
        </w:rPr>
        <w:t>。</w:t>
      </w:r>
    </w:p>
    <w:p w14:paraId="03462A3C">
      <w:pPr>
        <w:snapToGrid w:val="0"/>
        <w:spacing w:line="480" w:lineRule="exact"/>
        <w:ind w:firstLine="480" w:firstLineChars="200"/>
        <w:rPr>
          <w:rFonts w:hint="eastAsia" w:ascii="宋体" w:hAnsi="宋体"/>
          <w:color w:val="auto"/>
          <w:highlight w:val="none"/>
        </w:rPr>
      </w:pPr>
      <w:r>
        <w:rPr>
          <w:rFonts w:ascii="宋体" w:hAnsi="宋体"/>
          <w:color w:val="auto"/>
          <w:highlight w:val="none"/>
        </w:rPr>
        <w:t>4.</w:t>
      </w:r>
      <w:r>
        <w:rPr>
          <w:rFonts w:hint="eastAsia" w:ascii="宋体" w:hAnsi="宋体"/>
          <w:color w:val="auto"/>
          <w:highlight w:val="none"/>
        </w:rPr>
        <w:t xml:space="preserve"> 我方</w:t>
      </w:r>
      <w:r>
        <w:rPr>
          <w:rFonts w:ascii="宋体" w:hAnsi="宋体"/>
          <w:color w:val="auto"/>
          <w:highlight w:val="none"/>
        </w:rPr>
        <w:t>提交</w:t>
      </w:r>
      <w:r>
        <w:rPr>
          <w:rFonts w:hint="eastAsia" w:ascii="宋体" w:hAnsi="宋体"/>
          <w:color w:val="auto"/>
          <w:highlight w:val="none"/>
        </w:rPr>
        <w:t>金额为</w:t>
      </w:r>
      <w:r>
        <w:rPr>
          <w:rFonts w:ascii="宋体" w:hAnsi="宋体"/>
          <w:color w:val="auto"/>
          <w:highlight w:val="none"/>
        </w:rPr>
        <w:t>人民币（大写）</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rPr>
        <w:t>）</w:t>
      </w:r>
      <w:r>
        <w:rPr>
          <w:rFonts w:hint="eastAsia"/>
          <w:color w:val="auto"/>
          <w:szCs w:val="18"/>
          <w:highlight w:val="none"/>
        </w:rPr>
        <w:t>的投标担保与本投标函同时递交</w:t>
      </w:r>
      <w:r>
        <w:rPr>
          <w:rFonts w:hint="eastAsia" w:ascii="宋体" w:hAnsi="宋体"/>
          <w:color w:val="auto"/>
          <w:highlight w:val="none"/>
        </w:rPr>
        <w:t>。</w:t>
      </w:r>
    </w:p>
    <w:p w14:paraId="35CEEC61">
      <w:pPr>
        <w:snapToGrid w:val="0"/>
        <w:spacing w:line="480" w:lineRule="exact"/>
        <w:ind w:firstLine="480" w:firstLineChars="200"/>
        <w:rPr>
          <w:rFonts w:hint="eastAsia" w:ascii="宋体" w:hAnsi="宋体"/>
          <w:color w:val="auto"/>
          <w:highlight w:val="none"/>
        </w:rPr>
      </w:pPr>
      <w:r>
        <w:rPr>
          <w:rFonts w:ascii="宋体" w:hAnsi="宋体"/>
          <w:color w:val="auto"/>
          <w:highlight w:val="none"/>
        </w:rPr>
        <w:t>5.如我方中标：</w:t>
      </w:r>
    </w:p>
    <w:p w14:paraId="5E4F2200">
      <w:pPr>
        <w:snapToGrid w:val="0"/>
        <w:spacing w:line="480" w:lineRule="exact"/>
        <w:ind w:firstLine="480" w:firstLineChars="200"/>
        <w:rPr>
          <w:rFonts w:hint="eastAsia" w:ascii="宋体" w:hAnsi="宋体"/>
          <w:color w:val="auto"/>
          <w:highlight w:val="none"/>
        </w:rPr>
      </w:pPr>
      <w:r>
        <w:rPr>
          <w:rFonts w:ascii="宋体" w:hAnsi="宋体"/>
          <w:color w:val="auto"/>
          <w:highlight w:val="none"/>
        </w:rPr>
        <w:t>(l）我方承诺在收到中标通知书后，在中标通知书规定期限内与你方签订合同。</w:t>
      </w:r>
    </w:p>
    <w:p w14:paraId="1CD845E6">
      <w:pPr>
        <w:snapToGrid w:val="0"/>
        <w:spacing w:line="480" w:lineRule="exact"/>
        <w:ind w:firstLine="480" w:firstLineChars="200"/>
        <w:rPr>
          <w:rFonts w:hint="eastAsia" w:ascii="宋体" w:hAnsi="宋体"/>
          <w:color w:val="auto"/>
          <w:highlight w:val="none"/>
        </w:rPr>
      </w:pPr>
      <w:r>
        <w:rPr>
          <w:rFonts w:ascii="宋体" w:hAnsi="宋体"/>
          <w:color w:val="auto"/>
          <w:highlight w:val="none"/>
        </w:rPr>
        <w:t>(2）随同本投标函递交的投标函附录属于合同文件的组成部分。</w:t>
      </w:r>
    </w:p>
    <w:p w14:paraId="2FFE519C">
      <w:pPr>
        <w:snapToGrid w:val="0"/>
        <w:spacing w:line="480" w:lineRule="exact"/>
        <w:ind w:firstLine="480" w:firstLineChars="200"/>
        <w:rPr>
          <w:rFonts w:hint="eastAsia" w:ascii="宋体" w:hAnsi="宋体"/>
          <w:color w:val="auto"/>
          <w:highlight w:val="none"/>
        </w:rPr>
      </w:pPr>
      <w:r>
        <w:rPr>
          <w:rFonts w:ascii="宋体" w:hAnsi="宋体"/>
          <w:color w:val="auto"/>
          <w:highlight w:val="none"/>
        </w:rPr>
        <w:t>(3）我方承诺按照招标文件规定向你方递交履约担保。</w:t>
      </w:r>
    </w:p>
    <w:p w14:paraId="4A8DAB55">
      <w:pPr>
        <w:snapToGrid w:val="0"/>
        <w:spacing w:line="480" w:lineRule="exact"/>
        <w:ind w:firstLine="480" w:firstLineChars="200"/>
        <w:rPr>
          <w:rFonts w:hint="eastAsia" w:ascii="宋体" w:hAnsi="宋体"/>
          <w:color w:val="auto"/>
          <w:highlight w:val="none"/>
        </w:rPr>
      </w:pPr>
      <w:r>
        <w:rPr>
          <w:rFonts w:ascii="宋体" w:hAnsi="宋体"/>
          <w:color w:val="auto"/>
          <w:highlight w:val="none"/>
        </w:rPr>
        <w:t>(4）我方承诺在合同约定的期限内完成并</w:t>
      </w:r>
      <w:r>
        <w:rPr>
          <w:rFonts w:hint="eastAsia" w:ascii="宋体" w:hAnsi="宋体"/>
          <w:color w:val="auto"/>
          <w:highlight w:val="none"/>
        </w:rPr>
        <w:t>交付全部合同工程。</w:t>
      </w:r>
    </w:p>
    <w:p w14:paraId="37F2B7AB">
      <w:pPr>
        <w:snapToGrid w:val="0"/>
        <w:spacing w:line="480" w:lineRule="exact"/>
        <w:ind w:firstLine="480" w:firstLineChars="200"/>
        <w:rPr>
          <w:rFonts w:hint="eastAsia" w:ascii="宋体" w:hAnsi="宋体"/>
          <w:color w:val="auto"/>
          <w:highlight w:val="none"/>
        </w:rPr>
      </w:pPr>
      <w:r>
        <w:rPr>
          <w:rFonts w:ascii="宋体" w:hAnsi="宋体"/>
          <w:color w:val="auto"/>
          <w:highlight w:val="none"/>
        </w:rPr>
        <w:t>6.我方在此声明，所递交的投标文件及有关资料内容完整、真实和准确，且不存在第二章“投标人须知”第1.4.</w:t>
      </w:r>
      <w:r>
        <w:rPr>
          <w:rFonts w:hint="eastAsia" w:ascii="宋体" w:hAnsi="宋体"/>
          <w:color w:val="auto"/>
          <w:highlight w:val="none"/>
        </w:rPr>
        <w:t>3规定的任何一种情形。</w:t>
      </w:r>
    </w:p>
    <w:p w14:paraId="757CE226">
      <w:pPr>
        <w:spacing w:line="480" w:lineRule="exact"/>
        <w:jc w:val="center"/>
        <w:rPr>
          <w:rFonts w:hint="eastAsia" w:ascii="宋体" w:hAnsi="宋体"/>
          <w:color w:val="auto"/>
          <w:highlight w:val="none"/>
        </w:rPr>
      </w:pPr>
      <w:r>
        <w:rPr>
          <w:rFonts w:hint="eastAsia" w:ascii="宋体" w:hAnsi="宋体"/>
          <w:color w:val="auto"/>
          <w:highlight w:val="none"/>
        </w:rPr>
        <w:t xml:space="preserve"> </w:t>
      </w:r>
      <w:r>
        <w:rPr>
          <w:rFonts w:ascii="宋体" w:hAnsi="宋体"/>
          <w:color w:val="auto"/>
          <w:highlight w:val="none"/>
        </w:rPr>
        <w:t xml:space="preserve"> 7.□本次投标为联合体投标，我方为联合体牵头人，联合体成员包括</w:t>
      </w:r>
      <w:r>
        <w:rPr>
          <w:rFonts w:ascii="宋体" w:hAnsi="宋体"/>
          <w:color w:val="auto"/>
          <w:highlight w:val="none"/>
          <w:u w:val="single"/>
        </w:rPr>
        <w:t xml:space="preserve">   </w:t>
      </w:r>
      <w:r>
        <w:rPr>
          <w:rFonts w:ascii="宋体" w:hAnsi="宋体"/>
          <w:color w:val="auto"/>
          <w:highlight w:val="none"/>
        </w:rPr>
        <w:t>。</w:t>
      </w:r>
    </w:p>
    <w:p w14:paraId="52FCD380">
      <w:pPr>
        <w:snapToGrid w:val="0"/>
        <w:spacing w:line="480" w:lineRule="exact"/>
        <w:ind w:firstLine="480" w:firstLineChars="200"/>
        <w:rPr>
          <w:rFonts w:hint="eastAsia" w:ascii="宋体" w:hAnsi="宋体"/>
          <w:color w:val="auto"/>
          <w:highlight w:val="none"/>
        </w:rPr>
      </w:pPr>
      <w:r>
        <w:rPr>
          <w:rFonts w:ascii="宋体" w:hAnsi="宋体"/>
          <w:color w:val="auto"/>
          <w:highlight w:val="none"/>
        </w:rPr>
        <w:t>8.</w:t>
      </w:r>
      <w:r>
        <w:rPr>
          <w:rFonts w:hint="eastAsia" w:ascii="宋体" w:hAnsi="宋体"/>
          <w:color w:val="auto"/>
          <w:highlight w:val="none"/>
          <w:u w:val="single"/>
        </w:rPr>
        <w:t>（招标人可补充其他说明）</w:t>
      </w:r>
      <w:r>
        <w:rPr>
          <w:rFonts w:hint="eastAsia" w:ascii="宋体" w:hAnsi="宋体"/>
          <w:color w:val="auto"/>
          <w:highlight w:val="none"/>
        </w:rPr>
        <w:t>。</w:t>
      </w:r>
    </w:p>
    <w:p w14:paraId="484AAD8A">
      <w:pPr>
        <w:spacing w:line="480" w:lineRule="exact"/>
        <w:ind w:right="480"/>
        <w:jc w:val="right"/>
        <w:rPr>
          <w:rFonts w:hint="eastAsia" w:ascii="宋体" w:hAnsi="宋体" w:cs="宋体"/>
          <w:color w:val="auto"/>
          <w:highlight w:val="none"/>
        </w:rPr>
      </w:pPr>
      <w:r>
        <w:rPr>
          <w:rFonts w:hint="eastAsia" w:ascii="宋体" w:hAnsi="宋体" w:cs="宋体"/>
          <w:color w:val="auto"/>
          <w:highlight w:val="none"/>
        </w:rPr>
        <w:t>投标人：</w:t>
      </w:r>
      <w:r>
        <w:rPr>
          <w:rFonts w:ascii="宋体" w:hAnsi="宋体" w:cs="宋体"/>
          <w:color w:val="auto"/>
          <w:highlight w:val="none"/>
          <w:u w:val="single"/>
        </w:rPr>
        <w:t xml:space="preserve">          </w:t>
      </w:r>
      <w:r>
        <w:rPr>
          <w:rFonts w:hint="eastAsia" w:ascii="宋体" w:hAnsi="宋体" w:cs="宋体"/>
          <w:color w:val="auto"/>
          <w:highlight w:val="none"/>
        </w:rPr>
        <w:t>（单位盖章）</w:t>
      </w:r>
    </w:p>
    <w:p w14:paraId="73F07161">
      <w:pPr>
        <w:spacing w:line="480" w:lineRule="exact"/>
        <w:ind w:right="480" w:firstLine="2400" w:firstLineChars="1000"/>
        <w:rPr>
          <w:rFonts w:ascii="宋体" w:cs="宋体"/>
          <w:color w:val="auto"/>
          <w:highlight w:val="none"/>
          <w:u w:val="single"/>
        </w:rPr>
      </w:pPr>
      <w:r>
        <w:rPr>
          <w:rFonts w:ascii="宋体" w:hAnsi="宋体" w:cs="宋体"/>
          <w:color w:val="auto"/>
          <w:highlight w:val="none"/>
        </w:rPr>
        <w:t>法定代表</w:t>
      </w:r>
      <w:r>
        <w:rPr>
          <w:rFonts w:hint="eastAsia" w:ascii="宋体" w:hAnsi="宋体" w:cs="宋体"/>
          <w:color w:val="auto"/>
          <w:highlight w:val="none"/>
        </w:rPr>
        <w:t>人</w:t>
      </w:r>
      <w:r>
        <w:rPr>
          <w:rFonts w:ascii="宋体" w:hAnsi="宋体" w:cs="宋体"/>
          <w:color w:val="auto"/>
          <w:highlight w:val="none"/>
        </w:rPr>
        <w:t>或委托代理人：</w:t>
      </w:r>
      <w:r>
        <w:rPr>
          <w:rFonts w:ascii="宋体" w:hAnsi="宋体" w:cs="宋体"/>
          <w:color w:val="auto"/>
          <w:highlight w:val="none"/>
          <w:u w:val="single"/>
        </w:rPr>
        <w:t xml:space="preserve">         </w:t>
      </w:r>
      <w:r>
        <w:rPr>
          <w:rFonts w:hint="eastAsia" w:ascii="宋体" w:hAnsi="宋体" w:cs="宋体"/>
          <w:color w:val="auto"/>
          <w:highlight w:val="none"/>
        </w:rPr>
        <w:t>（签字或盖章）</w:t>
      </w:r>
    </w:p>
    <w:p w14:paraId="6A3A85CE">
      <w:pPr>
        <w:spacing w:line="480" w:lineRule="exact"/>
        <w:ind w:firstLine="4320" w:firstLineChars="1800"/>
        <w:rPr>
          <w:rFonts w:hint="eastAsia" w:ascii="宋体" w:hAnsi="宋体" w:cs="宋体"/>
          <w:color w:val="auto"/>
          <w:highlight w:val="none"/>
          <w:u w:val="single"/>
        </w:rPr>
      </w:pPr>
      <w:r>
        <w:rPr>
          <w:rFonts w:ascii="宋体" w:hAnsi="宋体" w:cs="宋体"/>
          <w:color w:val="auto"/>
          <w:highlight w:val="none"/>
        </w:rPr>
        <w:t>联系人：</w:t>
      </w:r>
      <w:r>
        <w:rPr>
          <w:rFonts w:ascii="宋体" w:hAnsi="宋体" w:cs="宋体"/>
          <w:color w:val="auto"/>
          <w:highlight w:val="none"/>
          <w:u w:val="single"/>
        </w:rPr>
        <w:t xml:space="preserve">                     </w:t>
      </w:r>
    </w:p>
    <w:p w14:paraId="622C1B82">
      <w:pPr>
        <w:spacing w:line="480" w:lineRule="exact"/>
        <w:ind w:firstLine="4320" w:firstLineChars="1800"/>
        <w:rPr>
          <w:rFonts w:hint="eastAsia" w:ascii="宋体" w:hAnsi="宋体" w:cs="宋体"/>
          <w:color w:val="auto"/>
          <w:highlight w:val="none"/>
          <w:u w:val="single"/>
        </w:rPr>
      </w:pPr>
      <w:r>
        <w:rPr>
          <w:rFonts w:hint="eastAsia" w:ascii="宋体" w:hAnsi="宋体" w:cs="宋体"/>
          <w:color w:val="auto"/>
          <w:highlight w:val="none"/>
        </w:rPr>
        <w:t>联系地址：</w:t>
      </w:r>
      <w:r>
        <w:rPr>
          <w:rFonts w:ascii="宋体" w:hAnsi="宋体" w:cs="宋体"/>
          <w:color w:val="auto"/>
          <w:highlight w:val="none"/>
          <w:u w:val="single"/>
        </w:rPr>
        <w:t xml:space="preserve">                    </w:t>
      </w:r>
    </w:p>
    <w:p w14:paraId="512824BD">
      <w:pPr>
        <w:spacing w:line="480" w:lineRule="exact"/>
        <w:ind w:firstLine="4320" w:firstLineChars="1800"/>
        <w:rPr>
          <w:rFonts w:hint="eastAsia" w:ascii="宋体" w:hAnsi="宋体" w:cs="宋体"/>
          <w:color w:val="auto"/>
          <w:highlight w:val="none"/>
        </w:rPr>
      </w:pPr>
      <w:r>
        <w:rPr>
          <w:rFonts w:hint="eastAsia" w:ascii="宋体" w:hAnsi="宋体" w:cs="宋体"/>
          <w:color w:val="auto"/>
          <w:highlight w:val="none"/>
        </w:rPr>
        <w:t>电话：</w:t>
      </w:r>
      <w:r>
        <w:rPr>
          <w:rFonts w:ascii="宋体" w:hAnsi="宋体" w:cs="宋体"/>
          <w:color w:val="auto"/>
          <w:highlight w:val="none"/>
          <w:u w:val="single"/>
        </w:rPr>
        <w:t xml:space="preserve">                        </w:t>
      </w:r>
    </w:p>
    <w:p w14:paraId="0C1650B0">
      <w:pPr>
        <w:widowControl/>
        <w:spacing w:line="480" w:lineRule="exact"/>
        <w:ind w:firstLine="4320" w:firstLineChars="1800"/>
        <w:rPr>
          <w:rFonts w:hint="eastAsia" w:ascii="宋体" w:hAnsi="宋体" w:cs="宋体"/>
          <w:color w:val="auto"/>
          <w:highlight w:val="none"/>
          <w:u w:val="single"/>
        </w:rPr>
      </w:pPr>
      <w:r>
        <w:rPr>
          <w:rFonts w:hint="eastAsia" w:ascii="宋体" w:hAnsi="宋体" w:cs="宋体"/>
          <w:color w:val="auto"/>
          <w:highlight w:val="none"/>
        </w:rPr>
        <w:t>邮编：</w:t>
      </w:r>
      <w:r>
        <w:rPr>
          <w:rFonts w:ascii="宋体" w:hAnsi="宋体" w:cs="宋体"/>
          <w:color w:val="auto"/>
          <w:highlight w:val="none"/>
          <w:u w:val="single"/>
        </w:rPr>
        <w:t xml:space="preserve">                        </w:t>
      </w:r>
    </w:p>
    <w:p w14:paraId="4F22243D">
      <w:pPr>
        <w:widowControl/>
        <w:spacing w:line="480" w:lineRule="exact"/>
        <w:ind w:left="5959" w:leftChars="2283" w:hanging="480" w:hangingChars="200"/>
        <w:rPr>
          <w:rFonts w:hint="eastAsia" w:ascii="宋体" w:hAnsi="宋体" w:cs="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年</w:t>
      </w:r>
      <w:r>
        <w:rPr>
          <w:rFonts w:ascii="宋体" w:hAnsi="宋体" w:cs="宋体"/>
          <w:color w:val="auto"/>
          <w:highlight w:val="none"/>
          <w:u w:val="single"/>
        </w:rPr>
        <w:t xml:space="preserve">    </w:t>
      </w:r>
      <w:r>
        <w:rPr>
          <w:rFonts w:hint="eastAsia" w:ascii="宋体" w:hAnsi="宋体" w:cs="宋体"/>
          <w:color w:val="auto"/>
          <w:highlight w:val="none"/>
        </w:rPr>
        <w:t>月</w:t>
      </w:r>
      <w:r>
        <w:rPr>
          <w:rFonts w:ascii="宋体" w:hAnsi="宋体" w:cs="宋体"/>
          <w:color w:val="auto"/>
          <w:highlight w:val="none"/>
          <w:u w:val="single"/>
        </w:rPr>
        <w:t xml:space="preserve">     </w:t>
      </w:r>
      <w:r>
        <w:rPr>
          <w:rFonts w:hint="eastAsia" w:ascii="宋体" w:hAnsi="宋体" w:cs="宋体"/>
          <w:color w:val="auto"/>
          <w:highlight w:val="none"/>
        </w:rPr>
        <w:t>日</w:t>
      </w:r>
    </w:p>
    <w:p w14:paraId="6BD509C1">
      <w:pPr>
        <w:spacing w:line="480" w:lineRule="auto"/>
        <w:jc w:val="center"/>
        <w:rPr>
          <w:b/>
          <w:bCs/>
          <w:color w:val="auto"/>
          <w:sz w:val="36"/>
          <w:szCs w:val="36"/>
          <w:highlight w:val="none"/>
        </w:rPr>
      </w:pPr>
      <w:r>
        <w:rPr>
          <w:color w:val="auto"/>
          <w:highlight w:val="none"/>
        </w:rPr>
        <w:br w:type="page"/>
      </w:r>
      <w:r>
        <w:rPr>
          <w:rFonts w:hint="eastAsia"/>
          <w:b/>
          <w:bCs/>
          <w:color w:val="auto"/>
          <w:sz w:val="36"/>
          <w:szCs w:val="36"/>
          <w:highlight w:val="none"/>
        </w:rPr>
        <w:t>投标函附录</w:t>
      </w:r>
    </w:p>
    <w:p w14:paraId="66E429E5">
      <w:pPr>
        <w:spacing w:line="360" w:lineRule="auto"/>
        <w:jc w:val="center"/>
        <w:rPr>
          <w:rFonts w:hint="eastAsia" w:ascii="宋体" w:hAnsi="宋体"/>
          <w:color w:val="auto"/>
          <w:highlight w:val="none"/>
        </w:rPr>
      </w:pPr>
    </w:p>
    <w:tbl>
      <w:tblPr>
        <w:tblStyle w:val="2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060"/>
        <w:gridCol w:w="1105"/>
        <w:gridCol w:w="2216"/>
        <w:gridCol w:w="1700"/>
      </w:tblGrid>
      <w:tr w14:paraId="323C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A282EE6">
            <w:pPr>
              <w:spacing w:line="480" w:lineRule="auto"/>
              <w:jc w:val="center"/>
              <w:rPr>
                <w:color w:val="auto"/>
                <w:highlight w:val="none"/>
              </w:rPr>
            </w:pPr>
            <w:r>
              <w:rPr>
                <w:rFonts w:hint="eastAsia"/>
                <w:color w:val="auto"/>
                <w:highlight w:val="none"/>
              </w:rPr>
              <w:t>序号</w:t>
            </w:r>
          </w:p>
        </w:tc>
        <w:tc>
          <w:tcPr>
            <w:tcW w:w="3060" w:type="dxa"/>
            <w:vAlign w:val="center"/>
          </w:tcPr>
          <w:p w14:paraId="529C1F4C">
            <w:pPr>
              <w:spacing w:line="480" w:lineRule="auto"/>
              <w:jc w:val="center"/>
              <w:rPr>
                <w:color w:val="auto"/>
                <w:highlight w:val="none"/>
              </w:rPr>
            </w:pPr>
            <w:r>
              <w:rPr>
                <w:rFonts w:hint="eastAsia"/>
                <w:color w:val="auto"/>
                <w:highlight w:val="none"/>
              </w:rPr>
              <w:t>项目内容</w:t>
            </w:r>
          </w:p>
        </w:tc>
        <w:tc>
          <w:tcPr>
            <w:tcW w:w="1105" w:type="dxa"/>
            <w:vAlign w:val="center"/>
          </w:tcPr>
          <w:p w14:paraId="4A69761C">
            <w:pPr>
              <w:spacing w:line="480" w:lineRule="auto"/>
              <w:jc w:val="center"/>
              <w:rPr>
                <w:color w:val="auto"/>
                <w:highlight w:val="none"/>
              </w:rPr>
            </w:pPr>
            <w:r>
              <w:rPr>
                <w:rFonts w:hint="eastAsia"/>
                <w:color w:val="auto"/>
                <w:highlight w:val="none"/>
              </w:rPr>
              <w:t>合同条款号</w:t>
            </w:r>
          </w:p>
        </w:tc>
        <w:tc>
          <w:tcPr>
            <w:tcW w:w="2216" w:type="dxa"/>
            <w:vAlign w:val="center"/>
          </w:tcPr>
          <w:p w14:paraId="4AE4DF4C">
            <w:pPr>
              <w:spacing w:line="480" w:lineRule="auto"/>
              <w:jc w:val="center"/>
              <w:rPr>
                <w:color w:val="auto"/>
                <w:highlight w:val="none"/>
              </w:rPr>
            </w:pPr>
            <w:r>
              <w:rPr>
                <w:rFonts w:hint="eastAsia"/>
                <w:color w:val="auto"/>
                <w:highlight w:val="none"/>
              </w:rPr>
              <w:t>约定内容</w:t>
            </w:r>
          </w:p>
        </w:tc>
        <w:tc>
          <w:tcPr>
            <w:tcW w:w="1700" w:type="dxa"/>
            <w:vAlign w:val="center"/>
          </w:tcPr>
          <w:p w14:paraId="49573941">
            <w:pPr>
              <w:spacing w:line="480" w:lineRule="auto"/>
              <w:jc w:val="center"/>
              <w:rPr>
                <w:color w:val="auto"/>
                <w:highlight w:val="none"/>
              </w:rPr>
            </w:pPr>
            <w:r>
              <w:rPr>
                <w:rFonts w:hint="eastAsia" w:ascii="Times New Roman"/>
                <w:b/>
                <w:bCs/>
                <w:color w:val="auto"/>
                <w:highlight w:val="none"/>
              </w:rPr>
              <w:t>优于招标条件（如有）</w:t>
            </w:r>
          </w:p>
        </w:tc>
      </w:tr>
      <w:tr w14:paraId="0FC1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05058AA">
            <w:pPr>
              <w:jc w:val="center"/>
              <w:rPr>
                <w:color w:val="auto"/>
                <w:highlight w:val="none"/>
              </w:rPr>
            </w:pPr>
            <w:r>
              <w:rPr>
                <w:color w:val="auto"/>
                <w:highlight w:val="none"/>
              </w:rPr>
              <w:t>1</w:t>
            </w:r>
          </w:p>
        </w:tc>
        <w:tc>
          <w:tcPr>
            <w:tcW w:w="3060" w:type="dxa"/>
            <w:vAlign w:val="center"/>
          </w:tcPr>
          <w:p w14:paraId="35664262">
            <w:pPr>
              <w:rPr>
                <w:color w:val="auto"/>
                <w:highlight w:val="none"/>
              </w:rPr>
            </w:pPr>
            <w:r>
              <w:rPr>
                <w:rFonts w:hint="eastAsia"/>
                <w:color w:val="auto"/>
                <w:highlight w:val="none"/>
              </w:rPr>
              <w:t>履约担保</w:t>
            </w:r>
          </w:p>
          <w:p w14:paraId="2F0D6E2A">
            <w:pPr>
              <w:rPr>
                <w:color w:val="auto"/>
                <w:highlight w:val="none"/>
              </w:rPr>
            </w:pPr>
            <w:r>
              <w:rPr>
                <w:rFonts w:hint="eastAsia"/>
                <w:color w:val="auto"/>
                <w:highlight w:val="none"/>
              </w:rPr>
              <w:t>银行保函金额</w:t>
            </w:r>
          </w:p>
          <w:p w14:paraId="3147FC74">
            <w:pPr>
              <w:rPr>
                <w:color w:val="auto"/>
                <w:highlight w:val="none"/>
              </w:rPr>
            </w:pPr>
            <w:r>
              <w:rPr>
                <w:rFonts w:hint="eastAsia"/>
                <w:color w:val="auto"/>
                <w:highlight w:val="none"/>
              </w:rPr>
              <w:t>履约担保书金额</w:t>
            </w:r>
          </w:p>
        </w:tc>
        <w:tc>
          <w:tcPr>
            <w:tcW w:w="1105" w:type="dxa"/>
            <w:vAlign w:val="center"/>
          </w:tcPr>
          <w:p w14:paraId="31ACB4A6">
            <w:pPr>
              <w:rPr>
                <w:color w:val="auto"/>
                <w:highlight w:val="none"/>
              </w:rPr>
            </w:pPr>
          </w:p>
        </w:tc>
        <w:tc>
          <w:tcPr>
            <w:tcW w:w="2216" w:type="dxa"/>
            <w:vAlign w:val="center"/>
          </w:tcPr>
          <w:p w14:paraId="499B1B39">
            <w:pPr>
              <w:rPr>
                <w:color w:val="auto"/>
                <w:highlight w:val="none"/>
              </w:rPr>
            </w:pPr>
            <w:r>
              <w:rPr>
                <w:rFonts w:hint="eastAsia"/>
                <w:color w:val="auto"/>
                <w:highlight w:val="none"/>
              </w:rPr>
              <w:t>按照招标文件要求</w:t>
            </w:r>
          </w:p>
        </w:tc>
        <w:tc>
          <w:tcPr>
            <w:tcW w:w="1700" w:type="dxa"/>
          </w:tcPr>
          <w:p w14:paraId="5E702828">
            <w:pPr>
              <w:spacing w:line="480" w:lineRule="auto"/>
              <w:rPr>
                <w:color w:val="auto"/>
                <w:highlight w:val="none"/>
              </w:rPr>
            </w:pPr>
          </w:p>
        </w:tc>
      </w:tr>
      <w:tr w14:paraId="4804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20" w:type="dxa"/>
            <w:vAlign w:val="center"/>
          </w:tcPr>
          <w:p w14:paraId="09A0826B">
            <w:pPr>
              <w:jc w:val="center"/>
              <w:rPr>
                <w:color w:val="auto"/>
                <w:highlight w:val="none"/>
              </w:rPr>
            </w:pPr>
            <w:r>
              <w:rPr>
                <w:color w:val="auto"/>
                <w:highlight w:val="none"/>
              </w:rPr>
              <w:t>2</w:t>
            </w:r>
          </w:p>
        </w:tc>
        <w:tc>
          <w:tcPr>
            <w:tcW w:w="3060" w:type="dxa"/>
            <w:vAlign w:val="center"/>
          </w:tcPr>
          <w:p w14:paraId="6DB7FE83">
            <w:pPr>
              <w:rPr>
                <w:color w:val="auto"/>
                <w:highlight w:val="none"/>
              </w:rPr>
            </w:pPr>
            <w:r>
              <w:rPr>
                <w:rFonts w:hint="eastAsia"/>
                <w:color w:val="auto"/>
                <w:highlight w:val="none"/>
              </w:rPr>
              <w:t>施工准备时间</w:t>
            </w:r>
          </w:p>
        </w:tc>
        <w:tc>
          <w:tcPr>
            <w:tcW w:w="1105" w:type="dxa"/>
            <w:vAlign w:val="center"/>
          </w:tcPr>
          <w:p w14:paraId="46ABD7E8">
            <w:pPr>
              <w:rPr>
                <w:color w:val="auto"/>
                <w:highlight w:val="none"/>
              </w:rPr>
            </w:pPr>
          </w:p>
        </w:tc>
        <w:tc>
          <w:tcPr>
            <w:tcW w:w="2216" w:type="dxa"/>
            <w:vAlign w:val="center"/>
          </w:tcPr>
          <w:p w14:paraId="4986C3E9">
            <w:pPr>
              <w:rPr>
                <w:color w:val="auto"/>
                <w:highlight w:val="none"/>
              </w:rPr>
            </w:pPr>
            <w:r>
              <w:rPr>
                <w:rFonts w:hint="eastAsia"/>
                <w:color w:val="auto"/>
                <w:highlight w:val="none"/>
              </w:rPr>
              <w:t>按照招标文件要求</w:t>
            </w:r>
          </w:p>
        </w:tc>
        <w:tc>
          <w:tcPr>
            <w:tcW w:w="1700" w:type="dxa"/>
          </w:tcPr>
          <w:p w14:paraId="5216994F">
            <w:pPr>
              <w:rPr>
                <w:color w:val="auto"/>
                <w:highlight w:val="none"/>
              </w:rPr>
            </w:pPr>
          </w:p>
        </w:tc>
      </w:tr>
      <w:tr w14:paraId="28FF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9E92E67">
            <w:pPr>
              <w:jc w:val="center"/>
              <w:rPr>
                <w:color w:val="auto"/>
                <w:highlight w:val="none"/>
              </w:rPr>
            </w:pPr>
            <w:r>
              <w:rPr>
                <w:color w:val="auto"/>
                <w:highlight w:val="none"/>
              </w:rPr>
              <w:t>3</w:t>
            </w:r>
          </w:p>
        </w:tc>
        <w:tc>
          <w:tcPr>
            <w:tcW w:w="3060" w:type="dxa"/>
            <w:vAlign w:val="center"/>
          </w:tcPr>
          <w:p w14:paraId="31A60F25">
            <w:pPr>
              <w:rPr>
                <w:color w:val="auto"/>
                <w:highlight w:val="none"/>
              </w:rPr>
            </w:pPr>
            <w:r>
              <w:rPr>
                <w:rFonts w:hint="eastAsia"/>
                <w:color w:val="auto"/>
                <w:highlight w:val="none"/>
              </w:rPr>
              <w:t>误期违约金额</w:t>
            </w:r>
          </w:p>
        </w:tc>
        <w:tc>
          <w:tcPr>
            <w:tcW w:w="1105" w:type="dxa"/>
            <w:vAlign w:val="center"/>
          </w:tcPr>
          <w:p w14:paraId="4A9FBD3B">
            <w:pPr>
              <w:rPr>
                <w:color w:val="auto"/>
                <w:highlight w:val="none"/>
              </w:rPr>
            </w:pPr>
          </w:p>
        </w:tc>
        <w:tc>
          <w:tcPr>
            <w:tcW w:w="2216" w:type="dxa"/>
            <w:vAlign w:val="center"/>
          </w:tcPr>
          <w:p w14:paraId="6D2B6283">
            <w:pPr>
              <w:rPr>
                <w:color w:val="auto"/>
                <w:highlight w:val="none"/>
              </w:rPr>
            </w:pPr>
            <w:r>
              <w:rPr>
                <w:rFonts w:hint="eastAsia"/>
                <w:color w:val="auto"/>
                <w:highlight w:val="none"/>
              </w:rPr>
              <w:t>按照招标文件要求</w:t>
            </w:r>
          </w:p>
        </w:tc>
        <w:tc>
          <w:tcPr>
            <w:tcW w:w="1700" w:type="dxa"/>
          </w:tcPr>
          <w:p w14:paraId="346F32E0">
            <w:pPr>
              <w:spacing w:line="480" w:lineRule="auto"/>
              <w:rPr>
                <w:color w:val="auto"/>
                <w:highlight w:val="none"/>
              </w:rPr>
            </w:pPr>
          </w:p>
        </w:tc>
      </w:tr>
      <w:tr w14:paraId="0206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1092545">
            <w:pPr>
              <w:jc w:val="center"/>
              <w:rPr>
                <w:color w:val="auto"/>
                <w:highlight w:val="none"/>
              </w:rPr>
            </w:pPr>
            <w:r>
              <w:rPr>
                <w:color w:val="auto"/>
                <w:highlight w:val="none"/>
              </w:rPr>
              <w:t>4</w:t>
            </w:r>
          </w:p>
        </w:tc>
        <w:tc>
          <w:tcPr>
            <w:tcW w:w="3060" w:type="dxa"/>
            <w:vAlign w:val="center"/>
          </w:tcPr>
          <w:p w14:paraId="06E7B671">
            <w:pPr>
              <w:rPr>
                <w:color w:val="auto"/>
                <w:highlight w:val="none"/>
              </w:rPr>
            </w:pPr>
            <w:r>
              <w:rPr>
                <w:rFonts w:hint="eastAsia"/>
                <w:color w:val="auto"/>
                <w:highlight w:val="none"/>
              </w:rPr>
              <w:t>误期赔偿费限额</w:t>
            </w:r>
          </w:p>
        </w:tc>
        <w:tc>
          <w:tcPr>
            <w:tcW w:w="1105" w:type="dxa"/>
            <w:vAlign w:val="center"/>
          </w:tcPr>
          <w:p w14:paraId="024EAF99">
            <w:pPr>
              <w:rPr>
                <w:color w:val="auto"/>
                <w:highlight w:val="none"/>
              </w:rPr>
            </w:pPr>
          </w:p>
        </w:tc>
        <w:tc>
          <w:tcPr>
            <w:tcW w:w="2216" w:type="dxa"/>
            <w:vAlign w:val="center"/>
          </w:tcPr>
          <w:p w14:paraId="1FB329F2">
            <w:pPr>
              <w:rPr>
                <w:color w:val="auto"/>
                <w:highlight w:val="none"/>
              </w:rPr>
            </w:pPr>
            <w:r>
              <w:rPr>
                <w:rFonts w:hint="eastAsia"/>
                <w:color w:val="auto"/>
                <w:highlight w:val="none"/>
              </w:rPr>
              <w:t>按照招标文件要求</w:t>
            </w:r>
          </w:p>
        </w:tc>
        <w:tc>
          <w:tcPr>
            <w:tcW w:w="1700" w:type="dxa"/>
          </w:tcPr>
          <w:p w14:paraId="375CE695">
            <w:pPr>
              <w:spacing w:line="480" w:lineRule="auto"/>
              <w:rPr>
                <w:color w:val="auto"/>
                <w:highlight w:val="none"/>
              </w:rPr>
            </w:pPr>
          </w:p>
        </w:tc>
      </w:tr>
      <w:tr w14:paraId="314B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7EA24D1">
            <w:pPr>
              <w:jc w:val="center"/>
              <w:rPr>
                <w:color w:val="auto"/>
                <w:highlight w:val="none"/>
              </w:rPr>
            </w:pPr>
            <w:r>
              <w:rPr>
                <w:color w:val="auto"/>
                <w:highlight w:val="none"/>
              </w:rPr>
              <w:t>5</w:t>
            </w:r>
          </w:p>
        </w:tc>
        <w:tc>
          <w:tcPr>
            <w:tcW w:w="3060" w:type="dxa"/>
            <w:vAlign w:val="center"/>
          </w:tcPr>
          <w:p w14:paraId="4C934191">
            <w:pPr>
              <w:rPr>
                <w:color w:val="auto"/>
                <w:highlight w:val="none"/>
              </w:rPr>
            </w:pPr>
            <w:r>
              <w:rPr>
                <w:rFonts w:hint="eastAsia"/>
                <w:color w:val="auto"/>
                <w:highlight w:val="none"/>
              </w:rPr>
              <w:t>提前工期奖</w:t>
            </w:r>
          </w:p>
        </w:tc>
        <w:tc>
          <w:tcPr>
            <w:tcW w:w="1105" w:type="dxa"/>
            <w:vAlign w:val="center"/>
          </w:tcPr>
          <w:p w14:paraId="484727C6">
            <w:pPr>
              <w:rPr>
                <w:color w:val="auto"/>
                <w:highlight w:val="none"/>
              </w:rPr>
            </w:pPr>
          </w:p>
        </w:tc>
        <w:tc>
          <w:tcPr>
            <w:tcW w:w="2216" w:type="dxa"/>
            <w:vAlign w:val="center"/>
          </w:tcPr>
          <w:p w14:paraId="6CCDB76F">
            <w:pPr>
              <w:rPr>
                <w:color w:val="auto"/>
                <w:highlight w:val="none"/>
              </w:rPr>
            </w:pPr>
            <w:r>
              <w:rPr>
                <w:rFonts w:hint="eastAsia"/>
                <w:color w:val="auto"/>
                <w:highlight w:val="none"/>
              </w:rPr>
              <w:t>按照招标文件要求</w:t>
            </w:r>
          </w:p>
        </w:tc>
        <w:tc>
          <w:tcPr>
            <w:tcW w:w="1700" w:type="dxa"/>
          </w:tcPr>
          <w:p w14:paraId="2B031BBB">
            <w:pPr>
              <w:spacing w:line="480" w:lineRule="auto"/>
              <w:rPr>
                <w:color w:val="auto"/>
                <w:highlight w:val="none"/>
              </w:rPr>
            </w:pPr>
          </w:p>
        </w:tc>
      </w:tr>
      <w:tr w14:paraId="2B6D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C35595E">
            <w:pPr>
              <w:jc w:val="center"/>
              <w:rPr>
                <w:color w:val="auto"/>
                <w:highlight w:val="none"/>
              </w:rPr>
            </w:pPr>
            <w:r>
              <w:rPr>
                <w:rFonts w:hint="eastAsia"/>
                <w:color w:val="auto"/>
                <w:highlight w:val="none"/>
              </w:rPr>
              <w:t>6</w:t>
            </w:r>
          </w:p>
        </w:tc>
        <w:tc>
          <w:tcPr>
            <w:tcW w:w="3060" w:type="dxa"/>
            <w:vAlign w:val="center"/>
          </w:tcPr>
          <w:p w14:paraId="65B22C42">
            <w:pPr>
              <w:rPr>
                <w:color w:val="auto"/>
                <w:highlight w:val="none"/>
              </w:rPr>
            </w:pPr>
            <w:r>
              <w:rPr>
                <w:rFonts w:hint="eastAsia" w:ascii="Times New Roman"/>
                <w:color w:val="auto"/>
                <w:highlight w:val="none"/>
              </w:rPr>
              <w:t>创优质工程（如有）</w:t>
            </w:r>
          </w:p>
        </w:tc>
        <w:tc>
          <w:tcPr>
            <w:tcW w:w="1105" w:type="dxa"/>
            <w:vAlign w:val="center"/>
          </w:tcPr>
          <w:p w14:paraId="7F58DA42">
            <w:pPr>
              <w:rPr>
                <w:color w:val="auto"/>
                <w:highlight w:val="none"/>
              </w:rPr>
            </w:pPr>
          </w:p>
        </w:tc>
        <w:tc>
          <w:tcPr>
            <w:tcW w:w="2216" w:type="dxa"/>
            <w:vAlign w:val="center"/>
          </w:tcPr>
          <w:p w14:paraId="0EBA009A">
            <w:pPr>
              <w:rPr>
                <w:color w:val="auto"/>
                <w:highlight w:val="none"/>
              </w:rPr>
            </w:pPr>
            <w:r>
              <w:rPr>
                <w:rFonts w:hint="eastAsia"/>
                <w:color w:val="auto"/>
                <w:highlight w:val="none"/>
              </w:rPr>
              <w:t>按照招标文件要求</w:t>
            </w:r>
          </w:p>
        </w:tc>
        <w:tc>
          <w:tcPr>
            <w:tcW w:w="1700" w:type="dxa"/>
          </w:tcPr>
          <w:p w14:paraId="10B5D9B5">
            <w:pPr>
              <w:spacing w:line="480" w:lineRule="auto"/>
              <w:rPr>
                <w:color w:val="auto"/>
                <w:highlight w:val="none"/>
              </w:rPr>
            </w:pPr>
          </w:p>
        </w:tc>
      </w:tr>
      <w:tr w14:paraId="5E5A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979C9FF">
            <w:pPr>
              <w:jc w:val="center"/>
              <w:rPr>
                <w:color w:val="auto"/>
                <w:highlight w:val="none"/>
              </w:rPr>
            </w:pPr>
            <w:r>
              <w:rPr>
                <w:rFonts w:hint="eastAsia"/>
                <w:color w:val="auto"/>
                <w:highlight w:val="none"/>
              </w:rPr>
              <w:t>7</w:t>
            </w:r>
          </w:p>
        </w:tc>
        <w:tc>
          <w:tcPr>
            <w:tcW w:w="3060" w:type="dxa"/>
            <w:vAlign w:val="center"/>
          </w:tcPr>
          <w:p w14:paraId="4046F22F">
            <w:pPr>
              <w:rPr>
                <w:color w:val="auto"/>
                <w:highlight w:val="none"/>
              </w:rPr>
            </w:pPr>
            <w:r>
              <w:rPr>
                <w:rFonts w:hint="eastAsia"/>
                <w:color w:val="auto"/>
                <w:highlight w:val="none"/>
              </w:rPr>
              <w:t>工程质量违约金最高金额</w:t>
            </w:r>
          </w:p>
        </w:tc>
        <w:tc>
          <w:tcPr>
            <w:tcW w:w="1105" w:type="dxa"/>
            <w:vAlign w:val="center"/>
          </w:tcPr>
          <w:p w14:paraId="7CC5D7E7">
            <w:pPr>
              <w:rPr>
                <w:color w:val="auto"/>
                <w:highlight w:val="none"/>
              </w:rPr>
            </w:pPr>
          </w:p>
        </w:tc>
        <w:tc>
          <w:tcPr>
            <w:tcW w:w="2216" w:type="dxa"/>
            <w:vAlign w:val="center"/>
          </w:tcPr>
          <w:p w14:paraId="4CF8A929">
            <w:pPr>
              <w:rPr>
                <w:color w:val="auto"/>
                <w:highlight w:val="none"/>
              </w:rPr>
            </w:pPr>
            <w:r>
              <w:rPr>
                <w:rFonts w:hint="eastAsia"/>
                <w:color w:val="auto"/>
                <w:highlight w:val="none"/>
              </w:rPr>
              <w:t>按照招标文件要求</w:t>
            </w:r>
          </w:p>
        </w:tc>
        <w:tc>
          <w:tcPr>
            <w:tcW w:w="1700" w:type="dxa"/>
          </w:tcPr>
          <w:p w14:paraId="7A7E67A0">
            <w:pPr>
              <w:spacing w:line="480" w:lineRule="auto"/>
              <w:rPr>
                <w:color w:val="auto"/>
                <w:highlight w:val="none"/>
              </w:rPr>
            </w:pPr>
          </w:p>
        </w:tc>
      </w:tr>
      <w:tr w14:paraId="3111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E4429F2">
            <w:pPr>
              <w:jc w:val="center"/>
              <w:rPr>
                <w:color w:val="auto"/>
                <w:highlight w:val="none"/>
              </w:rPr>
            </w:pPr>
            <w:r>
              <w:rPr>
                <w:rFonts w:hint="eastAsia"/>
                <w:color w:val="auto"/>
                <w:highlight w:val="none"/>
              </w:rPr>
              <w:t>8</w:t>
            </w:r>
          </w:p>
        </w:tc>
        <w:tc>
          <w:tcPr>
            <w:tcW w:w="3060" w:type="dxa"/>
            <w:vAlign w:val="center"/>
          </w:tcPr>
          <w:p w14:paraId="280A188F">
            <w:pPr>
              <w:rPr>
                <w:color w:val="auto"/>
                <w:highlight w:val="none"/>
              </w:rPr>
            </w:pPr>
            <w:r>
              <w:rPr>
                <w:rFonts w:hint="eastAsia"/>
                <w:color w:val="auto"/>
                <w:highlight w:val="none"/>
              </w:rPr>
              <w:t>预付款金额：</w:t>
            </w:r>
          </w:p>
        </w:tc>
        <w:tc>
          <w:tcPr>
            <w:tcW w:w="1105" w:type="dxa"/>
            <w:vAlign w:val="center"/>
          </w:tcPr>
          <w:p w14:paraId="265CF227">
            <w:pPr>
              <w:rPr>
                <w:color w:val="auto"/>
                <w:highlight w:val="none"/>
              </w:rPr>
            </w:pPr>
          </w:p>
        </w:tc>
        <w:tc>
          <w:tcPr>
            <w:tcW w:w="2216" w:type="dxa"/>
            <w:vAlign w:val="center"/>
          </w:tcPr>
          <w:p w14:paraId="56C29197">
            <w:pPr>
              <w:rPr>
                <w:color w:val="auto"/>
                <w:highlight w:val="none"/>
              </w:rPr>
            </w:pPr>
            <w:r>
              <w:rPr>
                <w:rFonts w:hint="eastAsia"/>
                <w:color w:val="auto"/>
                <w:highlight w:val="none"/>
              </w:rPr>
              <w:t>按照招标文件要求</w:t>
            </w:r>
          </w:p>
        </w:tc>
        <w:tc>
          <w:tcPr>
            <w:tcW w:w="1700" w:type="dxa"/>
          </w:tcPr>
          <w:p w14:paraId="01583C61">
            <w:pPr>
              <w:spacing w:line="480" w:lineRule="auto"/>
              <w:rPr>
                <w:color w:val="auto"/>
                <w:highlight w:val="none"/>
              </w:rPr>
            </w:pPr>
          </w:p>
        </w:tc>
      </w:tr>
      <w:tr w14:paraId="2D69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5124B74">
            <w:pPr>
              <w:jc w:val="center"/>
              <w:rPr>
                <w:color w:val="auto"/>
                <w:highlight w:val="none"/>
              </w:rPr>
            </w:pPr>
            <w:r>
              <w:rPr>
                <w:rFonts w:hint="eastAsia"/>
                <w:color w:val="auto"/>
                <w:highlight w:val="none"/>
              </w:rPr>
              <w:t>9</w:t>
            </w:r>
          </w:p>
        </w:tc>
        <w:tc>
          <w:tcPr>
            <w:tcW w:w="3060" w:type="dxa"/>
            <w:vAlign w:val="center"/>
          </w:tcPr>
          <w:p w14:paraId="59E5958A">
            <w:pPr>
              <w:rPr>
                <w:color w:val="auto"/>
                <w:highlight w:val="none"/>
              </w:rPr>
            </w:pPr>
            <w:r>
              <w:rPr>
                <w:rFonts w:hint="eastAsia"/>
                <w:color w:val="auto"/>
                <w:highlight w:val="none"/>
              </w:rPr>
              <w:t>预付款保函金额</w:t>
            </w:r>
          </w:p>
        </w:tc>
        <w:tc>
          <w:tcPr>
            <w:tcW w:w="1105" w:type="dxa"/>
            <w:vAlign w:val="center"/>
          </w:tcPr>
          <w:p w14:paraId="57A6C30C">
            <w:pPr>
              <w:rPr>
                <w:color w:val="auto"/>
                <w:highlight w:val="none"/>
              </w:rPr>
            </w:pPr>
          </w:p>
        </w:tc>
        <w:tc>
          <w:tcPr>
            <w:tcW w:w="2216" w:type="dxa"/>
            <w:vAlign w:val="center"/>
          </w:tcPr>
          <w:p w14:paraId="33957D20">
            <w:pPr>
              <w:rPr>
                <w:color w:val="auto"/>
                <w:highlight w:val="none"/>
              </w:rPr>
            </w:pPr>
            <w:r>
              <w:rPr>
                <w:rFonts w:hint="eastAsia"/>
                <w:color w:val="auto"/>
                <w:highlight w:val="none"/>
              </w:rPr>
              <w:t>按照招标文件要求</w:t>
            </w:r>
          </w:p>
        </w:tc>
        <w:tc>
          <w:tcPr>
            <w:tcW w:w="1700" w:type="dxa"/>
          </w:tcPr>
          <w:p w14:paraId="08EDFF55">
            <w:pPr>
              <w:spacing w:line="480" w:lineRule="auto"/>
              <w:rPr>
                <w:color w:val="auto"/>
                <w:highlight w:val="none"/>
              </w:rPr>
            </w:pPr>
          </w:p>
        </w:tc>
      </w:tr>
      <w:tr w14:paraId="1C0F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3A53565">
            <w:pPr>
              <w:jc w:val="center"/>
              <w:rPr>
                <w:color w:val="auto"/>
                <w:highlight w:val="none"/>
              </w:rPr>
            </w:pPr>
            <w:r>
              <w:rPr>
                <w:color w:val="auto"/>
                <w:highlight w:val="none"/>
              </w:rPr>
              <w:t>1</w:t>
            </w:r>
            <w:r>
              <w:rPr>
                <w:rFonts w:hint="eastAsia"/>
                <w:color w:val="auto"/>
                <w:highlight w:val="none"/>
              </w:rPr>
              <w:t>0</w:t>
            </w:r>
          </w:p>
        </w:tc>
        <w:tc>
          <w:tcPr>
            <w:tcW w:w="3060" w:type="dxa"/>
            <w:vAlign w:val="center"/>
          </w:tcPr>
          <w:p w14:paraId="63FE32F7">
            <w:pPr>
              <w:rPr>
                <w:color w:val="auto"/>
                <w:highlight w:val="none"/>
              </w:rPr>
            </w:pPr>
            <w:r>
              <w:rPr>
                <w:rFonts w:hint="eastAsia"/>
                <w:color w:val="auto"/>
                <w:highlight w:val="none"/>
              </w:rPr>
              <w:t>进度款付款金额</w:t>
            </w:r>
          </w:p>
        </w:tc>
        <w:tc>
          <w:tcPr>
            <w:tcW w:w="1105" w:type="dxa"/>
            <w:vAlign w:val="center"/>
          </w:tcPr>
          <w:p w14:paraId="29F60E51">
            <w:pPr>
              <w:rPr>
                <w:color w:val="auto"/>
                <w:highlight w:val="none"/>
              </w:rPr>
            </w:pPr>
          </w:p>
        </w:tc>
        <w:tc>
          <w:tcPr>
            <w:tcW w:w="2216" w:type="dxa"/>
            <w:vAlign w:val="center"/>
          </w:tcPr>
          <w:p w14:paraId="5F8FF212">
            <w:pPr>
              <w:rPr>
                <w:color w:val="auto"/>
                <w:highlight w:val="none"/>
              </w:rPr>
            </w:pPr>
            <w:r>
              <w:rPr>
                <w:rFonts w:hint="eastAsia"/>
                <w:color w:val="auto"/>
                <w:highlight w:val="none"/>
              </w:rPr>
              <w:t>按照招标文件要求</w:t>
            </w:r>
          </w:p>
        </w:tc>
        <w:tc>
          <w:tcPr>
            <w:tcW w:w="1700" w:type="dxa"/>
          </w:tcPr>
          <w:p w14:paraId="304682AB">
            <w:pPr>
              <w:spacing w:line="480" w:lineRule="auto"/>
              <w:rPr>
                <w:color w:val="auto"/>
                <w:highlight w:val="none"/>
              </w:rPr>
            </w:pPr>
          </w:p>
        </w:tc>
      </w:tr>
      <w:tr w14:paraId="5DCA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F07F21B">
            <w:pPr>
              <w:jc w:val="center"/>
              <w:rPr>
                <w:color w:val="auto"/>
                <w:highlight w:val="none"/>
              </w:rPr>
            </w:pPr>
            <w:r>
              <w:rPr>
                <w:rFonts w:hint="eastAsia"/>
                <w:color w:val="auto"/>
                <w:highlight w:val="none"/>
              </w:rPr>
              <w:t>11</w:t>
            </w:r>
          </w:p>
        </w:tc>
        <w:tc>
          <w:tcPr>
            <w:tcW w:w="3060" w:type="dxa"/>
            <w:vAlign w:val="center"/>
          </w:tcPr>
          <w:p w14:paraId="0EDFB4C0">
            <w:pPr>
              <w:rPr>
                <w:color w:val="auto"/>
                <w:highlight w:val="none"/>
              </w:rPr>
            </w:pPr>
            <w:r>
              <w:rPr>
                <w:rFonts w:hint="eastAsia"/>
                <w:color w:val="auto"/>
                <w:highlight w:val="none"/>
              </w:rPr>
              <w:t>竣工结算款付款时间：</w:t>
            </w:r>
          </w:p>
        </w:tc>
        <w:tc>
          <w:tcPr>
            <w:tcW w:w="1105" w:type="dxa"/>
            <w:vAlign w:val="center"/>
          </w:tcPr>
          <w:p w14:paraId="3725F368">
            <w:pPr>
              <w:rPr>
                <w:color w:val="auto"/>
                <w:highlight w:val="none"/>
              </w:rPr>
            </w:pPr>
          </w:p>
        </w:tc>
        <w:tc>
          <w:tcPr>
            <w:tcW w:w="2216" w:type="dxa"/>
            <w:vAlign w:val="center"/>
          </w:tcPr>
          <w:p w14:paraId="45F7A576">
            <w:pPr>
              <w:rPr>
                <w:color w:val="auto"/>
                <w:highlight w:val="none"/>
              </w:rPr>
            </w:pPr>
            <w:r>
              <w:rPr>
                <w:rFonts w:hint="eastAsia"/>
                <w:color w:val="auto"/>
                <w:highlight w:val="none"/>
              </w:rPr>
              <w:t>按照招标文件要求</w:t>
            </w:r>
          </w:p>
        </w:tc>
        <w:tc>
          <w:tcPr>
            <w:tcW w:w="1700" w:type="dxa"/>
          </w:tcPr>
          <w:p w14:paraId="4893810D">
            <w:pPr>
              <w:spacing w:line="480" w:lineRule="auto"/>
              <w:rPr>
                <w:color w:val="auto"/>
                <w:highlight w:val="none"/>
              </w:rPr>
            </w:pPr>
          </w:p>
        </w:tc>
      </w:tr>
      <w:tr w14:paraId="6418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0794646">
            <w:pPr>
              <w:jc w:val="center"/>
              <w:rPr>
                <w:color w:val="auto"/>
                <w:highlight w:val="none"/>
              </w:rPr>
            </w:pPr>
            <w:r>
              <w:rPr>
                <w:color w:val="auto"/>
                <w:highlight w:val="none"/>
              </w:rPr>
              <w:t>1</w:t>
            </w:r>
            <w:r>
              <w:rPr>
                <w:rFonts w:hint="eastAsia"/>
                <w:color w:val="auto"/>
                <w:highlight w:val="none"/>
              </w:rPr>
              <w:t>2</w:t>
            </w:r>
          </w:p>
        </w:tc>
        <w:tc>
          <w:tcPr>
            <w:tcW w:w="3060" w:type="dxa"/>
            <w:vAlign w:val="center"/>
          </w:tcPr>
          <w:p w14:paraId="0789B803">
            <w:pPr>
              <w:rPr>
                <w:color w:val="auto"/>
                <w:highlight w:val="none"/>
              </w:rPr>
            </w:pPr>
            <w:r>
              <w:rPr>
                <w:rFonts w:hint="eastAsia"/>
                <w:color w:val="auto"/>
                <w:highlight w:val="none"/>
              </w:rPr>
              <w:t>保修期：</w:t>
            </w:r>
          </w:p>
        </w:tc>
        <w:tc>
          <w:tcPr>
            <w:tcW w:w="1105" w:type="dxa"/>
            <w:vAlign w:val="center"/>
          </w:tcPr>
          <w:p w14:paraId="4964F0A1">
            <w:pPr>
              <w:rPr>
                <w:color w:val="auto"/>
                <w:highlight w:val="none"/>
              </w:rPr>
            </w:pPr>
          </w:p>
        </w:tc>
        <w:tc>
          <w:tcPr>
            <w:tcW w:w="2216" w:type="dxa"/>
            <w:vAlign w:val="center"/>
          </w:tcPr>
          <w:p w14:paraId="40702A67">
            <w:pPr>
              <w:rPr>
                <w:color w:val="auto"/>
                <w:highlight w:val="none"/>
              </w:rPr>
            </w:pPr>
            <w:r>
              <w:rPr>
                <w:rFonts w:hint="eastAsia"/>
                <w:color w:val="auto"/>
                <w:highlight w:val="none"/>
              </w:rPr>
              <w:t>按照招标文件要求</w:t>
            </w:r>
          </w:p>
        </w:tc>
        <w:tc>
          <w:tcPr>
            <w:tcW w:w="1700" w:type="dxa"/>
          </w:tcPr>
          <w:p w14:paraId="2A178A0F">
            <w:pPr>
              <w:spacing w:line="480" w:lineRule="auto"/>
              <w:rPr>
                <w:color w:val="auto"/>
                <w:highlight w:val="none"/>
              </w:rPr>
            </w:pPr>
          </w:p>
        </w:tc>
      </w:tr>
    </w:tbl>
    <w:p w14:paraId="0FF7FF72">
      <w:pPr>
        <w:rPr>
          <w:color w:val="auto"/>
          <w:highlight w:val="none"/>
        </w:rPr>
      </w:pPr>
    </w:p>
    <w:p w14:paraId="380F80A5">
      <w:pPr>
        <w:spacing w:line="360" w:lineRule="auto"/>
        <w:jc w:val="center"/>
        <w:rPr>
          <w:rFonts w:hint="eastAsia" w:ascii="宋体" w:hAnsi="宋体"/>
          <w:color w:val="auto"/>
          <w:highlight w:val="none"/>
        </w:rPr>
      </w:pPr>
    </w:p>
    <w:p w14:paraId="45C717AD">
      <w:pPr>
        <w:spacing w:line="360" w:lineRule="auto"/>
        <w:jc w:val="center"/>
        <w:rPr>
          <w:rFonts w:hint="eastAsia" w:ascii="宋体" w:hAnsi="宋体"/>
          <w:color w:val="auto"/>
          <w:highlight w:val="none"/>
        </w:rPr>
      </w:pPr>
    </w:p>
    <w:p w14:paraId="01E42A9B">
      <w:pPr>
        <w:numPr>
          <w:ins w:id="17" w:author="Windows" w:date="2021-06-19T18:01:00Z"/>
        </w:numPr>
        <w:autoSpaceDE/>
        <w:autoSpaceDN/>
        <w:adjustRightInd/>
        <w:jc w:val="center"/>
        <w:rPr>
          <w:rFonts w:ascii="小标宋" w:eastAsia="小标宋"/>
          <w:color w:val="auto"/>
          <w:sz w:val="32"/>
          <w:szCs w:val="32"/>
          <w:highlight w:val="none"/>
        </w:rPr>
      </w:pPr>
      <w:r>
        <w:rPr>
          <w:rFonts w:ascii="宋体" w:hAnsi="宋体"/>
          <w:color w:val="auto"/>
          <w:highlight w:val="none"/>
        </w:rPr>
        <w:br w:type="page"/>
      </w:r>
      <w:r>
        <w:rPr>
          <w:rFonts w:hint="eastAsia" w:ascii="小标宋" w:eastAsia="小标宋"/>
          <w:color w:val="auto"/>
          <w:sz w:val="32"/>
          <w:szCs w:val="32"/>
          <w:highlight w:val="none"/>
        </w:rPr>
        <w:t>投标承诺书</w:t>
      </w:r>
    </w:p>
    <w:p w14:paraId="29433F39">
      <w:pPr>
        <w:pStyle w:val="14"/>
        <w:numPr>
          <w:ins w:id="18" w:author="XH" w:date="2025-06-29T13:54:00Z"/>
        </w:numPr>
        <w:rPr>
          <w:rFonts w:hint="eastAsia" w:hAnsi="宋体"/>
          <w:color w:val="auto"/>
          <w:sz w:val="24"/>
          <w:szCs w:val="24"/>
          <w:highlight w:val="none"/>
        </w:rPr>
      </w:pPr>
      <w:r>
        <w:rPr>
          <w:rFonts w:hint="eastAsia" w:hAnsi="宋体"/>
          <w:color w:val="auto"/>
          <w:sz w:val="24"/>
          <w:szCs w:val="24"/>
          <w:highlight w:val="none"/>
          <w:u w:val="single"/>
        </w:rPr>
        <w:t>（招标人名称）</w:t>
      </w:r>
      <w:r>
        <w:rPr>
          <w:rFonts w:hAnsi="宋体"/>
          <w:color w:val="auto"/>
          <w:sz w:val="24"/>
          <w:szCs w:val="24"/>
          <w:highlight w:val="none"/>
          <w:u w:val="single"/>
        </w:rPr>
        <w:t xml:space="preserve">                    </w:t>
      </w:r>
      <w:r>
        <w:rPr>
          <w:rFonts w:hint="eastAsia" w:hAnsi="宋体"/>
          <w:color w:val="auto"/>
          <w:sz w:val="24"/>
          <w:szCs w:val="24"/>
          <w:highlight w:val="none"/>
        </w:rPr>
        <w:t>：</w:t>
      </w:r>
    </w:p>
    <w:p w14:paraId="13DD290E">
      <w:pPr>
        <w:pStyle w:val="14"/>
        <w:numPr>
          <w:ins w:id="19" w:author="XH" w:date="2025-06-29T13:54:00Z"/>
        </w:numPr>
        <w:ind w:firstLine="480" w:firstLineChars="200"/>
        <w:rPr>
          <w:rFonts w:hint="eastAsia" w:hAnsi="宋体"/>
          <w:color w:val="auto"/>
          <w:sz w:val="24"/>
          <w:szCs w:val="24"/>
          <w:highlight w:val="none"/>
        </w:rPr>
      </w:pPr>
      <w:r>
        <w:rPr>
          <w:rFonts w:hint="eastAsia" w:hAnsi="宋体"/>
          <w:color w:val="auto"/>
          <w:sz w:val="24"/>
          <w:szCs w:val="24"/>
          <w:highlight w:val="none"/>
        </w:rPr>
        <w:t>本公司已详细阅读</w:t>
      </w:r>
      <w:r>
        <w:rPr>
          <w:rFonts w:hAnsi="宋体"/>
          <w:color w:val="auto"/>
          <w:sz w:val="24"/>
          <w:szCs w:val="24"/>
          <w:highlight w:val="none"/>
          <w:u w:val="single"/>
        </w:rPr>
        <w:t xml:space="preserve">    （</w:t>
      </w:r>
      <w:r>
        <w:rPr>
          <w:rFonts w:hint="eastAsia" w:hAnsi="宋体"/>
          <w:color w:val="auto"/>
          <w:sz w:val="24"/>
          <w:szCs w:val="24"/>
          <w:highlight w:val="none"/>
          <w:u w:val="single"/>
        </w:rPr>
        <w:t>项目</w:t>
      </w:r>
      <w:r>
        <w:rPr>
          <w:rFonts w:hAnsi="宋体"/>
          <w:color w:val="auto"/>
          <w:sz w:val="24"/>
          <w:szCs w:val="24"/>
          <w:highlight w:val="none"/>
          <w:u w:val="single"/>
        </w:rPr>
        <w:t xml:space="preserve">名称及招标编号）   </w:t>
      </w:r>
      <w:r>
        <w:rPr>
          <w:rFonts w:hint="eastAsia" w:hAnsi="宋体"/>
          <w:color w:val="auto"/>
          <w:sz w:val="24"/>
          <w:szCs w:val="24"/>
          <w:highlight w:val="none"/>
        </w:rPr>
        <w:t>招标文件，自觉遵守中华人民共和国、浙江省及当地有关招标投标的法律法规规定，自觉维护建筑市场正常秩序，现自愿就参加该工程投标有关事项郑重承诺如下：</w:t>
      </w:r>
    </w:p>
    <w:p w14:paraId="267CC32C">
      <w:pPr>
        <w:pStyle w:val="14"/>
        <w:numPr>
          <w:ilvl w:val="0"/>
          <w:numId w:val="53"/>
        </w:numPr>
        <w:ind w:firstLine="480" w:firstLineChars="200"/>
        <w:rPr>
          <w:rFonts w:hint="eastAsia" w:hAnsi="宋体"/>
          <w:color w:val="auto"/>
          <w:sz w:val="24"/>
          <w:szCs w:val="24"/>
          <w:highlight w:val="none"/>
        </w:rPr>
      </w:pPr>
      <w:r>
        <w:rPr>
          <w:rFonts w:hAnsi="宋体"/>
          <w:color w:val="auto"/>
          <w:sz w:val="24"/>
          <w:szCs w:val="24"/>
          <w:highlight w:val="none"/>
        </w:rPr>
        <w:t>承诺投标文件无虚假、伪造的内容。若投标文件中存在虚假、伪造的内容，同意作无效投标处理</w:t>
      </w:r>
      <w:r>
        <w:rPr>
          <w:rFonts w:hint="eastAsia" w:hAnsi="宋体"/>
          <w:color w:val="auto"/>
          <w:sz w:val="24"/>
          <w:szCs w:val="24"/>
          <w:highlight w:val="none"/>
        </w:rPr>
        <w:t>。</w:t>
      </w:r>
    </w:p>
    <w:p w14:paraId="1B583498">
      <w:pPr>
        <w:pStyle w:val="14"/>
        <w:numPr>
          <w:ins w:id="20" w:author="XH" w:date="2025-06-29T13:54:00Z"/>
        </w:numPr>
        <w:ind w:firstLine="480" w:firstLineChars="200"/>
        <w:rPr>
          <w:rFonts w:hint="eastAsia" w:hAnsi="宋体"/>
          <w:color w:val="auto"/>
          <w:sz w:val="24"/>
          <w:szCs w:val="24"/>
          <w:highlight w:val="none"/>
        </w:rPr>
      </w:pPr>
      <w:r>
        <w:rPr>
          <w:rFonts w:hAnsi="宋体"/>
          <w:color w:val="auto"/>
          <w:sz w:val="24"/>
          <w:szCs w:val="24"/>
          <w:highlight w:val="none"/>
        </w:rPr>
        <w:t>2.承诺</w:t>
      </w:r>
      <w:r>
        <w:rPr>
          <w:rFonts w:hint="eastAsia" w:hAnsi="宋体"/>
          <w:color w:val="auto"/>
          <w:sz w:val="24"/>
          <w:szCs w:val="24"/>
          <w:highlight w:val="none"/>
        </w:rPr>
        <w:t>我单位法定代表人、拟派项目负责人、授权代表等主要责任人诚信投标。</w:t>
      </w:r>
    </w:p>
    <w:p w14:paraId="21E67B3F">
      <w:pPr>
        <w:pStyle w:val="14"/>
        <w:numPr>
          <w:ins w:id="21" w:author="XH" w:date="2025-06-29T13:54:00Z"/>
        </w:numPr>
        <w:ind w:firstLine="480" w:firstLineChars="200"/>
        <w:rPr>
          <w:rFonts w:hint="eastAsia" w:hAnsi="宋体"/>
          <w:color w:val="auto"/>
          <w:sz w:val="24"/>
          <w:szCs w:val="24"/>
          <w:highlight w:val="none"/>
        </w:rPr>
      </w:pPr>
      <w:r>
        <w:rPr>
          <w:rFonts w:hint="eastAsia" w:hAnsi="宋体"/>
          <w:color w:val="auto"/>
          <w:sz w:val="24"/>
          <w:szCs w:val="24"/>
          <w:highlight w:val="none"/>
        </w:rPr>
        <w:t>3</w:t>
      </w:r>
      <w:r>
        <w:rPr>
          <w:rFonts w:hAnsi="宋体"/>
          <w:color w:val="auto"/>
          <w:sz w:val="24"/>
          <w:szCs w:val="24"/>
          <w:highlight w:val="none"/>
        </w:rPr>
        <w:t>.</w:t>
      </w:r>
      <w:r>
        <w:rPr>
          <w:rFonts w:hint="eastAsia" w:hAnsi="宋体"/>
          <w:color w:val="auto"/>
          <w:sz w:val="24"/>
          <w:szCs w:val="24"/>
          <w:highlight w:val="none"/>
        </w:rPr>
        <w:t>承诺无串通投标行为，若与其他投标人存在投标文件异常一致、内容多处雷同、电子检测码（或制作机器码、创建标识码）一致的情况，同意作无效投标处理，并接受有关行政监督部门的调查和处罚。</w:t>
      </w:r>
    </w:p>
    <w:p w14:paraId="2212D311">
      <w:pPr>
        <w:pStyle w:val="14"/>
        <w:numPr>
          <w:ins w:id="22" w:author="XH" w:date="2025-06-29T13:54:00Z"/>
        </w:numPr>
        <w:ind w:firstLine="480" w:firstLineChars="200"/>
        <w:rPr>
          <w:rFonts w:hint="eastAsia" w:hAnsi="宋体"/>
          <w:color w:val="auto"/>
          <w:sz w:val="24"/>
          <w:szCs w:val="24"/>
          <w:highlight w:val="none"/>
        </w:rPr>
      </w:pPr>
      <w:r>
        <w:rPr>
          <w:rFonts w:hint="eastAsia" w:hAnsi="宋体"/>
          <w:color w:val="auto"/>
          <w:sz w:val="24"/>
          <w:szCs w:val="24"/>
          <w:highlight w:val="none"/>
        </w:rPr>
        <w:t>4</w:t>
      </w:r>
      <w:r>
        <w:rPr>
          <w:rFonts w:hAnsi="宋体"/>
          <w:color w:val="auto"/>
          <w:sz w:val="24"/>
          <w:szCs w:val="24"/>
          <w:highlight w:val="none"/>
        </w:rPr>
        <w:t>.承诺无恶意报价行为，若被认定存在严重哄抬标价或影响合同履行的异常低价竞标行为，同意作无效投标处理，并接受有关行政监督部门的调查和处罚</w:t>
      </w:r>
      <w:r>
        <w:rPr>
          <w:rFonts w:hint="eastAsia" w:hAnsi="宋体"/>
          <w:color w:val="auto"/>
          <w:sz w:val="24"/>
          <w:szCs w:val="24"/>
          <w:highlight w:val="none"/>
        </w:rPr>
        <w:t>。</w:t>
      </w:r>
    </w:p>
    <w:p w14:paraId="4737E8F9">
      <w:pPr>
        <w:pStyle w:val="14"/>
        <w:numPr>
          <w:ins w:id="23" w:author="XH" w:date="2025-06-29T13:54:00Z"/>
        </w:numPr>
        <w:ind w:firstLine="480" w:firstLineChars="200"/>
        <w:rPr>
          <w:rFonts w:hint="eastAsia" w:hAnsi="宋体"/>
          <w:color w:val="auto"/>
          <w:spacing w:val="-5"/>
          <w:sz w:val="24"/>
          <w:szCs w:val="24"/>
          <w:highlight w:val="none"/>
        </w:rPr>
      </w:pPr>
      <w:r>
        <w:rPr>
          <w:rFonts w:hint="eastAsia" w:hAnsi="宋体"/>
          <w:color w:val="auto"/>
          <w:sz w:val="24"/>
          <w:szCs w:val="24"/>
          <w:highlight w:val="none"/>
        </w:rPr>
        <w:t>5.</w:t>
      </w:r>
      <w:r>
        <w:rPr>
          <w:rFonts w:hAnsi="宋体"/>
          <w:color w:val="auto"/>
          <w:sz w:val="24"/>
          <w:szCs w:val="24"/>
          <w:highlight w:val="none"/>
        </w:rPr>
        <w:t>承诺按照投标文件派驻管理人员及投入机械设备，</w:t>
      </w:r>
      <w:r>
        <w:rPr>
          <w:rFonts w:hAnsi="宋体"/>
          <w:color w:val="auto"/>
          <w:spacing w:val="-5"/>
          <w:sz w:val="24"/>
          <w:szCs w:val="24"/>
          <w:highlight w:val="none"/>
        </w:rPr>
        <w:t>若存在不到位的情况，同意接受合同约定的处罚。若严重影响合同履约的，同意接受招标人解除合同的要求。</w:t>
      </w:r>
    </w:p>
    <w:p w14:paraId="46F18255">
      <w:pPr>
        <w:pStyle w:val="14"/>
        <w:numPr>
          <w:ins w:id="24" w:author="XH" w:date="2025-06-29T13:54:00Z"/>
        </w:numPr>
        <w:ind w:firstLine="480" w:firstLineChars="200"/>
        <w:rPr>
          <w:rFonts w:hint="eastAsia" w:hAnsi="宋体"/>
          <w:color w:val="auto"/>
          <w:sz w:val="24"/>
          <w:szCs w:val="24"/>
          <w:highlight w:val="none"/>
        </w:rPr>
      </w:pPr>
      <w:r>
        <w:rPr>
          <w:rFonts w:hint="eastAsia" w:hAnsi="宋体"/>
          <w:color w:val="auto"/>
          <w:sz w:val="24"/>
          <w:szCs w:val="24"/>
          <w:highlight w:val="none"/>
        </w:rPr>
        <w:t>6.</w:t>
      </w:r>
      <w:r>
        <w:rPr>
          <w:rFonts w:hAnsi="宋体"/>
          <w:color w:val="auto"/>
          <w:sz w:val="24"/>
          <w:szCs w:val="24"/>
          <w:highlight w:val="none"/>
        </w:rPr>
        <w:t>承诺本项</w:t>
      </w:r>
      <w:r>
        <w:rPr>
          <w:rFonts w:hint="eastAsia" w:hAnsi="宋体"/>
          <w:color w:val="auto"/>
          <w:sz w:val="24"/>
          <w:szCs w:val="24"/>
          <w:highlight w:val="none"/>
        </w:rPr>
        <w:t>目拟派项目负责人在</w:t>
      </w:r>
      <w:r>
        <w:rPr>
          <w:rFonts w:hAnsi="宋体"/>
          <w:color w:val="auto"/>
          <w:sz w:val="24"/>
          <w:szCs w:val="24"/>
          <w:highlight w:val="none"/>
        </w:rPr>
        <w:t>投标截止</w:t>
      </w:r>
      <w:r>
        <w:rPr>
          <w:rFonts w:hint="eastAsia" w:hAnsi="宋体"/>
          <w:color w:val="auto"/>
          <w:sz w:val="24"/>
          <w:szCs w:val="24"/>
          <w:highlight w:val="none"/>
        </w:rPr>
        <w:t>日无在其他任何在建合同工程上担任项目负责人（包括工程总承包项目中的施工负责人）的情形。</w:t>
      </w:r>
    </w:p>
    <w:p w14:paraId="3A21C39B">
      <w:pPr>
        <w:pStyle w:val="14"/>
        <w:numPr>
          <w:ins w:id="25" w:author="XH" w:date="2025-06-29T13:54:00Z"/>
        </w:numPr>
        <w:ind w:firstLine="480" w:firstLineChars="200"/>
        <w:rPr>
          <w:rFonts w:hint="eastAsia" w:hAnsi="宋体"/>
          <w:color w:val="auto"/>
          <w:sz w:val="24"/>
          <w:szCs w:val="24"/>
          <w:highlight w:val="none"/>
        </w:rPr>
      </w:pPr>
      <w:r>
        <w:rPr>
          <w:rFonts w:hint="eastAsia" w:hAnsi="宋体"/>
          <w:color w:val="auto"/>
          <w:sz w:val="24"/>
          <w:szCs w:val="24"/>
          <w:highlight w:val="none"/>
        </w:rPr>
        <w:t>7.承诺我单位在投标期间（招标公告发布之日至中标通知书发出之日），资质条件在“</w:t>
      </w:r>
      <w:r>
        <w:rPr>
          <w:rFonts w:hint="eastAsia" w:ascii="Times New Roman" w:hAnsi="宋体"/>
          <w:color w:val="auto"/>
          <w:sz w:val="24"/>
          <w:highlight w:val="none"/>
        </w:rPr>
        <w:t>浙江省建筑市场监管公共服务系统</w:t>
      </w:r>
      <w:r>
        <w:rPr>
          <w:rFonts w:hint="eastAsia" w:hAnsi="宋体"/>
          <w:color w:val="auto"/>
          <w:sz w:val="24"/>
          <w:szCs w:val="24"/>
          <w:highlight w:val="none"/>
        </w:rPr>
        <w:t>”上动态核查结果处于“合格”状态，若为“不合格”状态同意作否决投标处理。</w:t>
      </w:r>
    </w:p>
    <w:p w14:paraId="3C59EB26">
      <w:pPr>
        <w:pStyle w:val="14"/>
        <w:ind w:firstLine="480" w:firstLineChars="200"/>
        <w:rPr>
          <w:rFonts w:hint="eastAsia" w:hAnsi="宋体"/>
          <w:color w:val="auto"/>
          <w:sz w:val="24"/>
          <w:szCs w:val="24"/>
          <w:highlight w:val="none"/>
        </w:rPr>
      </w:pPr>
      <w:r>
        <w:rPr>
          <w:rFonts w:hint="eastAsia" w:hAnsi="宋体"/>
          <w:color w:val="auto"/>
          <w:sz w:val="24"/>
          <w:szCs w:val="24"/>
          <w:highlight w:val="none"/>
        </w:rPr>
        <w:t>8.承诺我单位在投标前，及时维护更新“浙江省建筑市场监管公共服务系统”相关信息，并对企业资质、人员资格、项目状况、信用评价等信息的真实性、准确性、完整性负责。</w:t>
      </w:r>
    </w:p>
    <w:p w14:paraId="609EE27A">
      <w:pPr>
        <w:pStyle w:val="14"/>
        <w:numPr>
          <w:ins w:id="26" w:author="XH" w:date="2025-06-29T13:54:00Z"/>
        </w:numPr>
        <w:ind w:firstLine="480" w:firstLineChars="200"/>
        <w:rPr>
          <w:rFonts w:hint="eastAsia" w:hAnsi="宋体"/>
          <w:color w:val="auto"/>
          <w:sz w:val="24"/>
          <w:szCs w:val="24"/>
          <w:highlight w:val="none"/>
        </w:rPr>
      </w:pPr>
      <w:r>
        <w:rPr>
          <w:rFonts w:hint="eastAsia" w:hAnsi="宋体"/>
          <w:color w:val="auto"/>
          <w:sz w:val="24"/>
          <w:szCs w:val="24"/>
          <w:highlight w:val="none"/>
        </w:rPr>
        <w:t>9.</w:t>
      </w:r>
      <w:r>
        <w:rPr>
          <w:rFonts w:hAnsi="宋体"/>
          <w:color w:val="auto"/>
          <w:sz w:val="24"/>
          <w:szCs w:val="24"/>
          <w:highlight w:val="none"/>
        </w:rPr>
        <w:t>承诺</w:t>
      </w:r>
      <w:r>
        <w:rPr>
          <w:rFonts w:hint="eastAsia" w:hAnsi="宋体"/>
          <w:color w:val="auto"/>
          <w:sz w:val="24"/>
          <w:szCs w:val="24"/>
          <w:highlight w:val="none"/>
        </w:rPr>
        <w:t>本招标文件要求的人员和单位</w:t>
      </w:r>
      <w:r>
        <w:rPr>
          <w:rFonts w:hAnsi="宋体"/>
          <w:color w:val="auto"/>
          <w:sz w:val="24"/>
          <w:szCs w:val="24"/>
          <w:highlight w:val="none"/>
        </w:rPr>
        <w:t>没有被人民法院列入限制失信被执行人名单和</w:t>
      </w:r>
      <w:r>
        <w:rPr>
          <w:rFonts w:hint="eastAsia" w:hAnsi="宋体"/>
          <w:color w:val="auto"/>
          <w:sz w:val="24"/>
          <w:szCs w:val="24"/>
          <w:highlight w:val="none"/>
        </w:rPr>
        <w:t>至投标截止时间三年</w:t>
      </w:r>
      <w:r>
        <w:rPr>
          <w:rFonts w:hAnsi="宋体"/>
          <w:color w:val="auto"/>
          <w:sz w:val="24"/>
          <w:szCs w:val="24"/>
          <w:highlight w:val="none"/>
        </w:rPr>
        <w:t>内没有行贿犯罪</w:t>
      </w:r>
      <w:r>
        <w:rPr>
          <w:rFonts w:hint="eastAsia" w:hAnsi="宋体"/>
          <w:color w:val="auto"/>
          <w:sz w:val="24"/>
          <w:szCs w:val="24"/>
          <w:highlight w:val="none"/>
        </w:rPr>
        <w:t>记</w:t>
      </w:r>
      <w:r>
        <w:rPr>
          <w:rFonts w:hAnsi="宋体"/>
          <w:color w:val="auto"/>
          <w:sz w:val="24"/>
          <w:szCs w:val="24"/>
          <w:highlight w:val="none"/>
        </w:rPr>
        <w:t>录。</w:t>
      </w:r>
    </w:p>
    <w:p w14:paraId="4A633BB6">
      <w:pPr>
        <w:pStyle w:val="14"/>
        <w:numPr>
          <w:ins w:id="27" w:author="XH" w:date="2025-06-29T13:54:00Z"/>
        </w:numPr>
        <w:ind w:firstLine="480" w:firstLineChars="200"/>
        <w:rPr>
          <w:rFonts w:hint="eastAsia" w:hAnsi="宋体"/>
          <w:color w:val="auto"/>
          <w:sz w:val="24"/>
          <w:szCs w:val="24"/>
          <w:highlight w:val="none"/>
        </w:rPr>
      </w:pPr>
      <w:r>
        <w:rPr>
          <w:rFonts w:hint="eastAsia" w:hAnsi="宋体"/>
          <w:color w:val="auto"/>
          <w:sz w:val="24"/>
          <w:szCs w:val="24"/>
          <w:highlight w:val="none"/>
        </w:rPr>
        <w:t>10.</w:t>
      </w:r>
      <w:r>
        <w:rPr>
          <w:rFonts w:hAnsi="宋体"/>
          <w:color w:val="auto"/>
          <w:sz w:val="24"/>
          <w:szCs w:val="24"/>
          <w:highlight w:val="none"/>
        </w:rPr>
        <w:t>承诺未被</w:t>
      </w:r>
      <w:r>
        <w:rPr>
          <w:rFonts w:hint="eastAsia" w:hAnsi="宋体"/>
          <w:color w:val="auto"/>
          <w:sz w:val="24"/>
          <w:szCs w:val="24"/>
          <w:highlight w:val="none"/>
        </w:rPr>
        <w:t>有关</w:t>
      </w:r>
      <w:r>
        <w:rPr>
          <w:rFonts w:hAnsi="宋体"/>
          <w:color w:val="auto"/>
          <w:sz w:val="24"/>
          <w:szCs w:val="24"/>
          <w:highlight w:val="none"/>
        </w:rPr>
        <w:t>行政主管部门</w:t>
      </w:r>
      <w:r>
        <w:rPr>
          <w:rFonts w:hint="eastAsia" w:hAnsi="宋体"/>
          <w:color w:val="auto"/>
          <w:sz w:val="24"/>
          <w:szCs w:val="24"/>
          <w:highlight w:val="none"/>
        </w:rPr>
        <w:t>列入严重失信黑名单失信(严重违法失信企业名单、联合惩戒名单)</w:t>
      </w:r>
      <w:r>
        <w:rPr>
          <w:rFonts w:hAnsi="宋体"/>
          <w:color w:val="auto"/>
          <w:sz w:val="24"/>
          <w:szCs w:val="24"/>
          <w:highlight w:val="none"/>
        </w:rPr>
        <w:t>或限制参加投标</w:t>
      </w:r>
      <w:r>
        <w:rPr>
          <w:rFonts w:hint="eastAsia" w:hAnsi="宋体"/>
          <w:color w:val="auto"/>
          <w:sz w:val="24"/>
          <w:szCs w:val="24"/>
          <w:highlight w:val="none"/>
        </w:rPr>
        <w:t>。</w:t>
      </w:r>
    </w:p>
    <w:p w14:paraId="5BF68357">
      <w:pPr>
        <w:pStyle w:val="14"/>
        <w:ind w:firstLine="480" w:firstLineChars="200"/>
        <w:rPr>
          <w:rFonts w:hint="eastAsia" w:hAnsi="宋体"/>
          <w:color w:val="auto"/>
          <w:sz w:val="24"/>
          <w:szCs w:val="24"/>
          <w:highlight w:val="none"/>
        </w:rPr>
      </w:pPr>
      <w:r>
        <w:rPr>
          <w:rFonts w:hint="eastAsia" w:hAnsi="宋体"/>
          <w:color w:val="auto"/>
          <w:sz w:val="24"/>
          <w:szCs w:val="24"/>
          <w:highlight w:val="none"/>
        </w:rPr>
        <w:t>11.若我单位中标，承诺在本工程实施过程中若变更拟派项目负责人，拟派项目负责人在变更之日起六个月之内将不参与浙江省行政区域范围内工程投标。</w:t>
      </w:r>
    </w:p>
    <w:p w14:paraId="1B1992B9">
      <w:pPr>
        <w:pStyle w:val="19"/>
        <w:widowControl/>
        <w:ind w:right="150" w:firstLine="480" w:firstLineChars="200"/>
        <w:rPr>
          <w:color w:val="auto"/>
          <w:highlight w:val="none"/>
        </w:rPr>
      </w:pPr>
      <w:r>
        <w:rPr>
          <w:color w:val="auto"/>
          <w:highlight w:val="none"/>
        </w:rPr>
        <w:t>12.</w:t>
      </w:r>
      <w:r>
        <w:rPr>
          <w:color w:val="auto"/>
          <w:highlight w:val="none"/>
          <w:shd w:val="clear" w:color="auto" w:fill="FFFFFF"/>
        </w:rPr>
        <w:t>我单位直接负责本项目投标的主管人员</w:t>
      </w:r>
      <w:r>
        <w:rPr>
          <w:color w:val="auto"/>
          <w:highlight w:val="none"/>
        </w:rPr>
        <w:t>为法定代表人</w:t>
      </w:r>
      <w:r>
        <w:rPr>
          <w:color w:val="auto"/>
          <w:highlight w:val="none"/>
          <w:shd w:val="clear" w:color="auto" w:fill="FFFFFF"/>
        </w:rPr>
        <w:t xml:space="preserve"> </w:t>
      </w:r>
      <w:r>
        <w:rPr>
          <w:color w:val="auto"/>
          <w:highlight w:val="none"/>
          <w:u w:val="single"/>
          <w:shd w:val="clear" w:color="auto" w:fill="FFFFFF"/>
        </w:rPr>
        <w:t xml:space="preserve">             </w:t>
      </w:r>
      <w:r>
        <w:rPr>
          <w:color w:val="auto"/>
          <w:highlight w:val="none"/>
          <w:shd w:val="clear" w:color="auto" w:fill="FFFFFF"/>
        </w:rPr>
        <w:t>（身份证号码：</w:t>
      </w:r>
      <w:r>
        <w:rPr>
          <w:color w:val="auto"/>
          <w:highlight w:val="none"/>
          <w:u w:val="single"/>
          <w:shd w:val="clear" w:color="auto" w:fill="FFFFFF"/>
        </w:rPr>
        <w:t xml:space="preserve">           </w:t>
      </w:r>
      <w:r>
        <w:rPr>
          <w:color w:val="auto"/>
          <w:highlight w:val="none"/>
          <w:shd w:val="clear" w:color="auto" w:fill="FFFFFF"/>
        </w:rPr>
        <w:t xml:space="preserve">  ，联系手机号码：</w:t>
      </w:r>
      <w:r>
        <w:rPr>
          <w:color w:val="auto"/>
          <w:highlight w:val="none"/>
          <w:u w:val="single"/>
          <w:shd w:val="clear" w:color="auto" w:fill="FFFFFF"/>
        </w:rPr>
        <w:t xml:space="preserve"> （必须为本人实名办理的手机号码）    </w:t>
      </w:r>
      <w:r>
        <w:rPr>
          <w:color w:val="auto"/>
          <w:highlight w:val="none"/>
          <w:shd w:val="clear" w:color="auto" w:fill="FFFFFF"/>
        </w:rPr>
        <w:t xml:space="preserve"> ）；我单位与本项目投标相关的直接责任人员为本次投标委托授权代表</w:t>
      </w:r>
      <w:r>
        <w:rPr>
          <w:color w:val="auto"/>
          <w:highlight w:val="none"/>
          <w:u w:val="single"/>
          <w:shd w:val="clear" w:color="auto" w:fill="FFFFFF"/>
        </w:rPr>
        <w:t xml:space="preserve">           </w:t>
      </w:r>
      <w:r>
        <w:rPr>
          <w:color w:val="auto"/>
          <w:highlight w:val="none"/>
          <w:shd w:val="clear" w:color="auto" w:fill="FFFFFF"/>
        </w:rPr>
        <w:t>（身份证号码：</w:t>
      </w:r>
      <w:r>
        <w:rPr>
          <w:color w:val="auto"/>
          <w:highlight w:val="none"/>
          <w:u w:val="single"/>
          <w:shd w:val="clear" w:color="auto" w:fill="FFFFFF"/>
        </w:rPr>
        <w:t xml:space="preserve">              </w:t>
      </w:r>
      <w:r>
        <w:rPr>
          <w:color w:val="auto"/>
          <w:highlight w:val="none"/>
          <w:shd w:val="clear" w:color="auto" w:fill="FFFFFF"/>
        </w:rPr>
        <w:t>联系手机号码：</w:t>
      </w:r>
      <w:r>
        <w:rPr>
          <w:color w:val="auto"/>
          <w:highlight w:val="none"/>
          <w:u w:val="single"/>
          <w:shd w:val="clear" w:color="auto" w:fill="FFFFFF"/>
        </w:rPr>
        <w:t xml:space="preserve">   （必须为本人实名办理的手机号码）             </w:t>
      </w:r>
      <w:r>
        <w:rPr>
          <w:color w:val="auto"/>
          <w:highlight w:val="none"/>
          <w:shd w:val="clear" w:color="auto" w:fill="FFFFFF"/>
        </w:rPr>
        <w:t>）</w:t>
      </w:r>
      <w:r>
        <w:rPr>
          <w:color w:val="auto"/>
          <w:highlight w:val="none"/>
        </w:rPr>
        <w:t xml:space="preserve"> ，上述人员承诺承担相应的法律责任 。</w:t>
      </w:r>
    </w:p>
    <w:p w14:paraId="3F1E8F2F">
      <w:pPr>
        <w:pStyle w:val="14"/>
        <w:numPr>
          <w:ins w:id="28" w:author="XH" w:date="2025-06-29T13:54:00Z"/>
        </w:numPr>
        <w:ind w:firstLine="480" w:firstLineChars="200"/>
        <w:rPr>
          <w:rFonts w:hint="eastAsia" w:hAnsi="宋体"/>
          <w:color w:val="auto"/>
          <w:sz w:val="24"/>
          <w:szCs w:val="24"/>
          <w:highlight w:val="none"/>
          <w:u w:val="single"/>
        </w:rPr>
      </w:pPr>
      <w:r>
        <w:rPr>
          <w:rFonts w:hint="eastAsia" w:hAnsi="宋体"/>
          <w:color w:val="auto"/>
          <w:sz w:val="24"/>
          <w:szCs w:val="24"/>
          <w:highlight w:val="none"/>
        </w:rPr>
        <w:t>13.</w:t>
      </w:r>
      <w:r>
        <w:rPr>
          <w:rFonts w:hAnsi="宋体"/>
          <w:color w:val="auto"/>
          <w:sz w:val="24"/>
          <w:szCs w:val="24"/>
          <w:highlight w:val="none"/>
        </w:rPr>
        <w:t>其他：</w:t>
      </w:r>
      <w:r>
        <w:rPr>
          <w:rFonts w:hAnsi="宋体"/>
          <w:color w:val="auto"/>
          <w:sz w:val="24"/>
          <w:szCs w:val="24"/>
          <w:highlight w:val="none"/>
          <w:u w:val="single"/>
        </w:rPr>
        <w:t xml:space="preserve">    （招标人可根据实际情况增加相应的条款）    </w:t>
      </w:r>
      <w:r>
        <w:rPr>
          <w:rFonts w:hint="eastAsia" w:hAnsi="宋体"/>
          <w:color w:val="auto"/>
          <w:sz w:val="24"/>
          <w:szCs w:val="24"/>
          <w:highlight w:val="none"/>
          <w:u w:val="single"/>
        </w:rPr>
        <w:t>。</w:t>
      </w:r>
    </w:p>
    <w:p w14:paraId="1267DEF6">
      <w:pPr>
        <w:pStyle w:val="14"/>
        <w:numPr>
          <w:ins w:id="29" w:author="XH" w:date="2025-06-29T13:54:00Z"/>
        </w:numPr>
        <w:ind w:firstLine="480" w:firstLineChars="200"/>
        <w:rPr>
          <w:rFonts w:hint="eastAsia" w:hAnsi="宋体"/>
          <w:color w:val="auto"/>
          <w:spacing w:val="-5"/>
          <w:sz w:val="24"/>
          <w:szCs w:val="24"/>
          <w:highlight w:val="none"/>
        </w:rPr>
      </w:pPr>
      <w:r>
        <w:rPr>
          <w:rFonts w:hint="eastAsia" w:hAnsi="宋体"/>
          <w:color w:val="auto"/>
          <w:sz w:val="24"/>
          <w:szCs w:val="24"/>
          <w:highlight w:val="none"/>
        </w:rPr>
        <w:t>14.以上承诺如有虚假，</w:t>
      </w:r>
      <w:r>
        <w:rPr>
          <w:rFonts w:hint="eastAsia" w:hAnsi="宋体"/>
          <w:color w:val="auto"/>
          <w:spacing w:val="-5"/>
          <w:sz w:val="24"/>
          <w:szCs w:val="24"/>
          <w:highlight w:val="none"/>
        </w:rPr>
        <w:t>愿意接</w:t>
      </w:r>
      <w:r>
        <w:rPr>
          <w:rFonts w:hAnsi="宋体"/>
          <w:color w:val="auto"/>
          <w:spacing w:val="-5"/>
          <w:sz w:val="24"/>
          <w:szCs w:val="24"/>
          <w:highlight w:val="none"/>
        </w:rPr>
        <w:t>受投标保证金不予退还的</w:t>
      </w:r>
      <w:r>
        <w:rPr>
          <w:rFonts w:hint="eastAsia" w:hAnsi="宋体"/>
          <w:color w:val="auto"/>
          <w:spacing w:val="-5"/>
          <w:sz w:val="24"/>
          <w:szCs w:val="24"/>
          <w:highlight w:val="none"/>
        </w:rPr>
        <w:t>处理。给招标人造成损失的，愿意依法承担赔偿责任。如已中标，同意招标人取消我单位中标资格的处理。</w:t>
      </w:r>
    </w:p>
    <w:p w14:paraId="35E13186">
      <w:pPr>
        <w:pStyle w:val="14"/>
        <w:ind w:firstLine="460" w:firstLineChars="200"/>
        <w:rPr>
          <w:rFonts w:hint="eastAsia" w:hAnsi="宋体"/>
          <w:color w:val="auto"/>
          <w:spacing w:val="-5"/>
          <w:sz w:val="24"/>
          <w:szCs w:val="24"/>
          <w:highlight w:val="none"/>
        </w:rPr>
      </w:pPr>
      <w:r>
        <w:rPr>
          <w:rFonts w:hint="eastAsia" w:hAnsi="宋体"/>
          <w:color w:val="auto"/>
          <w:spacing w:val="-5"/>
          <w:sz w:val="24"/>
          <w:szCs w:val="24"/>
          <w:highlight w:val="none"/>
        </w:rPr>
        <w:t>本人</w:t>
      </w:r>
      <w:r>
        <w:rPr>
          <w:rFonts w:hint="eastAsia" w:hAnsi="宋体"/>
          <w:color w:val="auto"/>
          <w:spacing w:val="-5"/>
          <w:sz w:val="24"/>
          <w:szCs w:val="24"/>
          <w:highlight w:val="none"/>
          <w:u w:val="single"/>
        </w:rPr>
        <w:t>___</w:t>
      </w:r>
      <w:r>
        <w:rPr>
          <w:rFonts w:hint="eastAsia" w:hAnsi="宋体" w:cs="Courier New"/>
          <w:color w:val="auto"/>
          <w:sz w:val="24"/>
          <w:szCs w:val="24"/>
          <w:highlight w:val="none"/>
          <w:u w:val="single"/>
        </w:rPr>
        <w:t xml:space="preserve">拟派项目负责人（签字）：      </w:t>
      </w:r>
      <w:r>
        <w:rPr>
          <w:rFonts w:hint="eastAsia" w:hAnsi="宋体"/>
          <w:color w:val="auto"/>
          <w:spacing w:val="-5"/>
          <w:sz w:val="24"/>
          <w:szCs w:val="24"/>
          <w:highlight w:val="none"/>
          <w:u w:val="single"/>
        </w:rPr>
        <w:t>__</w:t>
      </w:r>
      <w:r>
        <w:rPr>
          <w:rFonts w:hint="eastAsia" w:hAnsi="宋体"/>
          <w:color w:val="auto"/>
          <w:spacing w:val="-5"/>
          <w:sz w:val="24"/>
          <w:szCs w:val="24"/>
          <w:highlight w:val="none"/>
        </w:rPr>
        <w:t>对所在单位参与本次投标知情,投标中使用的本人相关业绩真实有效。</w:t>
      </w:r>
    </w:p>
    <w:p w14:paraId="1B35B753">
      <w:pPr>
        <w:pStyle w:val="14"/>
        <w:ind w:firstLine="3120" w:firstLineChars="1300"/>
        <w:rPr>
          <w:rFonts w:hint="eastAsia" w:hAnsi="宋体" w:cs="Courier New"/>
          <w:color w:val="auto"/>
          <w:sz w:val="24"/>
          <w:szCs w:val="24"/>
          <w:highlight w:val="none"/>
        </w:rPr>
      </w:pPr>
      <w:r>
        <w:rPr>
          <w:rFonts w:hint="eastAsia" w:hAnsi="宋体" w:cs="Courier New"/>
          <w:color w:val="auto"/>
          <w:sz w:val="24"/>
          <w:szCs w:val="24"/>
          <w:highlight w:val="none"/>
        </w:rPr>
        <w:t>法定代表人（签字或盖章）：</w:t>
      </w:r>
    </w:p>
    <w:p w14:paraId="76C6B63A">
      <w:pPr>
        <w:pStyle w:val="14"/>
        <w:numPr>
          <w:ins w:id="30" w:author="XH" w:date="2025-06-29T13:54:00Z"/>
        </w:numPr>
        <w:ind w:firstLine="3120" w:firstLineChars="1300"/>
        <w:rPr>
          <w:rFonts w:hint="eastAsia" w:hAnsi="宋体" w:cs="Courier New"/>
          <w:color w:val="auto"/>
          <w:sz w:val="24"/>
          <w:szCs w:val="24"/>
          <w:highlight w:val="none"/>
        </w:rPr>
      </w:pPr>
      <w:r>
        <w:rPr>
          <w:rFonts w:hint="eastAsia" w:hAnsi="宋体" w:cs="Courier New"/>
          <w:color w:val="auto"/>
          <w:sz w:val="24"/>
          <w:szCs w:val="24"/>
          <w:highlight w:val="none"/>
        </w:rPr>
        <w:t>投标人（单位盖章）：</w:t>
      </w:r>
    </w:p>
    <w:p w14:paraId="4049CF6C">
      <w:pPr>
        <w:tabs>
          <w:tab w:val="left" w:pos="567"/>
          <w:tab w:val="left" w:pos="993"/>
        </w:tabs>
        <w:spacing w:line="560" w:lineRule="exact"/>
        <w:ind w:right="560" w:firstLine="480" w:firstLineChars="200"/>
        <w:rPr>
          <w:rFonts w:ascii="方正仿宋"/>
          <w:color w:val="auto"/>
          <w:highlight w:val="none"/>
        </w:rPr>
      </w:pPr>
      <w:r>
        <w:rPr>
          <w:rFonts w:hint="eastAsia" w:ascii="宋体" w:hAnsi="宋体" w:cs="Courier New"/>
          <w:color w:val="auto"/>
          <w:highlight w:val="none"/>
        </w:rPr>
        <w:t xml:space="preserve">                                               </w:t>
      </w:r>
      <w:r>
        <w:rPr>
          <w:rFonts w:ascii="宋体" w:hAnsi="宋体" w:cs="Courier New"/>
          <w:color w:val="auto"/>
          <w:highlight w:val="none"/>
        </w:rPr>
        <w:t>年    月    日</w:t>
      </w:r>
    </w:p>
    <w:p w14:paraId="6AA741EA">
      <w:pPr>
        <w:spacing w:line="360" w:lineRule="auto"/>
        <w:jc w:val="center"/>
        <w:rPr>
          <w:rFonts w:hint="eastAsia" w:ascii="宋体" w:hAnsi="宋体"/>
          <w:color w:val="auto"/>
          <w:highlight w:val="none"/>
        </w:rPr>
      </w:pPr>
      <w:r>
        <w:rPr>
          <w:rFonts w:ascii="宋体" w:hAnsi="宋体"/>
          <w:color w:val="auto"/>
          <w:highlight w:val="none"/>
        </w:rPr>
        <w:br w:type="page"/>
      </w:r>
    </w:p>
    <w:p w14:paraId="2D98AC7D">
      <w:pPr>
        <w:spacing w:line="480" w:lineRule="auto"/>
        <w:jc w:val="center"/>
        <w:rPr>
          <w:b/>
          <w:bCs/>
          <w:color w:val="auto"/>
          <w:sz w:val="36"/>
          <w:szCs w:val="36"/>
          <w:highlight w:val="none"/>
        </w:rPr>
      </w:pPr>
      <w:r>
        <w:rPr>
          <w:rFonts w:hint="eastAsia"/>
          <w:b/>
          <w:bCs/>
          <w:color w:val="auto"/>
          <w:sz w:val="36"/>
          <w:szCs w:val="36"/>
          <w:highlight w:val="none"/>
        </w:rPr>
        <w:t>投标报价封面</w:t>
      </w:r>
    </w:p>
    <w:tbl>
      <w:tblPr>
        <w:tblStyle w:val="23"/>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6"/>
      </w:tblGrid>
      <w:tr w14:paraId="788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8" w:hRule="atLeast"/>
        </w:trPr>
        <w:tc>
          <w:tcPr>
            <w:tcW w:w="8246" w:type="dxa"/>
          </w:tcPr>
          <w:p w14:paraId="551E0243">
            <w:pPr>
              <w:widowControl/>
              <w:tabs>
                <w:tab w:val="center" w:pos="4755"/>
                <w:tab w:val="right" w:pos="9070"/>
              </w:tabs>
              <w:spacing w:before="100" w:beforeAutospacing="1" w:after="100" w:afterAutospacing="1"/>
              <w:rPr>
                <w:rFonts w:hint="eastAsia" w:hAnsi="宋体"/>
                <w:color w:val="auto"/>
                <w:szCs w:val="28"/>
                <w:highlight w:val="none"/>
              </w:rPr>
            </w:pPr>
          </w:p>
          <w:p w14:paraId="7B49AFC9">
            <w:pPr>
              <w:spacing w:line="360" w:lineRule="auto"/>
              <w:jc w:val="center"/>
              <w:rPr>
                <w:rFonts w:hint="eastAsia" w:ascii="宋体" w:hAnsi="宋体"/>
                <w:color w:val="auto"/>
                <w:highlight w:val="none"/>
              </w:rPr>
            </w:pPr>
          </w:p>
          <w:p w14:paraId="54E99DFE">
            <w:pPr>
              <w:rPr>
                <w:color w:val="auto"/>
                <w:highlight w:val="none"/>
              </w:rPr>
            </w:pPr>
          </w:p>
          <w:p w14:paraId="215EE960">
            <w:pPr>
              <w:spacing w:line="360" w:lineRule="auto"/>
              <w:jc w:val="center"/>
              <w:rPr>
                <w:rFonts w:hint="eastAsia" w:ascii="宋体" w:hAnsi="宋体"/>
                <w:color w:val="auto"/>
                <w:highlight w:val="none"/>
              </w:rPr>
            </w:pPr>
          </w:p>
          <w:p w14:paraId="512BC205">
            <w:pPr>
              <w:jc w:val="center"/>
              <w:rPr>
                <w:color w:val="auto"/>
                <w:highlight w:val="none"/>
              </w:rPr>
            </w:pPr>
            <w:r>
              <w:rPr>
                <w:color w:val="auto"/>
                <w:sz w:val="28"/>
                <w:szCs w:val="28"/>
                <w:highlight w:val="none"/>
                <w:u w:val="single"/>
              </w:rPr>
              <w:t xml:space="preserve">                                     </w:t>
            </w:r>
            <w:r>
              <w:rPr>
                <w:rFonts w:hint="eastAsia"/>
                <w:color w:val="auto"/>
                <w:sz w:val="28"/>
                <w:szCs w:val="28"/>
                <w:highlight w:val="none"/>
              </w:rPr>
              <w:t>工程</w:t>
            </w:r>
          </w:p>
          <w:p w14:paraId="16BF11DC">
            <w:pPr>
              <w:spacing w:line="360" w:lineRule="auto"/>
              <w:jc w:val="center"/>
              <w:rPr>
                <w:rFonts w:hint="eastAsia" w:ascii="宋体" w:hAnsi="宋体"/>
                <w:color w:val="auto"/>
                <w:highlight w:val="none"/>
              </w:rPr>
            </w:pPr>
          </w:p>
          <w:p w14:paraId="3B1CE8CF">
            <w:pPr>
              <w:rPr>
                <w:color w:val="auto"/>
                <w:highlight w:val="none"/>
              </w:rPr>
            </w:pPr>
          </w:p>
          <w:p w14:paraId="5F1C1667">
            <w:pPr>
              <w:spacing w:line="360" w:lineRule="auto"/>
              <w:jc w:val="center"/>
              <w:rPr>
                <w:rFonts w:hint="eastAsia" w:ascii="宋体" w:hAnsi="宋体"/>
                <w:b/>
                <w:bCs/>
                <w:color w:val="auto"/>
                <w:sz w:val="44"/>
                <w:szCs w:val="44"/>
                <w:highlight w:val="none"/>
              </w:rPr>
            </w:pPr>
            <w:r>
              <w:rPr>
                <w:rFonts w:hint="eastAsia" w:ascii="宋体" w:hAnsi="宋体"/>
                <w:b/>
                <w:bCs/>
                <w:color w:val="auto"/>
                <w:sz w:val="44"/>
                <w:szCs w:val="44"/>
                <w:highlight w:val="none"/>
              </w:rPr>
              <w:t>投</w:t>
            </w:r>
            <w:r>
              <w:rPr>
                <w:rFonts w:ascii="宋体" w:hAnsi="宋体"/>
                <w:b/>
                <w:bCs/>
                <w:color w:val="auto"/>
                <w:sz w:val="44"/>
                <w:szCs w:val="44"/>
                <w:highlight w:val="none"/>
              </w:rPr>
              <w:t xml:space="preserve"> </w:t>
            </w:r>
            <w:r>
              <w:rPr>
                <w:rFonts w:hint="eastAsia" w:ascii="宋体" w:hAnsi="宋体"/>
                <w:b/>
                <w:bCs/>
                <w:color w:val="auto"/>
                <w:sz w:val="44"/>
                <w:szCs w:val="44"/>
                <w:highlight w:val="none"/>
              </w:rPr>
              <w:t>标</w:t>
            </w:r>
            <w:r>
              <w:rPr>
                <w:rFonts w:ascii="宋体" w:hAnsi="宋体"/>
                <w:b/>
                <w:bCs/>
                <w:color w:val="auto"/>
                <w:sz w:val="44"/>
                <w:szCs w:val="44"/>
                <w:highlight w:val="none"/>
              </w:rPr>
              <w:t xml:space="preserve"> </w:t>
            </w:r>
            <w:r>
              <w:rPr>
                <w:rFonts w:hint="eastAsia" w:ascii="宋体" w:hAnsi="宋体"/>
                <w:b/>
                <w:bCs/>
                <w:color w:val="auto"/>
                <w:sz w:val="44"/>
                <w:szCs w:val="44"/>
                <w:highlight w:val="none"/>
              </w:rPr>
              <w:t>报</w:t>
            </w:r>
            <w:r>
              <w:rPr>
                <w:rFonts w:ascii="宋体" w:hAnsi="宋体"/>
                <w:b/>
                <w:bCs/>
                <w:color w:val="auto"/>
                <w:sz w:val="44"/>
                <w:szCs w:val="44"/>
                <w:highlight w:val="none"/>
              </w:rPr>
              <w:t xml:space="preserve"> </w:t>
            </w:r>
            <w:r>
              <w:rPr>
                <w:rFonts w:hint="eastAsia" w:ascii="宋体" w:hAnsi="宋体"/>
                <w:b/>
                <w:bCs/>
                <w:color w:val="auto"/>
                <w:sz w:val="44"/>
                <w:szCs w:val="44"/>
                <w:highlight w:val="none"/>
              </w:rPr>
              <w:t>价</w:t>
            </w:r>
          </w:p>
          <w:p w14:paraId="53945904">
            <w:pPr>
              <w:rPr>
                <w:color w:val="auto"/>
                <w:highlight w:val="none"/>
              </w:rPr>
            </w:pPr>
          </w:p>
          <w:p w14:paraId="7D27C1FF">
            <w:pPr>
              <w:spacing w:line="360" w:lineRule="auto"/>
              <w:jc w:val="center"/>
              <w:rPr>
                <w:rFonts w:hint="eastAsia" w:ascii="宋体" w:hAnsi="宋体"/>
                <w:color w:val="auto"/>
                <w:highlight w:val="none"/>
              </w:rPr>
            </w:pPr>
          </w:p>
          <w:p w14:paraId="794A41C7">
            <w:pPr>
              <w:rPr>
                <w:color w:val="auto"/>
                <w:highlight w:val="none"/>
              </w:rPr>
            </w:pPr>
          </w:p>
          <w:p w14:paraId="30CA7019">
            <w:pPr>
              <w:spacing w:line="360" w:lineRule="auto"/>
              <w:jc w:val="center"/>
              <w:rPr>
                <w:rFonts w:hint="eastAsia" w:ascii="宋体" w:hAnsi="宋体"/>
                <w:color w:val="auto"/>
                <w:highlight w:val="none"/>
              </w:rPr>
            </w:pPr>
          </w:p>
          <w:p w14:paraId="613B2BD9">
            <w:pPr>
              <w:spacing w:line="360" w:lineRule="auto"/>
              <w:jc w:val="center"/>
              <w:rPr>
                <w:rFonts w:hint="eastAsia" w:ascii="宋体" w:hAnsi="宋体"/>
                <w:color w:val="auto"/>
                <w:highlight w:val="none"/>
              </w:rPr>
            </w:pPr>
            <w:r>
              <w:rPr>
                <w:rFonts w:hint="eastAsia" w:ascii="宋体" w:hAnsi="宋体"/>
                <w:color w:val="auto"/>
                <w:highlight w:val="none"/>
              </w:rPr>
              <w:t>投</w:t>
            </w:r>
            <w:r>
              <w:rPr>
                <w:rFonts w:ascii="宋体" w:hAnsi="宋体"/>
                <w:color w:val="auto"/>
                <w:highlight w:val="none"/>
              </w:rPr>
              <w:t xml:space="preserve">  </w:t>
            </w:r>
            <w:r>
              <w:rPr>
                <w:rFonts w:hint="eastAsia" w:ascii="宋体" w:hAnsi="宋体"/>
                <w:color w:val="auto"/>
                <w:highlight w:val="none"/>
              </w:rPr>
              <w:t>标</w:t>
            </w:r>
            <w:r>
              <w:rPr>
                <w:rFonts w:ascii="宋体" w:hAnsi="宋体"/>
                <w:color w:val="auto"/>
                <w:highlight w:val="none"/>
              </w:rPr>
              <w:t xml:space="preserve">  </w:t>
            </w:r>
            <w:r>
              <w:rPr>
                <w:rFonts w:hint="eastAsia" w:ascii="宋体" w:hAnsi="宋体"/>
                <w:color w:val="auto"/>
                <w:highlight w:val="none"/>
              </w:rPr>
              <w:t>人：</w:t>
            </w:r>
            <w:r>
              <w:rPr>
                <w:rFonts w:ascii="宋体" w:hAnsi="宋体"/>
                <w:color w:val="auto"/>
                <w:highlight w:val="none"/>
                <w:u w:val="single"/>
              </w:rPr>
              <w:t xml:space="preserve">                          </w:t>
            </w:r>
            <w:r>
              <w:rPr>
                <w:rFonts w:hint="eastAsia" w:ascii="宋体" w:hAnsi="宋体"/>
                <w:color w:val="auto"/>
                <w:highlight w:val="none"/>
              </w:rPr>
              <w:t>（单位盖章）</w:t>
            </w:r>
          </w:p>
          <w:p w14:paraId="360E0996">
            <w:pPr>
              <w:ind w:firstLine="1800" w:firstLineChars="750"/>
              <w:rPr>
                <w:rFonts w:hint="eastAsia" w:ascii="宋体" w:hAnsi="宋体"/>
                <w:color w:val="auto"/>
                <w:highlight w:val="none"/>
              </w:rPr>
            </w:pPr>
          </w:p>
          <w:p w14:paraId="53928C98">
            <w:pPr>
              <w:jc w:val="center"/>
              <w:rPr>
                <w:rFonts w:hint="eastAsia" w:ascii="宋体" w:hAnsi="宋体"/>
                <w:color w:val="auto"/>
                <w:highlight w:val="none"/>
              </w:rPr>
            </w:pPr>
          </w:p>
          <w:p w14:paraId="38287989">
            <w:pPr>
              <w:spacing w:line="360" w:lineRule="auto"/>
              <w:jc w:val="center"/>
              <w:rPr>
                <w:rFonts w:hint="eastAsia" w:ascii="宋体" w:hAnsi="宋体"/>
                <w:color w:val="auto"/>
                <w:highlight w:val="none"/>
              </w:rPr>
            </w:pPr>
          </w:p>
          <w:p w14:paraId="03CB6034">
            <w:pPr>
              <w:spacing w:line="360" w:lineRule="auto"/>
              <w:jc w:val="center"/>
              <w:rPr>
                <w:rFonts w:hint="eastAsia" w:ascii="宋体" w:hAnsi="宋体"/>
                <w:color w:val="auto"/>
                <w:highlight w:val="none"/>
              </w:rPr>
            </w:pPr>
          </w:p>
          <w:p w14:paraId="2C365FCB">
            <w:pPr>
              <w:rPr>
                <w:color w:val="auto"/>
                <w:highlight w:val="none"/>
              </w:rPr>
            </w:pPr>
          </w:p>
          <w:p w14:paraId="3D05AB5D">
            <w:pPr>
              <w:rPr>
                <w:color w:val="auto"/>
                <w:highlight w:val="none"/>
              </w:rPr>
            </w:pPr>
          </w:p>
          <w:p w14:paraId="1D8BE69B">
            <w:pPr>
              <w:spacing w:line="360" w:lineRule="auto"/>
              <w:jc w:val="center"/>
              <w:rPr>
                <w:rFonts w:hint="eastAsia" w:ascii="宋体" w:hAnsi="宋体"/>
                <w:color w:val="auto"/>
                <w:highlight w:val="none"/>
              </w:rPr>
            </w:pPr>
          </w:p>
          <w:p w14:paraId="1B1A774B">
            <w:pPr>
              <w:rPr>
                <w:color w:val="auto"/>
                <w:highlight w:val="none"/>
              </w:rPr>
            </w:pPr>
          </w:p>
          <w:p w14:paraId="615F2773">
            <w:pPr>
              <w:spacing w:line="360" w:lineRule="auto"/>
              <w:jc w:val="center"/>
              <w:rPr>
                <w:rFonts w:hint="eastAsia" w:ascii="宋体" w:hAnsi="宋体"/>
                <w:color w:val="auto"/>
                <w:highlight w:val="none"/>
              </w:rPr>
            </w:pPr>
            <w:r>
              <w:rPr>
                <w:rFonts w:hint="eastAsia" w:ascii="宋体" w:hAnsi="宋体"/>
                <w:color w:val="auto"/>
                <w:highlight w:val="none"/>
              </w:rPr>
              <w:t>年</w:t>
            </w:r>
            <w:r>
              <w:rPr>
                <w:rFonts w:ascii="宋体" w:hAnsi="宋体"/>
                <w:color w:val="auto"/>
                <w:highlight w:val="none"/>
              </w:rPr>
              <w:t xml:space="preserve">     </w:t>
            </w:r>
            <w:r>
              <w:rPr>
                <w:rFonts w:hint="eastAsia" w:ascii="宋体" w:hAnsi="宋体"/>
                <w:color w:val="auto"/>
                <w:highlight w:val="none"/>
              </w:rPr>
              <w:t>月</w:t>
            </w:r>
            <w:r>
              <w:rPr>
                <w:rFonts w:ascii="宋体" w:hAnsi="宋体"/>
                <w:color w:val="auto"/>
                <w:highlight w:val="none"/>
              </w:rPr>
              <w:t xml:space="preserve">     </w:t>
            </w:r>
            <w:r>
              <w:rPr>
                <w:rFonts w:hint="eastAsia" w:ascii="宋体" w:hAnsi="宋体"/>
                <w:color w:val="auto"/>
                <w:highlight w:val="none"/>
              </w:rPr>
              <w:t>日</w:t>
            </w:r>
          </w:p>
          <w:p w14:paraId="1A795141">
            <w:pPr>
              <w:spacing w:line="360" w:lineRule="auto"/>
              <w:jc w:val="center"/>
              <w:rPr>
                <w:rFonts w:hint="eastAsia" w:ascii="宋体" w:hAnsi="宋体"/>
                <w:color w:val="auto"/>
                <w:highlight w:val="none"/>
              </w:rPr>
            </w:pPr>
          </w:p>
          <w:p w14:paraId="3B2EE25C">
            <w:pPr>
              <w:rPr>
                <w:color w:val="auto"/>
                <w:highlight w:val="none"/>
              </w:rPr>
            </w:pPr>
          </w:p>
          <w:p w14:paraId="10AEC2A9">
            <w:pPr>
              <w:spacing w:line="360" w:lineRule="auto"/>
              <w:jc w:val="center"/>
              <w:rPr>
                <w:rFonts w:hint="eastAsia" w:ascii="宋体" w:hAnsi="宋体"/>
                <w:color w:val="auto"/>
                <w:highlight w:val="none"/>
              </w:rPr>
            </w:pPr>
          </w:p>
          <w:p w14:paraId="1B6E7BB4">
            <w:pPr>
              <w:rPr>
                <w:color w:val="auto"/>
                <w:highlight w:val="none"/>
              </w:rPr>
            </w:pPr>
          </w:p>
        </w:tc>
      </w:tr>
    </w:tbl>
    <w:p w14:paraId="3D22D482">
      <w:pPr>
        <w:spacing w:line="480" w:lineRule="auto"/>
        <w:jc w:val="center"/>
        <w:rPr>
          <w:b/>
          <w:bCs/>
          <w:color w:val="auto"/>
          <w:sz w:val="36"/>
          <w:szCs w:val="36"/>
          <w:highlight w:val="none"/>
        </w:rPr>
      </w:pPr>
    </w:p>
    <w:p w14:paraId="7C3F59F6">
      <w:pPr>
        <w:spacing w:line="480" w:lineRule="auto"/>
        <w:jc w:val="center"/>
        <w:rPr>
          <w:b/>
          <w:bCs/>
          <w:color w:val="auto"/>
          <w:sz w:val="36"/>
          <w:szCs w:val="36"/>
          <w:highlight w:val="none"/>
        </w:rPr>
      </w:pPr>
    </w:p>
    <w:p w14:paraId="256B314C">
      <w:pPr>
        <w:spacing w:line="480" w:lineRule="auto"/>
        <w:jc w:val="center"/>
        <w:rPr>
          <w:b/>
          <w:bCs/>
          <w:color w:val="auto"/>
          <w:sz w:val="36"/>
          <w:szCs w:val="36"/>
          <w:highlight w:val="none"/>
        </w:rPr>
      </w:pPr>
    </w:p>
    <w:p w14:paraId="1C4EFF10">
      <w:pPr>
        <w:spacing w:line="480" w:lineRule="auto"/>
        <w:jc w:val="center"/>
        <w:rPr>
          <w:b/>
          <w:bCs/>
          <w:color w:val="auto"/>
          <w:sz w:val="36"/>
          <w:szCs w:val="36"/>
          <w:highlight w:val="none"/>
        </w:rPr>
      </w:pPr>
    </w:p>
    <w:p w14:paraId="1D9BC31C">
      <w:pPr>
        <w:spacing w:line="480" w:lineRule="auto"/>
        <w:jc w:val="center"/>
        <w:rPr>
          <w:b/>
          <w:bCs/>
          <w:color w:val="auto"/>
          <w:sz w:val="36"/>
          <w:szCs w:val="36"/>
          <w:highlight w:val="none"/>
        </w:rPr>
      </w:pPr>
      <w:r>
        <w:rPr>
          <w:rFonts w:hint="eastAsia"/>
          <w:b/>
          <w:bCs/>
          <w:color w:val="auto"/>
          <w:sz w:val="36"/>
          <w:szCs w:val="36"/>
          <w:highlight w:val="none"/>
        </w:rPr>
        <w:t>投标报价扉页</w:t>
      </w:r>
    </w:p>
    <w:tbl>
      <w:tblPr>
        <w:tblStyle w:val="23"/>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14:paraId="16ED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8" w:hRule="atLeast"/>
        </w:trPr>
        <w:tc>
          <w:tcPr>
            <w:tcW w:w="8529" w:type="dxa"/>
          </w:tcPr>
          <w:p w14:paraId="7B98C8C8">
            <w:pPr>
              <w:rPr>
                <w:rFonts w:hint="eastAsia" w:hAnsi="宋体"/>
                <w:color w:val="auto"/>
                <w:szCs w:val="28"/>
                <w:highlight w:val="none"/>
              </w:rPr>
            </w:pPr>
          </w:p>
          <w:p w14:paraId="2F5BA907">
            <w:pPr>
              <w:spacing w:line="360" w:lineRule="auto"/>
              <w:jc w:val="center"/>
              <w:rPr>
                <w:rFonts w:hint="eastAsia" w:ascii="宋体" w:hAnsi="宋体"/>
                <w:color w:val="auto"/>
                <w:highlight w:val="none"/>
              </w:rPr>
            </w:pPr>
          </w:p>
          <w:p w14:paraId="6A703B7F">
            <w:pPr>
              <w:rPr>
                <w:color w:val="auto"/>
                <w:highlight w:val="none"/>
              </w:rPr>
            </w:pPr>
          </w:p>
          <w:p w14:paraId="6EA75BB0">
            <w:pPr>
              <w:spacing w:line="360" w:lineRule="auto"/>
              <w:jc w:val="center"/>
              <w:rPr>
                <w:rFonts w:hint="eastAsia" w:ascii="宋体" w:hAnsi="宋体"/>
                <w:b/>
                <w:bCs/>
                <w:color w:val="auto"/>
                <w:sz w:val="44"/>
                <w:szCs w:val="44"/>
                <w:highlight w:val="none"/>
              </w:rPr>
            </w:pPr>
            <w:r>
              <w:rPr>
                <w:rFonts w:hint="eastAsia" w:ascii="宋体" w:hAnsi="宋体"/>
                <w:b/>
                <w:bCs/>
                <w:color w:val="auto"/>
                <w:sz w:val="44"/>
                <w:szCs w:val="44"/>
                <w:highlight w:val="none"/>
              </w:rPr>
              <w:t>投</w:t>
            </w:r>
            <w:r>
              <w:rPr>
                <w:rFonts w:ascii="宋体" w:hAnsi="宋体"/>
                <w:b/>
                <w:bCs/>
                <w:color w:val="auto"/>
                <w:sz w:val="44"/>
                <w:szCs w:val="44"/>
                <w:highlight w:val="none"/>
              </w:rPr>
              <w:t xml:space="preserve"> </w:t>
            </w:r>
            <w:r>
              <w:rPr>
                <w:rFonts w:hint="eastAsia" w:ascii="宋体" w:hAnsi="宋体"/>
                <w:b/>
                <w:bCs/>
                <w:color w:val="auto"/>
                <w:sz w:val="44"/>
                <w:szCs w:val="44"/>
                <w:highlight w:val="none"/>
              </w:rPr>
              <w:t>标</w:t>
            </w:r>
            <w:r>
              <w:rPr>
                <w:rFonts w:ascii="宋体" w:hAnsi="宋体"/>
                <w:b/>
                <w:bCs/>
                <w:color w:val="auto"/>
                <w:sz w:val="44"/>
                <w:szCs w:val="44"/>
                <w:highlight w:val="none"/>
              </w:rPr>
              <w:t xml:space="preserve"> </w:t>
            </w:r>
            <w:r>
              <w:rPr>
                <w:rFonts w:hint="eastAsia" w:ascii="宋体" w:hAnsi="宋体"/>
                <w:b/>
                <w:bCs/>
                <w:color w:val="auto"/>
                <w:sz w:val="44"/>
                <w:szCs w:val="44"/>
                <w:highlight w:val="none"/>
              </w:rPr>
              <w:t>报</w:t>
            </w:r>
            <w:r>
              <w:rPr>
                <w:rFonts w:ascii="宋体" w:hAnsi="宋体"/>
                <w:b/>
                <w:bCs/>
                <w:color w:val="auto"/>
                <w:sz w:val="44"/>
                <w:szCs w:val="44"/>
                <w:highlight w:val="none"/>
              </w:rPr>
              <w:t xml:space="preserve"> </w:t>
            </w:r>
            <w:r>
              <w:rPr>
                <w:rFonts w:hint="eastAsia" w:ascii="宋体" w:hAnsi="宋体"/>
                <w:b/>
                <w:bCs/>
                <w:color w:val="auto"/>
                <w:sz w:val="44"/>
                <w:szCs w:val="44"/>
                <w:highlight w:val="none"/>
              </w:rPr>
              <w:t>价</w:t>
            </w:r>
          </w:p>
          <w:p w14:paraId="25756600">
            <w:pPr>
              <w:spacing w:line="360" w:lineRule="auto"/>
              <w:jc w:val="center"/>
              <w:rPr>
                <w:rFonts w:hint="eastAsia" w:ascii="宋体" w:hAnsi="宋体"/>
                <w:color w:val="auto"/>
                <w:highlight w:val="none"/>
              </w:rPr>
            </w:pPr>
          </w:p>
          <w:p w14:paraId="23D6D99B">
            <w:pPr>
              <w:rPr>
                <w:color w:val="auto"/>
                <w:highlight w:val="none"/>
              </w:rPr>
            </w:pPr>
          </w:p>
          <w:p w14:paraId="0466CD5A">
            <w:pPr>
              <w:spacing w:line="360" w:lineRule="auto"/>
              <w:jc w:val="center"/>
              <w:rPr>
                <w:rFonts w:hint="eastAsia" w:ascii="宋体" w:hAnsi="宋体"/>
                <w:color w:val="auto"/>
                <w:highlight w:val="none"/>
              </w:rPr>
            </w:pPr>
          </w:p>
          <w:p w14:paraId="76E0B874">
            <w:pPr>
              <w:ind w:firstLine="1800" w:firstLineChars="750"/>
              <w:rPr>
                <w:rFonts w:hint="eastAsia" w:ascii="宋体" w:hAnsi="宋体"/>
                <w:color w:val="auto"/>
                <w:highlight w:val="none"/>
              </w:rPr>
            </w:pPr>
            <w:r>
              <w:rPr>
                <w:rFonts w:hint="eastAsia" w:ascii="宋体" w:hAnsi="宋体"/>
                <w:color w:val="auto"/>
                <w:highlight w:val="none"/>
              </w:rPr>
              <w:t>投</w:t>
            </w:r>
            <w:r>
              <w:rPr>
                <w:rFonts w:ascii="宋体" w:hAnsi="宋体"/>
                <w:color w:val="auto"/>
                <w:highlight w:val="none"/>
              </w:rPr>
              <w:t xml:space="preserve">   </w:t>
            </w:r>
            <w:r>
              <w:rPr>
                <w:rFonts w:hint="eastAsia" w:ascii="宋体" w:hAnsi="宋体"/>
                <w:color w:val="auto"/>
                <w:highlight w:val="none"/>
              </w:rPr>
              <w:t>标</w:t>
            </w:r>
            <w:r>
              <w:rPr>
                <w:rFonts w:ascii="宋体" w:hAnsi="宋体"/>
                <w:color w:val="auto"/>
                <w:highlight w:val="none"/>
              </w:rPr>
              <w:t xml:space="preserve">  </w:t>
            </w:r>
            <w:r>
              <w:rPr>
                <w:rFonts w:hint="eastAsia" w:ascii="宋体" w:hAnsi="宋体"/>
                <w:color w:val="auto"/>
                <w:highlight w:val="none"/>
              </w:rPr>
              <w:t>人：</w:t>
            </w:r>
            <w:r>
              <w:rPr>
                <w:rFonts w:ascii="宋体" w:hAnsi="宋体"/>
                <w:color w:val="auto"/>
                <w:highlight w:val="none"/>
                <w:u w:val="single"/>
              </w:rPr>
              <w:t xml:space="preserve">                                </w:t>
            </w:r>
          </w:p>
          <w:p w14:paraId="26113447">
            <w:pPr>
              <w:spacing w:line="360" w:lineRule="auto"/>
              <w:jc w:val="center"/>
              <w:rPr>
                <w:rFonts w:hint="eastAsia" w:ascii="宋体" w:hAnsi="宋体"/>
                <w:color w:val="auto"/>
                <w:highlight w:val="none"/>
              </w:rPr>
            </w:pPr>
          </w:p>
          <w:p w14:paraId="7D0F3E43">
            <w:pPr>
              <w:ind w:firstLine="1800" w:firstLineChars="750"/>
              <w:rPr>
                <w:rFonts w:hint="eastAsia" w:ascii="宋体" w:hAnsi="宋体"/>
                <w:color w:val="auto"/>
                <w:highlight w:val="none"/>
              </w:rPr>
            </w:pPr>
            <w:r>
              <w:rPr>
                <w:rFonts w:hint="eastAsia" w:ascii="宋体" w:hAnsi="宋体"/>
                <w:color w:val="auto"/>
                <w:highlight w:val="none"/>
              </w:rPr>
              <w:t>工</w:t>
            </w:r>
            <w:r>
              <w:rPr>
                <w:rFonts w:ascii="宋体" w:hAnsi="宋体"/>
                <w:color w:val="auto"/>
                <w:highlight w:val="none"/>
              </w:rPr>
              <w:t xml:space="preserve"> </w:t>
            </w:r>
            <w:r>
              <w:rPr>
                <w:rFonts w:hint="eastAsia" w:ascii="宋体" w:hAnsi="宋体"/>
                <w:color w:val="auto"/>
                <w:highlight w:val="none"/>
              </w:rPr>
              <w:t>程</w:t>
            </w:r>
            <w:r>
              <w:rPr>
                <w:rFonts w:ascii="宋体" w:hAnsi="宋体"/>
                <w:color w:val="auto"/>
                <w:highlight w:val="none"/>
              </w:rPr>
              <w:t xml:space="preserve"> </w:t>
            </w:r>
            <w:r>
              <w:rPr>
                <w:rFonts w:hint="eastAsia" w:ascii="宋体" w:hAnsi="宋体"/>
                <w:color w:val="auto"/>
                <w:highlight w:val="none"/>
              </w:rPr>
              <w:t>名</w:t>
            </w:r>
            <w:r>
              <w:rPr>
                <w:rFonts w:ascii="宋体" w:hAnsi="宋体"/>
                <w:color w:val="auto"/>
                <w:highlight w:val="none"/>
              </w:rPr>
              <w:t xml:space="preserve"> </w:t>
            </w:r>
            <w:r>
              <w:rPr>
                <w:rFonts w:hint="eastAsia" w:ascii="宋体" w:hAnsi="宋体"/>
                <w:color w:val="auto"/>
                <w:highlight w:val="none"/>
              </w:rPr>
              <w:t>称：</w:t>
            </w:r>
            <w:r>
              <w:rPr>
                <w:rFonts w:ascii="宋体" w:hAnsi="宋体"/>
                <w:color w:val="auto"/>
                <w:highlight w:val="none"/>
                <w:u w:val="single"/>
              </w:rPr>
              <w:t xml:space="preserve">                                </w:t>
            </w:r>
          </w:p>
          <w:p w14:paraId="4CD49291">
            <w:pPr>
              <w:spacing w:line="360" w:lineRule="auto"/>
              <w:jc w:val="center"/>
              <w:rPr>
                <w:rFonts w:hint="eastAsia" w:ascii="宋体" w:hAnsi="宋体"/>
                <w:color w:val="auto"/>
                <w:highlight w:val="none"/>
              </w:rPr>
            </w:pPr>
          </w:p>
          <w:p w14:paraId="120792D4">
            <w:pPr>
              <w:ind w:firstLine="1800" w:firstLineChars="750"/>
              <w:rPr>
                <w:rFonts w:hint="eastAsia" w:ascii="宋体" w:hAnsi="宋体"/>
                <w:color w:val="auto"/>
                <w:highlight w:val="none"/>
              </w:rPr>
            </w:pPr>
            <w:r>
              <w:rPr>
                <w:rFonts w:hint="eastAsia" w:ascii="宋体" w:hAnsi="宋体"/>
                <w:color w:val="auto"/>
                <w:highlight w:val="none"/>
              </w:rPr>
              <w:t>投标总价（小写）：</w:t>
            </w:r>
            <w:r>
              <w:rPr>
                <w:rFonts w:ascii="宋体" w:hAnsi="宋体"/>
                <w:color w:val="auto"/>
                <w:highlight w:val="none"/>
                <w:u w:val="single"/>
              </w:rPr>
              <w:t xml:space="preserve">                           </w:t>
            </w:r>
          </w:p>
          <w:p w14:paraId="479893CD">
            <w:pPr>
              <w:spacing w:line="360" w:lineRule="auto"/>
              <w:jc w:val="center"/>
              <w:rPr>
                <w:rFonts w:hint="eastAsia" w:ascii="宋体" w:hAnsi="宋体"/>
                <w:color w:val="auto"/>
                <w:highlight w:val="none"/>
              </w:rPr>
            </w:pPr>
          </w:p>
          <w:p w14:paraId="436AEF92">
            <w:pPr>
              <w:ind w:firstLine="2760" w:firstLineChars="1150"/>
              <w:rPr>
                <w:rFonts w:hint="eastAsia" w:ascii="宋体" w:hAnsi="宋体"/>
                <w:color w:val="auto"/>
                <w:highlight w:val="none"/>
              </w:rPr>
            </w:pPr>
            <w:r>
              <w:rPr>
                <w:rFonts w:hint="eastAsia" w:ascii="宋体" w:hAnsi="宋体"/>
                <w:color w:val="auto"/>
                <w:highlight w:val="none"/>
              </w:rPr>
              <w:t>（大写）：</w:t>
            </w:r>
            <w:r>
              <w:rPr>
                <w:rFonts w:ascii="宋体" w:hAnsi="宋体"/>
                <w:color w:val="auto"/>
                <w:highlight w:val="none"/>
                <w:u w:val="single"/>
              </w:rPr>
              <w:t xml:space="preserve">                           </w:t>
            </w:r>
          </w:p>
          <w:p w14:paraId="7875948B">
            <w:pPr>
              <w:spacing w:line="360" w:lineRule="auto"/>
              <w:jc w:val="center"/>
              <w:rPr>
                <w:rFonts w:hint="eastAsia" w:ascii="宋体" w:hAnsi="宋体"/>
                <w:color w:val="auto"/>
                <w:highlight w:val="none"/>
              </w:rPr>
            </w:pPr>
          </w:p>
          <w:p w14:paraId="51D096E6">
            <w:pPr>
              <w:ind w:firstLine="1800" w:firstLineChars="750"/>
              <w:rPr>
                <w:rFonts w:hint="eastAsia" w:ascii="宋体" w:hAnsi="宋体"/>
                <w:color w:val="auto"/>
                <w:highlight w:val="none"/>
              </w:rPr>
            </w:pPr>
            <w:r>
              <w:rPr>
                <w:rFonts w:hint="eastAsia" w:ascii="宋体" w:hAnsi="宋体"/>
                <w:color w:val="auto"/>
                <w:highlight w:val="none"/>
              </w:rPr>
              <w:t>投</w:t>
            </w:r>
            <w:r>
              <w:rPr>
                <w:rFonts w:ascii="宋体" w:hAnsi="宋体"/>
                <w:color w:val="auto"/>
                <w:highlight w:val="none"/>
              </w:rPr>
              <w:t xml:space="preserve">  </w:t>
            </w:r>
            <w:r>
              <w:rPr>
                <w:rFonts w:hint="eastAsia" w:ascii="宋体" w:hAnsi="宋体"/>
                <w:color w:val="auto"/>
                <w:highlight w:val="none"/>
              </w:rPr>
              <w:t>标</w:t>
            </w:r>
            <w:r>
              <w:rPr>
                <w:rFonts w:ascii="宋体" w:hAnsi="宋体"/>
                <w:color w:val="auto"/>
                <w:highlight w:val="none"/>
              </w:rPr>
              <w:t xml:space="preserve">  </w:t>
            </w:r>
            <w:r>
              <w:rPr>
                <w:rFonts w:hint="eastAsia" w:ascii="宋体" w:hAnsi="宋体"/>
                <w:color w:val="auto"/>
                <w:highlight w:val="none"/>
              </w:rPr>
              <w:t>人：</w:t>
            </w:r>
            <w:r>
              <w:rPr>
                <w:rFonts w:ascii="宋体" w:hAnsi="宋体"/>
                <w:color w:val="auto"/>
                <w:highlight w:val="none"/>
                <w:u w:val="single"/>
              </w:rPr>
              <w:t xml:space="preserve">                      </w:t>
            </w:r>
            <w:r>
              <w:rPr>
                <w:rFonts w:hint="eastAsia" w:ascii="宋体" w:hAnsi="宋体"/>
                <w:color w:val="auto"/>
                <w:highlight w:val="none"/>
              </w:rPr>
              <w:t>（单位盖章）</w:t>
            </w:r>
          </w:p>
          <w:p w14:paraId="4A39DFE1">
            <w:pPr>
              <w:spacing w:line="360" w:lineRule="auto"/>
              <w:jc w:val="center"/>
              <w:rPr>
                <w:rFonts w:hint="eastAsia" w:ascii="宋体" w:hAnsi="宋体"/>
                <w:color w:val="auto"/>
                <w:highlight w:val="none"/>
              </w:rPr>
            </w:pPr>
            <w:r>
              <w:rPr>
                <w:rFonts w:ascii="宋体" w:hAnsi="宋体"/>
                <w:color w:val="auto"/>
                <w:highlight w:val="none"/>
              </w:rPr>
              <w:t xml:space="preserve">            </w:t>
            </w:r>
          </w:p>
          <w:p w14:paraId="294E8AEA">
            <w:pPr>
              <w:ind w:firstLine="1800" w:firstLineChars="750"/>
              <w:rPr>
                <w:rFonts w:hint="eastAsia" w:ascii="宋体" w:hAnsi="宋体"/>
                <w:color w:val="auto"/>
                <w:highlight w:val="none"/>
              </w:rPr>
            </w:pPr>
            <w:r>
              <w:rPr>
                <w:rFonts w:hint="eastAsia" w:ascii="宋体" w:hAnsi="宋体"/>
                <w:color w:val="auto"/>
                <w:highlight w:val="none"/>
              </w:rPr>
              <w:t>法定代表人</w:t>
            </w:r>
          </w:p>
          <w:p w14:paraId="4533F41F">
            <w:pPr>
              <w:spacing w:line="360" w:lineRule="auto"/>
              <w:jc w:val="center"/>
              <w:rPr>
                <w:rFonts w:hint="eastAsia" w:ascii="宋体" w:hAnsi="宋体"/>
                <w:color w:val="auto"/>
                <w:highlight w:val="none"/>
              </w:rPr>
            </w:pP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或其授权人：</w:t>
            </w:r>
            <w:r>
              <w:rPr>
                <w:rFonts w:ascii="宋体" w:hAnsi="宋体"/>
                <w:color w:val="auto"/>
                <w:highlight w:val="none"/>
                <w:u w:val="single"/>
              </w:rPr>
              <w:t xml:space="preserve">                     </w:t>
            </w:r>
            <w:r>
              <w:rPr>
                <w:rFonts w:hint="eastAsia" w:ascii="宋体" w:hAnsi="宋体"/>
                <w:color w:val="auto"/>
                <w:highlight w:val="none"/>
              </w:rPr>
              <w:t>（签字或盖章）</w:t>
            </w:r>
          </w:p>
          <w:p w14:paraId="75291D2E">
            <w:pPr>
              <w:ind w:firstLine="1800" w:firstLineChars="750"/>
              <w:rPr>
                <w:rFonts w:hint="eastAsia" w:ascii="宋体" w:hAnsi="宋体"/>
                <w:color w:val="auto"/>
                <w:highlight w:val="none"/>
              </w:rPr>
            </w:pPr>
            <w:r>
              <w:rPr>
                <w:rFonts w:ascii="宋体" w:hAnsi="宋体"/>
                <w:color w:val="auto"/>
                <w:highlight w:val="none"/>
              </w:rPr>
              <w:t xml:space="preserve">               </w:t>
            </w:r>
          </w:p>
          <w:p w14:paraId="45515855">
            <w:pPr>
              <w:spacing w:line="360" w:lineRule="auto"/>
              <w:jc w:val="center"/>
              <w:rPr>
                <w:rFonts w:hint="eastAsia" w:ascii="宋体" w:hAnsi="宋体"/>
                <w:color w:val="auto"/>
                <w:highlight w:val="none"/>
              </w:rPr>
            </w:pPr>
          </w:p>
          <w:p w14:paraId="5CB6A100">
            <w:pPr>
              <w:rPr>
                <w:color w:val="auto"/>
                <w:highlight w:val="none"/>
              </w:rPr>
            </w:pPr>
          </w:p>
          <w:p w14:paraId="654B5AF5">
            <w:pPr>
              <w:spacing w:line="360" w:lineRule="auto"/>
              <w:jc w:val="center"/>
              <w:rPr>
                <w:color w:val="auto"/>
                <w:highlight w:val="none"/>
              </w:rPr>
            </w:pPr>
            <w:r>
              <w:rPr>
                <w:rFonts w:hint="eastAsia" w:ascii="宋体" w:hAnsi="宋体"/>
                <w:color w:val="auto"/>
                <w:highlight w:val="none"/>
              </w:rPr>
              <w:t>年</w:t>
            </w:r>
            <w:r>
              <w:rPr>
                <w:rFonts w:ascii="宋体" w:hAnsi="宋体"/>
                <w:color w:val="auto"/>
                <w:highlight w:val="none"/>
              </w:rPr>
              <w:t xml:space="preserve">     </w:t>
            </w:r>
            <w:r>
              <w:rPr>
                <w:rFonts w:hint="eastAsia" w:ascii="宋体" w:hAnsi="宋体"/>
                <w:color w:val="auto"/>
                <w:highlight w:val="none"/>
              </w:rPr>
              <w:t>月</w:t>
            </w:r>
            <w:r>
              <w:rPr>
                <w:rFonts w:ascii="宋体" w:hAnsi="宋体"/>
                <w:color w:val="auto"/>
                <w:highlight w:val="none"/>
              </w:rPr>
              <w:t xml:space="preserve">     </w:t>
            </w:r>
            <w:r>
              <w:rPr>
                <w:rFonts w:hint="eastAsia" w:ascii="宋体" w:hAnsi="宋体"/>
                <w:color w:val="auto"/>
                <w:highlight w:val="none"/>
              </w:rPr>
              <w:t>日</w:t>
            </w:r>
          </w:p>
        </w:tc>
      </w:tr>
    </w:tbl>
    <w:p w14:paraId="2BA236AC">
      <w:pPr>
        <w:spacing w:line="360" w:lineRule="auto"/>
        <w:jc w:val="center"/>
        <w:rPr>
          <w:rFonts w:hint="eastAsia" w:ascii="方正小标宋_GBK" w:hAnsi="方正小标宋_GBK" w:eastAsia="方正小标宋_GBK"/>
          <w:color w:val="auto"/>
          <w:sz w:val="44"/>
          <w:szCs w:val="44"/>
          <w:highlight w:val="none"/>
        </w:rPr>
      </w:pPr>
      <w:r>
        <w:rPr>
          <w:rFonts w:ascii="宋体" w:hAnsi="宋体"/>
          <w:color w:val="auto"/>
          <w:highlight w:val="none"/>
        </w:rPr>
        <w:br w:type="page"/>
      </w:r>
    </w:p>
    <w:p w14:paraId="091820F5">
      <w:pPr>
        <w:pStyle w:val="14"/>
        <w:jc w:val="center"/>
        <w:rPr>
          <w:rFonts w:ascii="小标宋" w:eastAsia="小标宋"/>
          <w:color w:val="auto"/>
          <w:sz w:val="32"/>
          <w:szCs w:val="32"/>
          <w:highlight w:val="none"/>
        </w:rPr>
      </w:pPr>
      <w:r>
        <w:rPr>
          <w:rFonts w:hint="eastAsia" w:ascii="小标宋" w:eastAsia="小标宋"/>
          <w:color w:val="auto"/>
          <w:sz w:val="32"/>
          <w:szCs w:val="32"/>
          <w:highlight w:val="none"/>
        </w:rPr>
        <w:t>编制说明</w:t>
      </w:r>
    </w:p>
    <w:p w14:paraId="7DB4FA84">
      <w:pPr>
        <w:tabs>
          <w:tab w:val="center" w:pos="4755"/>
          <w:tab w:val="right" w:pos="9070"/>
        </w:tabs>
        <w:adjustRightInd/>
        <w:rPr>
          <w:rFonts w:hint="eastAsia" w:ascii="宋体" w:hAnsi="宋体"/>
          <w:color w:val="auto"/>
          <w:highlight w:val="none"/>
        </w:rPr>
      </w:pPr>
      <w:r>
        <w:rPr>
          <w:rFonts w:hint="eastAsia" w:ascii="宋体" w:hAnsi="宋体"/>
          <w:color w:val="auto"/>
          <w:highlight w:val="none"/>
        </w:rPr>
        <w:t>项目名称：</w:t>
      </w:r>
      <w:r>
        <w:rPr>
          <w:rFonts w:ascii="宋体" w:hAnsi="宋体"/>
          <w:color w:val="auto"/>
          <w:highlight w:val="none"/>
        </w:rPr>
        <w:t xml:space="preserve">                                                 </w:t>
      </w:r>
      <w:r>
        <w:rPr>
          <w:rFonts w:hint="eastAsia" w:ascii="宋体" w:hAnsi="宋体"/>
          <w:color w:val="auto"/>
          <w:highlight w:val="none"/>
        </w:rPr>
        <w:t>第</w:t>
      </w:r>
      <w:r>
        <w:rPr>
          <w:rFonts w:ascii="宋体" w:hAnsi="宋体"/>
          <w:color w:val="auto"/>
          <w:highlight w:val="none"/>
        </w:rPr>
        <w:t xml:space="preserve">  </w:t>
      </w:r>
      <w:r>
        <w:rPr>
          <w:rFonts w:hint="eastAsia" w:ascii="宋体" w:hAnsi="宋体"/>
          <w:color w:val="auto"/>
          <w:highlight w:val="none"/>
        </w:rPr>
        <w:t>页</w:t>
      </w:r>
      <w:r>
        <w:rPr>
          <w:rFonts w:ascii="宋体" w:hAnsi="宋体"/>
          <w:color w:val="auto"/>
          <w:highlight w:val="none"/>
        </w:rPr>
        <w:t xml:space="preserve"> </w:t>
      </w:r>
      <w:r>
        <w:rPr>
          <w:rFonts w:hint="eastAsia" w:ascii="宋体" w:hAnsi="宋体"/>
          <w:color w:val="auto"/>
          <w:highlight w:val="none"/>
        </w:rPr>
        <w:t>共</w:t>
      </w:r>
      <w:r>
        <w:rPr>
          <w:rFonts w:ascii="宋体" w:hAnsi="宋体"/>
          <w:color w:val="auto"/>
          <w:highlight w:val="none"/>
        </w:rPr>
        <w:t xml:space="preserve"> </w:t>
      </w:r>
      <w:r>
        <w:rPr>
          <w:rFonts w:hint="eastAsia" w:ascii="宋体" w:hAnsi="宋体"/>
          <w:color w:val="auto"/>
          <w:highlight w:val="none"/>
        </w:rPr>
        <w:t>页</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51" w:type="dxa"/>
          <w:bottom w:w="17" w:type="dxa"/>
          <w:right w:w="51" w:type="dxa"/>
        </w:tblCellMar>
      </w:tblPr>
      <w:tblGrid>
        <w:gridCol w:w="8845"/>
      </w:tblGrid>
      <w:tr w14:paraId="1F48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51" w:type="dxa"/>
            <w:bottom w:w="17" w:type="dxa"/>
            <w:right w:w="51" w:type="dxa"/>
          </w:tblCellMar>
        </w:tblPrEx>
        <w:trPr>
          <w:cantSplit/>
          <w:trHeight w:val="12020" w:hRule="atLeast"/>
          <w:jc w:val="center"/>
        </w:trPr>
        <w:tc>
          <w:tcPr>
            <w:tcW w:w="8845" w:type="dxa"/>
          </w:tcPr>
          <w:p w14:paraId="22FB9DE7">
            <w:pPr>
              <w:tabs>
                <w:tab w:val="center" w:pos="4755"/>
                <w:tab w:val="right" w:pos="9070"/>
              </w:tabs>
              <w:adjustRightInd/>
              <w:rPr>
                <w:rFonts w:hint="eastAsia" w:ascii="宋体" w:hAnsi="宋体"/>
                <w:color w:val="auto"/>
                <w:highlight w:val="none"/>
              </w:rPr>
            </w:pPr>
          </w:p>
          <w:p w14:paraId="29E57BD0">
            <w:pPr>
              <w:pStyle w:val="17"/>
              <w:spacing w:line="240" w:lineRule="auto"/>
              <w:rPr>
                <w:rFonts w:hint="eastAsia"/>
                <w:color w:val="auto"/>
                <w:highlight w:val="none"/>
              </w:rPr>
            </w:pPr>
          </w:p>
          <w:p w14:paraId="63CBACAF">
            <w:pPr>
              <w:pStyle w:val="17"/>
              <w:spacing w:line="240" w:lineRule="auto"/>
              <w:rPr>
                <w:rFonts w:hint="eastAsia"/>
                <w:color w:val="auto"/>
                <w:highlight w:val="none"/>
              </w:rPr>
            </w:pPr>
          </w:p>
          <w:p w14:paraId="17AC926A">
            <w:pPr>
              <w:pStyle w:val="17"/>
              <w:spacing w:line="240" w:lineRule="auto"/>
              <w:rPr>
                <w:rFonts w:hint="eastAsia"/>
                <w:color w:val="auto"/>
                <w:highlight w:val="none"/>
              </w:rPr>
            </w:pPr>
          </w:p>
          <w:p w14:paraId="5279A201">
            <w:pPr>
              <w:tabs>
                <w:tab w:val="center" w:pos="4755"/>
                <w:tab w:val="right" w:pos="9070"/>
              </w:tabs>
              <w:adjustRightInd/>
              <w:rPr>
                <w:color w:val="auto"/>
                <w:highlight w:val="none"/>
              </w:rPr>
            </w:pPr>
          </w:p>
        </w:tc>
      </w:tr>
    </w:tbl>
    <w:p w14:paraId="4CE160C8">
      <w:pPr>
        <w:rPr>
          <w:rFonts w:hint="eastAsia" w:ascii="方正小标宋_GBK" w:hAnsi="方正小标宋_GBK" w:eastAsia="方正小标宋_GBK"/>
          <w:color w:val="auto"/>
          <w:sz w:val="36"/>
          <w:szCs w:val="36"/>
          <w:highlight w:val="none"/>
        </w:rPr>
      </w:pPr>
      <w:r>
        <w:rPr>
          <w:rFonts w:hint="eastAsia" w:ascii="方正小标宋_GBK" w:hAnsi="方正小标宋_GBK" w:eastAsia="方正小标宋_GBK"/>
          <w:color w:val="auto"/>
          <w:sz w:val="36"/>
          <w:szCs w:val="36"/>
          <w:highlight w:val="none"/>
        </w:rPr>
        <w:br w:type="page"/>
      </w:r>
    </w:p>
    <w:p w14:paraId="7D4AB0FE">
      <w:pPr>
        <w:jc w:val="center"/>
        <w:rPr>
          <w:rFonts w:hint="eastAsia" w:ascii="方正小标宋_GBK" w:hAnsi="方正小标宋_GBK" w:eastAsia="方正小标宋_GBK"/>
          <w:color w:val="auto"/>
          <w:sz w:val="36"/>
          <w:szCs w:val="36"/>
          <w:highlight w:val="none"/>
        </w:rPr>
      </w:pPr>
      <w:r>
        <w:rPr>
          <w:rFonts w:hint="eastAsia" w:ascii="方正小标宋_GBK" w:hAnsi="方正小标宋_GBK" w:eastAsia="方正小标宋_GBK"/>
          <w:color w:val="auto"/>
          <w:sz w:val="36"/>
          <w:szCs w:val="36"/>
          <w:highlight w:val="none"/>
        </w:rPr>
        <w:t>工程总承包项目清单及计价表</w:t>
      </w:r>
    </w:p>
    <w:p w14:paraId="35750665">
      <w:pPr>
        <w:widowControl/>
        <w:jc w:val="center"/>
        <w:rPr>
          <w:rFonts w:hint="eastAsia" w:ascii="宋体" w:hAnsi="宋体"/>
          <w:b/>
          <w:color w:val="auto"/>
          <w:highlight w:val="none"/>
        </w:rPr>
      </w:pPr>
      <w:r>
        <w:rPr>
          <w:rFonts w:hint="eastAsia" w:ascii="宋体" w:hAnsi="宋体"/>
          <w:b/>
          <w:color w:val="auto"/>
          <w:sz w:val="28"/>
          <w:szCs w:val="28"/>
          <w:highlight w:val="none"/>
        </w:rPr>
        <w:t>表1工程总承包项目费用汇总表</w:t>
      </w:r>
    </w:p>
    <w:p w14:paraId="65832FEC">
      <w:pPr>
        <w:widowControl/>
        <w:rPr>
          <w:rFonts w:hint="eastAsia" w:ascii="宋体" w:hAnsi="宋体"/>
          <w:color w:val="auto"/>
          <w:highlight w:val="none"/>
        </w:rPr>
      </w:pPr>
      <w:r>
        <w:rPr>
          <w:rFonts w:hint="eastAsia" w:ascii="宋体" w:hAnsi="宋体"/>
          <w:color w:val="auto"/>
          <w:highlight w:val="none"/>
        </w:rPr>
        <w:t>项目</w:t>
      </w:r>
      <w:r>
        <w:rPr>
          <w:rFonts w:ascii="宋体" w:hAnsi="宋体"/>
          <w:color w:val="auto"/>
          <w:highlight w:val="none"/>
        </w:rPr>
        <w:t>名称：</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260"/>
        <w:gridCol w:w="1843"/>
        <w:gridCol w:w="2835"/>
      </w:tblGrid>
      <w:tr w14:paraId="667F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74D26BC4">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序号</w:t>
            </w:r>
          </w:p>
        </w:tc>
        <w:tc>
          <w:tcPr>
            <w:tcW w:w="3260" w:type="dxa"/>
            <w:vAlign w:val="center"/>
          </w:tcPr>
          <w:p w14:paraId="477D21C8">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项目名称</w:t>
            </w:r>
          </w:p>
        </w:tc>
        <w:tc>
          <w:tcPr>
            <w:tcW w:w="1843" w:type="dxa"/>
            <w:vAlign w:val="center"/>
          </w:tcPr>
          <w:p w14:paraId="2685DEEF">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金额（元）</w:t>
            </w:r>
          </w:p>
        </w:tc>
        <w:tc>
          <w:tcPr>
            <w:tcW w:w="2835" w:type="dxa"/>
            <w:vAlign w:val="center"/>
          </w:tcPr>
          <w:p w14:paraId="78C6322A">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备注</w:t>
            </w:r>
          </w:p>
        </w:tc>
      </w:tr>
      <w:tr w14:paraId="51B0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41FB0AED">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1</w:t>
            </w:r>
          </w:p>
        </w:tc>
        <w:tc>
          <w:tcPr>
            <w:tcW w:w="3260" w:type="dxa"/>
            <w:vAlign w:val="center"/>
          </w:tcPr>
          <w:p w14:paraId="56DEFC44">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工程设计费</w:t>
            </w:r>
          </w:p>
        </w:tc>
        <w:tc>
          <w:tcPr>
            <w:tcW w:w="1843" w:type="dxa"/>
            <w:vAlign w:val="center"/>
          </w:tcPr>
          <w:p w14:paraId="43809232">
            <w:pPr>
              <w:widowControl/>
              <w:spacing w:line="360" w:lineRule="auto"/>
              <w:jc w:val="center"/>
              <w:rPr>
                <w:rFonts w:hint="eastAsia" w:ascii="宋体" w:hAnsi="宋体" w:cs="Calibri"/>
                <w:color w:val="auto"/>
                <w:highlight w:val="none"/>
              </w:rPr>
            </w:pPr>
          </w:p>
        </w:tc>
        <w:tc>
          <w:tcPr>
            <w:tcW w:w="2835" w:type="dxa"/>
            <w:vAlign w:val="center"/>
          </w:tcPr>
          <w:p w14:paraId="36756BAB">
            <w:pPr>
              <w:widowControl/>
              <w:spacing w:line="360" w:lineRule="auto"/>
              <w:jc w:val="center"/>
              <w:rPr>
                <w:rFonts w:hint="eastAsia" w:ascii="宋体" w:hAnsi="宋体" w:cs="Calibri"/>
                <w:color w:val="auto"/>
                <w:highlight w:val="none"/>
              </w:rPr>
            </w:pPr>
          </w:p>
        </w:tc>
      </w:tr>
      <w:tr w14:paraId="072A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Align w:val="center"/>
          </w:tcPr>
          <w:p w14:paraId="7693988D">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2</w:t>
            </w:r>
          </w:p>
        </w:tc>
        <w:tc>
          <w:tcPr>
            <w:tcW w:w="3260" w:type="dxa"/>
            <w:vAlign w:val="center"/>
          </w:tcPr>
          <w:p w14:paraId="175057C8">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设备购置费</w:t>
            </w:r>
          </w:p>
        </w:tc>
        <w:tc>
          <w:tcPr>
            <w:tcW w:w="1843" w:type="dxa"/>
            <w:vAlign w:val="center"/>
          </w:tcPr>
          <w:p w14:paraId="00443F32">
            <w:pPr>
              <w:widowControl/>
              <w:spacing w:line="360" w:lineRule="auto"/>
              <w:jc w:val="center"/>
              <w:rPr>
                <w:rFonts w:hint="eastAsia" w:ascii="宋体" w:hAnsi="宋体" w:cs="Calibri"/>
                <w:color w:val="auto"/>
                <w:highlight w:val="none"/>
              </w:rPr>
            </w:pPr>
          </w:p>
        </w:tc>
        <w:tc>
          <w:tcPr>
            <w:tcW w:w="2835" w:type="dxa"/>
            <w:vAlign w:val="center"/>
          </w:tcPr>
          <w:p w14:paraId="553902BB">
            <w:pPr>
              <w:widowControl/>
              <w:spacing w:line="360" w:lineRule="auto"/>
              <w:jc w:val="center"/>
              <w:rPr>
                <w:rFonts w:hint="eastAsia" w:ascii="宋体" w:hAnsi="宋体" w:cs="Calibri"/>
                <w:color w:val="auto"/>
                <w:highlight w:val="none"/>
              </w:rPr>
            </w:pPr>
          </w:p>
        </w:tc>
      </w:tr>
      <w:tr w14:paraId="58A1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0A820829">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w:t>
            </w:r>
          </w:p>
        </w:tc>
        <w:tc>
          <w:tcPr>
            <w:tcW w:w="3260" w:type="dxa"/>
            <w:vAlign w:val="center"/>
          </w:tcPr>
          <w:p w14:paraId="397FC983">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建筑安装工程费</w:t>
            </w:r>
          </w:p>
        </w:tc>
        <w:tc>
          <w:tcPr>
            <w:tcW w:w="1843" w:type="dxa"/>
            <w:vAlign w:val="center"/>
          </w:tcPr>
          <w:p w14:paraId="76627E67">
            <w:pPr>
              <w:widowControl/>
              <w:spacing w:line="360" w:lineRule="auto"/>
              <w:jc w:val="center"/>
              <w:rPr>
                <w:rFonts w:hint="eastAsia" w:ascii="宋体" w:hAnsi="宋体" w:cs="Calibri"/>
                <w:color w:val="auto"/>
                <w:highlight w:val="none"/>
              </w:rPr>
            </w:pPr>
          </w:p>
        </w:tc>
        <w:tc>
          <w:tcPr>
            <w:tcW w:w="2835" w:type="dxa"/>
            <w:vAlign w:val="center"/>
          </w:tcPr>
          <w:p w14:paraId="3B983120">
            <w:pPr>
              <w:widowControl/>
              <w:spacing w:line="360" w:lineRule="auto"/>
              <w:jc w:val="center"/>
              <w:rPr>
                <w:rFonts w:hint="eastAsia" w:ascii="宋体" w:hAnsi="宋体" w:cs="Calibri"/>
                <w:color w:val="auto"/>
                <w:highlight w:val="none"/>
              </w:rPr>
            </w:pPr>
          </w:p>
        </w:tc>
      </w:tr>
      <w:tr w14:paraId="2865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44101825">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4</w:t>
            </w:r>
          </w:p>
        </w:tc>
        <w:tc>
          <w:tcPr>
            <w:tcW w:w="3260" w:type="dxa"/>
            <w:vAlign w:val="center"/>
          </w:tcPr>
          <w:p w14:paraId="387B1D6E">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工程总承包其他费</w:t>
            </w:r>
          </w:p>
        </w:tc>
        <w:tc>
          <w:tcPr>
            <w:tcW w:w="1843" w:type="dxa"/>
            <w:vAlign w:val="center"/>
          </w:tcPr>
          <w:p w14:paraId="6624E491">
            <w:pPr>
              <w:widowControl/>
              <w:spacing w:line="360" w:lineRule="auto"/>
              <w:jc w:val="center"/>
              <w:rPr>
                <w:rFonts w:hint="eastAsia" w:ascii="宋体" w:hAnsi="宋体" w:cs="Calibri"/>
                <w:color w:val="auto"/>
                <w:highlight w:val="none"/>
              </w:rPr>
            </w:pPr>
          </w:p>
        </w:tc>
        <w:tc>
          <w:tcPr>
            <w:tcW w:w="2835" w:type="dxa"/>
            <w:vAlign w:val="center"/>
          </w:tcPr>
          <w:p w14:paraId="30618630">
            <w:pPr>
              <w:widowControl/>
              <w:spacing w:line="360" w:lineRule="auto"/>
              <w:jc w:val="center"/>
              <w:rPr>
                <w:rFonts w:hint="eastAsia" w:ascii="宋体" w:hAnsi="宋体" w:cs="Calibri"/>
                <w:color w:val="auto"/>
                <w:highlight w:val="none"/>
              </w:rPr>
            </w:pPr>
          </w:p>
        </w:tc>
      </w:tr>
      <w:tr w14:paraId="6AEE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5FE0DD37">
            <w:pPr>
              <w:widowControl/>
              <w:spacing w:line="360" w:lineRule="auto"/>
              <w:jc w:val="center"/>
              <w:rPr>
                <w:rFonts w:hint="eastAsia" w:ascii="宋体" w:hAnsi="宋体" w:cs="Calibri"/>
                <w:color w:val="auto"/>
                <w:highlight w:val="none"/>
              </w:rPr>
            </w:pPr>
          </w:p>
        </w:tc>
        <w:tc>
          <w:tcPr>
            <w:tcW w:w="3260" w:type="dxa"/>
            <w:vAlign w:val="center"/>
          </w:tcPr>
          <w:p w14:paraId="50937679">
            <w:pPr>
              <w:widowControl/>
              <w:spacing w:line="360" w:lineRule="auto"/>
              <w:jc w:val="center"/>
              <w:rPr>
                <w:rFonts w:hint="eastAsia" w:ascii="宋体" w:hAnsi="宋体" w:cs="Calibri"/>
                <w:color w:val="auto"/>
                <w:highlight w:val="none"/>
              </w:rPr>
            </w:pPr>
            <w:r>
              <w:rPr>
                <w:rFonts w:ascii="宋体" w:hAnsi="宋体" w:cs="Calibri"/>
                <w:color w:val="auto"/>
                <w:highlight w:val="none"/>
              </w:rPr>
              <w:t>……</w:t>
            </w:r>
          </w:p>
        </w:tc>
        <w:tc>
          <w:tcPr>
            <w:tcW w:w="1843" w:type="dxa"/>
            <w:vAlign w:val="center"/>
          </w:tcPr>
          <w:p w14:paraId="4434E496">
            <w:pPr>
              <w:widowControl/>
              <w:spacing w:line="360" w:lineRule="auto"/>
              <w:jc w:val="center"/>
              <w:rPr>
                <w:rFonts w:hint="eastAsia" w:ascii="宋体" w:hAnsi="宋体" w:cs="Calibri"/>
                <w:color w:val="auto"/>
                <w:highlight w:val="none"/>
              </w:rPr>
            </w:pPr>
          </w:p>
        </w:tc>
        <w:tc>
          <w:tcPr>
            <w:tcW w:w="2835" w:type="dxa"/>
            <w:vAlign w:val="center"/>
          </w:tcPr>
          <w:p w14:paraId="3C322629">
            <w:pPr>
              <w:widowControl/>
              <w:spacing w:line="360" w:lineRule="auto"/>
              <w:jc w:val="center"/>
              <w:rPr>
                <w:rFonts w:hint="eastAsia" w:ascii="宋体" w:hAnsi="宋体" w:cs="Calibri"/>
                <w:color w:val="auto"/>
                <w:highlight w:val="none"/>
              </w:rPr>
            </w:pPr>
          </w:p>
        </w:tc>
      </w:tr>
      <w:tr w14:paraId="0C4D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636DF9C8">
            <w:pPr>
              <w:widowControl/>
              <w:spacing w:line="360" w:lineRule="auto"/>
              <w:jc w:val="center"/>
              <w:rPr>
                <w:rFonts w:hint="eastAsia" w:ascii="宋体" w:hAnsi="宋体" w:cs="Calibri"/>
                <w:color w:val="auto"/>
                <w:highlight w:val="none"/>
              </w:rPr>
            </w:pPr>
          </w:p>
        </w:tc>
        <w:tc>
          <w:tcPr>
            <w:tcW w:w="3260" w:type="dxa"/>
            <w:vAlign w:val="center"/>
          </w:tcPr>
          <w:p w14:paraId="0D145762">
            <w:pPr>
              <w:widowControl/>
              <w:spacing w:line="360" w:lineRule="auto"/>
              <w:jc w:val="center"/>
              <w:rPr>
                <w:rFonts w:hint="eastAsia" w:ascii="宋体" w:hAnsi="宋体" w:cs="Calibri"/>
                <w:color w:val="auto"/>
                <w:highlight w:val="none"/>
              </w:rPr>
            </w:pPr>
          </w:p>
        </w:tc>
        <w:tc>
          <w:tcPr>
            <w:tcW w:w="1843" w:type="dxa"/>
            <w:vAlign w:val="center"/>
          </w:tcPr>
          <w:p w14:paraId="60690964">
            <w:pPr>
              <w:widowControl/>
              <w:spacing w:line="360" w:lineRule="auto"/>
              <w:jc w:val="center"/>
              <w:rPr>
                <w:rFonts w:hint="eastAsia" w:ascii="宋体" w:hAnsi="宋体" w:cs="Calibri"/>
                <w:color w:val="auto"/>
                <w:highlight w:val="none"/>
              </w:rPr>
            </w:pPr>
          </w:p>
        </w:tc>
        <w:tc>
          <w:tcPr>
            <w:tcW w:w="2835" w:type="dxa"/>
            <w:vAlign w:val="center"/>
          </w:tcPr>
          <w:p w14:paraId="389A2369">
            <w:pPr>
              <w:widowControl/>
              <w:spacing w:line="360" w:lineRule="auto"/>
              <w:jc w:val="center"/>
              <w:rPr>
                <w:rFonts w:hint="eastAsia" w:ascii="宋体" w:hAnsi="宋体" w:cs="Calibri"/>
                <w:color w:val="auto"/>
                <w:highlight w:val="none"/>
              </w:rPr>
            </w:pPr>
          </w:p>
        </w:tc>
      </w:tr>
      <w:tr w14:paraId="2D34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0B39209D">
            <w:pPr>
              <w:widowControl/>
              <w:spacing w:line="360" w:lineRule="auto"/>
              <w:jc w:val="center"/>
              <w:rPr>
                <w:rFonts w:hint="eastAsia" w:ascii="宋体" w:hAnsi="宋体" w:cs="Calibri"/>
                <w:color w:val="auto"/>
                <w:highlight w:val="none"/>
              </w:rPr>
            </w:pPr>
          </w:p>
        </w:tc>
        <w:tc>
          <w:tcPr>
            <w:tcW w:w="3260" w:type="dxa"/>
            <w:vAlign w:val="center"/>
          </w:tcPr>
          <w:p w14:paraId="29A4D1BF">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合计</w:t>
            </w:r>
          </w:p>
        </w:tc>
        <w:tc>
          <w:tcPr>
            <w:tcW w:w="1843" w:type="dxa"/>
            <w:vAlign w:val="center"/>
          </w:tcPr>
          <w:p w14:paraId="330F5465">
            <w:pPr>
              <w:widowControl/>
              <w:spacing w:line="360" w:lineRule="auto"/>
              <w:jc w:val="center"/>
              <w:rPr>
                <w:rFonts w:hint="eastAsia" w:ascii="宋体" w:hAnsi="宋体" w:cs="Calibri"/>
                <w:color w:val="auto"/>
                <w:highlight w:val="none"/>
              </w:rPr>
            </w:pPr>
          </w:p>
        </w:tc>
        <w:tc>
          <w:tcPr>
            <w:tcW w:w="2835" w:type="dxa"/>
            <w:vAlign w:val="center"/>
          </w:tcPr>
          <w:p w14:paraId="6E256F85">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（1+2+3+4）</w:t>
            </w:r>
          </w:p>
        </w:tc>
      </w:tr>
      <w:tr w14:paraId="6FCD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4632FA8D">
            <w:pPr>
              <w:widowControl/>
              <w:spacing w:line="360" w:lineRule="auto"/>
              <w:jc w:val="center"/>
              <w:rPr>
                <w:rFonts w:hint="eastAsia" w:ascii="宋体" w:hAnsi="宋体" w:cs="Calibri"/>
                <w:color w:val="auto"/>
                <w:highlight w:val="none"/>
              </w:rPr>
            </w:pPr>
          </w:p>
        </w:tc>
        <w:tc>
          <w:tcPr>
            <w:tcW w:w="3260" w:type="dxa"/>
            <w:vAlign w:val="center"/>
          </w:tcPr>
          <w:p w14:paraId="2CC2C01A">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其中：暂列金额合计</w:t>
            </w:r>
          </w:p>
        </w:tc>
        <w:tc>
          <w:tcPr>
            <w:tcW w:w="1843" w:type="dxa"/>
            <w:vAlign w:val="center"/>
          </w:tcPr>
          <w:p w14:paraId="465066DC">
            <w:pPr>
              <w:widowControl/>
              <w:spacing w:line="360" w:lineRule="auto"/>
              <w:jc w:val="center"/>
              <w:rPr>
                <w:rFonts w:hint="eastAsia" w:ascii="宋体" w:hAnsi="宋体" w:cs="Calibri"/>
                <w:color w:val="auto"/>
                <w:highlight w:val="none"/>
              </w:rPr>
            </w:pPr>
          </w:p>
        </w:tc>
        <w:tc>
          <w:tcPr>
            <w:tcW w:w="2835" w:type="dxa"/>
            <w:vAlign w:val="center"/>
          </w:tcPr>
          <w:p w14:paraId="1586CF5B">
            <w:pPr>
              <w:widowControl/>
              <w:spacing w:line="360" w:lineRule="auto"/>
              <w:jc w:val="center"/>
              <w:rPr>
                <w:rFonts w:hint="eastAsia" w:ascii="宋体" w:hAnsi="宋体" w:cs="Calibri"/>
                <w:color w:val="auto"/>
                <w:highlight w:val="none"/>
              </w:rPr>
            </w:pPr>
          </w:p>
        </w:tc>
      </w:tr>
      <w:tr w14:paraId="3BF4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3B2D9DED">
            <w:pPr>
              <w:widowControl/>
              <w:spacing w:line="360" w:lineRule="auto"/>
              <w:jc w:val="center"/>
              <w:rPr>
                <w:rFonts w:hint="eastAsia" w:ascii="宋体" w:hAnsi="宋体" w:cs="Calibri"/>
                <w:color w:val="auto"/>
                <w:highlight w:val="none"/>
              </w:rPr>
            </w:pPr>
          </w:p>
        </w:tc>
        <w:tc>
          <w:tcPr>
            <w:tcW w:w="3260" w:type="dxa"/>
            <w:vAlign w:val="center"/>
          </w:tcPr>
          <w:p w14:paraId="60105627">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暂估价合计</w:t>
            </w:r>
          </w:p>
        </w:tc>
        <w:tc>
          <w:tcPr>
            <w:tcW w:w="1843" w:type="dxa"/>
            <w:vAlign w:val="center"/>
          </w:tcPr>
          <w:p w14:paraId="6DC5F3D3">
            <w:pPr>
              <w:widowControl/>
              <w:spacing w:line="360" w:lineRule="auto"/>
              <w:jc w:val="center"/>
              <w:rPr>
                <w:rFonts w:hint="eastAsia" w:ascii="宋体" w:hAnsi="宋体" w:cs="Calibri"/>
                <w:color w:val="auto"/>
                <w:highlight w:val="none"/>
              </w:rPr>
            </w:pPr>
          </w:p>
        </w:tc>
        <w:tc>
          <w:tcPr>
            <w:tcW w:w="2835" w:type="dxa"/>
            <w:vAlign w:val="center"/>
          </w:tcPr>
          <w:p w14:paraId="5E27E7CD">
            <w:pPr>
              <w:widowControl/>
              <w:spacing w:line="360" w:lineRule="auto"/>
              <w:jc w:val="center"/>
              <w:rPr>
                <w:rFonts w:hint="eastAsia" w:ascii="宋体" w:hAnsi="宋体" w:cs="Calibri"/>
                <w:color w:val="auto"/>
                <w:highlight w:val="none"/>
              </w:rPr>
            </w:pPr>
          </w:p>
        </w:tc>
      </w:tr>
    </w:tbl>
    <w:p w14:paraId="306955DA">
      <w:pPr>
        <w:widowControl/>
        <w:rPr>
          <w:rFonts w:hint="eastAsia" w:ascii="宋体" w:hAnsi="宋体"/>
          <w:color w:val="auto"/>
          <w:highlight w:val="none"/>
        </w:rPr>
      </w:pPr>
      <w:bookmarkStart w:id="197" w:name="_Hlk76568424"/>
    </w:p>
    <w:p w14:paraId="540F600A">
      <w:pPr>
        <w:spacing w:line="360" w:lineRule="auto"/>
        <w:jc w:val="center"/>
        <w:rPr>
          <w:rFonts w:hint="eastAsia" w:ascii="宋体" w:hAnsi="宋体"/>
          <w:color w:val="auto"/>
          <w:highlight w:val="none"/>
        </w:rPr>
      </w:pPr>
      <w:r>
        <w:rPr>
          <w:rFonts w:ascii="宋体" w:hAnsi="宋体"/>
          <w:color w:val="auto"/>
          <w:highlight w:val="none"/>
        </w:rPr>
        <w:br w:type="page"/>
      </w:r>
    </w:p>
    <w:p w14:paraId="6CE44349">
      <w:pPr>
        <w:widowControl/>
        <w:jc w:val="center"/>
        <w:rPr>
          <w:rFonts w:hint="eastAsia" w:ascii="宋体" w:hAnsi="宋体"/>
          <w:b/>
          <w:color w:val="auto"/>
          <w:sz w:val="28"/>
          <w:szCs w:val="28"/>
          <w:highlight w:val="none"/>
        </w:rPr>
      </w:pPr>
      <w:r>
        <w:rPr>
          <w:rFonts w:hint="eastAsia" w:ascii="宋体" w:hAnsi="宋体"/>
          <w:b/>
          <w:color w:val="auto"/>
          <w:sz w:val="28"/>
          <w:szCs w:val="28"/>
          <w:highlight w:val="none"/>
        </w:rPr>
        <w:t>表2 工程总承包项目工程设计费清单及计价表</w:t>
      </w:r>
    </w:p>
    <w:p w14:paraId="0BF637B1">
      <w:pPr>
        <w:widowControl/>
        <w:rPr>
          <w:rFonts w:hint="eastAsia" w:ascii="宋体" w:hAnsi="宋体"/>
          <w:color w:val="auto"/>
          <w:highlight w:val="none"/>
        </w:rPr>
      </w:pPr>
      <w:r>
        <w:rPr>
          <w:rFonts w:ascii="宋体" w:hAnsi="宋体"/>
          <w:color w:val="auto"/>
          <w:highlight w:val="none"/>
        </w:rPr>
        <w:t xml:space="preserve"> </w:t>
      </w:r>
      <w:r>
        <w:rPr>
          <w:rFonts w:ascii="宋体" w:hAnsi="宋体"/>
          <w:color w:val="auto"/>
          <w:highlight w:val="none"/>
        </w:rPr>
        <w:tab/>
      </w:r>
      <w:r>
        <w:rPr>
          <w:rFonts w:ascii="宋体" w:hAnsi="宋体"/>
          <w:color w:val="auto"/>
          <w:highlight w:val="none"/>
        </w:rPr>
        <w:tab/>
      </w:r>
      <w:r>
        <w:rPr>
          <w:rFonts w:ascii="宋体" w:hAnsi="宋体"/>
          <w:color w:val="auto"/>
          <w:highlight w:val="none"/>
        </w:rPr>
        <w:tab/>
      </w:r>
    </w:p>
    <w:p w14:paraId="7FC331A0">
      <w:pPr>
        <w:widowControl/>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rPr>
        <w:tab/>
      </w:r>
      <w:r>
        <w:rPr>
          <w:rFonts w:hint="eastAsia" w:ascii="宋体" w:hAnsi="宋体"/>
          <w:color w:val="auto"/>
          <w:highlight w:val="none"/>
        </w:rPr>
        <w:tab/>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3155"/>
        <w:gridCol w:w="1884"/>
        <w:gridCol w:w="2493"/>
      </w:tblGrid>
      <w:tr w14:paraId="739A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0" w:type="dxa"/>
            <w:vAlign w:val="center"/>
          </w:tcPr>
          <w:p w14:paraId="7E53CD65">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序号</w:t>
            </w:r>
          </w:p>
        </w:tc>
        <w:tc>
          <w:tcPr>
            <w:tcW w:w="3155" w:type="dxa"/>
            <w:vAlign w:val="center"/>
          </w:tcPr>
          <w:p w14:paraId="6FFB88B6">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项目名称</w:t>
            </w:r>
          </w:p>
        </w:tc>
        <w:tc>
          <w:tcPr>
            <w:tcW w:w="1884" w:type="dxa"/>
            <w:vAlign w:val="center"/>
          </w:tcPr>
          <w:p w14:paraId="1FB8930C">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金额（元）</w:t>
            </w:r>
          </w:p>
        </w:tc>
        <w:tc>
          <w:tcPr>
            <w:tcW w:w="2493" w:type="dxa"/>
            <w:vAlign w:val="center"/>
          </w:tcPr>
          <w:p w14:paraId="06EE009D">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备注</w:t>
            </w:r>
          </w:p>
        </w:tc>
      </w:tr>
      <w:tr w14:paraId="0320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0" w:type="dxa"/>
            <w:vAlign w:val="center"/>
          </w:tcPr>
          <w:p w14:paraId="0053134A">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1.</w:t>
            </w:r>
            <w:r>
              <w:rPr>
                <w:rFonts w:ascii="宋体" w:hAnsi="宋体" w:cs="Calibri"/>
                <w:color w:val="auto"/>
                <w:highlight w:val="none"/>
              </w:rPr>
              <w:t>1</w:t>
            </w:r>
          </w:p>
        </w:tc>
        <w:tc>
          <w:tcPr>
            <w:tcW w:w="3155" w:type="dxa"/>
            <w:vAlign w:val="center"/>
          </w:tcPr>
          <w:p w14:paraId="0E17B39C">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施工图设计费</w:t>
            </w:r>
          </w:p>
        </w:tc>
        <w:tc>
          <w:tcPr>
            <w:tcW w:w="1884" w:type="dxa"/>
            <w:vAlign w:val="center"/>
          </w:tcPr>
          <w:p w14:paraId="3E522437">
            <w:pPr>
              <w:widowControl/>
              <w:spacing w:line="360" w:lineRule="auto"/>
              <w:jc w:val="center"/>
              <w:rPr>
                <w:rFonts w:hint="eastAsia" w:ascii="宋体" w:hAnsi="宋体" w:cs="Calibri"/>
                <w:color w:val="auto"/>
                <w:highlight w:val="none"/>
              </w:rPr>
            </w:pPr>
          </w:p>
        </w:tc>
        <w:tc>
          <w:tcPr>
            <w:tcW w:w="2493" w:type="dxa"/>
            <w:vAlign w:val="center"/>
          </w:tcPr>
          <w:p w14:paraId="70443131">
            <w:pPr>
              <w:widowControl/>
              <w:spacing w:line="360" w:lineRule="auto"/>
              <w:jc w:val="center"/>
              <w:rPr>
                <w:rFonts w:hint="eastAsia" w:ascii="宋体" w:hAnsi="宋体" w:cs="Calibri"/>
                <w:color w:val="auto"/>
                <w:highlight w:val="none"/>
              </w:rPr>
            </w:pPr>
          </w:p>
        </w:tc>
      </w:tr>
      <w:tr w14:paraId="2AA3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0" w:type="dxa"/>
            <w:vAlign w:val="center"/>
          </w:tcPr>
          <w:p w14:paraId="039FE475">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1.</w:t>
            </w:r>
            <w:r>
              <w:rPr>
                <w:rFonts w:ascii="宋体" w:hAnsi="宋体" w:cs="Calibri"/>
                <w:color w:val="auto"/>
                <w:highlight w:val="none"/>
              </w:rPr>
              <w:t>2</w:t>
            </w:r>
          </w:p>
        </w:tc>
        <w:tc>
          <w:tcPr>
            <w:tcW w:w="3155" w:type="dxa"/>
            <w:vAlign w:val="center"/>
          </w:tcPr>
          <w:p w14:paraId="280C1B99">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深化设计费</w:t>
            </w:r>
          </w:p>
        </w:tc>
        <w:tc>
          <w:tcPr>
            <w:tcW w:w="1884" w:type="dxa"/>
            <w:vAlign w:val="center"/>
          </w:tcPr>
          <w:p w14:paraId="738B84CD">
            <w:pPr>
              <w:widowControl/>
              <w:spacing w:line="360" w:lineRule="auto"/>
              <w:jc w:val="center"/>
              <w:rPr>
                <w:rFonts w:hint="eastAsia" w:ascii="宋体" w:hAnsi="宋体" w:cs="Calibri"/>
                <w:color w:val="auto"/>
                <w:highlight w:val="none"/>
              </w:rPr>
            </w:pPr>
          </w:p>
        </w:tc>
        <w:tc>
          <w:tcPr>
            <w:tcW w:w="2493" w:type="dxa"/>
            <w:vAlign w:val="center"/>
          </w:tcPr>
          <w:p w14:paraId="4A72A153">
            <w:pPr>
              <w:widowControl/>
              <w:spacing w:line="360" w:lineRule="auto"/>
              <w:jc w:val="center"/>
              <w:rPr>
                <w:rFonts w:hint="eastAsia" w:ascii="宋体" w:hAnsi="宋体" w:cs="Calibri"/>
                <w:color w:val="auto"/>
                <w:highlight w:val="none"/>
              </w:rPr>
            </w:pPr>
          </w:p>
        </w:tc>
      </w:tr>
      <w:tr w14:paraId="7C9E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0" w:type="dxa"/>
            <w:vAlign w:val="center"/>
          </w:tcPr>
          <w:p w14:paraId="66C29F34">
            <w:pPr>
              <w:widowControl/>
              <w:spacing w:line="360" w:lineRule="auto"/>
              <w:jc w:val="center"/>
              <w:rPr>
                <w:rFonts w:hint="eastAsia" w:ascii="宋体" w:hAnsi="宋体" w:cs="Calibri"/>
                <w:color w:val="auto"/>
                <w:highlight w:val="none"/>
              </w:rPr>
            </w:pPr>
          </w:p>
        </w:tc>
        <w:tc>
          <w:tcPr>
            <w:tcW w:w="3155" w:type="dxa"/>
            <w:vAlign w:val="center"/>
          </w:tcPr>
          <w:p w14:paraId="53628134">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w:t>
            </w:r>
          </w:p>
        </w:tc>
        <w:tc>
          <w:tcPr>
            <w:tcW w:w="1884" w:type="dxa"/>
            <w:vAlign w:val="center"/>
          </w:tcPr>
          <w:p w14:paraId="050396A3">
            <w:pPr>
              <w:widowControl/>
              <w:spacing w:line="360" w:lineRule="auto"/>
              <w:jc w:val="center"/>
              <w:rPr>
                <w:rFonts w:hint="eastAsia" w:ascii="宋体" w:hAnsi="宋体" w:cs="Calibri"/>
                <w:color w:val="auto"/>
                <w:highlight w:val="none"/>
              </w:rPr>
            </w:pPr>
          </w:p>
        </w:tc>
        <w:tc>
          <w:tcPr>
            <w:tcW w:w="2493" w:type="dxa"/>
            <w:vAlign w:val="center"/>
          </w:tcPr>
          <w:p w14:paraId="75B6B085">
            <w:pPr>
              <w:widowControl/>
              <w:spacing w:line="360" w:lineRule="auto"/>
              <w:jc w:val="center"/>
              <w:rPr>
                <w:rFonts w:hint="eastAsia" w:ascii="宋体" w:hAnsi="宋体" w:cs="Calibri"/>
                <w:color w:val="auto"/>
                <w:highlight w:val="none"/>
              </w:rPr>
            </w:pPr>
          </w:p>
        </w:tc>
      </w:tr>
      <w:tr w14:paraId="686D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0" w:type="dxa"/>
            <w:vAlign w:val="center"/>
          </w:tcPr>
          <w:p w14:paraId="75E544D2">
            <w:pPr>
              <w:widowControl/>
              <w:spacing w:line="360" w:lineRule="auto"/>
              <w:jc w:val="center"/>
              <w:rPr>
                <w:rFonts w:hint="eastAsia" w:ascii="宋体" w:hAnsi="宋体" w:cs="Calibri"/>
                <w:color w:val="auto"/>
                <w:highlight w:val="none"/>
              </w:rPr>
            </w:pPr>
          </w:p>
        </w:tc>
        <w:tc>
          <w:tcPr>
            <w:tcW w:w="3155" w:type="dxa"/>
            <w:vAlign w:val="center"/>
          </w:tcPr>
          <w:p w14:paraId="778E2D63">
            <w:pPr>
              <w:widowControl/>
              <w:spacing w:line="360" w:lineRule="auto"/>
              <w:jc w:val="center"/>
              <w:rPr>
                <w:rFonts w:hint="eastAsia" w:ascii="宋体" w:hAnsi="宋体" w:cs="Calibri"/>
                <w:color w:val="auto"/>
                <w:highlight w:val="none"/>
              </w:rPr>
            </w:pPr>
          </w:p>
        </w:tc>
        <w:tc>
          <w:tcPr>
            <w:tcW w:w="1884" w:type="dxa"/>
            <w:vAlign w:val="center"/>
          </w:tcPr>
          <w:p w14:paraId="24702DF8">
            <w:pPr>
              <w:widowControl/>
              <w:spacing w:line="360" w:lineRule="auto"/>
              <w:jc w:val="center"/>
              <w:rPr>
                <w:rFonts w:hint="eastAsia" w:ascii="宋体" w:hAnsi="宋体" w:cs="Calibri"/>
                <w:color w:val="auto"/>
                <w:highlight w:val="none"/>
              </w:rPr>
            </w:pPr>
          </w:p>
        </w:tc>
        <w:tc>
          <w:tcPr>
            <w:tcW w:w="2493" w:type="dxa"/>
            <w:vAlign w:val="center"/>
          </w:tcPr>
          <w:p w14:paraId="7EA0586F">
            <w:pPr>
              <w:widowControl/>
              <w:spacing w:line="360" w:lineRule="auto"/>
              <w:jc w:val="center"/>
              <w:rPr>
                <w:rFonts w:hint="eastAsia" w:ascii="宋体" w:hAnsi="宋体" w:cs="Calibri"/>
                <w:color w:val="auto"/>
                <w:highlight w:val="none"/>
              </w:rPr>
            </w:pPr>
          </w:p>
        </w:tc>
      </w:tr>
      <w:tr w14:paraId="458D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0" w:type="dxa"/>
            <w:vAlign w:val="center"/>
          </w:tcPr>
          <w:p w14:paraId="4F2A263C">
            <w:pPr>
              <w:widowControl/>
              <w:spacing w:line="360" w:lineRule="auto"/>
              <w:jc w:val="center"/>
              <w:rPr>
                <w:rFonts w:hint="eastAsia" w:ascii="宋体" w:hAnsi="宋体" w:cs="Calibri"/>
                <w:color w:val="auto"/>
                <w:highlight w:val="none"/>
              </w:rPr>
            </w:pPr>
          </w:p>
        </w:tc>
        <w:tc>
          <w:tcPr>
            <w:tcW w:w="3155" w:type="dxa"/>
            <w:vAlign w:val="center"/>
          </w:tcPr>
          <w:p w14:paraId="1F09B7D9">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合计</w:t>
            </w:r>
          </w:p>
        </w:tc>
        <w:tc>
          <w:tcPr>
            <w:tcW w:w="1884" w:type="dxa"/>
            <w:vAlign w:val="center"/>
          </w:tcPr>
          <w:p w14:paraId="52DEB076">
            <w:pPr>
              <w:widowControl/>
              <w:spacing w:line="360" w:lineRule="auto"/>
              <w:jc w:val="center"/>
              <w:rPr>
                <w:rFonts w:hint="eastAsia" w:ascii="宋体" w:hAnsi="宋体" w:cs="Calibri"/>
                <w:color w:val="auto"/>
                <w:highlight w:val="none"/>
              </w:rPr>
            </w:pPr>
          </w:p>
        </w:tc>
        <w:tc>
          <w:tcPr>
            <w:tcW w:w="2493" w:type="dxa"/>
            <w:vAlign w:val="center"/>
          </w:tcPr>
          <w:p w14:paraId="44247449">
            <w:pPr>
              <w:widowControl/>
              <w:spacing w:line="360" w:lineRule="auto"/>
              <w:jc w:val="center"/>
              <w:rPr>
                <w:rFonts w:hint="eastAsia" w:ascii="宋体" w:hAnsi="宋体" w:cs="Calibri"/>
                <w:color w:val="auto"/>
                <w:highlight w:val="none"/>
              </w:rPr>
            </w:pPr>
          </w:p>
        </w:tc>
      </w:tr>
    </w:tbl>
    <w:p w14:paraId="71658C6F">
      <w:pPr>
        <w:widowControl/>
        <w:spacing w:line="360" w:lineRule="auto"/>
        <w:rPr>
          <w:rFonts w:hint="eastAsia" w:ascii="宋体" w:hAnsi="宋体"/>
          <w:color w:val="auto"/>
          <w:sz w:val="21"/>
          <w:szCs w:val="21"/>
          <w:highlight w:val="none"/>
        </w:rPr>
      </w:pPr>
      <w:r>
        <w:rPr>
          <w:rFonts w:hint="eastAsia" w:ascii="宋体" w:hAnsi="宋体"/>
          <w:color w:val="auto"/>
          <w:sz w:val="21"/>
          <w:szCs w:val="21"/>
          <w:highlight w:val="none"/>
        </w:rPr>
        <w:t>注：根据招标文件明确由投标人承担的设计工作范围内容，投标人认为需要增加的费用项可自行添加，并列明该项目的名称及金额。</w:t>
      </w:r>
      <w:bookmarkEnd w:id="197"/>
    </w:p>
    <w:p w14:paraId="5FC9832C">
      <w:pPr>
        <w:widowControl/>
        <w:spacing w:line="360" w:lineRule="auto"/>
        <w:rPr>
          <w:rFonts w:hint="eastAsia" w:ascii="宋体" w:hAnsi="宋体"/>
          <w:color w:val="auto"/>
          <w:highlight w:val="none"/>
        </w:rPr>
      </w:pPr>
    </w:p>
    <w:p w14:paraId="50BA0AC5">
      <w:pPr>
        <w:widowControl/>
        <w:rPr>
          <w:rFonts w:hint="eastAsia" w:ascii="宋体" w:hAnsi="宋体"/>
          <w:color w:val="auto"/>
          <w:highlight w:val="none"/>
        </w:rPr>
      </w:pPr>
      <w:r>
        <w:rPr>
          <w:color w:val="auto"/>
          <w:highlight w:val="none"/>
        </w:rPr>
        <w:br w:type="page"/>
      </w:r>
    </w:p>
    <w:p w14:paraId="0C3C14F7">
      <w:pPr>
        <w:widowControl/>
        <w:jc w:val="center"/>
        <w:rPr>
          <w:rFonts w:hint="eastAsia" w:ascii="宋体" w:hAnsi="宋体"/>
          <w:b/>
          <w:color w:val="auto"/>
          <w:sz w:val="28"/>
          <w:szCs w:val="28"/>
          <w:highlight w:val="none"/>
        </w:rPr>
      </w:pPr>
      <w:r>
        <w:rPr>
          <w:rFonts w:hint="eastAsia" w:ascii="宋体" w:hAnsi="宋体"/>
          <w:b/>
          <w:color w:val="auto"/>
          <w:sz w:val="28"/>
          <w:szCs w:val="28"/>
          <w:highlight w:val="none"/>
        </w:rPr>
        <w:t>表3  工程总承包项目设备购置费清单及计价表</w:t>
      </w:r>
    </w:p>
    <w:p w14:paraId="77FD02B2">
      <w:pPr>
        <w:widowControl/>
        <w:rPr>
          <w:rFonts w:hint="eastAsia" w:ascii="宋体" w:hAnsi="宋体"/>
          <w:color w:val="auto"/>
          <w:highlight w:val="none"/>
        </w:rPr>
      </w:pPr>
      <w:r>
        <w:rPr>
          <w:rFonts w:ascii="宋体" w:hAnsi="宋体"/>
          <w:color w:val="auto"/>
          <w:highlight w:val="none"/>
        </w:rPr>
        <w:t xml:space="preserve"> </w:t>
      </w:r>
      <w:r>
        <w:rPr>
          <w:rFonts w:ascii="宋体" w:hAnsi="宋体"/>
          <w:color w:val="auto"/>
          <w:highlight w:val="none"/>
        </w:rPr>
        <w:tab/>
      </w:r>
      <w:r>
        <w:rPr>
          <w:rFonts w:ascii="宋体" w:hAnsi="宋体"/>
          <w:color w:val="auto"/>
          <w:highlight w:val="none"/>
        </w:rPr>
        <w:tab/>
      </w:r>
      <w:r>
        <w:rPr>
          <w:rFonts w:ascii="宋体" w:hAnsi="宋体"/>
          <w:color w:val="auto"/>
          <w:highlight w:val="none"/>
        </w:rPr>
        <w:tab/>
      </w:r>
      <w:r>
        <w:rPr>
          <w:rFonts w:ascii="宋体" w:hAnsi="宋体"/>
          <w:color w:val="auto"/>
          <w:highlight w:val="none"/>
        </w:rPr>
        <w:tab/>
      </w:r>
      <w:r>
        <w:rPr>
          <w:rFonts w:ascii="宋体" w:hAnsi="宋体"/>
          <w:color w:val="auto"/>
          <w:highlight w:val="none"/>
        </w:rPr>
        <w:tab/>
      </w:r>
      <w:r>
        <w:rPr>
          <w:rFonts w:ascii="宋体" w:hAnsi="宋体"/>
          <w:color w:val="auto"/>
          <w:highlight w:val="none"/>
        </w:rPr>
        <w:tab/>
      </w:r>
      <w:r>
        <w:rPr>
          <w:rFonts w:ascii="宋体" w:hAnsi="宋体"/>
          <w:color w:val="auto"/>
          <w:highlight w:val="none"/>
        </w:rPr>
        <w:tab/>
      </w:r>
    </w:p>
    <w:p w14:paraId="405D64FE">
      <w:pPr>
        <w:widowControl/>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093"/>
        <w:gridCol w:w="1376"/>
        <w:gridCol w:w="525"/>
        <w:gridCol w:w="907"/>
        <w:gridCol w:w="939"/>
        <w:gridCol w:w="939"/>
        <w:gridCol w:w="927"/>
      </w:tblGrid>
      <w:tr w14:paraId="1C4E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816" w:type="dxa"/>
            <w:vAlign w:val="center"/>
          </w:tcPr>
          <w:p w14:paraId="59F847B4">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序号</w:t>
            </w:r>
          </w:p>
        </w:tc>
        <w:tc>
          <w:tcPr>
            <w:tcW w:w="2093" w:type="dxa"/>
            <w:vAlign w:val="center"/>
          </w:tcPr>
          <w:p w14:paraId="24E39FA8">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项目名称</w:t>
            </w:r>
          </w:p>
        </w:tc>
        <w:tc>
          <w:tcPr>
            <w:tcW w:w="1376" w:type="dxa"/>
            <w:vAlign w:val="center"/>
          </w:tcPr>
          <w:p w14:paraId="4B70ACA6">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技术参数规格型号</w:t>
            </w:r>
          </w:p>
        </w:tc>
        <w:tc>
          <w:tcPr>
            <w:tcW w:w="525" w:type="dxa"/>
            <w:vAlign w:val="center"/>
          </w:tcPr>
          <w:p w14:paraId="3C9C341F">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单位</w:t>
            </w:r>
          </w:p>
        </w:tc>
        <w:tc>
          <w:tcPr>
            <w:tcW w:w="907" w:type="dxa"/>
            <w:vAlign w:val="center"/>
          </w:tcPr>
          <w:p w14:paraId="4F885E9B">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数量</w:t>
            </w:r>
          </w:p>
        </w:tc>
        <w:tc>
          <w:tcPr>
            <w:tcW w:w="939" w:type="dxa"/>
            <w:vAlign w:val="center"/>
          </w:tcPr>
          <w:p w14:paraId="3DA235E1">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单价</w:t>
            </w:r>
          </w:p>
          <w:p w14:paraId="12F9BCDA">
            <w:pPr>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（元）</w:t>
            </w:r>
          </w:p>
        </w:tc>
        <w:tc>
          <w:tcPr>
            <w:tcW w:w="939" w:type="dxa"/>
            <w:vAlign w:val="center"/>
          </w:tcPr>
          <w:p w14:paraId="11CEAEF2">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合价</w:t>
            </w:r>
          </w:p>
          <w:p w14:paraId="411A32C9">
            <w:pPr>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（元）</w:t>
            </w:r>
          </w:p>
        </w:tc>
        <w:tc>
          <w:tcPr>
            <w:tcW w:w="927" w:type="dxa"/>
            <w:vAlign w:val="center"/>
          </w:tcPr>
          <w:p w14:paraId="251B1DB1">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备注</w:t>
            </w:r>
          </w:p>
        </w:tc>
      </w:tr>
      <w:tr w14:paraId="4345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1608CD28">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2.1</w:t>
            </w:r>
          </w:p>
        </w:tc>
        <w:tc>
          <w:tcPr>
            <w:tcW w:w="2093" w:type="dxa"/>
            <w:vAlign w:val="center"/>
          </w:tcPr>
          <w:p w14:paraId="6AB32BE7">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工程设备费</w:t>
            </w:r>
          </w:p>
        </w:tc>
        <w:tc>
          <w:tcPr>
            <w:tcW w:w="1376" w:type="dxa"/>
            <w:vAlign w:val="center"/>
          </w:tcPr>
          <w:p w14:paraId="76A83BD8">
            <w:pPr>
              <w:widowControl/>
              <w:spacing w:line="360" w:lineRule="auto"/>
              <w:jc w:val="center"/>
              <w:rPr>
                <w:rFonts w:hint="eastAsia" w:ascii="宋体" w:hAnsi="宋体" w:cs="Calibri"/>
                <w:color w:val="auto"/>
                <w:highlight w:val="none"/>
              </w:rPr>
            </w:pPr>
          </w:p>
        </w:tc>
        <w:tc>
          <w:tcPr>
            <w:tcW w:w="525" w:type="dxa"/>
            <w:vAlign w:val="center"/>
          </w:tcPr>
          <w:p w14:paraId="2F0CC222">
            <w:pPr>
              <w:widowControl/>
              <w:spacing w:line="360" w:lineRule="auto"/>
              <w:jc w:val="center"/>
              <w:rPr>
                <w:rFonts w:hint="eastAsia" w:ascii="宋体" w:hAnsi="宋体" w:cs="Calibri"/>
                <w:color w:val="auto"/>
                <w:highlight w:val="none"/>
              </w:rPr>
            </w:pPr>
          </w:p>
        </w:tc>
        <w:tc>
          <w:tcPr>
            <w:tcW w:w="907" w:type="dxa"/>
            <w:vAlign w:val="center"/>
          </w:tcPr>
          <w:p w14:paraId="17806526">
            <w:pPr>
              <w:widowControl/>
              <w:spacing w:line="360" w:lineRule="auto"/>
              <w:jc w:val="center"/>
              <w:rPr>
                <w:rFonts w:hint="eastAsia" w:ascii="宋体" w:hAnsi="宋体" w:cs="Calibri"/>
                <w:color w:val="auto"/>
                <w:highlight w:val="none"/>
              </w:rPr>
            </w:pPr>
          </w:p>
        </w:tc>
        <w:tc>
          <w:tcPr>
            <w:tcW w:w="939" w:type="dxa"/>
            <w:vAlign w:val="center"/>
          </w:tcPr>
          <w:p w14:paraId="33B531A1">
            <w:pPr>
              <w:widowControl/>
              <w:spacing w:line="360" w:lineRule="auto"/>
              <w:jc w:val="center"/>
              <w:rPr>
                <w:rFonts w:hint="eastAsia" w:ascii="宋体" w:hAnsi="宋体" w:cs="Calibri"/>
                <w:color w:val="auto"/>
                <w:highlight w:val="none"/>
              </w:rPr>
            </w:pPr>
          </w:p>
        </w:tc>
        <w:tc>
          <w:tcPr>
            <w:tcW w:w="939" w:type="dxa"/>
            <w:vAlign w:val="center"/>
          </w:tcPr>
          <w:p w14:paraId="493DCAA0">
            <w:pPr>
              <w:widowControl/>
              <w:spacing w:line="360" w:lineRule="auto"/>
              <w:jc w:val="center"/>
              <w:rPr>
                <w:rFonts w:hint="eastAsia" w:ascii="宋体" w:hAnsi="宋体" w:cs="Calibri"/>
                <w:color w:val="auto"/>
                <w:highlight w:val="none"/>
              </w:rPr>
            </w:pPr>
          </w:p>
        </w:tc>
        <w:tc>
          <w:tcPr>
            <w:tcW w:w="927" w:type="dxa"/>
            <w:vAlign w:val="center"/>
          </w:tcPr>
          <w:p w14:paraId="62932D7F">
            <w:pPr>
              <w:widowControl/>
              <w:spacing w:line="360" w:lineRule="auto"/>
              <w:jc w:val="center"/>
              <w:rPr>
                <w:rFonts w:hint="eastAsia" w:ascii="宋体" w:hAnsi="宋体" w:cs="Calibri"/>
                <w:color w:val="auto"/>
                <w:highlight w:val="none"/>
              </w:rPr>
            </w:pPr>
          </w:p>
        </w:tc>
      </w:tr>
      <w:tr w14:paraId="4382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53758929">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2.1.1</w:t>
            </w:r>
          </w:p>
        </w:tc>
        <w:tc>
          <w:tcPr>
            <w:tcW w:w="2093" w:type="dxa"/>
            <w:vAlign w:val="center"/>
          </w:tcPr>
          <w:p w14:paraId="5F1BDA83">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（设备名称1）</w:t>
            </w:r>
          </w:p>
        </w:tc>
        <w:tc>
          <w:tcPr>
            <w:tcW w:w="1376" w:type="dxa"/>
            <w:vAlign w:val="center"/>
          </w:tcPr>
          <w:p w14:paraId="4A9AADA7">
            <w:pPr>
              <w:widowControl/>
              <w:spacing w:line="360" w:lineRule="auto"/>
              <w:jc w:val="center"/>
              <w:rPr>
                <w:rFonts w:hint="eastAsia" w:ascii="宋体" w:hAnsi="宋体" w:cs="Calibri"/>
                <w:color w:val="auto"/>
                <w:highlight w:val="none"/>
              </w:rPr>
            </w:pPr>
          </w:p>
        </w:tc>
        <w:tc>
          <w:tcPr>
            <w:tcW w:w="525" w:type="dxa"/>
            <w:vAlign w:val="center"/>
          </w:tcPr>
          <w:p w14:paraId="2B04C63F">
            <w:pPr>
              <w:widowControl/>
              <w:spacing w:line="360" w:lineRule="auto"/>
              <w:jc w:val="center"/>
              <w:rPr>
                <w:rFonts w:hint="eastAsia" w:ascii="宋体" w:hAnsi="宋体" w:cs="Calibri"/>
                <w:color w:val="auto"/>
                <w:highlight w:val="none"/>
              </w:rPr>
            </w:pPr>
          </w:p>
        </w:tc>
        <w:tc>
          <w:tcPr>
            <w:tcW w:w="907" w:type="dxa"/>
            <w:vAlign w:val="center"/>
          </w:tcPr>
          <w:p w14:paraId="71362BE9">
            <w:pPr>
              <w:widowControl/>
              <w:spacing w:line="360" w:lineRule="auto"/>
              <w:jc w:val="center"/>
              <w:rPr>
                <w:rFonts w:hint="eastAsia" w:ascii="宋体" w:hAnsi="宋体" w:cs="Calibri"/>
                <w:color w:val="auto"/>
                <w:highlight w:val="none"/>
              </w:rPr>
            </w:pPr>
          </w:p>
        </w:tc>
        <w:tc>
          <w:tcPr>
            <w:tcW w:w="939" w:type="dxa"/>
            <w:vAlign w:val="center"/>
          </w:tcPr>
          <w:p w14:paraId="463F7F5B">
            <w:pPr>
              <w:widowControl/>
              <w:spacing w:line="360" w:lineRule="auto"/>
              <w:jc w:val="center"/>
              <w:rPr>
                <w:rFonts w:hint="eastAsia" w:ascii="宋体" w:hAnsi="宋体" w:cs="Calibri"/>
                <w:color w:val="auto"/>
                <w:highlight w:val="none"/>
              </w:rPr>
            </w:pPr>
          </w:p>
        </w:tc>
        <w:tc>
          <w:tcPr>
            <w:tcW w:w="939" w:type="dxa"/>
            <w:vAlign w:val="center"/>
          </w:tcPr>
          <w:p w14:paraId="0D05ADB0">
            <w:pPr>
              <w:widowControl/>
              <w:spacing w:line="360" w:lineRule="auto"/>
              <w:jc w:val="center"/>
              <w:rPr>
                <w:rFonts w:hint="eastAsia" w:ascii="宋体" w:hAnsi="宋体" w:cs="Calibri"/>
                <w:color w:val="auto"/>
                <w:highlight w:val="none"/>
              </w:rPr>
            </w:pPr>
          </w:p>
        </w:tc>
        <w:tc>
          <w:tcPr>
            <w:tcW w:w="927" w:type="dxa"/>
            <w:vAlign w:val="center"/>
          </w:tcPr>
          <w:p w14:paraId="2DE4F46F">
            <w:pPr>
              <w:widowControl/>
              <w:spacing w:line="360" w:lineRule="auto"/>
              <w:jc w:val="center"/>
              <w:rPr>
                <w:rFonts w:hint="eastAsia" w:ascii="宋体" w:hAnsi="宋体" w:cs="Calibri"/>
                <w:color w:val="auto"/>
                <w:highlight w:val="none"/>
              </w:rPr>
            </w:pPr>
          </w:p>
        </w:tc>
      </w:tr>
      <w:tr w14:paraId="7E6B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6DA0B066">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2.1.2</w:t>
            </w:r>
          </w:p>
        </w:tc>
        <w:tc>
          <w:tcPr>
            <w:tcW w:w="2093" w:type="dxa"/>
            <w:vAlign w:val="center"/>
          </w:tcPr>
          <w:p w14:paraId="489C2F5E">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（设备名称2）</w:t>
            </w:r>
          </w:p>
        </w:tc>
        <w:tc>
          <w:tcPr>
            <w:tcW w:w="1376" w:type="dxa"/>
            <w:vAlign w:val="center"/>
          </w:tcPr>
          <w:p w14:paraId="2AD1FBCC">
            <w:pPr>
              <w:widowControl/>
              <w:spacing w:line="360" w:lineRule="auto"/>
              <w:jc w:val="center"/>
              <w:rPr>
                <w:rFonts w:hint="eastAsia" w:ascii="宋体" w:hAnsi="宋体" w:cs="Calibri"/>
                <w:color w:val="auto"/>
                <w:highlight w:val="none"/>
              </w:rPr>
            </w:pPr>
          </w:p>
        </w:tc>
        <w:tc>
          <w:tcPr>
            <w:tcW w:w="525" w:type="dxa"/>
            <w:vAlign w:val="center"/>
          </w:tcPr>
          <w:p w14:paraId="54B581FF">
            <w:pPr>
              <w:widowControl/>
              <w:spacing w:line="360" w:lineRule="auto"/>
              <w:jc w:val="center"/>
              <w:rPr>
                <w:rFonts w:hint="eastAsia" w:ascii="宋体" w:hAnsi="宋体" w:cs="Calibri"/>
                <w:color w:val="auto"/>
                <w:highlight w:val="none"/>
              </w:rPr>
            </w:pPr>
          </w:p>
        </w:tc>
        <w:tc>
          <w:tcPr>
            <w:tcW w:w="907" w:type="dxa"/>
            <w:vAlign w:val="center"/>
          </w:tcPr>
          <w:p w14:paraId="5248F904">
            <w:pPr>
              <w:widowControl/>
              <w:spacing w:line="360" w:lineRule="auto"/>
              <w:jc w:val="center"/>
              <w:rPr>
                <w:rFonts w:hint="eastAsia" w:ascii="宋体" w:hAnsi="宋体" w:cs="Calibri"/>
                <w:color w:val="auto"/>
                <w:highlight w:val="none"/>
              </w:rPr>
            </w:pPr>
          </w:p>
        </w:tc>
        <w:tc>
          <w:tcPr>
            <w:tcW w:w="939" w:type="dxa"/>
            <w:vAlign w:val="center"/>
          </w:tcPr>
          <w:p w14:paraId="5485DF13">
            <w:pPr>
              <w:widowControl/>
              <w:spacing w:line="360" w:lineRule="auto"/>
              <w:jc w:val="center"/>
              <w:rPr>
                <w:rFonts w:hint="eastAsia" w:ascii="宋体" w:hAnsi="宋体" w:cs="Calibri"/>
                <w:color w:val="auto"/>
                <w:highlight w:val="none"/>
              </w:rPr>
            </w:pPr>
          </w:p>
        </w:tc>
        <w:tc>
          <w:tcPr>
            <w:tcW w:w="939" w:type="dxa"/>
            <w:vAlign w:val="center"/>
          </w:tcPr>
          <w:p w14:paraId="2ECBC6D4">
            <w:pPr>
              <w:widowControl/>
              <w:spacing w:line="360" w:lineRule="auto"/>
              <w:jc w:val="center"/>
              <w:rPr>
                <w:rFonts w:hint="eastAsia" w:ascii="宋体" w:hAnsi="宋体" w:cs="Calibri"/>
                <w:color w:val="auto"/>
                <w:highlight w:val="none"/>
              </w:rPr>
            </w:pPr>
          </w:p>
        </w:tc>
        <w:tc>
          <w:tcPr>
            <w:tcW w:w="927" w:type="dxa"/>
            <w:vAlign w:val="center"/>
          </w:tcPr>
          <w:p w14:paraId="5A976E35">
            <w:pPr>
              <w:widowControl/>
              <w:spacing w:line="360" w:lineRule="auto"/>
              <w:jc w:val="center"/>
              <w:rPr>
                <w:rFonts w:hint="eastAsia" w:ascii="宋体" w:hAnsi="宋体" w:cs="Calibri"/>
                <w:color w:val="auto"/>
                <w:highlight w:val="none"/>
              </w:rPr>
            </w:pPr>
          </w:p>
        </w:tc>
      </w:tr>
      <w:tr w14:paraId="6D7E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09B5A68C">
            <w:pPr>
              <w:widowControl/>
              <w:spacing w:line="360" w:lineRule="auto"/>
              <w:jc w:val="center"/>
              <w:rPr>
                <w:rFonts w:hint="eastAsia" w:ascii="宋体" w:hAnsi="宋体" w:cs="Calibri"/>
                <w:color w:val="auto"/>
                <w:highlight w:val="none"/>
              </w:rPr>
            </w:pPr>
          </w:p>
        </w:tc>
        <w:tc>
          <w:tcPr>
            <w:tcW w:w="2093" w:type="dxa"/>
            <w:vAlign w:val="center"/>
          </w:tcPr>
          <w:p w14:paraId="18C2F0F3">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w:t>
            </w:r>
          </w:p>
        </w:tc>
        <w:tc>
          <w:tcPr>
            <w:tcW w:w="1376" w:type="dxa"/>
            <w:vAlign w:val="center"/>
          </w:tcPr>
          <w:p w14:paraId="09A25493">
            <w:pPr>
              <w:widowControl/>
              <w:spacing w:line="360" w:lineRule="auto"/>
              <w:jc w:val="center"/>
              <w:rPr>
                <w:rFonts w:hint="eastAsia" w:ascii="宋体" w:hAnsi="宋体" w:cs="Calibri"/>
                <w:color w:val="auto"/>
                <w:highlight w:val="none"/>
              </w:rPr>
            </w:pPr>
          </w:p>
        </w:tc>
        <w:tc>
          <w:tcPr>
            <w:tcW w:w="525" w:type="dxa"/>
            <w:vAlign w:val="center"/>
          </w:tcPr>
          <w:p w14:paraId="33934B04">
            <w:pPr>
              <w:widowControl/>
              <w:spacing w:line="360" w:lineRule="auto"/>
              <w:jc w:val="center"/>
              <w:rPr>
                <w:rFonts w:hint="eastAsia" w:ascii="宋体" w:hAnsi="宋体" w:cs="Calibri"/>
                <w:color w:val="auto"/>
                <w:highlight w:val="none"/>
              </w:rPr>
            </w:pPr>
          </w:p>
        </w:tc>
        <w:tc>
          <w:tcPr>
            <w:tcW w:w="907" w:type="dxa"/>
            <w:vAlign w:val="center"/>
          </w:tcPr>
          <w:p w14:paraId="34B1BA76">
            <w:pPr>
              <w:widowControl/>
              <w:spacing w:line="360" w:lineRule="auto"/>
              <w:jc w:val="center"/>
              <w:rPr>
                <w:rFonts w:hint="eastAsia" w:ascii="宋体" w:hAnsi="宋体" w:cs="Calibri"/>
                <w:color w:val="auto"/>
                <w:highlight w:val="none"/>
              </w:rPr>
            </w:pPr>
          </w:p>
        </w:tc>
        <w:tc>
          <w:tcPr>
            <w:tcW w:w="939" w:type="dxa"/>
            <w:vAlign w:val="center"/>
          </w:tcPr>
          <w:p w14:paraId="214B0AD3">
            <w:pPr>
              <w:widowControl/>
              <w:spacing w:line="360" w:lineRule="auto"/>
              <w:jc w:val="center"/>
              <w:rPr>
                <w:rFonts w:hint="eastAsia" w:ascii="宋体" w:hAnsi="宋体" w:cs="Calibri"/>
                <w:color w:val="auto"/>
                <w:highlight w:val="none"/>
              </w:rPr>
            </w:pPr>
          </w:p>
        </w:tc>
        <w:tc>
          <w:tcPr>
            <w:tcW w:w="939" w:type="dxa"/>
            <w:vAlign w:val="center"/>
          </w:tcPr>
          <w:p w14:paraId="56EAFED7">
            <w:pPr>
              <w:widowControl/>
              <w:spacing w:line="360" w:lineRule="auto"/>
              <w:jc w:val="center"/>
              <w:rPr>
                <w:rFonts w:hint="eastAsia" w:ascii="宋体" w:hAnsi="宋体" w:cs="Calibri"/>
                <w:color w:val="auto"/>
                <w:highlight w:val="none"/>
              </w:rPr>
            </w:pPr>
          </w:p>
        </w:tc>
        <w:tc>
          <w:tcPr>
            <w:tcW w:w="927" w:type="dxa"/>
            <w:vAlign w:val="center"/>
          </w:tcPr>
          <w:p w14:paraId="103F752B">
            <w:pPr>
              <w:widowControl/>
              <w:spacing w:line="360" w:lineRule="auto"/>
              <w:jc w:val="center"/>
              <w:rPr>
                <w:rFonts w:hint="eastAsia" w:ascii="宋体" w:hAnsi="宋体" w:cs="Calibri"/>
                <w:color w:val="auto"/>
                <w:highlight w:val="none"/>
              </w:rPr>
            </w:pPr>
          </w:p>
        </w:tc>
      </w:tr>
      <w:tr w14:paraId="70DE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3251953E">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2.2</w:t>
            </w:r>
          </w:p>
        </w:tc>
        <w:tc>
          <w:tcPr>
            <w:tcW w:w="2093" w:type="dxa"/>
            <w:vAlign w:val="center"/>
          </w:tcPr>
          <w:p w14:paraId="7ED7327A">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必备的备品备件</w:t>
            </w:r>
          </w:p>
        </w:tc>
        <w:tc>
          <w:tcPr>
            <w:tcW w:w="1376" w:type="dxa"/>
            <w:vAlign w:val="center"/>
          </w:tcPr>
          <w:p w14:paraId="20B8730D">
            <w:pPr>
              <w:widowControl/>
              <w:spacing w:line="360" w:lineRule="auto"/>
              <w:jc w:val="center"/>
              <w:rPr>
                <w:rFonts w:hint="eastAsia" w:ascii="宋体" w:hAnsi="宋体" w:cs="Calibri"/>
                <w:color w:val="auto"/>
                <w:highlight w:val="none"/>
              </w:rPr>
            </w:pPr>
          </w:p>
        </w:tc>
        <w:tc>
          <w:tcPr>
            <w:tcW w:w="525" w:type="dxa"/>
            <w:vAlign w:val="center"/>
          </w:tcPr>
          <w:p w14:paraId="5F226F98">
            <w:pPr>
              <w:widowControl/>
              <w:spacing w:line="360" w:lineRule="auto"/>
              <w:jc w:val="center"/>
              <w:rPr>
                <w:rFonts w:hint="eastAsia" w:ascii="宋体" w:hAnsi="宋体" w:cs="Calibri"/>
                <w:color w:val="auto"/>
                <w:highlight w:val="none"/>
              </w:rPr>
            </w:pPr>
          </w:p>
        </w:tc>
        <w:tc>
          <w:tcPr>
            <w:tcW w:w="907" w:type="dxa"/>
            <w:vAlign w:val="center"/>
          </w:tcPr>
          <w:p w14:paraId="47200B10">
            <w:pPr>
              <w:widowControl/>
              <w:spacing w:line="360" w:lineRule="auto"/>
              <w:jc w:val="center"/>
              <w:rPr>
                <w:rFonts w:hint="eastAsia" w:ascii="宋体" w:hAnsi="宋体" w:cs="Calibri"/>
                <w:color w:val="auto"/>
                <w:highlight w:val="none"/>
              </w:rPr>
            </w:pPr>
          </w:p>
        </w:tc>
        <w:tc>
          <w:tcPr>
            <w:tcW w:w="939" w:type="dxa"/>
            <w:vAlign w:val="center"/>
          </w:tcPr>
          <w:p w14:paraId="33552D6B">
            <w:pPr>
              <w:widowControl/>
              <w:spacing w:line="360" w:lineRule="auto"/>
              <w:jc w:val="center"/>
              <w:rPr>
                <w:rFonts w:hint="eastAsia" w:ascii="宋体" w:hAnsi="宋体" w:cs="Calibri"/>
                <w:color w:val="auto"/>
                <w:highlight w:val="none"/>
              </w:rPr>
            </w:pPr>
          </w:p>
        </w:tc>
        <w:tc>
          <w:tcPr>
            <w:tcW w:w="939" w:type="dxa"/>
            <w:vAlign w:val="center"/>
          </w:tcPr>
          <w:p w14:paraId="65BC3C15">
            <w:pPr>
              <w:widowControl/>
              <w:spacing w:line="360" w:lineRule="auto"/>
              <w:jc w:val="center"/>
              <w:rPr>
                <w:rFonts w:hint="eastAsia" w:ascii="宋体" w:hAnsi="宋体" w:cs="Calibri"/>
                <w:color w:val="auto"/>
                <w:highlight w:val="none"/>
              </w:rPr>
            </w:pPr>
          </w:p>
        </w:tc>
        <w:tc>
          <w:tcPr>
            <w:tcW w:w="927" w:type="dxa"/>
            <w:vAlign w:val="center"/>
          </w:tcPr>
          <w:p w14:paraId="0159E626">
            <w:pPr>
              <w:widowControl/>
              <w:spacing w:line="360" w:lineRule="auto"/>
              <w:jc w:val="center"/>
              <w:rPr>
                <w:rFonts w:hint="eastAsia" w:ascii="宋体" w:hAnsi="宋体" w:cs="Calibri"/>
                <w:color w:val="auto"/>
                <w:highlight w:val="none"/>
              </w:rPr>
            </w:pPr>
          </w:p>
        </w:tc>
      </w:tr>
      <w:tr w14:paraId="4B2D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3100272C">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2.2.1</w:t>
            </w:r>
          </w:p>
        </w:tc>
        <w:tc>
          <w:tcPr>
            <w:tcW w:w="2093" w:type="dxa"/>
            <w:vAlign w:val="center"/>
          </w:tcPr>
          <w:p w14:paraId="6DEB88BD">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（备品备件1）</w:t>
            </w:r>
          </w:p>
        </w:tc>
        <w:tc>
          <w:tcPr>
            <w:tcW w:w="1376" w:type="dxa"/>
            <w:vAlign w:val="center"/>
          </w:tcPr>
          <w:p w14:paraId="7FE9BEFB">
            <w:pPr>
              <w:widowControl/>
              <w:spacing w:line="360" w:lineRule="auto"/>
              <w:jc w:val="center"/>
              <w:rPr>
                <w:rFonts w:hint="eastAsia" w:ascii="宋体" w:hAnsi="宋体" w:cs="Calibri"/>
                <w:color w:val="auto"/>
                <w:highlight w:val="none"/>
              </w:rPr>
            </w:pPr>
          </w:p>
        </w:tc>
        <w:tc>
          <w:tcPr>
            <w:tcW w:w="525" w:type="dxa"/>
            <w:vAlign w:val="center"/>
          </w:tcPr>
          <w:p w14:paraId="45509AFE">
            <w:pPr>
              <w:widowControl/>
              <w:spacing w:line="360" w:lineRule="auto"/>
              <w:jc w:val="center"/>
              <w:rPr>
                <w:rFonts w:hint="eastAsia" w:ascii="宋体" w:hAnsi="宋体" w:cs="Calibri"/>
                <w:color w:val="auto"/>
                <w:highlight w:val="none"/>
              </w:rPr>
            </w:pPr>
          </w:p>
        </w:tc>
        <w:tc>
          <w:tcPr>
            <w:tcW w:w="907" w:type="dxa"/>
            <w:vAlign w:val="center"/>
          </w:tcPr>
          <w:p w14:paraId="4056ED32">
            <w:pPr>
              <w:widowControl/>
              <w:spacing w:line="360" w:lineRule="auto"/>
              <w:jc w:val="center"/>
              <w:rPr>
                <w:rFonts w:hint="eastAsia" w:ascii="宋体" w:hAnsi="宋体" w:cs="Calibri"/>
                <w:color w:val="auto"/>
                <w:highlight w:val="none"/>
              </w:rPr>
            </w:pPr>
          </w:p>
        </w:tc>
        <w:tc>
          <w:tcPr>
            <w:tcW w:w="939" w:type="dxa"/>
            <w:vAlign w:val="center"/>
          </w:tcPr>
          <w:p w14:paraId="61D678B8">
            <w:pPr>
              <w:widowControl/>
              <w:spacing w:line="360" w:lineRule="auto"/>
              <w:jc w:val="center"/>
              <w:rPr>
                <w:rFonts w:hint="eastAsia" w:ascii="宋体" w:hAnsi="宋体" w:cs="Calibri"/>
                <w:color w:val="auto"/>
                <w:highlight w:val="none"/>
              </w:rPr>
            </w:pPr>
          </w:p>
        </w:tc>
        <w:tc>
          <w:tcPr>
            <w:tcW w:w="939" w:type="dxa"/>
            <w:vAlign w:val="center"/>
          </w:tcPr>
          <w:p w14:paraId="7BE217B6">
            <w:pPr>
              <w:widowControl/>
              <w:spacing w:line="360" w:lineRule="auto"/>
              <w:jc w:val="center"/>
              <w:rPr>
                <w:rFonts w:hint="eastAsia" w:ascii="宋体" w:hAnsi="宋体" w:cs="Calibri"/>
                <w:color w:val="auto"/>
                <w:highlight w:val="none"/>
              </w:rPr>
            </w:pPr>
          </w:p>
        </w:tc>
        <w:tc>
          <w:tcPr>
            <w:tcW w:w="927" w:type="dxa"/>
            <w:vAlign w:val="center"/>
          </w:tcPr>
          <w:p w14:paraId="2BB49E66">
            <w:pPr>
              <w:widowControl/>
              <w:spacing w:line="360" w:lineRule="auto"/>
              <w:jc w:val="center"/>
              <w:rPr>
                <w:rFonts w:hint="eastAsia" w:ascii="宋体" w:hAnsi="宋体" w:cs="Calibri"/>
                <w:color w:val="auto"/>
                <w:highlight w:val="none"/>
              </w:rPr>
            </w:pPr>
          </w:p>
        </w:tc>
      </w:tr>
      <w:tr w14:paraId="3358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2B349E86">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2.2.2</w:t>
            </w:r>
          </w:p>
        </w:tc>
        <w:tc>
          <w:tcPr>
            <w:tcW w:w="2093" w:type="dxa"/>
            <w:vAlign w:val="center"/>
          </w:tcPr>
          <w:p w14:paraId="1CB23A4C">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（备品备件2）</w:t>
            </w:r>
          </w:p>
        </w:tc>
        <w:tc>
          <w:tcPr>
            <w:tcW w:w="1376" w:type="dxa"/>
            <w:vAlign w:val="center"/>
          </w:tcPr>
          <w:p w14:paraId="7C733140">
            <w:pPr>
              <w:widowControl/>
              <w:spacing w:line="360" w:lineRule="auto"/>
              <w:jc w:val="center"/>
              <w:rPr>
                <w:rFonts w:hint="eastAsia" w:ascii="宋体" w:hAnsi="宋体" w:cs="Calibri"/>
                <w:color w:val="auto"/>
                <w:highlight w:val="none"/>
              </w:rPr>
            </w:pPr>
          </w:p>
        </w:tc>
        <w:tc>
          <w:tcPr>
            <w:tcW w:w="525" w:type="dxa"/>
            <w:vAlign w:val="center"/>
          </w:tcPr>
          <w:p w14:paraId="6A355491">
            <w:pPr>
              <w:widowControl/>
              <w:spacing w:line="360" w:lineRule="auto"/>
              <w:jc w:val="center"/>
              <w:rPr>
                <w:rFonts w:hint="eastAsia" w:ascii="宋体" w:hAnsi="宋体" w:cs="Calibri"/>
                <w:color w:val="auto"/>
                <w:highlight w:val="none"/>
              </w:rPr>
            </w:pPr>
          </w:p>
        </w:tc>
        <w:tc>
          <w:tcPr>
            <w:tcW w:w="907" w:type="dxa"/>
            <w:vAlign w:val="center"/>
          </w:tcPr>
          <w:p w14:paraId="1AFA234F">
            <w:pPr>
              <w:widowControl/>
              <w:spacing w:line="360" w:lineRule="auto"/>
              <w:jc w:val="center"/>
              <w:rPr>
                <w:rFonts w:hint="eastAsia" w:ascii="宋体" w:hAnsi="宋体" w:cs="Calibri"/>
                <w:color w:val="auto"/>
                <w:highlight w:val="none"/>
              </w:rPr>
            </w:pPr>
          </w:p>
        </w:tc>
        <w:tc>
          <w:tcPr>
            <w:tcW w:w="939" w:type="dxa"/>
            <w:vAlign w:val="center"/>
          </w:tcPr>
          <w:p w14:paraId="09293F01">
            <w:pPr>
              <w:widowControl/>
              <w:spacing w:line="360" w:lineRule="auto"/>
              <w:jc w:val="center"/>
              <w:rPr>
                <w:rFonts w:hint="eastAsia" w:ascii="宋体" w:hAnsi="宋体" w:cs="Calibri"/>
                <w:color w:val="auto"/>
                <w:highlight w:val="none"/>
              </w:rPr>
            </w:pPr>
          </w:p>
        </w:tc>
        <w:tc>
          <w:tcPr>
            <w:tcW w:w="939" w:type="dxa"/>
            <w:vAlign w:val="center"/>
          </w:tcPr>
          <w:p w14:paraId="0E62D0C6">
            <w:pPr>
              <w:widowControl/>
              <w:spacing w:line="360" w:lineRule="auto"/>
              <w:jc w:val="center"/>
              <w:rPr>
                <w:rFonts w:hint="eastAsia" w:ascii="宋体" w:hAnsi="宋体" w:cs="Calibri"/>
                <w:color w:val="auto"/>
                <w:highlight w:val="none"/>
              </w:rPr>
            </w:pPr>
          </w:p>
        </w:tc>
        <w:tc>
          <w:tcPr>
            <w:tcW w:w="927" w:type="dxa"/>
            <w:vAlign w:val="center"/>
          </w:tcPr>
          <w:p w14:paraId="7FEFF360">
            <w:pPr>
              <w:widowControl/>
              <w:spacing w:line="360" w:lineRule="auto"/>
              <w:jc w:val="center"/>
              <w:rPr>
                <w:rFonts w:hint="eastAsia" w:ascii="宋体" w:hAnsi="宋体" w:cs="Calibri"/>
                <w:color w:val="auto"/>
                <w:highlight w:val="none"/>
              </w:rPr>
            </w:pPr>
          </w:p>
        </w:tc>
      </w:tr>
      <w:tr w14:paraId="4A0A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682339CF">
            <w:pPr>
              <w:widowControl/>
              <w:spacing w:line="360" w:lineRule="auto"/>
              <w:jc w:val="center"/>
              <w:rPr>
                <w:rFonts w:hint="eastAsia" w:ascii="宋体" w:hAnsi="宋体" w:cs="Calibri"/>
                <w:color w:val="auto"/>
                <w:highlight w:val="none"/>
              </w:rPr>
            </w:pPr>
          </w:p>
        </w:tc>
        <w:tc>
          <w:tcPr>
            <w:tcW w:w="2093" w:type="dxa"/>
            <w:vAlign w:val="center"/>
          </w:tcPr>
          <w:p w14:paraId="2A6DA340">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w:t>
            </w:r>
          </w:p>
        </w:tc>
        <w:tc>
          <w:tcPr>
            <w:tcW w:w="1376" w:type="dxa"/>
            <w:vAlign w:val="center"/>
          </w:tcPr>
          <w:p w14:paraId="4B1C9B0D">
            <w:pPr>
              <w:widowControl/>
              <w:spacing w:line="360" w:lineRule="auto"/>
              <w:jc w:val="center"/>
              <w:rPr>
                <w:rFonts w:hint="eastAsia" w:ascii="宋体" w:hAnsi="宋体" w:cs="Calibri"/>
                <w:color w:val="auto"/>
                <w:highlight w:val="none"/>
              </w:rPr>
            </w:pPr>
          </w:p>
        </w:tc>
        <w:tc>
          <w:tcPr>
            <w:tcW w:w="525" w:type="dxa"/>
            <w:vAlign w:val="center"/>
          </w:tcPr>
          <w:p w14:paraId="23752288">
            <w:pPr>
              <w:widowControl/>
              <w:spacing w:line="360" w:lineRule="auto"/>
              <w:jc w:val="center"/>
              <w:rPr>
                <w:rFonts w:hint="eastAsia" w:ascii="宋体" w:hAnsi="宋体" w:cs="Calibri"/>
                <w:color w:val="auto"/>
                <w:highlight w:val="none"/>
              </w:rPr>
            </w:pPr>
          </w:p>
        </w:tc>
        <w:tc>
          <w:tcPr>
            <w:tcW w:w="907" w:type="dxa"/>
            <w:vAlign w:val="center"/>
          </w:tcPr>
          <w:p w14:paraId="5FBA88F5">
            <w:pPr>
              <w:widowControl/>
              <w:spacing w:line="360" w:lineRule="auto"/>
              <w:jc w:val="center"/>
              <w:rPr>
                <w:rFonts w:hint="eastAsia" w:ascii="宋体" w:hAnsi="宋体" w:cs="Calibri"/>
                <w:color w:val="auto"/>
                <w:highlight w:val="none"/>
              </w:rPr>
            </w:pPr>
          </w:p>
        </w:tc>
        <w:tc>
          <w:tcPr>
            <w:tcW w:w="939" w:type="dxa"/>
            <w:vAlign w:val="center"/>
          </w:tcPr>
          <w:p w14:paraId="1224F8C5">
            <w:pPr>
              <w:widowControl/>
              <w:spacing w:line="360" w:lineRule="auto"/>
              <w:jc w:val="center"/>
              <w:rPr>
                <w:rFonts w:hint="eastAsia" w:ascii="宋体" w:hAnsi="宋体" w:cs="Calibri"/>
                <w:color w:val="auto"/>
                <w:highlight w:val="none"/>
              </w:rPr>
            </w:pPr>
          </w:p>
        </w:tc>
        <w:tc>
          <w:tcPr>
            <w:tcW w:w="939" w:type="dxa"/>
            <w:vAlign w:val="center"/>
          </w:tcPr>
          <w:p w14:paraId="2F686845">
            <w:pPr>
              <w:widowControl/>
              <w:spacing w:line="360" w:lineRule="auto"/>
              <w:jc w:val="center"/>
              <w:rPr>
                <w:rFonts w:hint="eastAsia" w:ascii="宋体" w:hAnsi="宋体" w:cs="Calibri"/>
                <w:color w:val="auto"/>
                <w:highlight w:val="none"/>
              </w:rPr>
            </w:pPr>
          </w:p>
        </w:tc>
        <w:tc>
          <w:tcPr>
            <w:tcW w:w="927" w:type="dxa"/>
            <w:vAlign w:val="center"/>
          </w:tcPr>
          <w:p w14:paraId="5374FC93">
            <w:pPr>
              <w:widowControl/>
              <w:spacing w:line="360" w:lineRule="auto"/>
              <w:jc w:val="center"/>
              <w:rPr>
                <w:rFonts w:hint="eastAsia" w:ascii="宋体" w:hAnsi="宋体" w:cs="Calibri"/>
                <w:color w:val="auto"/>
                <w:highlight w:val="none"/>
              </w:rPr>
            </w:pPr>
          </w:p>
        </w:tc>
      </w:tr>
      <w:tr w14:paraId="38A4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110187AD">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2.3</w:t>
            </w:r>
          </w:p>
        </w:tc>
        <w:tc>
          <w:tcPr>
            <w:tcW w:w="2093" w:type="dxa"/>
            <w:vAlign w:val="center"/>
          </w:tcPr>
          <w:p w14:paraId="02BEB212">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暂估价</w:t>
            </w:r>
          </w:p>
        </w:tc>
        <w:tc>
          <w:tcPr>
            <w:tcW w:w="1376" w:type="dxa"/>
            <w:vAlign w:val="center"/>
          </w:tcPr>
          <w:p w14:paraId="68C2152F">
            <w:pPr>
              <w:widowControl/>
              <w:spacing w:line="360" w:lineRule="auto"/>
              <w:jc w:val="center"/>
              <w:rPr>
                <w:rFonts w:hint="eastAsia" w:ascii="宋体" w:hAnsi="宋体" w:cs="Calibri"/>
                <w:color w:val="auto"/>
                <w:highlight w:val="none"/>
              </w:rPr>
            </w:pPr>
          </w:p>
        </w:tc>
        <w:tc>
          <w:tcPr>
            <w:tcW w:w="525" w:type="dxa"/>
            <w:vAlign w:val="center"/>
          </w:tcPr>
          <w:p w14:paraId="78B39233">
            <w:pPr>
              <w:widowControl/>
              <w:spacing w:line="360" w:lineRule="auto"/>
              <w:jc w:val="center"/>
              <w:rPr>
                <w:rFonts w:hint="eastAsia" w:ascii="宋体" w:hAnsi="宋体" w:cs="Calibri"/>
                <w:color w:val="auto"/>
                <w:highlight w:val="none"/>
              </w:rPr>
            </w:pPr>
          </w:p>
        </w:tc>
        <w:tc>
          <w:tcPr>
            <w:tcW w:w="907" w:type="dxa"/>
            <w:vAlign w:val="center"/>
          </w:tcPr>
          <w:p w14:paraId="1BFCB57A">
            <w:pPr>
              <w:widowControl/>
              <w:spacing w:line="360" w:lineRule="auto"/>
              <w:jc w:val="center"/>
              <w:rPr>
                <w:rFonts w:hint="eastAsia" w:ascii="宋体" w:hAnsi="宋体" w:cs="Calibri"/>
                <w:color w:val="auto"/>
                <w:highlight w:val="none"/>
              </w:rPr>
            </w:pPr>
          </w:p>
        </w:tc>
        <w:tc>
          <w:tcPr>
            <w:tcW w:w="939" w:type="dxa"/>
            <w:vAlign w:val="center"/>
          </w:tcPr>
          <w:p w14:paraId="48CAC20A">
            <w:pPr>
              <w:widowControl/>
              <w:spacing w:line="360" w:lineRule="auto"/>
              <w:jc w:val="center"/>
              <w:rPr>
                <w:rFonts w:hint="eastAsia" w:ascii="宋体" w:hAnsi="宋体" w:cs="Calibri"/>
                <w:color w:val="auto"/>
                <w:highlight w:val="none"/>
              </w:rPr>
            </w:pPr>
          </w:p>
        </w:tc>
        <w:tc>
          <w:tcPr>
            <w:tcW w:w="939" w:type="dxa"/>
            <w:vAlign w:val="center"/>
          </w:tcPr>
          <w:p w14:paraId="2582E6BB">
            <w:pPr>
              <w:widowControl/>
              <w:spacing w:line="360" w:lineRule="auto"/>
              <w:jc w:val="center"/>
              <w:rPr>
                <w:rFonts w:hint="eastAsia" w:ascii="宋体" w:hAnsi="宋体" w:cs="Calibri"/>
                <w:color w:val="auto"/>
                <w:highlight w:val="none"/>
              </w:rPr>
            </w:pPr>
          </w:p>
        </w:tc>
        <w:tc>
          <w:tcPr>
            <w:tcW w:w="927" w:type="dxa"/>
            <w:vAlign w:val="center"/>
          </w:tcPr>
          <w:p w14:paraId="29DA5965">
            <w:pPr>
              <w:widowControl/>
              <w:spacing w:line="360" w:lineRule="auto"/>
              <w:jc w:val="center"/>
              <w:rPr>
                <w:rFonts w:hint="eastAsia" w:ascii="宋体" w:hAnsi="宋体" w:cs="Calibri"/>
                <w:color w:val="auto"/>
                <w:highlight w:val="none"/>
              </w:rPr>
            </w:pPr>
          </w:p>
        </w:tc>
      </w:tr>
      <w:tr w14:paraId="71BB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0F496914">
            <w:pPr>
              <w:widowControl/>
              <w:spacing w:line="360" w:lineRule="auto"/>
              <w:jc w:val="center"/>
              <w:rPr>
                <w:rFonts w:hint="eastAsia" w:ascii="宋体" w:hAnsi="宋体" w:cs="Calibri"/>
                <w:color w:val="auto"/>
                <w:highlight w:val="none"/>
              </w:rPr>
            </w:pPr>
          </w:p>
        </w:tc>
        <w:tc>
          <w:tcPr>
            <w:tcW w:w="2093" w:type="dxa"/>
            <w:vAlign w:val="center"/>
          </w:tcPr>
          <w:p w14:paraId="0E50D951">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w:t>
            </w:r>
          </w:p>
        </w:tc>
        <w:tc>
          <w:tcPr>
            <w:tcW w:w="1376" w:type="dxa"/>
            <w:vAlign w:val="center"/>
          </w:tcPr>
          <w:p w14:paraId="4EADC2FB">
            <w:pPr>
              <w:widowControl/>
              <w:spacing w:line="360" w:lineRule="auto"/>
              <w:jc w:val="center"/>
              <w:rPr>
                <w:rFonts w:hint="eastAsia" w:ascii="宋体" w:hAnsi="宋体" w:cs="Calibri"/>
                <w:color w:val="auto"/>
                <w:highlight w:val="none"/>
              </w:rPr>
            </w:pPr>
          </w:p>
        </w:tc>
        <w:tc>
          <w:tcPr>
            <w:tcW w:w="525" w:type="dxa"/>
            <w:vAlign w:val="center"/>
          </w:tcPr>
          <w:p w14:paraId="7B1DE6C1">
            <w:pPr>
              <w:widowControl/>
              <w:spacing w:line="360" w:lineRule="auto"/>
              <w:jc w:val="center"/>
              <w:rPr>
                <w:rFonts w:hint="eastAsia" w:ascii="宋体" w:hAnsi="宋体" w:cs="Calibri"/>
                <w:color w:val="auto"/>
                <w:highlight w:val="none"/>
              </w:rPr>
            </w:pPr>
          </w:p>
        </w:tc>
        <w:tc>
          <w:tcPr>
            <w:tcW w:w="907" w:type="dxa"/>
            <w:vAlign w:val="center"/>
          </w:tcPr>
          <w:p w14:paraId="452A7692">
            <w:pPr>
              <w:widowControl/>
              <w:spacing w:line="360" w:lineRule="auto"/>
              <w:jc w:val="center"/>
              <w:rPr>
                <w:rFonts w:hint="eastAsia" w:ascii="宋体" w:hAnsi="宋体" w:cs="Calibri"/>
                <w:color w:val="auto"/>
                <w:highlight w:val="none"/>
              </w:rPr>
            </w:pPr>
          </w:p>
        </w:tc>
        <w:tc>
          <w:tcPr>
            <w:tcW w:w="939" w:type="dxa"/>
            <w:vAlign w:val="center"/>
          </w:tcPr>
          <w:p w14:paraId="09138DA4">
            <w:pPr>
              <w:widowControl/>
              <w:spacing w:line="360" w:lineRule="auto"/>
              <w:jc w:val="center"/>
              <w:rPr>
                <w:rFonts w:hint="eastAsia" w:ascii="宋体" w:hAnsi="宋体" w:cs="Calibri"/>
                <w:color w:val="auto"/>
                <w:highlight w:val="none"/>
              </w:rPr>
            </w:pPr>
          </w:p>
        </w:tc>
        <w:tc>
          <w:tcPr>
            <w:tcW w:w="939" w:type="dxa"/>
            <w:vAlign w:val="center"/>
          </w:tcPr>
          <w:p w14:paraId="4E2D94CF">
            <w:pPr>
              <w:widowControl/>
              <w:spacing w:line="360" w:lineRule="auto"/>
              <w:jc w:val="center"/>
              <w:rPr>
                <w:rFonts w:hint="eastAsia" w:ascii="宋体" w:hAnsi="宋体" w:cs="Calibri"/>
                <w:color w:val="auto"/>
                <w:highlight w:val="none"/>
              </w:rPr>
            </w:pPr>
          </w:p>
        </w:tc>
        <w:tc>
          <w:tcPr>
            <w:tcW w:w="927" w:type="dxa"/>
            <w:vAlign w:val="center"/>
          </w:tcPr>
          <w:p w14:paraId="45B2A6EF">
            <w:pPr>
              <w:widowControl/>
              <w:spacing w:line="360" w:lineRule="auto"/>
              <w:jc w:val="center"/>
              <w:rPr>
                <w:rFonts w:hint="eastAsia" w:ascii="宋体" w:hAnsi="宋体" w:cs="Calibri"/>
                <w:color w:val="auto"/>
                <w:highlight w:val="none"/>
              </w:rPr>
            </w:pPr>
          </w:p>
        </w:tc>
      </w:tr>
      <w:tr w14:paraId="3918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2E38740B">
            <w:pPr>
              <w:widowControl/>
              <w:spacing w:line="360" w:lineRule="auto"/>
              <w:jc w:val="center"/>
              <w:rPr>
                <w:rFonts w:hint="eastAsia" w:ascii="宋体" w:hAnsi="宋体" w:cs="Calibri"/>
                <w:color w:val="auto"/>
                <w:highlight w:val="none"/>
              </w:rPr>
            </w:pPr>
          </w:p>
        </w:tc>
        <w:tc>
          <w:tcPr>
            <w:tcW w:w="2093" w:type="dxa"/>
            <w:vAlign w:val="center"/>
          </w:tcPr>
          <w:p w14:paraId="46C8856A">
            <w:pPr>
              <w:widowControl/>
              <w:spacing w:line="360" w:lineRule="auto"/>
              <w:jc w:val="center"/>
              <w:rPr>
                <w:rFonts w:hint="eastAsia" w:ascii="宋体" w:hAnsi="宋体" w:cs="Calibri"/>
                <w:color w:val="auto"/>
                <w:highlight w:val="none"/>
              </w:rPr>
            </w:pPr>
          </w:p>
        </w:tc>
        <w:tc>
          <w:tcPr>
            <w:tcW w:w="1376" w:type="dxa"/>
            <w:vAlign w:val="center"/>
          </w:tcPr>
          <w:p w14:paraId="15B30EEC">
            <w:pPr>
              <w:widowControl/>
              <w:spacing w:line="360" w:lineRule="auto"/>
              <w:jc w:val="center"/>
              <w:rPr>
                <w:rFonts w:hint="eastAsia" w:ascii="宋体" w:hAnsi="宋体" w:cs="Calibri"/>
                <w:color w:val="auto"/>
                <w:highlight w:val="none"/>
              </w:rPr>
            </w:pPr>
          </w:p>
        </w:tc>
        <w:tc>
          <w:tcPr>
            <w:tcW w:w="525" w:type="dxa"/>
            <w:vAlign w:val="center"/>
          </w:tcPr>
          <w:p w14:paraId="11503E4B">
            <w:pPr>
              <w:widowControl/>
              <w:spacing w:line="360" w:lineRule="auto"/>
              <w:jc w:val="center"/>
              <w:rPr>
                <w:rFonts w:hint="eastAsia" w:ascii="宋体" w:hAnsi="宋体" w:cs="Calibri"/>
                <w:color w:val="auto"/>
                <w:highlight w:val="none"/>
              </w:rPr>
            </w:pPr>
          </w:p>
        </w:tc>
        <w:tc>
          <w:tcPr>
            <w:tcW w:w="907" w:type="dxa"/>
            <w:vAlign w:val="center"/>
          </w:tcPr>
          <w:p w14:paraId="4E726C75">
            <w:pPr>
              <w:widowControl/>
              <w:spacing w:line="360" w:lineRule="auto"/>
              <w:jc w:val="center"/>
              <w:rPr>
                <w:rFonts w:hint="eastAsia" w:ascii="宋体" w:hAnsi="宋体" w:cs="Calibri"/>
                <w:color w:val="auto"/>
                <w:highlight w:val="none"/>
              </w:rPr>
            </w:pPr>
          </w:p>
        </w:tc>
        <w:tc>
          <w:tcPr>
            <w:tcW w:w="939" w:type="dxa"/>
            <w:vAlign w:val="center"/>
          </w:tcPr>
          <w:p w14:paraId="16B79A99">
            <w:pPr>
              <w:widowControl/>
              <w:spacing w:line="360" w:lineRule="auto"/>
              <w:jc w:val="center"/>
              <w:rPr>
                <w:rFonts w:hint="eastAsia" w:ascii="宋体" w:hAnsi="宋体" w:cs="Calibri"/>
                <w:color w:val="auto"/>
                <w:highlight w:val="none"/>
              </w:rPr>
            </w:pPr>
          </w:p>
        </w:tc>
        <w:tc>
          <w:tcPr>
            <w:tcW w:w="939" w:type="dxa"/>
            <w:vAlign w:val="center"/>
          </w:tcPr>
          <w:p w14:paraId="1CB2AE1C">
            <w:pPr>
              <w:widowControl/>
              <w:spacing w:line="360" w:lineRule="auto"/>
              <w:jc w:val="center"/>
              <w:rPr>
                <w:rFonts w:hint="eastAsia" w:ascii="宋体" w:hAnsi="宋体" w:cs="Calibri"/>
                <w:color w:val="auto"/>
                <w:highlight w:val="none"/>
              </w:rPr>
            </w:pPr>
          </w:p>
        </w:tc>
        <w:tc>
          <w:tcPr>
            <w:tcW w:w="927" w:type="dxa"/>
            <w:vAlign w:val="center"/>
          </w:tcPr>
          <w:p w14:paraId="0DCE2970">
            <w:pPr>
              <w:widowControl/>
              <w:spacing w:line="360" w:lineRule="auto"/>
              <w:jc w:val="center"/>
              <w:rPr>
                <w:rFonts w:hint="eastAsia" w:ascii="宋体" w:hAnsi="宋体" w:cs="Calibri"/>
                <w:color w:val="auto"/>
                <w:highlight w:val="none"/>
              </w:rPr>
            </w:pPr>
          </w:p>
        </w:tc>
      </w:tr>
      <w:tr w14:paraId="7C76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6" w:type="dxa"/>
            <w:vAlign w:val="center"/>
          </w:tcPr>
          <w:p w14:paraId="7887EC17">
            <w:pPr>
              <w:widowControl/>
              <w:spacing w:line="360" w:lineRule="auto"/>
              <w:jc w:val="center"/>
              <w:rPr>
                <w:rFonts w:hint="eastAsia" w:ascii="宋体" w:hAnsi="宋体" w:cs="Calibri"/>
                <w:color w:val="auto"/>
                <w:highlight w:val="none"/>
              </w:rPr>
            </w:pPr>
          </w:p>
        </w:tc>
        <w:tc>
          <w:tcPr>
            <w:tcW w:w="2093" w:type="dxa"/>
            <w:vAlign w:val="center"/>
          </w:tcPr>
          <w:p w14:paraId="11791B28">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合计</w:t>
            </w:r>
          </w:p>
        </w:tc>
        <w:tc>
          <w:tcPr>
            <w:tcW w:w="1376" w:type="dxa"/>
            <w:vAlign w:val="center"/>
          </w:tcPr>
          <w:p w14:paraId="6E13771D">
            <w:pPr>
              <w:widowControl/>
              <w:spacing w:line="360" w:lineRule="auto"/>
              <w:jc w:val="center"/>
              <w:rPr>
                <w:rFonts w:hint="eastAsia" w:ascii="宋体" w:hAnsi="宋体" w:cs="Calibri"/>
                <w:color w:val="auto"/>
                <w:highlight w:val="none"/>
              </w:rPr>
            </w:pPr>
          </w:p>
        </w:tc>
        <w:tc>
          <w:tcPr>
            <w:tcW w:w="525" w:type="dxa"/>
            <w:vAlign w:val="center"/>
          </w:tcPr>
          <w:p w14:paraId="7BCD8C77">
            <w:pPr>
              <w:widowControl/>
              <w:spacing w:line="360" w:lineRule="auto"/>
              <w:jc w:val="center"/>
              <w:rPr>
                <w:rFonts w:hint="eastAsia" w:ascii="宋体" w:hAnsi="宋体" w:cs="Calibri"/>
                <w:color w:val="auto"/>
                <w:highlight w:val="none"/>
              </w:rPr>
            </w:pPr>
          </w:p>
        </w:tc>
        <w:tc>
          <w:tcPr>
            <w:tcW w:w="907" w:type="dxa"/>
            <w:vAlign w:val="center"/>
          </w:tcPr>
          <w:p w14:paraId="1792B807">
            <w:pPr>
              <w:widowControl/>
              <w:spacing w:line="360" w:lineRule="auto"/>
              <w:jc w:val="center"/>
              <w:rPr>
                <w:rFonts w:hint="eastAsia" w:ascii="宋体" w:hAnsi="宋体" w:cs="Calibri"/>
                <w:color w:val="auto"/>
                <w:highlight w:val="none"/>
              </w:rPr>
            </w:pPr>
          </w:p>
        </w:tc>
        <w:tc>
          <w:tcPr>
            <w:tcW w:w="939" w:type="dxa"/>
            <w:vAlign w:val="center"/>
          </w:tcPr>
          <w:p w14:paraId="72AAB5B0">
            <w:pPr>
              <w:widowControl/>
              <w:spacing w:line="360" w:lineRule="auto"/>
              <w:jc w:val="center"/>
              <w:rPr>
                <w:rFonts w:hint="eastAsia" w:ascii="宋体" w:hAnsi="宋体" w:cs="Calibri"/>
                <w:color w:val="auto"/>
                <w:highlight w:val="none"/>
              </w:rPr>
            </w:pPr>
          </w:p>
        </w:tc>
        <w:tc>
          <w:tcPr>
            <w:tcW w:w="939" w:type="dxa"/>
            <w:vAlign w:val="center"/>
          </w:tcPr>
          <w:p w14:paraId="1A091647">
            <w:pPr>
              <w:widowControl/>
              <w:spacing w:line="360" w:lineRule="auto"/>
              <w:jc w:val="center"/>
              <w:rPr>
                <w:rFonts w:hint="eastAsia" w:ascii="宋体" w:hAnsi="宋体" w:cs="Calibri"/>
                <w:color w:val="auto"/>
                <w:highlight w:val="none"/>
              </w:rPr>
            </w:pPr>
          </w:p>
        </w:tc>
        <w:tc>
          <w:tcPr>
            <w:tcW w:w="927" w:type="dxa"/>
            <w:vAlign w:val="center"/>
          </w:tcPr>
          <w:p w14:paraId="69A866A6">
            <w:pPr>
              <w:widowControl/>
              <w:spacing w:line="360" w:lineRule="auto"/>
              <w:jc w:val="center"/>
              <w:rPr>
                <w:rFonts w:hint="eastAsia" w:ascii="宋体" w:hAnsi="宋体" w:cs="Calibri"/>
                <w:color w:val="auto"/>
                <w:highlight w:val="none"/>
              </w:rPr>
            </w:pPr>
          </w:p>
        </w:tc>
      </w:tr>
    </w:tbl>
    <w:p w14:paraId="793E67AE">
      <w:pPr>
        <w:widowControl/>
        <w:spacing w:line="360" w:lineRule="auto"/>
        <w:rPr>
          <w:rFonts w:hint="eastAsia" w:ascii="宋体" w:hAnsi="宋体"/>
          <w:color w:val="auto"/>
          <w:sz w:val="21"/>
          <w:szCs w:val="21"/>
          <w:highlight w:val="none"/>
        </w:rPr>
      </w:pPr>
      <w:r>
        <w:rPr>
          <w:rFonts w:hint="eastAsia" w:ascii="宋体" w:hAnsi="宋体"/>
          <w:color w:val="auto"/>
          <w:sz w:val="21"/>
          <w:szCs w:val="21"/>
          <w:highlight w:val="none"/>
        </w:rPr>
        <w:t>注：招标人应详细列明工程设备的技术参数、规格型号、计量单位、数量，以及所需备品备件的要求。</w:t>
      </w:r>
    </w:p>
    <w:p w14:paraId="6A1C7D10">
      <w:pPr>
        <w:spacing w:line="360" w:lineRule="auto"/>
        <w:rPr>
          <w:rFonts w:hint="eastAsia" w:ascii="宋体" w:hAnsi="宋体"/>
          <w:color w:val="auto"/>
          <w:highlight w:val="none"/>
        </w:rPr>
      </w:pPr>
      <w:r>
        <w:rPr>
          <w:rFonts w:ascii="宋体" w:hAnsi="宋体"/>
          <w:color w:val="auto"/>
          <w:highlight w:val="none"/>
        </w:rPr>
        <w:br w:type="page"/>
      </w:r>
    </w:p>
    <w:p w14:paraId="61F6BC95">
      <w:pPr>
        <w:widowControl/>
        <w:jc w:val="center"/>
        <w:rPr>
          <w:rFonts w:hint="eastAsia" w:ascii="宋体" w:hAnsi="宋体"/>
          <w:b/>
          <w:bCs/>
          <w:color w:val="auto"/>
          <w:sz w:val="28"/>
          <w:szCs w:val="28"/>
          <w:highlight w:val="none"/>
        </w:rPr>
      </w:pPr>
      <w:r>
        <w:rPr>
          <w:rFonts w:hint="eastAsia" w:ascii="宋体" w:hAnsi="宋体"/>
          <w:b/>
          <w:bCs/>
          <w:color w:val="auto"/>
          <w:sz w:val="28"/>
          <w:szCs w:val="28"/>
          <w:highlight w:val="none"/>
        </w:rPr>
        <w:t>表4  工程总承包项目建筑安装工程费清单及计价表</w:t>
      </w:r>
    </w:p>
    <w:p w14:paraId="51AD7DF0">
      <w:pPr>
        <w:widowControl/>
        <w:rPr>
          <w:rFonts w:hint="eastAsia" w:ascii="宋体" w:hAnsi="宋体"/>
          <w:color w:val="auto"/>
          <w:highlight w:val="none"/>
        </w:rPr>
      </w:pPr>
      <w:r>
        <w:rPr>
          <w:rFonts w:ascii="宋体" w:hAnsi="宋体"/>
          <w:color w:val="auto"/>
          <w:highlight w:val="none"/>
        </w:rPr>
        <w:t xml:space="preserve"> </w:t>
      </w:r>
      <w:r>
        <w:rPr>
          <w:rFonts w:ascii="宋体" w:hAnsi="宋体"/>
          <w:color w:val="auto"/>
          <w:highlight w:val="none"/>
        </w:rPr>
        <w:tab/>
      </w:r>
      <w:r>
        <w:rPr>
          <w:rFonts w:ascii="宋体" w:hAnsi="宋体"/>
          <w:color w:val="auto"/>
          <w:highlight w:val="none"/>
        </w:rPr>
        <w:tab/>
      </w:r>
      <w:r>
        <w:rPr>
          <w:rFonts w:ascii="宋体" w:hAnsi="宋体"/>
          <w:color w:val="auto"/>
          <w:highlight w:val="none"/>
        </w:rPr>
        <w:tab/>
      </w:r>
      <w:r>
        <w:rPr>
          <w:rFonts w:ascii="宋体" w:hAnsi="宋体"/>
          <w:color w:val="auto"/>
          <w:highlight w:val="none"/>
        </w:rPr>
        <w:tab/>
      </w:r>
      <w:r>
        <w:rPr>
          <w:rFonts w:ascii="宋体" w:hAnsi="宋体"/>
          <w:color w:val="auto"/>
          <w:highlight w:val="none"/>
        </w:rPr>
        <w:tab/>
      </w:r>
      <w:r>
        <w:rPr>
          <w:rFonts w:ascii="宋体" w:hAnsi="宋体"/>
          <w:color w:val="auto"/>
          <w:highlight w:val="none"/>
        </w:rPr>
        <w:tab/>
      </w:r>
    </w:p>
    <w:p w14:paraId="07C549EA">
      <w:pPr>
        <w:widowControl/>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2016"/>
        <w:gridCol w:w="1922"/>
        <w:gridCol w:w="539"/>
        <w:gridCol w:w="1136"/>
        <w:gridCol w:w="941"/>
        <w:gridCol w:w="941"/>
      </w:tblGrid>
      <w:tr w14:paraId="5F12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027" w:type="dxa"/>
            <w:vAlign w:val="center"/>
          </w:tcPr>
          <w:p w14:paraId="36B154CC">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序号</w:t>
            </w:r>
          </w:p>
        </w:tc>
        <w:tc>
          <w:tcPr>
            <w:tcW w:w="2016" w:type="dxa"/>
            <w:vAlign w:val="center"/>
          </w:tcPr>
          <w:p w14:paraId="4C0EF831">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项目名称</w:t>
            </w:r>
          </w:p>
        </w:tc>
        <w:tc>
          <w:tcPr>
            <w:tcW w:w="1922" w:type="dxa"/>
            <w:vAlign w:val="center"/>
          </w:tcPr>
          <w:p w14:paraId="755440B8">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工程内容</w:t>
            </w:r>
          </w:p>
        </w:tc>
        <w:tc>
          <w:tcPr>
            <w:tcW w:w="539" w:type="dxa"/>
            <w:vAlign w:val="center"/>
          </w:tcPr>
          <w:p w14:paraId="3C43D9A4">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单位</w:t>
            </w:r>
          </w:p>
        </w:tc>
        <w:tc>
          <w:tcPr>
            <w:tcW w:w="1136" w:type="dxa"/>
            <w:vAlign w:val="center"/>
          </w:tcPr>
          <w:p w14:paraId="120139BB">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规模数量</w:t>
            </w:r>
          </w:p>
        </w:tc>
        <w:tc>
          <w:tcPr>
            <w:tcW w:w="941" w:type="dxa"/>
            <w:vAlign w:val="center"/>
          </w:tcPr>
          <w:p w14:paraId="5410638B">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价格</w:t>
            </w:r>
          </w:p>
          <w:p w14:paraId="13C7B692">
            <w:pPr>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（元）</w:t>
            </w:r>
          </w:p>
        </w:tc>
        <w:tc>
          <w:tcPr>
            <w:tcW w:w="941" w:type="dxa"/>
            <w:vAlign w:val="center"/>
          </w:tcPr>
          <w:p w14:paraId="6FB3C82B">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备注</w:t>
            </w:r>
          </w:p>
        </w:tc>
      </w:tr>
      <w:tr w14:paraId="3E72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76B0B4FD">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3.1</w:t>
            </w:r>
          </w:p>
        </w:tc>
        <w:tc>
          <w:tcPr>
            <w:tcW w:w="2016" w:type="dxa"/>
            <w:vAlign w:val="center"/>
          </w:tcPr>
          <w:p w14:paraId="741C42A5">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建筑安装工程费</w:t>
            </w:r>
          </w:p>
        </w:tc>
        <w:tc>
          <w:tcPr>
            <w:tcW w:w="1922" w:type="dxa"/>
            <w:vAlign w:val="center"/>
          </w:tcPr>
          <w:p w14:paraId="7B35B424">
            <w:pPr>
              <w:widowControl/>
              <w:spacing w:line="360" w:lineRule="auto"/>
              <w:jc w:val="center"/>
              <w:rPr>
                <w:rFonts w:hint="eastAsia" w:ascii="宋体" w:hAnsi="宋体" w:cs="Calibri"/>
                <w:color w:val="auto"/>
                <w:highlight w:val="none"/>
              </w:rPr>
            </w:pPr>
          </w:p>
        </w:tc>
        <w:tc>
          <w:tcPr>
            <w:tcW w:w="539" w:type="dxa"/>
            <w:vAlign w:val="center"/>
          </w:tcPr>
          <w:p w14:paraId="564CC130">
            <w:pPr>
              <w:widowControl/>
              <w:spacing w:line="360" w:lineRule="auto"/>
              <w:jc w:val="center"/>
              <w:rPr>
                <w:rFonts w:hint="eastAsia" w:ascii="宋体" w:hAnsi="宋体" w:cs="Calibri"/>
                <w:color w:val="auto"/>
                <w:highlight w:val="none"/>
              </w:rPr>
            </w:pPr>
          </w:p>
        </w:tc>
        <w:tc>
          <w:tcPr>
            <w:tcW w:w="1136" w:type="dxa"/>
            <w:vAlign w:val="center"/>
          </w:tcPr>
          <w:p w14:paraId="599C2EDE">
            <w:pPr>
              <w:widowControl/>
              <w:spacing w:line="360" w:lineRule="auto"/>
              <w:jc w:val="center"/>
              <w:rPr>
                <w:rFonts w:hint="eastAsia" w:ascii="宋体" w:hAnsi="宋体" w:cs="Calibri"/>
                <w:color w:val="auto"/>
                <w:highlight w:val="none"/>
              </w:rPr>
            </w:pPr>
          </w:p>
        </w:tc>
        <w:tc>
          <w:tcPr>
            <w:tcW w:w="941" w:type="dxa"/>
            <w:vAlign w:val="center"/>
          </w:tcPr>
          <w:p w14:paraId="57BEF215">
            <w:pPr>
              <w:widowControl/>
              <w:spacing w:line="360" w:lineRule="auto"/>
              <w:jc w:val="center"/>
              <w:rPr>
                <w:rFonts w:hint="eastAsia" w:ascii="宋体" w:hAnsi="宋体" w:cs="Calibri"/>
                <w:color w:val="auto"/>
                <w:highlight w:val="none"/>
              </w:rPr>
            </w:pPr>
          </w:p>
        </w:tc>
        <w:tc>
          <w:tcPr>
            <w:tcW w:w="941" w:type="dxa"/>
            <w:vAlign w:val="center"/>
          </w:tcPr>
          <w:p w14:paraId="5359FDFF">
            <w:pPr>
              <w:widowControl/>
              <w:spacing w:line="360" w:lineRule="auto"/>
              <w:jc w:val="center"/>
              <w:rPr>
                <w:rFonts w:hint="eastAsia" w:ascii="宋体" w:hAnsi="宋体" w:cs="Calibri"/>
                <w:color w:val="auto"/>
                <w:highlight w:val="none"/>
              </w:rPr>
            </w:pPr>
          </w:p>
        </w:tc>
      </w:tr>
      <w:tr w14:paraId="7F0D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38AFCA23">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3.1.1</w:t>
            </w:r>
          </w:p>
        </w:tc>
        <w:tc>
          <w:tcPr>
            <w:tcW w:w="2016" w:type="dxa"/>
            <w:vAlign w:val="center"/>
          </w:tcPr>
          <w:p w14:paraId="4AEA6280">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（项目工程1）</w:t>
            </w:r>
          </w:p>
        </w:tc>
        <w:tc>
          <w:tcPr>
            <w:tcW w:w="1922" w:type="dxa"/>
            <w:vAlign w:val="center"/>
          </w:tcPr>
          <w:p w14:paraId="1CD1B4C6">
            <w:pPr>
              <w:widowControl/>
              <w:spacing w:line="360" w:lineRule="auto"/>
              <w:jc w:val="center"/>
              <w:rPr>
                <w:rFonts w:hint="eastAsia" w:ascii="宋体" w:hAnsi="宋体" w:cs="Calibri"/>
                <w:color w:val="auto"/>
                <w:highlight w:val="none"/>
              </w:rPr>
            </w:pPr>
          </w:p>
        </w:tc>
        <w:tc>
          <w:tcPr>
            <w:tcW w:w="539" w:type="dxa"/>
            <w:vAlign w:val="center"/>
          </w:tcPr>
          <w:p w14:paraId="3410D577">
            <w:pPr>
              <w:widowControl/>
              <w:spacing w:line="360" w:lineRule="auto"/>
              <w:jc w:val="center"/>
              <w:rPr>
                <w:rFonts w:hint="eastAsia" w:ascii="宋体" w:hAnsi="宋体" w:cs="Calibri"/>
                <w:color w:val="auto"/>
                <w:highlight w:val="none"/>
              </w:rPr>
            </w:pPr>
          </w:p>
        </w:tc>
        <w:tc>
          <w:tcPr>
            <w:tcW w:w="1136" w:type="dxa"/>
            <w:vAlign w:val="center"/>
          </w:tcPr>
          <w:p w14:paraId="04D9FF4A">
            <w:pPr>
              <w:widowControl/>
              <w:spacing w:line="360" w:lineRule="auto"/>
              <w:jc w:val="center"/>
              <w:rPr>
                <w:rFonts w:hint="eastAsia" w:ascii="宋体" w:hAnsi="宋体" w:cs="Calibri"/>
                <w:color w:val="auto"/>
                <w:highlight w:val="none"/>
              </w:rPr>
            </w:pPr>
          </w:p>
        </w:tc>
        <w:tc>
          <w:tcPr>
            <w:tcW w:w="941" w:type="dxa"/>
            <w:vAlign w:val="center"/>
          </w:tcPr>
          <w:p w14:paraId="3A23712E">
            <w:pPr>
              <w:widowControl/>
              <w:spacing w:line="360" w:lineRule="auto"/>
              <w:jc w:val="center"/>
              <w:rPr>
                <w:rFonts w:hint="eastAsia" w:ascii="宋体" w:hAnsi="宋体" w:cs="Calibri"/>
                <w:color w:val="auto"/>
                <w:highlight w:val="none"/>
              </w:rPr>
            </w:pPr>
          </w:p>
        </w:tc>
        <w:tc>
          <w:tcPr>
            <w:tcW w:w="941" w:type="dxa"/>
            <w:vAlign w:val="center"/>
          </w:tcPr>
          <w:p w14:paraId="7CB9CD7F">
            <w:pPr>
              <w:widowControl/>
              <w:spacing w:line="360" w:lineRule="auto"/>
              <w:jc w:val="center"/>
              <w:rPr>
                <w:rFonts w:hint="eastAsia" w:ascii="宋体" w:hAnsi="宋体" w:cs="Calibri"/>
                <w:color w:val="auto"/>
                <w:highlight w:val="none"/>
              </w:rPr>
            </w:pPr>
          </w:p>
        </w:tc>
      </w:tr>
      <w:tr w14:paraId="52EB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415638BD">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3.1.2</w:t>
            </w:r>
          </w:p>
        </w:tc>
        <w:tc>
          <w:tcPr>
            <w:tcW w:w="2016" w:type="dxa"/>
            <w:vAlign w:val="center"/>
          </w:tcPr>
          <w:p w14:paraId="23CB82B4">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（项目工程2）</w:t>
            </w:r>
          </w:p>
        </w:tc>
        <w:tc>
          <w:tcPr>
            <w:tcW w:w="1922" w:type="dxa"/>
            <w:vAlign w:val="center"/>
          </w:tcPr>
          <w:p w14:paraId="5161F746">
            <w:pPr>
              <w:widowControl/>
              <w:spacing w:line="360" w:lineRule="auto"/>
              <w:jc w:val="center"/>
              <w:rPr>
                <w:rFonts w:hint="eastAsia" w:ascii="宋体" w:hAnsi="宋体" w:cs="Calibri"/>
                <w:color w:val="auto"/>
                <w:highlight w:val="none"/>
              </w:rPr>
            </w:pPr>
          </w:p>
        </w:tc>
        <w:tc>
          <w:tcPr>
            <w:tcW w:w="539" w:type="dxa"/>
            <w:vAlign w:val="center"/>
          </w:tcPr>
          <w:p w14:paraId="36582800">
            <w:pPr>
              <w:widowControl/>
              <w:spacing w:line="360" w:lineRule="auto"/>
              <w:jc w:val="center"/>
              <w:rPr>
                <w:rFonts w:hint="eastAsia" w:ascii="宋体" w:hAnsi="宋体" w:cs="Calibri"/>
                <w:color w:val="auto"/>
                <w:highlight w:val="none"/>
              </w:rPr>
            </w:pPr>
          </w:p>
        </w:tc>
        <w:tc>
          <w:tcPr>
            <w:tcW w:w="1136" w:type="dxa"/>
            <w:vAlign w:val="center"/>
          </w:tcPr>
          <w:p w14:paraId="6F034D3B">
            <w:pPr>
              <w:widowControl/>
              <w:spacing w:line="360" w:lineRule="auto"/>
              <w:jc w:val="center"/>
              <w:rPr>
                <w:rFonts w:hint="eastAsia" w:ascii="宋体" w:hAnsi="宋体" w:cs="Calibri"/>
                <w:color w:val="auto"/>
                <w:highlight w:val="none"/>
              </w:rPr>
            </w:pPr>
          </w:p>
        </w:tc>
        <w:tc>
          <w:tcPr>
            <w:tcW w:w="941" w:type="dxa"/>
            <w:vAlign w:val="center"/>
          </w:tcPr>
          <w:p w14:paraId="6CB6CA57">
            <w:pPr>
              <w:widowControl/>
              <w:spacing w:line="360" w:lineRule="auto"/>
              <w:jc w:val="center"/>
              <w:rPr>
                <w:rFonts w:hint="eastAsia" w:ascii="宋体" w:hAnsi="宋体" w:cs="Calibri"/>
                <w:color w:val="auto"/>
                <w:highlight w:val="none"/>
              </w:rPr>
            </w:pPr>
          </w:p>
        </w:tc>
        <w:tc>
          <w:tcPr>
            <w:tcW w:w="941" w:type="dxa"/>
            <w:vAlign w:val="center"/>
          </w:tcPr>
          <w:p w14:paraId="3B7D59D3">
            <w:pPr>
              <w:widowControl/>
              <w:spacing w:line="360" w:lineRule="auto"/>
              <w:jc w:val="center"/>
              <w:rPr>
                <w:rFonts w:hint="eastAsia" w:ascii="宋体" w:hAnsi="宋体" w:cs="Calibri"/>
                <w:color w:val="auto"/>
                <w:highlight w:val="none"/>
              </w:rPr>
            </w:pPr>
          </w:p>
        </w:tc>
      </w:tr>
      <w:tr w14:paraId="40D1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3C569F83">
            <w:pPr>
              <w:widowControl/>
              <w:spacing w:line="360" w:lineRule="auto"/>
              <w:jc w:val="center"/>
              <w:rPr>
                <w:rFonts w:hint="eastAsia" w:ascii="宋体" w:hAnsi="宋体" w:cs="Calibri"/>
                <w:color w:val="auto"/>
                <w:highlight w:val="none"/>
              </w:rPr>
            </w:pPr>
          </w:p>
        </w:tc>
        <w:tc>
          <w:tcPr>
            <w:tcW w:w="2016" w:type="dxa"/>
            <w:vAlign w:val="center"/>
          </w:tcPr>
          <w:p w14:paraId="623247DE">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w:t>
            </w:r>
          </w:p>
        </w:tc>
        <w:tc>
          <w:tcPr>
            <w:tcW w:w="1922" w:type="dxa"/>
            <w:vAlign w:val="center"/>
          </w:tcPr>
          <w:p w14:paraId="3DFC0357">
            <w:pPr>
              <w:widowControl/>
              <w:spacing w:line="360" w:lineRule="auto"/>
              <w:jc w:val="center"/>
              <w:rPr>
                <w:rFonts w:hint="eastAsia" w:ascii="宋体" w:hAnsi="宋体" w:cs="Calibri"/>
                <w:color w:val="auto"/>
                <w:highlight w:val="none"/>
              </w:rPr>
            </w:pPr>
          </w:p>
        </w:tc>
        <w:tc>
          <w:tcPr>
            <w:tcW w:w="539" w:type="dxa"/>
            <w:vAlign w:val="center"/>
          </w:tcPr>
          <w:p w14:paraId="0818E578">
            <w:pPr>
              <w:widowControl/>
              <w:spacing w:line="360" w:lineRule="auto"/>
              <w:jc w:val="center"/>
              <w:rPr>
                <w:rFonts w:hint="eastAsia" w:ascii="宋体" w:hAnsi="宋体" w:cs="Calibri"/>
                <w:color w:val="auto"/>
                <w:highlight w:val="none"/>
              </w:rPr>
            </w:pPr>
          </w:p>
        </w:tc>
        <w:tc>
          <w:tcPr>
            <w:tcW w:w="1136" w:type="dxa"/>
            <w:vAlign w:val="center"/>
          </w:tcPr>
          <w:p w14:paraId="3E27DD4C">
            <w:pPr>
              <w:widowControl/>
              <w:spacing w:line="360" w:lineRule="auto"/>
              <w:jc w:val="center"/>
              <w:rPr>
                <w:rFonts w:hint="eastAsia" w:ascii="宋体" w:hAnsi="宋体" w:cs="Calibri"/>
                <w:color w:val="auto"/>
                <w:highlight w:val="none"/>
              </w:rPr>
            </w:pPr>
          </w:p>
        </w:tc>
        <w:tc>
          <w:tcPr>
            <w:tcW w:w="941" w:type="dxa"/>
            <w:vAlign w:val="center"/>
          </w:tcPr>
          <w:p w14:paraId="1A618900">
            <w:pPr>
              <w:widowControl/>
              <w:spacing w:line="360" w:lineRule="auto"/>
              <w:jc w:val="center"/>
              <w:rPr>
                <w:rFonts w:hint="eastAsia" w:ascii="宋体" w:hAnsi="宋体" w:cs="Calibri"/>
                <w:color w:val="auto"/>
                <w:highlight w:val="none"/>
              </w:rPr>
            </w:pPr>
          </w:p>
        </w:tc>
        <w:tc>
          <w:tcPr>
            <w:tcW w:w="941" w:type="dxa"/>
            <w:vAlign w:val="center"/>
          </w:tcPr>
          <w:p w14:paraId="2AD1770E">
            <w:pPr>
              <w:widowControl/>
              <w:spacing w:line="360" w:lineRule="auto"/>
              <w:jc w:val="center"/>
              <w:rPr>
                <w:rFonts w:hint="eastAsia" w:ascii="宋体" w:hAnsi="宋体" w:cs="Calibri"/>
                <w:color w:val="auto"/>
                <w:highlight w:val="none"/>
              </w:rPr>
            </w:pPr>
          </w:p>
        </w:tc>
      </w:tr>
      <w:tr w14:paraId="7F5C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300A5ABE">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w:t>
            </w:r>
            <w:r>
              <w:rPr>
                <w:rFonts w:ascii="宋体" w:hAnsi="宋体" w:cs="Calibri"/>
                <w:color w:val="auto"/>
                <w:highlight w:val="none"/>
              </w:rPr>
              <w:t>2</w:t>
            </w:r>
          </w:p>
        </w:tc>
        <w:tc>
          <w:tcPr>
            <w:tcW w:w="2016" w:type="dxa"/>
            <w:vAlign w:val="center"/>
          </w:tcPr>
          <w:p w14:paraId="1847F222">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暂估价</w:t>
            </w:r>
          </w:p>
        </w:tc>
        <w:tc>
          <w:tcPr>
            <w:tcW w:w="1922" w:type="dxa"/>
            <w:vAlign w:val="center"/>
          </w:tcPr>
          <w:p w14:paraId="1B20C44B">
            <w:pPr>
              <w:widowControl/>
              <w:spacing w:line="360" w:lineRule="auto"/>
              <w:jc w:val="center"/>
              <w:rPr>
                <w:rFonts w:hint="eastAsia" w:ascii="宋体" w:hAnsi="宋体" w:cs="Calibri"/>
                <w:color w:val="auto"/>
                <w:highlight w:val="none"/>
              </w:rPr>
            </w:pPr>
          </w:p>
        </w:tc>
        <w:tc>
          <w:tcPr>
            <w:tcW w:w="539" w:type="dxa"/>
            <w:vAlign w:val="center"/>
          </w:tcPr>
          <w:p w14:paraId="53171EBA">
            <w:pPr>
              <w:widowControl/>
              <w:spacing w:line="360" w:lineRule="auto"/>
              <w:jc w:val="center"/>
              <w:rPr>
                <w:rFonts w:hint="eastAsia" w:ascii="宋体" w:hAnsi="宋体" w:cs="Calibri"/>
                <w:color w:val="auto"/>
                <w:highlight w:val="none"/>
              </w:rPr>
            </w:pPr>
          </w:p>
        </w:tc>
        <w:tc>
          <w:tcPr>
            <w:tcW w:w="1136" w:type="dxa"/>
            <w:vAlign w:val="center"/>
          </w:tcPr>
          <w:p w14:paraId="3902A93A">
            <w:pPr>
              <w:widowControl/>
              <w:spacing w:line="360" w:lineRule="auto"/>
              <w:jc w:val="center"/>
              <w:rPr>
                <w:rFonts w:hint="eastAsia" w:ascii="宋体" w:hAnsi="宋体" w:cs="Calibri"/>
                <w:color w:val="auto"/>
                <w:highlight w:val="none"/>
              </w:rPr>
            </w:pPr>
          </w:p>
        </w:tc>
        <w:tc>
          <w:tcPr>
            <w:tcW w:w="941" w:type="dxa"/>
            <w:vAlign w:val="center"/>
          </w:tcPr>
          <w:p w14:paraId="3622DFE0">
            <w:pPr>
              <w:widowControl/>
              <w:spacing w:line="360" w:lineRule="auto"/>
              <w:jc w:val="center"/>
              <w:rPr>
                <w:rFonts w:hint="eastAsia" w:ascii="宋体" w:hAnsi="宋体" w:cs="Calibri"/>
                <w:color w:val="auto"/>
                <w:highlight w:val="none"/>
              </w:rPr>
            </w:pPr>
          </w:p>
        </w:tc>
        <w:tc>
          <w:tcPr>
            <w:tcW w:w="941" w:type="dxa"/>
            <w:vAlign w:val="center"/>
          </w:tcPr>
          <w:p w14:paraId="72F36AFD">
            <w:pPr>
              <w:widowControl/>
              <w:spacing w:line="360" w:lineRule="auto"/>
              <w:jc w:val="center"/>
              <w:rPr>
                <w:rFonts w:hint="eastAsia" w:ascii="宋体" w:hAnsi="宋体" w:cs="Calibri"/>
                <w:color w:val="auto"/>
                <w:highlight w:val="none"/>
              </w:rPr>
            </w:pPr>
          </w:p>
        </w:tc>
      </w:tr>
      <w:tr w14:paraId="3D41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1789E7D6">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3.2.1</w:t>
            </w:r>
          </w:p>
        </w:tc>
        <w:tc>
          <w:tcPr>
            <w:tcW w:w="2016" w:type="dxa"/>
            <w:vAlign w:val="center"/>
          </w:tcPr>
          <w:p w14:paraId="208FC1E7">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（暂估价工程1）</w:t>
            </w:r>
          </w:p>
        </w:tc>
        <w:tc>
          <w:tcPr>
            <w:tcW w:w="1922" w:type="dxa"/>
            <w:vAlign w:val="center"/>
          </w:tcPr>
          <w:p w14:paraId="460E877F">
            <w:pPr>
              <w:widowControl/>
              <w:spacing w:line="360" w:lineRule="auto"/>
              <w:jc w:val="center"/>
              <w:rPr>
                <w:rFonts w:hint="eastAsia" w:ascii="宋体" w:hAnsi="宋体" w:cs="Calibri"/>
                <w:color w:val="auto"/>
                <w:highlight w:val="none"/>
              </w:rPr>
            </w:pPr>
          </w:p>
        </w:tc>
        <w:tc>
          <w:tcPr>
            <w:tcW w:w="539" w:type="dxa"/>
            <w:vAlign w:val="center"/>
          </w:tcPr>
          <w:p w14:paraId="3670DF0A">
            <w:pPr>
              <w:widowControl/>
              <w:spacing w:line="360" w:lineRule="auto"/>
              <w:jc w:val="center"/>
              <w:rPr>
                <w:rFonts w:hint="eastAsia" w:ascii="宋体" w:hAnsi="宋体" w:cs="Calibri"/>
                <w:color w:val="auto"/>
                <w:highlight w:val="none"/>
              </w:rPr>
            </w:pPr>
          </w:p>
        </w:tc>
        <w:tc>
          <w:tcPr>
            <w:tcW w:w="1136" w:type="dxa"/>
            <w:vAlign w:val="center"/>
          </w:tcPr>
          <w:p w14:paraId="23295C8D">
            <w:pPr>
              <w:widowControl/>
              <w:spacing w:line="360" w:lineRule="auto"/>
              <w:jc w:val="center"/>
              <w:rPr>
                <w:rFonts w:hint="eastAsia" w:ascii="宋体" w:hAnsi="宋体" w:cs="Calibri"/>
                <w:color w:val="auto"/>
                <w:highlight w:val="none"/>
              </w:rPr>
            </w:pPr>
          </w:p>
        </w:tc>
        <w:tc>
          <w:tcPr>
            <w:tcW w:w="941" w:type="dxa"/>
            <w:vAlign w:val="center"/>
          </w:tcPr>
          <w:p w14:paraId="04D03F81">
            <w:pPr>
              <w:widowControl/>
              <w:spacing w:line="360" w:lineRule="auto"/>
              <w:jc w:val="center"/>
              <w:rPr>
                <w:rFonts w:hint="eastAsia" w:ascii="宋体" w:hAnsi="宋体" w:cs="Calibri"/>
                <w:color w:val="auto"/>
                <w:highlight w:val="none"/>
              </w:rPr>
            </w:pPr>
          </w:p>
        </w:tc>
        <w:tc>
          <w:tcPr>
            <w:tcW w:w="941" w:type="dxa"/>
            <w:vAlign w:val="center"/>
          </w:tcPr>
          <w:p w14:paraId="4420E6C5">
            <w:pPr>
              <w:widowControl/>
              <w:spacing w:line="360" w:lineRule="auto"/>
              <w:jc w:val="center"/>
              <w:rPr>
                <w:rFonts w:hint="eastAsia" w:ascii="宋体" w:hAnsi="宋体" w:cs="Calibri"/>
                <w:color w:val="auto"/>
                <w:highlight w:val="none"/>
              </w:rPr>
            </w:pPr>
          </w:p>
        </w:tc>
      </w:tr>
      <w:tr w14:paraId="6F8A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238E53DB">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3.2.1</w:t>
            </w:r>
          </w:p>
        </w:tc>
        <w:tc>
          <w:tcPr>
            <w:tcW w:w="2016" w:type="dxa"/>
            <w:vAlign w:val="center"/>
          </w:tcPr>
          <w:p w14:paraId="2633AFEF">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（暂估价工程2）</w:t>
            </w:r>
          </w:p>
        </w:tc>
        <w:tc>
          <w:tcPr>
            <w:tcW w:w="1922" w:type="dxa"/>
            <w:vAlign w:val="center"/>
          </w:tcPr>
          <w:p w14:paraId="27F12038">
            <w:pPr>
              <w:widowControl/>
              <w:spacing w:line="360" w:lineRule="auto"/>
              <w:jc w:val="center"/>
              <w:rPr>
                <w:rFonts w:hint="eastAsia" w:ascii="宋体" w:hAnsi="宋体" w:cs="Calibri"/>
                <w:color w:val="auto"/>
                <w:highlight w:val="none"/>
              </w:rPr>
            </w:pPr>
          </w:p>
        </w:tc>
        <w:tc>
          <w:tcPr>
            <w:tcW w:w="539" w:type="dxa"/>
            <w:vAlign w:val="center"/>
          </w:tcPr>
          <w:p w14:paraId="686DC741">
            <w:pPr>
              <w:widowControl/>
              <w:spacing w:line="360" w:lineRule="auto"/>
              <w:jc w:val="center"/>
              <w:rPr>
                <w:rFonts w:hint="eastAsia" w:ascii="宋体" w:hAnsi="宋体" w:cs="Calibri"/>
                <w:color w:val="auto"/>
                <w:highlight w:val="none"/>
              </w:rPr>
            </w:pPr>
          </w:p>
        </w:tc>
        <w:tc>
          <w:tcPr>
            <w:tcW w:w="1136" w:type="dxa"/>
            <w:vAlign w:val="center"/>
          </w:tcPr>
          <w:p w14:paraId="5681EA52">
            <w:pPr>
              <w:widowControl/>
              <w:spacing w:line="360" w:lineRule="auto"/>
              <w:jc w:val="center"/>
              <w:rPr>
                <w:rFonts w:hint="eastAsia" w:ascii="宋体" w:hAnsi="宋体" w:cs="Calibri"/>
                <w:color w:val="auto"/>
                <w:highlight w:val="none"/>
              </w:rPr>
            </w:pPr>
          </w:p>
        </w:tc>
        <w:tc>
          <w:tcPr>
            <w:tcW w:w="941" w:type="dxa"/>
            <w:vAlign w:val="center"/>
          </w:tcPr>
          <w:p w14:paraId="5107203C">
            <w:pPr>
              <w:widowControl/>
              <w:spacing w:line="360" w:lineRule="auto"/>
              <w:jc w:val="center"/>
              <w:rPr>
                <w:rFonts w:hint="eastAsia" w:ascii="宋体" w:hAnsi="宋体" w:cs="Calibri"/>
                <w:color w:val="auto"/>
                <w:highlight w:val="none"/>
              </w:rPr>
            </w:pPr>
          </w:p>
        </w:tc>
        <w:tc>
          <w:tcPr>
            <w:tcW w:w="941" w:type="dxa"/>
            <w:vAlign w:val="center"/>
          </w:tcPr>
          <w:p w14:paraId="196C6C79">
            <w:pPr>
              <w:widowControl/>
              <w:spacing w:line="360" w:lineRule="auto"/>
              <w:jc w:val="center"/>
              <w:rPr>
                <w:rFonts w:hint="eastAsia" w:ascii="宋体" w:hAnsi="宋体" w:cs="Calibri"/>
                <w:color w:val="auto"/>
                <w:highlight w:val="none"/>
              </w:rPr>
            </w:pPr>
          </w:p>
        </w:tc>
      </w:tr>
      <w:tr w14:paraId="4970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22F33126">
            <w:pPr>
              <w:widowControl/>
              <w:spacing w:line="360" w:lineRule="auto"/>
              <w:jc w:val="center"/>
              <w:rPr>
                <w:rFonts w:hint="eastAsia" w:ascii="宋体" w:hAnsi="宋体" w:cs="Calibri"/>
                <w:color w:val="auto"/>
                <w:highlight w:val="none"/>
              </w:rPr>
            </w:pPr>
          </w:p>
        </w:tc>
        <w:tc>
          <w:tcPr>
            <w:tcW w:w="2016" w:type="dxa"/>
            <w:vAlign w:val="center"/>
          </w:tcPr>
          <w:p w14:paraId="66B13B92">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w:t>
            </w:r>
          </w:p>
        </w:tc>
        <w:tc>
          <w:tcPr>
            <w:tcW w:w="1922" w:type="dxa"/>
            <w:vAlign w:val="center"/>
          </w:tcPr>
          <w:p w14:paraId="384735CB">
            <w:pPr>
              <w:widowControl/>
              <w:spacing w:line="360" w:lineRule="auto"/>
              <w:jc w:val="center"/>
              <w:rPr>
                <w:rFonts w:hint="eastAsia" w:ascii="宋体" w:hAnsi="宋体" w:cs="Calibri"/>
                <w:color w:val="auto"/>
                <w:highlight w:val="none"/>
              </w:rPr>
            </w:pPr>
          </w:p>
        </w:tc>
        <w:tc>
          <w:tcPr>
            <w:tcW w:w="539" w:type="dxa"/>
            <w:vAlign w:val="center"/>
          </w:tcPr>
          <w:p w14:paraId="1EE779DA">
            <w:pPr>
              <w:widowControl/>
              <w:spacing w:line="360" w:lineRule="auto"/>
              <w:jc w:val="center"/>
              <w:rPr>
                <w:rFonts w:hint="eastAsia" w:ascii="宋体" w:hAnsi="宋体" w:cs="Calibri"/>
                <w:color w:val="auto"/>
                <w:highlight w:val="none"/>
              </w:rPr>
            </w:pPr>
          </w:p>
        </w:tc>
        <w:tc>
          <w:tcPr>
            <w:tcW w:w="1136" w:type="dxa"/>
            <w:vAlign w:val="center"/>
          </w:tcPr>
          <w:p w14:paraId="313A5027">
            <w:pPr>
              <w:widowControl/>
              <w:spacing w:line="360" w:lineRule="auto"/>
              <w:jc w:val="center"/>
              <w:rPr>
                <w:rFonts w:hint="eastAsia" w:ascii="宋体" w:hAnsi="宋体" w:cs="Calibri"/>
                <w:color w:val="auto"/>
                <w:highlight w:val="none"/>
              </w:rPr>
            </w:pPr>
          </w:p>
        </w:tc>
        <w:tc>
          <w:tcPr>
            <w:tcW w:w="941" w:type="dxa"/>
            <w:vAlign w:val="center"/>
          </w:tcPr>
          <w:p w14:paraId="2521A53D">
            <w:pPr>
              <w:widowControl/>
              <w:spacing w:line="360" w:lineRule="auto"/>
              <w:jc w:val="center"/>
              <w:rPr>
                <w:rFonts w:hint="eastAsia" w:ascii="宋体" w:hAnsi="宋体" w:cs="Calibri"/>
                <w:color w:val="auto"/>
                <w:highlight w:val="none"/>
              </w:rPr>
            </w:pPr>
          </w:p>
        </w:tc>
        <w:tc>
          <w:tcPr>
            <w:tcW w:w="941" w:type="dxa"/>
            <w:vAlign w:val="center"/>
          </w:tcPr>
          <w:p w14:paraId="16CCCA10">
            <w:pPr>
              <w:widowControl/>
              <w:spacing w:line="360" w:lineRule="auto"/>
              <w:jc w:val="center"/>
              <w:rPr>
                <w:rFonts w:hint="eastAsia" w:ascii="宋体" w:hAnsi="宋体" w:cs="Calibri"/>
                <w:color w:val="auto"/>
                <w:highlight w:val="none"/>
              </w:rPr>
            </w:pPr>
          </w:p>
        </w:tc>
      </w:tr>
      <w:tr w14:paraId="2B7D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7C9547C6">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w:t>
            </w:r>
            <w:r>
              <w:rPr>
                <w:rFonts w:ascii="宋体" w:hAnsi="宋体" w:cs="Calibri"/>
                <w:color w:val="auto"/>
                <w:highlight w:val="none"/>
              </w:rPr>
              <w:t>3</w:t>
            </w:r>
          </w:p>
        </w:tc>
        <w:tc>
          <w:tcPr>
            <w:tcW w:w="2016" w:type="dxa"/>
            <w:vAlign w:val="center"/>
          </w:tcPr>
          <w:p w14:paraId="05EF72A4">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暂列金额</w:t>
            </w:r>
          </w:p>
        </w:tc>
        <w:tc>
          <w:tcPr>
            <w:tcW w:w="1922" w:type="dxa"/>
            <w:vAlign w:val="center"/>
          </w:tcPr>
          <w:p w14:paraId="4E0DACDB">
            <w:pPr>
              <w:widowControl/>
              <w:spacing w:line="360" w:lineRule="auto"/>
              <w:jc w:val="center"/>
              <w:rPr>
                <w:rFonts w:hint="eastAsia" w:ascii="宋体" w:hAnsi="宋体" w:cs="Calibri"/>
                <w:color w:val="auto"/>
                <w:highlight w:val="none"/>
              </w:rPr>
            </w:pPr>
          </w:p>
        </w:tc>
        <w:tc>
          <w:tcPr>
            <w:tcW w:w="539" w:type="dxa"/>
            <w:vAlign w:val="center"/>
          </w:tcPr>
          <w:p w14:paraId="7DAD3EFF">
            <w:pPr>
              <w:widowControl/>
              <w:spacing w:line="360" w:lineRule="auto"/>
              <w:jc w:val="center"/>
              <w:rPr>
                <w:rFonts w:hint="eastAsia" w:ascii="宋体" w:hAnsi="宋体" w:cs="Calibri"/>
                <w:color w:val="auto"/>
                <w:highlight w:val="none"/>
              </w:rPr>
            </w:pPr>
          </w:p>
        </w:tc>
        <w:tc>
          <w:tcPr>
            <w:tcW w:w="1136" w:type="dxa"/>
            <w:vAlign w:val="center"/>
          </w:tcPr>
          <w:p w14:paraId="7A56BCFC">
            <w:pPr>
              <w:widowControl/>
              <w:spacing w:line="360" w:lineRule="auto"/>
              <w:jc w:val="center"/>
              <w:rPr>
                <w:rFonts w:hint="eastAsia" w:ascii="宋体" w:hAnsi="宋体" w:cs="Calibri"/>
                <w:color w:val="auto"/>
                <w:highlight w:val="none"/>
              </w:rPr>
            </w:pPr>
          </w:p>
        </w:tc>
        <w:tc>
          <w:tcPr>
            <w:tcW w:w="941" w:type="dxa"/>
            <w:vAlign w:val="center"/>
          </w:tcPr>
          <w:p w14:paraId="6C9D1597">
            <w:pPr>
              <w:widowControl/>
              <w:spacing w:line="360" w:lineRule="auto"/>
              <w:jc w:val="center"/>
              <w:rPr>
                <w:rFonts w:hint="eastAsia" w:ascii="宋体" w:hAnsi="宋体" w:cs="Calibri"/>
                <w:color w:val="auto"/>
                <w:highlight w:val="none"/>
              </w:rPr>
            </w:pPr>
          </w:p>
        </w:tc>
        <w:tc>
          <w:tcPr>
            <w:tcW w:w="941" w:type="dxa"/>
            <w:vAlign w:val="center"/>
          </w:tcPr>
          <w:p w14:paraId="61524068">
            <w:pPr>
              <w:widowControl/>
              <w:spacing w:line="360" w:lineRule="auto"/>
              <w:jc w:val="center"/>
              <w:rPr>
                <w:rFonts w:hint="eastAsia" w:ascii="宋体" w:hAnsi="宋体" w:cs="Calibri"/>
                <w:color w:val="auto"/>
                <w:highlight w:val="none"/>
              </w:rPr>
            </w:pPr>
          </w:p>
        </w:tc>
      </w:tr>
      <w:tr w14:paraId="46E2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145643EE">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w:t>
            </w:r>
            <w:r>
              <w:rPr>
                <w:rFonts w:ascii="宋体" w:hAnsi="宋体" w:cs="Calibri"/>
                <w:color w:val="auto"/>
                <w:highlight w:val="none"/>
              </w:rPr>
              <w:t>.3.1</w:t>
            </w:r>
          </w:p>
        </w:tc>
        <w:tc>
          <w:tcPr>
            <w:tcW w:w="2016" w:type="dxa"/>
            <w:vAlign w:val="center"/>
          </w:tcPr>
          <w:p w14:paraId="4C78C353">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标化工地增加费</w:t>
            </w:r>
          </w:p>
        </w:tc>
        <w:tc>
          <w:tcPr>
            <w:tcW w:w="1922" w:type="dxa"/>
            <w:vAlign w:val="center"/>
          </w:tcPr>
          <w:p w14:paraId="4FEA1407">
            <w:pPr>
              <w:widowControl/>
              <w:spacing w:line="360" w:lineRule="auto"/>
              <w:jc w:val="center"/>
              <w:rPr>
                <w:rFonts w:hint="eastAsia" w:ascii="宋体" w:hAnsi="宋体" w:cs="Calibri"/>
                <w:color w:val="auto"/>
                <w:highlight w:val="none"/>
              </w:rPr>
            </w:pPr>
          </w:p>
        </w:tc>
        <w:tc>
          <w:tcPr>
            <w:tcW w:w="539" w:type="dxa"/>
            <w:vAlign w:val="center"/>
          </w:tcPr>
          <w:p w14:paraId="620F3851">
            <w:pPr>
              <w:widowControl/>
              <w:spacing w:line="360" w:lineRule="auto"/>
              <w:jc w:val="center"/>
              <w:rPr>
                <w:rFonts w:hint="eastAsia" w:ascii="宋体" w:hAnsi="宋体" w:cs="Calibri"/>
                <w:color w:val="auto"/>
                <w:highlight w:val="none"/>
              </w:rPr>
            </w:pPr>
          </w:p>
        </w:tc>
        <w:tc>
          <w:tcPr>
            <w:tcW w:w="1136" w:type="dxa"/>
            <w:vAlign w:val="center"/>
          </w:tcPr>
          <w:p w14:paraId="7CF06B37">
            <w:pPr>
              <w:widowControl/>
              <w:spacing w:line="360" w:lineRule="auto"/>
              <w:jc w:val="center"/>
              <w:rPr>
                <w:rFonts w:hint="eastAsia" w:ascii="宋体" w:hAnsi="宋体" w:cs="Calibri"/>
                <w:color w:val="auto"/>
                <w:highlight w:val="none"/>
              </w:rPr>
            </w:pPr>
          </w:p>
        </w:tc>
        <w:tc>
          <w:tcPr>
            <w:tcW w:w="941" w:type="dxa"/>
            <w:vAlign w:val="center"/>
          </w:tcPr>
          <w:p w14:paraId="2E4E1D7C">
            <w:pPr>
              <w:widowControl/>
              <w:spacing w:line="360" w:lineRule="auto"/>
              <w:jc w:val="center"/>
              <w:rPr>
                <w:rFonts w:hint="eastAsia" w:ascii="宋体" w:hAnsi="宋体" w:cs="Calibri"/>
                <w:color w:val="auto"/>
                <w:highlight w:val="none"/>
              </w:rPr>
            </w:pPr>
          </w:p>
        </w:tc>
        <w:tc>
          <w:tcPr>
            <w:tcW w:w="941" w:type="dxa"/>
            <w:vAlign w:val="center"/>
          </w:tcPr>
          <w:p w14:paraId="05CDE54F">
            <w:pPr>
              <w:widowControl/>
              <w:spacing w:line="360" w:lineRule="auto"/>
              <w:jc w:val="center"/>
              <w:rPr>
                <w:rFonts w:hint="eastAsia" w:ascii="宋体" w:hAnsi="宋体" w:cs="Calibri"/>
                <w:color w:val="auto"/>
                <w:highlight w:val="none"/>
              </w:rPr>
            </w:pPr>
          </w:p>
        </w:tc>
      </w:tr>
      <w:tr w14:paraId="20D4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01B53039">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3</w:t>
            </w:r>
            <w:r>
              <w:rPr>
                <w:rFonts w:ascii="宋体" w:hAnsi="宋体" w:cs="Calibri"/>
                <w:color w:val="auto"/>
                <w:highlight w:val="none"/>
              </w:rPr>
              <w:t>.3.2</w:t>
            </w:r>
          </w:p>
        </w:tc>
        <w:tc>
          <w:tcPr>
            <w:tcW w:w="2016" w:type="dxa"/>
            <w:vAlign w:val="center"/>
          </w:tcPr>
          <w:p w14:paraId="1F07B8C0">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优质工程增加费</w:t>
            </w:r>
          </w:p>
        </w:tc>
        <w:tc>
          <w:tcPr>
            <w:tcW w:w="1922" w:type="dxa"/>
            <w:vAlign w:val="center"/>
          </w:tcPr>
          <w:p w14:paraId="06476084">
            <w:pPr>
              <w:widowControl/>
              <w:spacing w:line="360" w:lineRule="auto"/>
              <w:jc w:val="center"/>
              <w:rPr>
                <w:rFonts w:hint="eastAsia" w:ascii="宋体" w:hAnsi="宋体" w:cs="Calibri"/>
                <w:color w:val="auto"/>
                <w:highlight w:val="none"/>
              </w:rPr>
            </w:pPr>
          </w:p>
        </w:tc>
        <w:tc>
          <w:tcPr>
            <w:tcW w:w="539" w:type="dxa"/>
            <w:vAlign w:val="center"/>
          </w:tcPr>
          <w:p w14:paraId="7B4E6C5C">
            <w:pPr>
              <w:widowControl/>
              <w:spacing w:line="360" w:lineRule="auto"/>
              <w:jc w:val="center"/>
              <w:rPr>
                <w:rFonts w:hint="eastAsia" w:ascii="宋体" w:hAnsi="宋体" w:cs="Calibri"/>
                <w:color w:val="auto"/>
                <w:highlight w:val="none"/>
              </w:rPr>
            </w:pPr>
          </w:p>
        </w:tc>
        <w:tc>
          <w:tcPr>
            <w:tcW w:w="1136" w:type="dxa"/>
            <w:vAlign w:val="center"/>
          </w:tcPr>
          <w:p w14:paraId="0A9FFF69">
            <w:pPr>
              <w:widowControl/>
              <w:spacing w:line="360" w:lineRule="auto"/>
              <w:jc w:val="center"/>
              <w:rPr>
                <w:rFonts w:hint="eastAsia" w:ascii="宋体" w:hAnsi="宋体" w:cs="Calibri"/>
                <w:color w:val="auto"/>
                <w:highlight w:val="none"/>
              </w:rPr>
            </w:pPr>
          </w:p>
        </w:tc>
        <w:tc>
          <w:tcPr>
            <w:tcW w:w="941" w:type="dxa"/>
            <w:vAlign w:val="center"/>
          </w:tcPr>
          <w:p w14:paraId="37160788">
            <w:pPr>
              <w:widowControl/>
              <w:spacing w:line="360" w:lineRule="auto"/>
              <w:jc w:val="center"/>
              <w:rPr>
                <w:rFonts w:hint="eastAsia" w:ascii="宋体" w:hAnsi="宋体" w:cs="Calibri"/>
                <w:color w:val="auto"/>
                <w:highlight w:val="none"/>
              </w:rPr>
            </w:pPr>
          </w:p>
        </w:tc>
        <w:tc>
          <w:tcPr>
            <w:tcW w:w="941" w:type="dxa"/>
            <w:vAlign w:val="center"/>
          </w:tcPr>
          <w:p w14:paraId="632BC292">
            <w:pPr>
              <w:widowControl/>
              <w:spacing w:line="360" w:lineRule="auto"/>
              <w:jc w:val="center"/>
              <w:rPr>
                <w:rFonts w:hint="eastAsia" w:ascii="宋体" w:hAnsi="宋体" w:cs="Calibri"/>
                <w:color w:val="auto"/>
                <w:highlight w:val="none"/>
              </w:rPr>
            </w:pPr>
          </w:p>
        </w:tc>
      </w:tr>
      <w:tr w14:paraId="7616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0D1672B3">
            <w:pPr>
              <w:widowControl/>
              <w:spacing w:line="360" w:lineRule="auto"/>
              <w:jc w:val="center"/>
              <w:rPr>
                <w:rFonts w:hint="eastAsia" w:ascii="宋体" w:hAnsi="宋体" w:cs="Calibri"/>
                <w:color w:val="auto"/>
                <w:highlight w:val="none"/>
              </w:rPr>
            </w:pPr>
          </w:p>
        </w:tc>
        <w:tc>
          <w:tcPr>
            <w:tcW w:w="2016" w:type="dxa"/>
            <w:vAlign w:val="center"/>
          </w:tcPr>
          <w:p w14:paraId="313AF8E5">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w:t>
            </w:r>
          </w:p>
        </w:tc>
        <w:tc>
          <w:tcPr>
            <w:tcW w:w="1922" w:type="dxa"/>
            <w:vAlign w:val="center"/>
          </w:tcPr>
          <w:p w14:paraId="3E6B480D">
            <w:pPr>
              <w:widowControl/>
              <w:spacing w:line="360" w:lineRule="auto"/>
              <w:jc w:val="center"/>
              <w:rPr>
                <w:rFonts w:hint="eastAsia" w:ascii="宋体" w:hAnsi="宋体" w:cs="Calibri"/>
                <w:color w:val="auto"/>
                <w:highlight w:val="none"/>
              </w:rPr>
            </w:pPr>
          </w:p>
        </w:tc>
        <w:tc>
          <w:tcPr>
            <w:tcW w:w="539" w:type="dxa"/>
            <w:vAlign w:val="center"/>
          </w:tcPr>
          <w:p w14:paraId="34B7F2EA">
            <w:pPr>
              <w:widowControl/>
              <w:spacing w:line="360" w:lineRule="auto"/>
              <w:jc w:val="center"/>
              <w:rPr>
                <w:rFonts w:hint="eastAsia" w:ascii="宋体" w:hAnsi="宋体" w:cs="Calibri"/>
                <w:color w:val="auto"/>
                <w:highlight w:val="none"/>
              </w:rPr>
            </w:pPr>
          </w:p>
        </w:tc>
        <w:tc>
          <w:tcPr>
            <w:tcW w:w="1136" w:type="dxa"/>
            <w:vAlign w:val="center"/>
          </w:tcPr>
          <w:p w14:paraId="0FEECCD5">
            <w:pPr>
              <w:widowControl/>
              <w:spacing w:line="360" w:lineRule="auto"/>
              <w:jc w:val="center"/>
              <w:rPr>
                <w:rFonts w:hint="eastAsia" w:ascii="宋体" w:hAnsi="宋体" w:cs="Calibri"/>
                <w:color w:val="auto"/>
                <w:highlight w:val="none"/>
              </w:rPr>
            </w:pPr>
          </w:p>
        </w:tc>
        <w:tc>
          <w:tcPr>
            <w:tcW w:w="941" w:type="dxa"/>
            <w:vAlign w:val="center"/>
          </w:tcPr>
          <w:p w14:paraId="5734C857">
            <w:pPr>
              <w:widowControl/>
              <w:spacing w:line="360" w:lineRule="auto"/>
              <w:jc w:val="center"/>
              <w:rPr>
                <w:rFonts w:hint="eastAsia" w:ascii="宋体" w:hAnsi="宋体" w:cs="Calibri"/>
                <w:color w:val="auto"/>
                <w:highlight w:val="none"/>
              </w:rPr>
            </w:pPr>
          </w:p>
        </w:tc>
        <w:tc>
          <w:tcPr>
            <w:tcW w:w="941" w:type="dxa"/>
            <w:vAlign w:val="center"/>
          </w:tcPr>
          <w:p w14:paraId="1EF69DF4">
            <w:pPr>
              <w:widowControl/>
              <w:spacing w:line="360" w:lineRule="auto"/>
              <w:jc w:val="center"/>
              <w:rPr>
                <w:rFonts w:hint="eastAsia" w:ascii="宋体" w:hAnsi="宋体" w:cs="Calibri"/>
                <w:color w:val="auto"/>
                <w:highlight w:val="none"/>
              </w:rPr>
            </w:pPr>
          </w:p>
        </w:tc>
      </w:tr>
      <w:tr w14:paraId="3DC4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27" w:type="dxa"/>
            <w:vAlign w:val="center"/>
          </w:tcPr>
          <w:p w14:paraId="54595E60">
            <w:pPr>
              <w:widowControl/>
              <w:spacing w:line="360" w:lineRule="auto"/>
              <w:jc w:val="center"/>
              <w:rPr>
                <w:rFonts w:hint="eastAsia" w:ascii="宋体" w:hAnsi="宋体" w:cs="Calibri"/>
                <w:color w:val="auto"/>
                <w:highlight w:val="none"/>
              </w:rPr>
            </w:pPr>
          </w:p>
        </w:tc>
        <w:tc>
          <w:tcPr>
            <w:tcW w:w="2016" w:type="dxa"/>
            <w:vAlign w:val="center"/>
          </w:tcPr>
          <w:p w14:paraId="038666EA">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合 计</w:t>
            </w:r>
          </w:p>
        </w:tc>
        <w:tc>
          <w:tcPr>
            <w:tcW w:w="1922" w:type="dxa"/>
            <w:vAlign w:val="center"/>
          </w:tcPr>
          <w:p w14:paraId="5626D0E9">
            <w:pPr>
              <w:widowControl/>
              <w:spacing w:line="360" w:lineRule="auto"/>
              <w:jc w:val="center"/>
              <w:rPr>
                <w:rFonts w:hint="eastAsia" w:ascii="宋体" w:hAnsi="宋体" w:cs="Calibri"/>
                <w:color w:val="auto"/>
                <w:highlight w:val="none"/>
              </w:rPr>
            </w:pPr>
          </w:p>
        </w:tc>
        <w:tc>
          <w:tcPr>
            <w:tcW w:w="539" w:type="dxa"/>
            <w:vAlign w:val="center"/>
          </w:tcPr>
          <w:p w14:paraId="2A295370">
            <w:pPr>
              <w:widowControl/>
              <w:spacing w:line="360" w:lineRule="auto"/>
              <w:jc w:val="center"/>
              <w:rPr>
                <w:rFonts w:hint="eastAsia" w:ascii="宋体" w:hAnsi="宋体" w:cs="Calibri"/>
                <w:color w:val="auto"/>
                <w:highlight w:val="none"/>
              </w:rPr>
            </w:pPr>
          </w:p>
        </w:tc>
        <w:tc>
          <w:tcPr>
            <w:tcW w:w="1136" w:type="dxa"/>
            <w:vAlign w:val="center"/>
          </w:tcPr>
          <w:p w14:paraId="0E72AC88">
            <w:pPr>
              <w:widowControl/>
              <w:spacing w:line="360" w:lineRule="auto"/>
              <w:jc w:val="center"/>
              <w:rPr>
                <w:rFonts w:hint="eastAsia" w:ascii="宋体" w:hAnsi="宋体" w:cs="Calibri"/>
                <w:color w:val="auto"/>
                <w:highlight w:val="none"/>
              </w:rPr>
            </w:pPr>
          </w:p>
        </w:tc>
        <w:tc>
          <w:tcPr>
            <w:tcW w:w="941" w:type="dxa"/>
            <w:vAlign w:val="center"/>
          </w:tcPr>
          <w:p w14:paraId="6051A3C3">
            <w:pPr>
              <w:widowControl/>
              <w:spacing w:line="360" w:lineRule="auto"/>
              <w:jc w:val="center"/>
              <w:rPr>
                <w:rFonts w:hint="eastAsia" w:ascii="宋体" w:hAnsi="宋体" w:cs="Calibri"/>
                <w:color w:val="auto"/>
                <w:highlight w:val="none"/>
              </w:rPr>
            </w:pPr>
          </w:p>
        </w:tc>
        <w:tc>
          <w:tcPr>
            <w:tcW w:w="941" w:type="dxa"/>
            <w:vAlign w:val="center"/>
          </w:tcPr>
          <w:p w14:paraId="37045F2F">
            <w:pPr>
              <w:widowControl/>
              <w:spacing w:line="360" w:lineRule="auto"/>
              <w:jc w:val="center"/>
              <w:rPr>
                <w:rFonts w:hint="eastAsia" w:ascii="宋体" w:hAnsi="宋体" w:cs="Calibri"/>
                <w:color w:val="auto"/>
                <w:highlight w:val="none"/>
              </w:rPr>
            </w:pPr>
          </w:p>
        </w:tc>
      </w:tr>
    </w:tbl>
    <w:p w14:paraId="325A931D">
      <w:pPr>
        <w:widowControl/>
        <w:rPr>
          <w:rFonts w:hint="eastAsia" w:ascii="宋体" w:hAnsi="宋体"/>
          <w:color w:val="auto"/>
          <w:highlight w:val="none"/>
        </w:rPr>
      </w:pPr>
      <w:r>
        <w:rPr>
          <w:rFonts w:ascii="宋体" w:hAnsi="宋体"/>
          <w:color w:val="auto"/>
          <w:highlight w:val="none"/>
        </w:rPr>
        <w:br w:type="page"/>
      </w:r>
    </w:p>
    <w:p w14:paraId="57CA8631">
      <w:pPr>
        <w:widowControl/>
        <w:jc w:val="center"/>
        <w:rPr>
          <w:rFonts w:hint="eastAsia" w:ascii="宋体" w:hAnsi="宋体"/>
          <w:b/>
          <w:bCs/>
          <w:color w:val="auto"/>
          <w:sz w:val="28"/>
          <w:szCs w:val="28"/>
          <w:highlight w:val="none"/>
        </w:rPr>
      </w:pPr>
      <w:r>
        <w:rPr>
          <w:rFonts w:hint="eastAsia" w:ascii="宋体" w:hAnsi="宋体"/>
          <w:b/>
          <w:bCs/>
          <w:color w:val="auto"/>
          <w:sz w:val="28"/>
          <w:szCs w:val="28"/>
          <w:highlight w:val="none"/>
        </w:rPr>
        <w:t>表5  工程总承包其他费清单及计价表</w:t>
      </w:r>
    </w:p>
    <w:p w14:paraId="0F8AEAA8">
      <w:pPr>
        <w:widowControl/>
        <w:rPr>
          <w:rFonts w:hint="eastAsia" w:ascii="宋体" w:hAnsi="宋体"/>
          <w:bCs/>
          <w:color w:val="auto"/>
          <w:highlight w:val="none"/>
        </w:rPr>
      </w:pPr>
    </w:p>
    <w:p w14:paraId="5F58F53D">
      <w:pPr>
        <w:widowControl/>
        <w:rPr>
          <w:rFonts w:hint="eastAsia" w:ascii="宋体" w:hAnsi="宋体"/>
          <w:color w:val="auto"/>
          <w:highlight w:val="none"/>
        </w:rPr>
      </w:pPr>
      <w:r>
        <w:rPr>
          <w:rFonts w:hint="eastAsia" w:ascii="宋体" w:hAnsi="宋体"/>
          <w:bCs/>
          <w:color w:val="auto"/>
          <w:highlight w:val="none"/>
        </w:rPr>
        <w:t>项目</w:t>
      </w:r>
      <w:r>
        <w:rPr>
          <w:rFonts w:ascii="宋体" w:hAnsi="宋体"/>
          <w:bCs/>
          <w:color w:val="auto"/>
          <w:highlight w:val="none"/>
        </w:rPr>
        <w:t>名称：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3811"/>
        <w:gridCol w:w="1833"/>
        <w:gridCol w:w="1497"/>
      </w:tblGrid>
      <w:tr w14:paraId="017C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72C50690">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序号</w:t>
            </w:r>
          </w:p>
        </w:tc>
        <w:tc>
          <w:tcPr>
            <w:tcW w:w="3811" w:type="dxa"/>
            <w:vAlign w:val="center"/>
          </w:tcPr>
          <w:p w14:paraId="0B99C79D">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项目名称</w:t>
            </w:r>
          </w:p>
        </w:tc>
        <w:tc>
          <w:tcPr>
            <w:tcW w:w="1833" w:type="dxa"/>
            <w:vAlign w:val="center"/>
          </w:tcPr>
          <w:p w14:paraId="258B8AE8">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金额（元）</w:t>
            </w:r>
          </w:p>
        </w:tc>
        <w:tc>
          <w:tcPr>
            <w:tcW w:w="1497" w:type="dxa"/>
            <w:vAlign w:val="center"/>
          </w:tcPr>
          <w:p w14:paraId="755CBAF3">
            <w:pPr>
              <w:widowControl/>
              <w:spacing w:line="360" w:lineRule="auto"/>
              <w:jc w:val="center"/>
              <w:rPr>
                <w:rFonts w:hint="eastAsia" w:ascii="宋体" w:hAnsi="宋体" w:cs="Calibri"/>
                <w:b/>
                <w:bCs/>
                <w:color w:val="auto"/>
                <w:highlight w:val="none"/>
              </w:rPr>
            </w:pPr>
            <w:r>
              <w:rPr>
                <w:rFonts w:hint="eastAsia" w:ascii="宋体" w:hAnsi="宋体" w:cs="Calibri"/>
                <w:b/>
                <w:bCs/>
                <w:color w:val="auto"/>
                <w:highlight w:val="none"/>
              </w:rPr>
              <w:t>备注</w:t>
            </w:r>
          </w:p>
        </w:tc>
      </w:tr>
      <w:tr w14:paraId="7B57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2EA4BDD6">
            <w:pPr>
              <w:widowControl/>
              <w:spacing w:line="360" w:lineRule="auto"/>
              <w:rPr>
                <w:rFonts w:hint="eastAsia" w:ascii="宋体" w:hAnsi="宋体" w:cs="Calibri"/>
                <w:color w:val="auto"/>
                <w:highlight w:val="none"/>
              </w:rPr>
            </w:pPr>
            <w:r>
              <w:rPr>
                <w:rFonts w:ascii="宋体" w:hAnsi="宋体" w:cs="Calibri"/>
                <w:color w:val="auto"/>
                <w:highlight w:val="none"/>
              </w:rPr>
              <w:t>4</w:t>
            </w:r>
            <w:r>
              <w:rPr>
                <w:rFonts w:hint="eastAsia" w:ascii="宋体" w:hAnsi="宋体" w:cs="Calibri"/>
                <w:color w:val="auto"/>
                <w:highlight w:val="none"/>
              </w:rPr>
              <w:t>.1</w:t>
            </w:r>
          </w:p>
        </w:tc>
        <w:tc>
          <w:tcPr>
            <w:tcW w:w="3811" w:type="dxa"/>
            <w:vAlign w:val="center"/>
          </w:tcPr>
          <w:p w14:paraId="01137617">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工程总承包管理费</w:t>
            </w:r>
          </w:p>
        </w:tc>
        <w:tc>
          <w:tcPr>
            <w:tcW w:w="1833" w:type="dxa"/>
            <w:vAlign w:val="center"/>
          </w:tcPr>
          <w:p w14:paraId="62A609F0">
            <w:pPr>
              <w:widowControl/>
              <w:spacing w:line="360" w:lineRule="auto"/>
              <w:jc w:val="center"/>
              <w:rPr>
                <w:rFonts w:hint="eastAsia" w:ascii="宋体" w:hAnsi="宋体" w:cs="Calibri"/>
                <w:color w:val="auto"/>
                <w:highlight w:val="none"/>
              </w:rPr>
            </w:pPr>
          </w:p>
        </w:tc>
        <w:tc>
          <w:tcPr>
            <w:tcW w:w="1497" w:type="dxa"/>
            <w:vAlign w:val="center"/>
          </w:tcPr>
          <w:p w14:paraId="16D81984">
            <w:pPr>
              <w:widowControl/>
              <w:spacing w:line="360" w:lineRule="auto"/>
              <w:jc w:val="center"/>
              <w:rPr>
                <w:rFonts w:hint="eastAsia" w:ascii="宋体" w:hAnsi="宋体" w:cs="Calibri"/>
                <w:color w:val="auto"/>
                <w:highlight w:val="none"/>
              </w:rPr>
            </w:pPr>
          </w:p>
        </w:tc>
      </w:tr>
      <w:tr w14:paraId="4658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697D7B6F">
            <w:pPr>
              <w:widowControl/>
              <w:spacing w:line="360" w:lineRule="auto"/>
              <w:rPr>
                <w:rFonts w:hint="eastAsia" w:ascii="宋体" w:hAnsi="宋体" w:cs="Calibri"/>
                <w:color w:val="auto"/>
                <w:highlight w:val="none"/>
              </w:rPr>
            </w:pPr>
            <w:r>
              <w:rPr>
                <w:rFonts w:ascii="宋体" w:hAnsi="宋体" w:cs="Calibri"/>
                <w:color w:val="auto"/>
                <w:highlight w:val="none"/>
              </w:rPr>
              <w:t>4</w:t>
            </w:r>
            <w:r>
              <w:rPr>
                <w:rFonts w:hint="eastAsia" w:ascii="宋体" w:hAnsi="宋体" w:cs="Calibri"/>
                <w:color w:val="auto"/>
                <w:highlight w:val="none"/>
              </w:rPr>
              <w:t>.2</w:t>
            </w:r>
          </w:p>
        </w:tc>
        <w:tc>
          <w:tcPr>
            <w:tcW w:w="3811" w:type="dxa"/>
            <w:vAlign w:val="center"/>
          </w:tcPr>
          <w:p w14:paraId="0DF53176">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工程总承包专项费</w:t>
            </w:r>
          </w:p>
        </w:tc>
        <w:tc>
          <w:tcPr>
            <w:tcW w:w="1833" w:type="dxa"/>
            <w:vAlign w:val="center"/>
          </w:tcPr>
          <w:p w14:paraId="12773112">
            <w:pPr>
              <w:widowControl/>
              <w:spacing w:line="360" w:lineRule="auto"/>
              <w:jc w:val="center"/>
              <w:rPr>
                <w:rFonts w:hint="eastAsia" w:ascii="宋体" w:hAnsi="宋体" w:cs="Calibri"/>
                <w:color w:val="auto"/>
                <w:highlight w:val="none"/>
              </w:rPr>
            </w:pPr>
          </w:p>
        </w:tc>
        <w:tc>
          <w:tcPr>
            <w:tcW w:w="1497" w:type="dxa"/>
            <w:vAlign w:val="center"/>
          </w:tcPr>
          <w:p w14:paraId="01A231AC">
            <w:pPr>
              <w:widowControl/>
              <w:spacing w:line="360" w:lineRule="auto"/>
              <w:jc w:val="center"/>
              <w:rPr>
                <w:rFonts w:hint="eastAsia" w:ascii="宋体" w:hAnsi="宋体" w:cs="Calibri"/>
                <w:color w:val="auto"/>
                <w:highlight w:val="none"/>
              </w:rPr>
            </w:pPr>
          </w:p>
        </w:tc>
      </w:tr>
      <w:tr w14:paraId="2057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40E11CFC">
            <w:pPr>
              <w:widowControl/>
              <w:spacing w:line="360" w:lineRule="auto"/>
              <w:rPr>
                <w:rFonts w:hint="eastAsia" w:ascii="宋体" w:hAnsi="宋体" w:cs="Calibri"/>
                <w:color w:val="auto"/>
                <w:highlight w:val="none"/>
              </w:rPr>
            </w:pPr>
            <w:r>
              <w:rPr>
                <w:rFonts w:ascii="宋体" w:hAnsi="宋体" w:cs="Calibri"/>
                <w:color w:val="auto"/>
                <w:highlight w:val="none"/>
              </w:rPr>
              <w:t>4.2.1</w:t>
            </w:r>
          </w:p>
        </w:tc>
        <w:tc>
          <w:tcPr>
            <w:tcW w:w="3811" w:type="dxa"/>
            <w:vAlign w:val="center"/>
          </w:tcPr>
          <w:p w14:paraId="1721C27F">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工程保险费</w:t>
            </w:r>
          </w:p>
        </w:tc>
        <w:tc>
          <w:tcPr>
            <w:tcW w:w="1833" w:type="dxa"/>
            <w:vAlign w:val="center"/>
          </w:tcPr>
          <w:p w14:paraId="052F388A">
            <w:pPr>
              <w:widowControl/>
              <w:spacing w:line="360" w:lineRule="auto"/>
              <w:jc w:val="center"/>
              <w:rPr>
                <w:rFonts w:hint="eastAsia" w:ascii="宋体" w:hAnsi="宋体" w:cs="Calibri"/>
                <w:color w:val="auto"/>
                <w:highlight w:val="none"/>
              </w:rPr>
            </w:pPr>
          </w:p>
        </w:tc>
        <w:tc>
          <w:tcPr>
            <w:tcW w:w="1497" w:type="dxa"/>
            <w:vAlign w:val="center"/>
          </w:tcPr>
          <w:p w14:paraId="7F98B4A9">
            <w:pPr>
              <w:widowControl/>
              <w:spacing w:line="360" w:lineRule="auto"/>
              <w:jc w:val="center"/>
              <w:rPr>
                <w:rFonts w:hint="eastAsia" w:ascii="宋体" w:hAnsi="宋体" w:cs="Calibri"/>
                <w:color w:val="auto"/>
                <w:highlight w:val="none"/>
              </w:rPr>
            </w:pPr>
          </w:p>
        </w:tc>
      </w:tr>
      <w:tr w14:paraId="3B3E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5F032793">
            <w:pPr>
              <w:widowControl/>
              <w:spacing w:line="360" w:lineRule="auto"/>
              <w:rPr>
                <w:rFonts w:hint="eastAsia" w:ascii="宋体" w:hAnsi="宋体" w:cs="Calibri"/>
                <w:color w:val="auto"/>
                <w:highlight w:val="none"/>
              </w:rPr>
            </w:pPr>
            <w:r>
              <w:rPr>
                <w:rFonts w:ascii="宋体" w:hAnsi="宋体" w:cs="Calibri"/>
                <w:color w:val="auto"/>
                <w:highlight w:val="none"/>
              </w:rPr>
              <w:t>4.2.2</w:t>
            </w:r>
          </w:p>
        </w:tc>
        <w:tc>
          <w:tcPr>
            <w:tcW w:w="3811" w:type="dxa"/>
            <w:vAlign w:val="center"/>
          </w:tcPr>
          <w:p w14:paraId="17120E44">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场地准备及临时设施费</w:t>
            </w:r>
          </w:p>
        </w:tc>
        <w:tc>
          <w:tcPr>
            <w:tcW w:w="1833" w:type="dxa"/>
            <w:vAlign w:val="center"/>
          </w:tcPr>
          <w:p w14:paraId="2ABA14B5">
            <w:pPr>
              <w:widowControl/>
              <w:spacing w:line="360" w:lineRule="auto"/>
              <w:jc w:val="center"/>
              <w:rPr>
                <w:rFonts w:hint="eastAsia" w:ascii="宋体" w:hAnsi="宋体" w:cs="Calibri"/>
                <w:color w:val="auto"/>
                <w:highlight w:val="none"/>
              </w:rPr>
            </w:pPr>
          </w:p>
        </w:tc>
        <w:tc>
          <w:tcPr>
            <w:tcW w:w="1497" w:type="dxa"/>
            <w:vAlign w:val="center"/>
          </w:tcPr>
          <w:p w14:paraId="3FB91A9A">
            <w:pPr>
              <w:widowControl/>
              <w:spacing w:line="360" w:lineRule="auto"/>
              <w:jc w:val="center"/>
              <w:rPr>
                <w:rFonts w:hint="eastAsia" w:ascii="宋体" w:hAnsi="宋体" w:cs="Calibri"/>
                <w:color w:val="auto"/>
                <w:highlight w:val="none"/>
              </w:rPr>
            </w:pPr>
          </w:p>
        </w:tc>
      </w:tr>
      <w:tr w14:paraId="0013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62B3F647">
            <w:pPr>
              <w:widowControl/>
              <w:spacing w:line="360" w:lineRule="auto"/>
              <w:rPr>
                <w:rFonts w:hint="eastAsia" w:ascii="宋体" w:hAnsi="宋体" w:cs="Calibri"/>
                <w:color w:val="auto"/>
                <w:highlight w:val="none"/>
              </w:rPr>
            </w:pPr>
            <w:r>
              <w:rPr>
                <w:rFonts w:ascii="宋体" w:hAnsi="宋体" w:cs="Calibri"/>
                <w:color w:val="auto"/>
                <w:highlight w:val="none"/>
              </w:rPr>
              <w:t>4.2.3</w:t>
            </w:r>
          </w:p>
        </w:tc>
        <w:tc>
          <w:tcPr>
            <w:tcW w:w="3811" w:type="dxa"/>
            <w:vAlign w:val="center"/>
          </w:tcPr>
          <w:p w14:paraId="2CFBE0E1">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BIM技术应用费</w:t>
            </w:r>
          </w:p>
        </w:tc>
        <w:tc>
          <w:tcPr>
            <w:tcW w:w="1833" w:type="dxa"/>
            <w:vAlign w:val="center"/>
          </w:tcPr>
          <w:p w14:paraId="55EEDE78">
            <w:pPr>
              <w:widowControl/>
              <w:spacing w:line="360" w:lineRule="auto"/>
              <w:jc w:val="center"/>
              <w:rPr>
                <w:rFonts w:hint="eastAsia" w:ascii="宋体" w:hAnsi="宋体" w:cs="Calibri"/>
                <w:color w:val="auto"/>
                <w:highlight w:val="none"/>
              </w:rPr>
            </w:pPr>
          </w:p>
        </w:tc>
        <w:tc>
          <w:tcPr>
            <w:tcW w:w="1497" w:type="dxa"/>
            <w:vAlign w:val="center"/>
          </w:tcPr>
          <w:p w14:paraId="47D98D6A">
            <w:pPr>
              <w:widowControl/>
              <w:spacing w:line="360" w:lineRule="auto"/>
              <w:jc w:val="center"/>
              <w:rPr>
                <w:rFonts w:hint="eastAsia" w:ascii="宋体" w:hAnsi="宋体" w:cs="Calibri"/>
                <w:color w:val="auto"/>
                <w:highlight w:val="none"/>
              </w:rPr>
            </w:pPr>
          </w:p>
        </w:tc>
      </w:tr>
      <w:tr w14:paraId="1F15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748BAFC8">
            <w:pPr>
              <w:widowControl/>
              <w:spacing w:line="360" w:lineRule="auto"/>
              <w:rPr>
                <w:rFonts w:hint="eastAsia" w:ascii="宋体" w:hAnsi="宋体" w:cs="Calibri"/>
                <w:color w:val="auto"/>
                <w:highlight w:val="none"/>
              </w:rPr>
            </w:pPr>
            <w:r>
              <w:rPr>
                <w:rFonts w:ascii="宋体" w:hAnsi="宋体" w:cs="Calibri"/>
                <w:color w:val="auto"/>
                <w:highlight w:val="none"/>
              </w:rPr>
              <w:t>4.2.4</w:t>
            </w:r>
          </w:p>
        </w:tc>
        <w:tc>
          <w:tcPr>
            <w:tcW w:w="3811" w:type="dxa"/>
            <w:vAlign w:val="center"/>
          </w:tcPr>
          <w:p w14:paraId="2DE38D6F">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管线迁改费</w:t>
            </w:r>
          </w:p>
        </w:tc>
        <w:tc>
          <w:tcPr>
            <w:tcW w:w="1833" w:type="dxa"/>
            <w:vAlign w:val="center"/>
          </w:tcPr>
          <w:p w14:paraId="0DB5B3AB">
            <w:pPr>
              <w:widowControl/>
              <w:spacing w:line="360" w:lineRule="auto"/>
              <w:jc w:val="center"/>
              <w:rPr>
                <w:rFonts w:hint="eastAsia" w:ascii="宋体" w:hAnsi="宋体" w:cs="Calibri"/>
                <w:color w:val="auto"/>
                <w:highlight w:val="none"/>
              </w:rPr>
            </w:pPr>
          </w:p>
        </w:tc>
        <w:tc>
          <w:tcPr>
            <w:tcW w:w="1497" w:type="dxa"/>
            <w:vAlign w:val="center"/>
          </w:tcPr>
          <w:p w14:paraId="0EBA6085">
            <w:pPr>
              <w:widowControl/>
              <w:spacing w:line="360" w:lineRule="auto"/>
              <w:jc w:val="center"/>
              <w:rPr>
                <w:rFonts w:hint="eastAsia" w:ascii="宋体" w:hAnsi="宋体" w:cs="Calibri"/>
                <w:color w:val="auto"/>
                <w:highlight w:val="none"/>
              </w:rPr>
            </w:pPr>
          </w:p>
        </w:tc>
      </w:tr>
      <w:tr w14:paraId="7E86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17EA515E">
            <w:pPr>
              <w:widowControl/>
              <w:spacing w:line="360" w:lineRule="auto"/>
              <w:rPr>
                <w:rFonts w:hint="eastAsia" w:ascii="宋体" w:hAnsi="宋体" w:cs="Calibri"/>
                <w:color w:val="auto"/>
                <w:highlight w:val="none"/>
              </w:rPr>
            </w:pPr>
            <w:r>
              <w:rPr>
                <w:rFonts w:ascii="宋体" w:hAnsi="宋体" w:cs="Calibri"/>
                <w:color w:val="auto"/>
                <w:highlight w:val="none"/>
              </w:rPr>
              <w:t>4.2.5</w:t>
            </w:r>
          </w:p>
        </w:tc>
        <w:tc>
          <w:tcPr>
            <w:tcW w:w="3811" w:type="dxa"/>
            <w:vAlign w:val="center"/>
          </w:tcPr>
          <w:p w14:paraId="1340489C">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苗木迁移费</w:t>
            </w:r>
          </w:p>
        </w:tc>
        <w:tc>
          <w:tcPr>
            <w:tcW w:w="1833" w:type="dxa"/>
            <w:vAlign w:val="center"/>
          </w:tcPr>
          <w:p w14:paraId="242E4AC3">
            <w:pPr>
              <w:widowControl/>
              <w:spacing w:line="360" w:lineRule="auto"/>
              <w:jc w:val="center"/>
              <w:rPr>
                <w:rFonts w:hint="eastAsia" w:ascii="宋体" w:hAnsi="宋体" w:cs="Calibri"/>
                <w:color w:val="auto"/>
                <w:highlight w:val="none"/>
              </w:rPr>
            </w:pPr>
          </w:p>
        </w:tc>
        <w:tc>
          <w:tcPr>
            <w:tcW w:w="1497" w:type="dxa"/>
            <w:vAlign w:val="center"/>
          </w:tcPr>
          <w:p w14:paraId="1EF6D643">
            <w:pPr>
              <w:widowControl/>
              <w:spacing w:line="360" w:lineRule="auto"/>
              <w:jc w:val="center"/>
              <w:rPr>
                <w:rFonts w:hint="eastAsia" w:ascii="宋体" w:hAnsi="宋体" w:cs="Calibri"/>
                <w:color w:val="auto"/>
                <w:highlight w:val="none"/>
              </w:rPr>
            </w:pPr>
          </w:p>
        </w:tc>
      </w:tr>
      <w:tr w14:paraId="6F8D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08852FE3">
            <w:pPr>
              <w:widowControl/>
              <w:spacing w:line="360" w:lineRule="auto"/>
              <w:rPr>
                <w:rFonts w:hint="eastAsia" w:ascii="宋体" w:hAnsi="宋体" w:cs="Calibri"/>
                <w:color w:val="auto"/>
                <w:highlight w:val="none"/>
              </w:rPr>
            </w:pPr>
            <w:bookmarkStart w:id="198" w:name="_Hlk75716018"/>
            <w:r>
              <w:rPr>
                <w:rFonts w:ascii="宋体" w:hAnsi="宋体" w:cs="Calibri"/>
                <w:color w:val="auto"/>
                <w:highlight w:val="none"/>
              </w:rPr>
              <w:t>4.2.6</w:t>
            </w:r>
          </w:p>
        </w:tc>
        <w:tc>
          <w:tcPr>
            <w:tcW w:w="3811" w:type="dxa"/>
            <w:vAlign w:val="center"/>
          </w:tcPr>
          <w:p w14:paraId="788AC0BF">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联合试运转费</w:t>
            </w:r>
          </w:p>
        </w:tc>
        <w:tc>
          <w:tcPr>
            <w:tcW w:w="1833" w:type="dxa"/>
            <w:vAlign w:val="center"/>
          </w:tcPr>
          <w:p w14:paraId="7E1162CF">
            <w:pPr>
              <w:widowControl/>
              <w:spacing w:line="360" w:lineRule="auto"/>
              <w:jc w:val="center"/>
              <w:rPr>
                <w:rFonts w:hint="eastAsia" w:ascii="宋体" w:hAnsi="宋体" w:cs="Calibri"/>
                <w:color w:val="auto"/>
                <w:highlight w:val="none"/>
              </w:rPr>
            </w:pPr>
          </w:p>
        </w:tc>
        <w:tc>
          <w:tcPr>
            <w:tcW w:w="1497" w:type="dxa"/>
            <w:vAlign w:val="center"/>
          </w:tcPr>
          <w:p w14:paraId="7C08901D">
            <w:pPr>
              <w:widowControl/>
              <w:spacing w:line="360" w:lineRule="auto"/>
              <w:jc w:val="center"/>
              <w:rPr>
                <w:rFonts w:hint="eastAsia" w:ascii="宋体" w:hAnsi="宋体" w:cs="Calibri"/>
                <w:color w:val="auto"/>
                <w:highlight w:val="none"/>
              </w:rPr>
            </w:pPr>
          </w:p>
        </w:tc>
      </w:tr>
      <w:tr w14:paraId="6C7B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27083DFF">
            <w:pPr>
              <w:widowControl/>
              <w:spacing w:line="360" w:lineRule="auto"/>
              <w:rPr>
                <w:rFonts w:hint="eastAsia" w:ascii="宋体" w:hAnsi="宋体" w:cs="Calibri"/>
                <w:color w:val="auto"/>
                <w:highlight w:val="none"/>
              </w:rPr>
            </w:pPr>
            <w:r>
              <w:rPr>
                <w:rFonts w:ascii="宋体" w:hAnsi="宋体" w:cs="Calibri"/>
                <w:color w:val="auto"/>
                <w:highlight w:val="none"/>
              </w:rPr>
              <w:t>4.2.7</w:t>
            </w:r>
          </w:p>
        </w:tc>
        <w:tc>
          <w:tcPr>
            <w:tcW w:w="3811" w:type="dxa"/>
            <w:vAlign w:val="center"/>
          </w:tcPr>
          <w:p w14:paraId="023F3116">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引进技术和引进设备其他费</w:t>
            </w:r>
          </w:p>
        </w:tc>
        <w:tc>
          <w:tcPr>
            <w:tcW w:w="1833" w:type="dxa"/>
            <w:vAlign w:val="center"/>
          </w:tcPr>
          <w:p w14:paraId="4D4ADD7A">
            <w:pPr>
              <w:widowControl/>
              <w:spacing w:line="360" w:lineRule="auto"/>
              <w:jc w:val="center"/>
              <w:rPr>
                <w:rFonts w:hint="eastAsia" w:ascii="宋体" w:hAnsi="宋体" w:cs="Calibri"/>
                <w:color w:val="auto"/>
                <w:highlight w:val="none"/>
              </w:rPr>
            </w:pPr>
          </w:p>
        </w:tc>
        <w:tc>
          <w:tcPr>
            <w:tcW w:w="1497" w:type="dxa"/>
            <w:vAlign w:val="center"/>
          </w:tcPr>
          <w:p w14:paraId="4C1F6BE9">
            <w:pPr>
              <w:widowControl/>
              <w:spacing w:line="360" w:lineRule="auto"/>
              <w:jc w:val="center"/>
              <w:rPr>
                <w:rFonts w:hint="eastAsia" w:ascii="宋体" w:hAnsi="宋体" w:cs="Calibri"/>
                <w:color w:val="auto"/>
                <w:highlight w:val="none"/>
              </w:rPr>
            </w:pPr>
          </w:p>
        </w:tc>
      </w:tr>
      <w:tr w14:paraId="2252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5F669044">
            <w:pPr>
              <w:widowControl/>
              <w:spacing w:line="360" w:lineRule="auto"/>
              <w:rPr>
                <w:rFonts w:hint="eastAsia" w:ascii="宋体" w:hAnsi="宋体" w:cs="Calibri"/>
                <w:color w:val="auto"/>
                <w:highlight w:val="none"/>
              </w:rPr>
            </w:pPr>
            <w:r>
              <w:rPr>
                <w:rFonts w:ascii="宋体" w:hAnsi="宋体" w:cs="Calibri"/>
                <w:color w:val="auto"/>
                <w:highlight w:val="none"/>
              </w:rPr>
              <w:t>4.2.8</w:t>
            </w:r>
          </w:p>
        </w:tc>
        <w:tc>
          <w:tcPr>
            <w:tcW w:w="3811" w:type="dxa"/>
            <w:vAlign w:val="center"/>
          </w:tcPr>
          <w:p w14:paraId="7CB97A02">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测绘费</w:t>
            </w:r>
          </w:p>
        </w:tc>
        <w:tc>
          <w:tcPr>
            <w:tcW w:w="1833" w:type="dxa"/>
            <w:vAlign w:val="center"/>
          </w:tcPr>
          <w:p w14:paraId="728AA1D9">
            <w:pPr>
              <w:widowControl/>
              <w:spacing w:line="360" w:lineRule="auto"/>
              <w:jc w:val="center"/>
              <w:rPr>
                <w:rFonts w:hint="eastAsia" w:ascii="宋体" w:hAnsi="宋体" w:cs="Calibri"/>
                <w:color w:val="auto"/>
                <w:highlight w:val="none"/>
              </w:rPr>
            </w:pPr>
          </w:p>
        </w:tc>
        <w:tc>
          <w:tcPr>
            <w:tcW w:w="1497" w:type="dxa"/>
            <w:vAlign w:val="center"/>
          </w:tcPr>
          <w:p w14:paraId="4B6FFD3D">
            <w:pPr>
              <w:widowControl/>
              <w:spacing w:line="360" w:lineRule="auto"/>
              <w:jc w:val="center"/>
              <w:rPr>
                <w:rFonts w:hint="eastAsia" w:ascii="宋体" w:hAnsi="宋体" w:cs="Calibri"/>
                <w:color w:val="auto"/>
                <w:highlight w:val="none"/>
              </w:rPr>
            </w:pPr>
          </w:p>
        </w:tc>
      </w:tr>
      <w:tr w14:paraId="494D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626631CF">
            <w:pPr>
              <w:widowControl/>
              <w:spacing w:line="360" w:lineRule="auto"/>
              <w:rPr>
                <w:rFonts w:hint="eastAsia" w:ascii="宋体" w:hAnsi="宋体" w:cs="Calibri"/>
                <w:color w:val="auto"/>
                <w:highlight w:val="none"/>
              </w:rPr>
            </w:pPr>
            <w:r>
              <w:rPr>
                <w:rFonts w:ascii="宋体" w:hAnsi="宋体" w:cs="Calibri"/>
                <w:color w:val="auto"/>
                <w:highlight w:val="none"/>
              </w:rPr>
              <w:t>4.2.9</w:t>
            </w:r>
          </w:p>
        </w:tc>
        <w:tc>
          <w:tcPr>
            <w:tcW w:w="3811" w:type="dxa"/>
            <w:vAlign w:val="center"/>
          </w:tcPr>
          <w:p w14:paraId="0591AAB2">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专利及专有技术使用费</w:t>
            </w:r>
          </w:p>
        </w:tc>
        <w:tc>
          <w:tcPr>
            <w:tcW w:w="1833" w:type="dxa"/>
            <w:vAlign w:val="center"/>
          </w:tcPr>
          <w:p w14:paraId="404E0FA2">
            <w:pPr>
              <w:widowControl/>
              <w:spacing w:line="360" w:lineRule="auto"/>
              <w:jc w:val="center"/>
              <w:rPr>
                <w:rFonts w:hint="eastAsia" w:ascii="宋体" w:hAnsi="宋体" w:cs="Calibri"/>
                <w:color w:val="auto"/>
                <w:highlight w:val="none"/>
              </w:rPr>
            </w:pPr>
          </w:p>
        </w:tc>
        <w:tc>
          <w:tcPr>
            <w:tcW w:w="1497" w:type="dxa"/>
            <w:vAlign w:val="center"/>
          </w:tcPr>
          <w:p w14:paraId="0DBA90B2">
            <w:pPr>
              <w:widowControl/>
              <w:spacing w:line="360" w:lineRule="auto"/>
              <w:jc w:val="center"/>
              <w:rPr>
                <w:rFonts w:hint="eastAsia" w:ascii="宋体" w:hAnsi="宋体" w:cs="Calibri"/>
                <w:color w:val="auto"/>
                <w:highlight w:val="none"/>
              </w:rPr>
            </w:pPr>
          </w:p>
        </w:tc>
      </w:tr>
      <w:bookmarkEnd w:id="198"/>
      <w:tr w14:paraId="26C2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476AA438">
            <w:pPr>
              <w:widowControl/>
              <w:spacing w:line="360" w:lineRule="auto"/>
              <w:rPr>
                <w:rFonts w:hint="eastAsia" w:ascii="宋体" w:hAnsi="宋体" w:cs="Calibri"/>
                <w:color w:val="auto"/>
                <w:highlight w:val="none"/>
              </w:rPr>
            </w:pPr>
            <w:r>
              <w:rPr>
                <w:rFonts w:ascii="宋体" w:hAnsi="宋体" w:cs="Calibri"/>
                <w:color w:val="auto"/>
                <w:highlight w:val="none"/>
              </w:rPr>
              <w:t>4.2.10</w:t>
            </w:r>
          </w:p>
        </w:tc>
        <w:tc>
          <w:tcPr>
            <w:tcW w:w="3811" w:type="dxa"/>
            <w:vAlign w:val="center"/>
          </w:tcPr>
          <w:p w14:paraId="612ADDF2">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w:t>
            </w:r>
          </w:p>
        </w:tc>
        <w:tc>
          <w:tcPr>
            <w:tcW w:w="1833" w:type="dxa"/>
            <w:vAlign w:val="center"/>
          </w:tcPr>
          <w:p w14:paraId="44917271">
            <w:pPr>
              <w:widowControl/>
              <w:spacing w:line="360" w:lineRule="auto"/>
              <w:jc w:val="center"/>
              <w:rPr>
                <w:rFonts w:hint="eastAsia" w:ascii="宋体" w:hAnsi="宋体" w:cs="Calibri"/>
                <w:color w:val="auto"/>
                <w:highlight w:val="none"/>
              </w:rPr>
            </w:pPr>
          </w:p>
        </w:tc>
        <w:tc>
          <w:tcPr>
            <w:tcW w:w="1497" w:type="dxa"/>
            <w:vAlign w:val="center"/>
          </w:tcPr>
          <w:p w14:paraId="1AE0379D">
            <w:pPr>
              <w:widowControl/>
              <w:spacing w:line="360" w:lineRule="auto"/>
              <w:jc w:val="center"/>
              <w:rPr>
                <w:rFonts w:hint="eastAsia" w:ascii="宋体" w:hAnsi="宋体" w:cs="Calibri"/>
                <w:color w:val="auto"/>
                <w:highlight w:val="none"/>
              </w:rPr>
            </w:pPr>
          </w:p>
        </w:tc>
      </w:tr>
      <w:tr w14:paraId="5FA6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04DEE501">
            <w:pPr>
              <w:widowControl/>
              <w:spacing w:line="360" w:lineRule="auto"/>
              <w:jc w:val="center"/>
              <w:rPr>
                <w:rFonts w:hint="eastAsia" w:ascii="宋体" w:hAnsi="宋体" w:cs="Calibri"/>
                <w:color w:val="auto"/>
                <w:highlight w:val="none"/>
              </w:rPr>
            </w:pPr>
          </w:p>
        </w:tc>
        <w:tc>
          <w:tcPr>
            <w:tcW w:w="3811" w:type="dxa"/>
            <w:vAlign w:val="center"/>
          </w:tcPr>
          <w:p w14:paraId="760416D3">
            <w:pPr>
              <w:widowControl/>
              <w:spacing w:line="360" w:lineRule="auto"/>
              <w:jc w:val="center"/>
              <w:rPr>
                <w:rFonts w:hint="eastAsia" w:ascii="宋体" w:hAnsi="宋体" w:cs="Calibri"/>
                <w:color w:val="auto"/>
                <w:highlight w:val="none"/>
              </w:rPr>
            </w:pPr>
          </w:p>
        </w:tc>
        <w:tc>
          <w:tcPr>
            <w:tcW w:w="1833" w:type="dxa"/>
            <w:vAlign w:val="center"/>
          </w:tcPr>
          <w:p w14:paraId="15EC9717">
            <w:pPr>
              <w:widowControl/>
              <w:spacing w:line="360" w:lineRule="auto"/>
              <w:jc w:val="center"/>
              <w:rPr>
                <w:rFonts w:hint="eastAsia" w:ascii="宋体" w:hAnsi="宋体" w:cs="Calibri"/>
                <w:color w:val="auto"/>
                <w:highlight w:val="none"/>
              </w:rPr>
            </w:pPr>
          </w:p>
        </w:tc>
        <w:tc>
          <w:tcPr>
            <w:tcW w:w="1497" w:type="dxa"/>
            <w:vAlign w:val="center"/>
          </w:tcPr>
          <w:p w14:paraId="306CF957">
            <w:pPr>
              <w:widowControl/>
              <w:spacing w:line="360" w:lineRule="auto"/>
              <w:jc w:val="center"/>
              <w:rPr>
                <w:rFonts w:hint="eastAsia" w:ascii="宋体" w:hAnsi="宋体" w:cs="Calibri"/>
                <w:color w:val="auto"/>
                <w:highlight w:val="none"/>
              </w:rPr>
            </w:pPr>
          </w:p>
        </w:tc>
      </w:tr>
      <w:tr w14:paraId="0DB3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81" w:type="dxa"/>
            <w:vAlign w:val="center"/>
          </w:tcPr>
          <w:p w14:paraId="0971180D">
            <w:pPr>
              <w:widowControl/>
              <w:spacing w:line="360" w:lineRule="auto"/>
              <w:jc w:val="center"/>
              <w:rPr>
                <w:rFonts w:hint="eastAsia" w:ascii="宋体" w:hAnsi="宋体" w:cs="Calibri"/>
                <w:color w:val="auto"/>
                <w:highlight w:val="none"/>
              </w:rPr>
            </w:pPr>
          </w:p>
        </w:tc>
        <w:tc>
          <w:tcPr>
            <w:tcW w:w="3811" w:type="dxa"/>
            <w:vAlign w:val="center"/>
          </w:tcPr>
          <w:p w14:paraId="52B4537C">
            <w:pPr>
              <w:widowControl/>
              <w:spacing w:line="360" w:lineRule="auto"/>
              <w:jc w:val="center"/>
              <w:rPr>
                <w:rFonts w:hint="eastAsia" w:ascii="宋体" w:hAnsi="宋体" w:cs="Calibri"/>
                <w:color w:val="auto"/>
                <w:highlight w:val="none"/>
              </w:rPr>
            </w:pPr>
            <w:r>
              <w:rPr>
                <w:rFonts w:hint="eastAsia" w:ascii="宋体" w:hAnsi="宋体" w:cs="Calibri"/>
                <w:color w:val="auto"/>
                <w:highlight w:val="none"/>
              </w:rPr>
              <w:t>合计</w:t>
            </w:r>
          </w:p>
        </w:tc>
        <w:tc>
          <w:tcPr>
            <w:tcW w:w="1833" w:type="dxa"/>
            <w:vAlign w:val="center"/>
          </w:tcPr>
          <w:p w14:paraId="6AF38EB1">
            <w:pPr>
              <w:widowControl/>
              <w:spacing w:line="360" w:lineRule="auto"/>
              <w:jc w:val="center"/>
              <w:rPr>
                <w:rFonts w:hint="eastAsia" w:ascii="宋体" w:hAnsi="宋体" w:cs="Calibri"/>
                <w:color w:val="auto"/>
                <w:highlight w:val="none"/>
              </w:rPr>
            </w:pPr>
          </w:p>
        </w:tc>
        <w:tc>
          <w:tcPr>
            <w:tcW w:w="1497" w:type="dxa"/>
            <w:vAlign w:val="center"/>
          </w:tcPr>
          <w:p w14:paraId="1CB6038E">
            <w:pPr>
              <w:widowControl/>
              <w:spacing w:line="360" w:lineRule="auto"/>
              <w:jc w:val="center"/>
              <w:rPr>
                <w:rFonts w:hint="eastAsia" w:ascii="宋体" w:hAnsi="宋体" w:cs="Calibri"/>
                <w:color w:val="auto"/>
                <w:highlight w:val="none"/>
              </w:rPr>
            </w:pPr>
          </w:p>
        </w:tc>
      </w:tr>
    </w:tbl>
    <w:p w14:paraId="2B892D50">
      <w:pPr>
        <w:widowControl/>
        <w:spacing w:line="360" w:lineRule="auto"/>
        <w:rPr>
          <w:rFonts w:hint="eastAsia" w:ascii="宋体" w:hAnsi="宋体"/>
          <w:color w:val="auto"/>
          <w:sz w:val="21"/>
          <w:szCs w:val="21"/>
          <w:highlight w:val="none"/>
        </w:rPr>
      </w:pPr>
      <w:r>
        <w:rPr>
          <w:rFonts w:hint="eastAsia" w:ascii="宋体" w:hAnsi="宋体"/>
          <w:color w:val="auto"/>
          <w:sz w:val="21"/>
          <w:szCs w:val="21"/>
          <w:highlight w:val="none"/>
        </w:rPr>
        <w:t>注：根据招标文件的工作内容，投标人认为需要增加的费用项可自行添加，并列明该项目的名称及金额。</w:t>
      </w:r>
    </w:p>
    <w:p w14:paraId="489C1261">
      <w:pPr>
        <w:widowControl/>
        <w:rPr>
          <w:rFonts w:hint="eastAsia" w:ascii="宋体" w:hAnsi="宋体"/>
          <w:color w:val="auto"/>
          <w:highlight w:val="none"/>
        </w:rPr>
      </w:pPr>
    </w:p>
    <w:p w14:paraId="2679F58C">
      <w:pPr>
        <w:widowControl/>
        <w:rPr>
          <w:rFonts w:hint="eastAsia" w:ascii="宋体" w:hAnsi="宋体"/>
          <w:b/>
          <w:bCs/>
          <w:color w:val="auto"/>
          <w:sz w:val="28"/>
          <w:szCs w:val="28"/>
          <w:highlight w:val="none"/>
        </w:rPr>
      </w:pPr>
      <w:r>
        <w:rPr>
          <w:rFonts w:ascii="宋体" w:hAnsi="宋体"/>
          <w:color w:val="auto"/>
          <w:highlight w:val="none"/>
        </w:rPr>
        <w:br w:type="page"/>
      </w:r>
      <w:bookmarkStart w:id="199" w:name="_Hlk78551231"/>
      <w:r>
        <w:rPr>
          <w:rFonts w:hint="eastAsia" w:ascii="宋体" w:hAnsi="宋体"/>
          <w:b/>
          <w:bCs/>
          <w:color w:val="auto"/>
          <w:sz w:val="28"/>
          <w:szCs w:val="28"/>
          <w:highlight w:val="none"/>
        </w:rPr>
        <w:t>表6  工程总承包项目建筑安装工程费项目清单及计价表</w:t>
      </w:r>
    </w:p>
    <w:p w14:paraId="2FCDBB53">
      <w:pPr>
        <w:widowControl/>
        <w:rPr>
          <w:rFonts w:hint="eastAsia" w:ascii="宋体" w:hAnsi="宋体"/>
          <w:b/>
          <w:bCs/>
          <w:color w:val="auto"/>
          <w:highlight w:val="none"/>
        </w:rPr>
      </w:pPr>
    </w:p>
    <w:p w14:paraId="0298333A">
      <w:pPr>
        <w:widowControl/>
        <w:rPr>
          <w:rFonts w:hint="eastAsia" w:ascii="宋体" w:hAnsi="宋体"/>
          <w:bCs/>
          <w:color w:val="auto"/>
          <w:highlight w:val="none"/>
        </w:rPr>
      </w:pPr>
      <w:r>
        <w:rPr>
          <w:rFonts w:hint="eastAsia" w:ascii="宋体" w:hAnsi="宋体"/>
          <w:bCs/>
          <w:color w:val="auto"/>
          <w:highlight w:val="none"/>
        </w:rPr>
        <w:t>项目名称：</w:t>
      </w:r>
      <w:bookmarkEnd w:id="199"/>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0"/>
        <w:gridCol w:w="1276"/>
        <w:gridCol w:w="1276"/>
        <w:gridCol w:w="798"/>
        <w:gridCol w:w="947"/>
        <w:gridCol w:w="947"/>
        <w:gridCol w:w="947"/>
        <w:gridCol w:w="947"/>
      </w:tblGrid>
      <w:tr w14:paraId="6478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Merge w:val="restart"/>
            <w:vAlign w:val="center"/>
          </w:tcPr>
          <w:p w14:paraId="23F1E3E8">
            <w:pPr>
              <w:widowControl/>
              <w:jc w:val="center"/>
              <w:rPr>
                <w:rFonts w:hint="eastAsia" w:ascii="宋体" w:hAnsi="宋体" w:cs="Calibri"/>
                <w:bCs/>
                <w:color w:val="auto"/>
                <w:highlight w:val="none"/>
              </w:rPr>
            </w:pPr>
            <w:r>
              <w:rPr>
                <w:rFonts w:hint="eastAsia" w:ascii="宋体" w:hAnsi="宋体" w:cs="Calibri"/>
                <w:bCs/>
                <w:color w:val="auto"/>
                <w:highlight w:val="none"/>
              </w:rPr>
              <w:t>序号</w:t>
            </w:r>
          </w:p>
        </w:tc>
        <w:tc>
          <w:tcPr>
            <w:tcW w:w="850" w:type="dxa"/>
            <w:vMerge w:val="restart"/>
            <w:vAlign w:val="center"/>
          </w:tcPr>
          <w:p w14:paraId="11C0F8BA">
            <w:pPr>
              <w:widowControl/>
              <w:jc w:val="center"/>
              <w:rPr>
                <w:rFonts w:hint="eastAsia" w:ascii="宋体" w:hAnsi="宋体" w:cs="Calibri"/>
                <w:bCs/>
                <w:color w:val="auto"/>
                <w:highlight w:val="none"/>
              </w:rPr>
            </w:pPr>
            <w:r>
              <w:rPr>
                <w:rFonts w:hint="eastAsia" w:ascii="宋体" w:hAnsi="宋体" w:cs="Calibri"/>
                <w:bCs/>
                <w:color w:val="auto"/>
                <w:highlight w:val="none"/>
              </w:rPr>
              <w:t>清单项目编码</w:t>
            </w:r>
          </w:p>
        </w:tc>
        <w:tc>
          <w:tcPr>
            <w:tcW w:w="1276" w:type="dxa"/>
            <w:vMerge w:val="restart"/>
            <w:vAlign w:val="center"/>
          </w:tcPr>
          <w:p w14:paraId="3312BFF4">
            <w:pPr>
              <w:widowControl/>
              <w:jc w:val="center"/>
              <w:rPr>
                <w:rFonts w:hint="eastAsia" w:ascii="宋体" w:hAnsi="宋体" w:cs="Calibri"/>
                <w:bCs/>
                <w:color w:val="auto"/>
                <w:highlight w:val="none"/>
              </w:rPr>
            </w:pPr>
            <w:r>
              <w:rPr>
                <w:rFonts w:hint="eastAsia" w:ascii="宋体" w:hAnsi="宋体" w:cs="Calibri"/>
                <w:bCs/>
                <w:color w:val="auto"/>
                <w:highlight w:val="none"/>
              </w:rPr>
              <w:t>清单项目名称</w:t>
            </w:r>
          </w:p>
        </w:tc>
        <w:tc>
          <w:tcPr>
            <w:tcW w:w="1276" w:type="dxa"/>
            <w:vMerge w:val="restart"/>
            <w:vAlign w:val="center"/>
          </w:tcPr>
          <w:p w14:paraId="715AB8F2">
            <w:pPr>
              <w:widowControl/>
              <w:jc w:val="center"/>
              <w:rPr>
                <w:rFonts w:hint="eastAsia" w:ascii="宋体" w:hAnsi="宋体" w:cs="Calibri"/>
                <w:bCs/>
                <w:color w:val="auto"/>
                <w:highlight w:val="none"/>
              </w:rPr>
            </w:pPr>
            <w:r>
              <w:rPr>
                <w:rFonts w:hint="eastAsia" w:ascii="宋体" w:hAnsi="宋体" w:cs="Calibri"/>
                <w:bCs/>
                <w:color w:val="auto"/>
                <w:highlight w:val="none"/>
              </w:rPr>
              <w:t>工程内容</w:t>
            </w:r>
          </w:p>
        </w:tc>
        <w:tc>
          <w:tcPr>
            <w:tcW w:w="798" w:type="dxa"/>
            <w:vMerge w:val="restart"/>
            <w:vAlign w:val="center"/>
          </w:tcPr>
          <w:p w14:paraId="40761CCB">
            <w:pPr>
              <w:widowControl/>
              <w:jc w:val="center"/>
              <w:rPr>
                <w:rFonts w:hint="eastAsia" w:ascii="宋体" w:hAnsi="宋体" w:cs="Calibri"/>
                <w:bCs/>
                <w:color w:val="auto"/>
                <w:highlight w:val="none"/>
              </w:rPr>
            </w:pPr>
            <w:r>
              <w:rPr>
                <w:rFonts w:hint="eastAsia" w:ascii="宋体" w:hAnsi="宋体" w:cs="Calibri"/>
                <w:bCs/>
                <w:color w:val="auto"/>
                <w:highlight w:val="none"/>
              </w:rPr>
              <w:t>计量单位</w:t>
            </w:r>
          </w:p>
        </w:tc>
        <w:tc>
          <w:tcPr>
            <w:tcW w:w="947" w:type="dxa"/>
            <w:vMerge w:val="restart"/>
            <w:vAlign w:val="center"/>
          </w:tcPr>
          <w:p w14:paraId="0E3B5B69">
            <w:pPr>
              <w:widowControl/>
              <w:jc w:val="center"/>
              <w:rPr>
                <w:rFonts w:hint="eastAsia" w:ascii="宋体" w:hAnsi="宋体" w:cs="Calibri"/>
                <w:bCs/>
                <w:color w:val="auto"/>
                <w:highlight w:val="none"/>
              </w:rPr>
            </w:pPr>
            <w:r>
              <w:rPr>
                <w:rFonts w:hint="eastAsia" w:ascii="宋体" w:hAnsi="宋体" w:cs="Calibri"/>
                <w:bCs/>
                <w:color w:val="auto"/>
                <w:highlight w:val="none"/>
              </w:rPr>
              <w:t>工程量</w:t>
            </w:r>
          </w:p>
        </w:tc>
        <w:tc>
          <w:tcPr>
            <w:tcW w:w="1894" w:type="dxa"/>
            <w:gridSpan w:val="2"/>
            <w:vAlign w:val="center"/>
          </w:tcPr>
          <w:p w14:paraId="162E7F73">
            <w:pPr>
              <w:widowControl/>
              <w:jc w:val="center"/>
              <w:rPr>
                <w:rFonts w:hint="eastAsia" w:ascii="宋体" w:hAnsi="宋体" w:cs="Calibri"/>
                <w:bCs/>
                <w:color w:val="auto"/>
                <w:highlight w:val="none"/>
              </w:rPr>
            </w:pPr>
            <w:r>
              <w:rPr>
                <w:rFonts w:hint="eastAsia" w:ascii="宋体" w:hAnsi="宋体" w:cs="Calibri"/>
                <w:bCs/>
                <w:color w:val="auto"/>
                <w:highlight w:val="none"/>
              </w:rPr>
              <w:t>金额（元）</w:t>
            </w:r>
          </w:p>
        </w:tc>
        <w:tc>
          <w:tcPr>
            <w:tcW w:w="947" w:type="dxa"/>
            <w:vMerge w:val="restart"/>
            <w:vAlign w:val="center"/>
          </w:tcPr>
          <w:p w14:paraId="10DC0A04">
            <w:pPr>
              <w:widowControl/>
              <w:jc w:val="center"/>
              <w:rPr>
                <w:rFonts w:hint="eastAsia" w:ascii="宋体" w:hAnsi="宋体" w:cs="Calibri"/>
                <w:bCs/>
                <w:color w:val="auto"/>
                <w:highlight w:val="none"/>
              </w:rPr>
            </w:pPr>
            <w:r>
              <w:rPr>
                <w:rFonts w:hint="eastAsia" w:ascii="宋体" w:hAnsi="宋体" w:cs="Calibri"/>
                <w:bCs/>
                <w:color w:val="auto"/>
                <w:highlight w:val="none"/>
              </w:rPr>
              <w:t>备注</w:t>
            </w:r>
          </w:p>
        </w:tc>
      </w:tr>
      <w:tr w14:paraId="6D21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Merge w:val="continue"/>
            <w:vAlign w:val="center"/>
          </w:tcPr>
          <w:p w14:paraId="0D565EF1">
            <w:pPr>
              <w:widowControl/>
              <w:jc w:val="center"/>
              <w:rPr>
                <w:rFonts w:hint="eastAsia" w:ascii="宋体" w:hAnsi="宋体" w:cs="Calibri"/>
                <w:bCs/>
                <w:color w:val="auto"/>
                <w:highlight w:val="none"/>
              </w:rPr>
            </w:pPr>
          </w:p>
        </w:tc>
        <w:tc>
          <w:tcPr>
            <w:tcW w:w="850" w:type="dxa"/>
            <w:vMerge w:val="continue"/>
            <w:vAlign w:val="center"/>
          </w:tcPr>
          <w:p w14:paraId="4584E891">
            <w:pPr>
              <w:widowControl/>
              <w:jc w:val="center"/>
              <w:rPr>
                <w:rFonts w:hint="eastAsia" w:ascii="宋体" w:hAnsi="宋体" w:cs="Calibri"/>
                <w:bCs/>
                <w:color w:val="auto"/>
                <w:highlight w:val="none"/>
              </w:rPr>
            </w:pPr>
          </w:p>
        </w:tc>
        <w:tc>
          <w:tcPr>
            <w:tcW w:w="1276" w:type="dxa"/>
            <w:vMerge w:val="continue"/>
            <w:vAlign w:val="center"/>
          </w:tcPr>
          <w:p w14:paraId="16DAD22D">
            <w:pPr>
              <w:widowControl/>
              <w:jc w:val="center"/>
              <w:rPr>
                <w:rFonts w:hint="eastAsia" w:ascii="宋体" w:hAnsi="宋体" w:cs="Calibri"/>
                <w:bCs/>
                <w:color w:val="auto"/>
                <w:highlight w:val="none"/>
              </w:rPr>
            </w:pPr>
          </w:p>
        </w:tc>
        <w:tc>
          <w:tcPr>
            <w:tcW w:w="1276" w:type="dxa"/>
            <w:vMerge w:val="continue"/>
            <w:vAlign w:val="center"/>
          </w:tcPr>
          <w:p w14:paraId="63BDD778">
            <w:pPr>
              <w:widowControl/>
              <w:jc w:val="center"/>
              <w:rPr>
                <w:rFonts w:hint="eastAsia" w:ascii="宋体" w:hAnsi="宋体" w:cs="Calibri"/>
                <w:bCs/>
                <w:color w:val="auto"/>
                <w:highlight w:val="none"/>
              </w:rPr>
            </w:pPr>
          </w:p>
        </w:tc>
        <w:tc>
          <w:tcPr>
            <w:tcW w:w="798" w:type="dxa"/>
            <w:vMerge w:val="continue"/>
            <w:vAlign w:val="center"/>
          </w:tcPr>
          <w:p w14:paraId="05000F9B">
            <w:pPr>
              <w:widowControl/>
              <w:jc w:val="center"/>
              <w:rPr>
                <w:rFonts w:hint="eastAsia" w:ascii="宋体" w:hAnsi="宋体" w:cs="Calibri"/>
                <w:bCs/>
                <w:color w:val="auto"/>
                <w:highlight w:val="none"/>
              </w:rPr>
            </w:pPr>
          </w:p>
        </w:tc>
        <w:tc>
          <w:tcPr>
            <w:tcW w:w="947" w:type="dxa"/>
            <w:vMerge w:val="continue"/>
            <w:vAlign w:val="center"/>
          </w:tcPr>
          <w:p w14:paraId="6E636E32">
            <w:pPr>
              <w:widowControl/>
              <w:jc w:val="center"/>
              <w:rPr>
                <w:rFonts w:hint="eastAsia" w:ascii="宋体" w:hAnsi="宋体" w:cs="Calibri"/>
                <w:bCs/>
                <w:color w:val="auto"/>
                <w:highlight w:val="none"/>
              </w:rPr>
            </w:pPr>
          </w:p>
        </w:tc>
        <w:tc>
          <w:tcPr>
            <w:tcW w:w="947" w:type="dxa"/>
            <w:vAlign w:val="center"/>
          </w:tcPr>
          <w:p w14:paraId="7787598A">
            <w:pPr>
              <w:widowControl/>
              <w:jc w:val="center"/>
              <w:rPr>
                <w:rFonts w:hint="eastAsia" w:ascii="宋体" w:hAnsi="宋体" w:cs="Calibri"/>
                <w:bCs/>
                <w:color w:val="auto"/>
                <w:highlight w:val="none"/>
              </w:rPr>
            </w:pPr>
            <w:r>
              <w:rPr>
                <w:rFonts w:hint="eastAsia" w:ascii="宋体" w:hAnsi="宋体" w:cs="Calibri"/>
                <w:bCs/>
                <w:color w:val="auto"/>
                <w:highlight w:val="none"/>
              </w:rPr>
              <w:t>综合</w:t>
            </w:r>
          </w:p>
          <w:p w14:paraId="1E82FA32">
            <w:pPr>
              <w:widowControl/>
              <w:jc w:val="center"/>
              <w:rPr>
                <w:rFonts w:hint="eastAsia" w:ascii="宋体" w:hAnsi="宋体" w:cs="Calibri"/>
                <w:bCs/>
                <w:color w:val="auto"/>
                <w:highlight w:val="none"/>
              </w:rPr>
            </w:pPr>
            <w:r>
              <w:rPr>
                <w:rFonts w:hint="eastAsia" w:ascii="宋体" w:hAnsi="宋体" w:cs="Calibri"/>
                <w:bCs/>
                <w:color w:val="auto"/>
                <w:highlight w:val="none"/>
              </w:rPr>
              <w:t>单价</w:t>
            </w:r>
          </w:p>
        </w:tc>
        <w:tc>
          <w:tcPr>
            <w:tcW w:w="947" w:type="dxa"/>
            <w:vAlign w:val="center"/>
          </w:tcPr>
          <w:p w14:paraId="21C51BC5">
            <w:pPr>
              <w:widowControl/>
              <w:jc w:val="center"/>
              <w:rPr>
                <w:rFonts w:hint="eastAsia" w:ascii="宋体" w:hAnsi="宋体" w:cs="Calibri"/>
                <w:bCs/>
                <w:color w:val="auto"/>
                <w:highlight w:val="none"/>
              </w:rPr>
            </w:pPr>
            <w:r>
              <w:rPr>
                <w:rFonts w:hint="eastAsia" w:ascii="宋体" w:hAnsi="宋体" w:cs="Calibri"/>
                <w:bCs/>
                <w:color w:val="auto"/>
                <w:highlight w:val="none"/>
              </w:rPr>
              <w:t>合价</w:t>
            </w:r>
          </w:p>
        </w:tc>
        <w:tc>
          <w:tcPr>
            <w:tcW w:w="947" w:type="dxa"/>
            <w:vMerge w:val="continue"/>
            <w:vAlign w:val="center"/>
          </w:tcPr>
          <w:p w14:paraId="21C7129C">
            <w:pPr>
              <w:widowControl/>
              <w:jc w:val="center"/>
              <w:rPr>
                <w:rFonts w:hint="eastAsia" w:ascii="宋体" w:hAnsi="宋体" w:cs="Calibri"/>
                <w:bCs/>
                <w:color w:val="auto"/>
                <w:highlight w:val="none"/>
              </w:rPr>
            </w:pPr>
          </w:p>
        </w:tc>
      </w:tr>
      <w:tr w14:paraId="4BE8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40074F18">
            <w:pPr>
              <w:widowControl/>
              <w:rPr>
                <w:rFonts w:hint="eastAsia" w:ascii="宋体" w:hAnsi="宋体" w:cs="Calibri"/>
                <w:bCs/>
                <w:color w:val="auto"/>
                <w:highlight w:val="none"/>
              </w:rPr>
            </w:pPr>
          </w:p>
        </w:tc>
        <w:tc>
          <w:tcPr>
            <w:tcW w:w="850" w:type="dxa"/>
            <w:vAlign w:val="center"/>
          </w:tcPr>
          <w:p w14:paraId="7372288D">
            <w:pPr>
              <w:widowControl/>
              <w:rPr>
                <w:rFonts w:hint="eastAsia" w:ascii="宋体" w:hAnsi="宋体" w:cs="Calibri"/>
                <w:bCs/>
                <w:color w:val="auto"/>
                <w:highlight w:val="none"/>
              </w:rPr>
            </w:pPr>
          </w:p>
        </w:tc>
        <w:tc>
          <w:tcPr>
            <w:tcW w:w="1276" w:type="dxa"/>
            <w:vAlign w:val="center"/>
          </w:tcPr>
          <w:p w14:paraId="7D8AAB72">
            <w:pPr>
              <w:widowControl/>
              <w:rPr>
                <w:rFonts w:hint="eastAsia" w:ascii="宋体" w:hAnsi="宋体" w:cs="Calibri"/>
                <w:bCs/>
                <w:color w:val="auto"/>
                <w:highlight w:val="none"/>
              </w:rPr>
            </w:pPr>
          </w:p>
        </w:tc>
        <w:tc>
          <w:tcPr>
            <w:tcW w:w="1276" w:type="dxa"/>
            <w:vAlign w:val="center"/>
          </w:tcPr>
          <w:p w14:paraId="4BE028ED">
            <w:pPr>
              <w:widowControl/>
              <w:rPr>
                <w:rFonts w:hint="eastAsia" w:ascii="宋体" w:hAnsi="宋体" w:cs="Calibri"/>
                <w:bCs/>
                <w:color w:val="auto"/>
                <w:highlight w:val="none"/>
              </w:rPr>
            </w:pPr>
          </w:p>
        </w:tc>
        <w:tc>
          <w:tcPr>
            <w:tcW w:w="798" w:type="dxa"/>
            <w:vAlign w:val="center"/>
          </w:tcPr>
          <w:p w14:paraId="718EF751">
            <w:pPr>
              <w:widowControl/>
              <w:rPr>
                <w:rFonts w:hint="eastAsia" w:ascii="宋体" w:hAnsi="宋体" w:cs="Calibri"/>
                <w:bCs/>
                <w:color w:val="auto"/>
                <w:highlight w:val="none"/>
              </w:rPr>
            </w:pPr>
          </w:p>
        </w:tc>
        <w:tc>
          <w:tcPr>
            <w:tcW w:w="947" w:type="dxa"/>
            <w:vAlign w:val="center"/>
          </w:tcPr>
          <w:p w14:paraId="14B2DBDC">
            <w:pPr>
              <w:widowControl/>
              <w:rPr>
                <w:rFonts w:hint="eastAsia" w:ascii="宋体" w:hAnsi="宋体" w:cs="Calibri"/>
                <w:bCs/>
                <w:color w:val="auto"/>
                <w:highlight w:val="none"/>
              </w:rPr>
            </w:pPr>
          </w:p>
        </w:tc>
        <w:tc>
          <w:tcPr>
            <w:tcW w:w="947" w:type="dxa"/>
            <w:vAlign w:val="center"/>
          </w:tcPr>
          <w:p w14:paraId="2CA93D19">
            <w:pPr>
              <w:widowControl/>
              <w:rPr>
                <w:rFonts w:hint="eastAsia" w:ascii="宋体" w:hAnsi="宋体" w:cs="Calibri"/>
                <w:bCs/>
                <w:color w:val="auto"/>
                <w:highlight w:val="none"/>
              </w:rPr>
            </w:pPr>
          </w:p>
        </w:tc>
        <w:tc>
          <w:tcPr>
            <w:tcW w:w="947" w:type="dxa"/>
            <w:vAlign w:val="center"/>
          </w:tcPr>
          <w:p w14:paraId="7399A811">
            <w:pPr>
              <w:widowControl/>
              <w:rPr>
                <w:rFonts w:hint="eastAsia" w:ascii="宋体" w:hAnsi="宋体" w:cs="Calibri"/>
                <w:bCs/>
                <w:color w:val="auto"/>
                <w:highlight w:val="none"/>
              </w:rPr>
            </w:pPr>
          </w:p>
        </w:tc>
        <w:tc>
          <w:tcPr>
            <w:tcW w:w="947" w:type="dxa"/>
            <w:vAlign w:val="center"/>
          </w:tcPr>
          <w:p w14:paraId="68D19905">
            <w:pPr>
              <w:widowControl/>
              <w:rPr>
                <w:rFonts w:hint="eastAsia" w:ascii="宋体" w:hAnsi="宋体" w:cs="Calibri"/>
                <w:bCs/>
                <w:color w:val="auto"/>
                <w:highlight w:val="none"/>
              </w:rPr>
            </w:pPr>
          </w:p>
        </w:tc>
      </w:tr>
      <w:tr w14:paraId="5CA9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2B5D2F21">
            <w:pPr>
              <w:widowControl/>
              <w:rPr>
                <w:rFonts w:hint="eastAsia" w:ascii="宋体" w:hAnsi="宋体" w:cs="Calibri"/>
                <w:bCs/>
                <w:color w:val="auto"/>
                <w:highlight w:val="none"/>
              </w:rPr>
            </w:pPr>
          </w:p>
        </w:tc>
        <w:tc>
          <w:tcPr>
            <w:tcW w:w="850" w:type="dxa"/>
            <w:vAlign w:val="center"/>
          </w:tcPr>
          <w:p w14:paraId="30E5BFF5">
            <w:pPr>
              <w:widowControl/>
              <w:rPr>
                <w:rFonts w:hint="eastAsia" w:ascii="宋体" w:hAnsi="宋体" w:cs="Calibri"/>
                <w:bCs/>
                <w:color w:val="auto"/>
                <w:highlight w:val="none"/>
              </w:rPr>
            </w:pPr>
          </w:p>
        </w:tc>
        <w:tc>
          <w:tcPr>
            <w:tcW w:w="1276" w:type="dxa"/>
            <w:vAlign w:val="center"/>
          </w:tcPr>
          <w:p w14:paraId="7901F1F7">
            <w:pPr>
              <w:widowControl/>
              <w:rPr>
                <w:rFonts w:hint="eastAsia" w:ascii="宋体" w:hAnsi="宋体" w:cs="Calibri"/>
                <w:bCs/>
                <w:color w:val="auto"/>
                <w:highlight w:val="none"/>
              </w:rPr>
            </w:pPr>
          </w:p>
        </w:tc>
        <w:tc>
          <w:tcPr>
            <w:tcW w:w="1276" w:type="dxa"/>
            <w:vAlign w:val="center"/>
          </w:tcPr>
          <w:p w14:paraId="5AAC9A5F">
            <w:pPr>
              <w:widowControl/>
              <w:rPr>
                <w:rFonts w:hint="eastAsia" w:ascii="宋体" w:hAnsi="宋体" w:cs="Calibri"/>
                <w:bCs/>
                <w:color w:val="auto"/>
                <w:highlight w:val="none"/>
              </w:rPr>
            </w:pPr>
          </w:p>
        </w:tc>
        <w:tc>
          <w:tcPr>
            <w:tcW w:w="798" w:type="dxa"/>
            <w:vAlign w:val="center"/>
          </w:tcPr>
          <w:p w14:paraId="2AAB2247">
            <w:pPr>
              <w:widowControl/>
              <w:rPr>
                <w:rFonts w:hint="eastAsia" w:ascii="宋体" w:hAnsi="宋体" w:cs="Calibri"/>
                <w:bCs/>
                <w:color w:val="auto"/>
                <w:highlight w:val="none"/>
              </w:rPr>
            </w:pPr>
          </w:p>
        </w:tc>
        <w:tc>
          <w:tcPr>
            <w:tcW w:w="947" w:type="dxa"/>
            <w:vAlign w:val="center"/>
          </w:tcPr>
          <w:p w14:paraId="024EC9A0">
            <w:pPr>
              <w:widowControl/>
              <w:rPr>
                <w:rFonts w:hint="eastAsia" w:ascii="宋体" w:hAnsi="宋体" w:cs="Calibri"/>
                <w:bCs/>
                <w:color w:val="auto"/>
                <w:highlight w:val="none"/>
              </w:rPr>
            </w:pPr>
          </w:p>
        </w:tc>
        <w:tc>
          <w:tcPr>
            <w:tcW w:w="947" w:type="dxa"/>
            <w:vAlign w:val="center"/>
          </w:tcPr>
          <w:p w14:paraId="2399ABB6">
            <w:pPr>
              <w:widowControl/>
              <w:rPr>
                <w:rFonts w:hint="eastAsia" w:ascii="宋体" w:hAnsi="宋体" w:cs="Calibri"/>
                <w:bCs/>
                <w:color w:val="auto"/>
                <w:highlight w:val="none"/>
              </w:rPr>
            </w:pPr>
          </w:p>
        </w:tc>
        <w:tc>
          <w:tcPr>
            <w:tcW w:w="947" w:type="dxa"/>
            <w:vAlign w:val="center"/>
          </w:tcPr>
          <w:p w14:paraId="595D1B84">
            <w:pPr>
              <w:widowControl/>
              <w:rPr>
                <w:rFonts w:hint="eastAsia" w:ascii="宋体" w:hAnsi="宋体" w:cs="Calibri"/>
                <w:bCs/>
                <w:color w:val="auto"/>
                <w:highlight w:val="none"/>
              </w:rPr>
            </w:pPr>
          </w:p>
        </w:tc>
        <w:tc>
          <w:tcPr>
            <w:tcW w:w="947" w:type="dxa"/>
            <w:vAlign w:val="center"/>
          </w:tcPr>
          <w:p w14:paraId="63F582D9">
            <w:pPr>
              <w:widowControl/>
              <w:rPr>
                <w:rFonts w:hint="eastAsia" w:ascii="宋体" w:hAnsi="宋体" w:cs="Calibri"/>
                <w:bCs/>
                <w:color w:val="auto"/>
                <w:highlight w:val="none"/>
              </w:rPr>
            </w:pPr>
          </w:p>
        </w:tc>
      </w:tr>
      <w:tr w14:paraId="5911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748EAAE8">
            <w:pPr>
              <w:widowControl/>
              <w:rPr>
                <w:rFonts w:hint="eastAsia" w:ascii="宋体" w:hAnsi="宋体" w:cs="Calibri"/>
                <w:bCs/>
                <w:color w:val="auto"/>
                <w:highlight w:val="none"/>
              </w:rPr>
            </w:pPr>
          </w:p>
        </w:tc>
        <w:tc>
          <w:tcPr>
            <w:tcW w:w="850" w:type="dxa"/>
            <w:vAlign w:val="center"/>
          </w:tcPr>
          <w:p w14:paraId="203F886F">
            <w:pPr>
              <w:widowControl/>
              <w:rPr>
                <w:rFonts w:hint="eastAsia" w:ascii="宋体" w:hAnsi="宋体" w:cs="Calibri"/>
                <w:bCs/>
                <w:color w:val="auto"/>
                <w:highlight w:val="none"/>
              </w:rPr>
            </w:pPr>
          </w:p>
        </w:tc>
        <w:tc>
          <w:tcPr>
            <w:tcW w:w="1276" w:type="dxa"/>
            <w:vAlign w:val="center"/>
          </w:tcPr>
          <w:p w14:paraId="4061D16E">
            <w:pPr>
              <w:widowControl/>
              <w:rPr>
                <w:rFonts w:hint="eastAsia" w:ascii="宋体" w:hAnsi="宋体" w:cs="Calibri"/>
                <w:bCs/>
                <w:color w:val="auto"/>
                <w:highlight w:val="none"/>
              </w:rPr>
            </w:pPr>
          </w:p>
        </w:tc>
        <w:tc>
          <w:tcPr>
            <w:tcW w:w="1276" w:type="dxa"/>
            <w:vAlign w:val="center"/>
          </w:tcPr>
          <w:p w14:paraId="03AC5144">
            <w:pPr>
              <w:widowControl/>
              <w:rPr>
                <w:rFonts w:hint="eastAsia" w:ascii="宋体" w:hAnsi="宋体" w:cs="Calibri"/>
                <w:bCs/>
                <w:color w:val="auto"/>
                <w:highlight w:val="none"/>
              </w:rPr>
            </w:pPr>
          </w:p>
        </w:tc>
        <w:tc>
          <w:tcPr>
            <w:tcW w:w="798" w:type="dxa"/>
            <w:vAlign w:val="center"/>
          </w:tcPr>
          <w:p w14:paraId="04B64B30">
            <w:pPr>
              <w:widowControl/>
              <w:rPr>
                <w:rFonts w:hint="eastAsia" w:ascii="宋体" w:hAnsi="宋体" w:cs="Calibri"/>
                <w:bCs/>
                <w:color w:val="auto"/>
                <w:highlight w:val="none"/>
              </w:rPr>
            </w:pPr>
          </w:p>
        </w:tc>
        <w:tc>
          <w:tcPr>
            <w:tcW w:w="947" w:type="dxa"/>
            <w:vAlign w:val="center"/>
          </w:tcPr>
          <w:p w14:paraId="606F2DBA">
            <w:pPr>
              <w:widowControl/>
              <w:rPr>
                <w:rFonts w:hint="eastAsia" w:ascii="宋体" w:hAnsi="宋体" w:cs="Calibri"/>
                <w:bCs/>
                <w:color w:val="auto"/>
                <w:highlight w:val="none"/>
              </w:rPr>
            </w:pPr>
          </w:p>
        </w:tc>
        <w:tc>
          <w:tcPr>
            <w:tcW w:w="947" w:type="dxa"/>
            <w:vAlign w:val="center"/>
          </w:tcPr>
          <w:p w14:paraId="243A28BD">
            <w:pPr>
              <w:widowControl/>
              <w:rPr>
                <w:rFonts w:hint="eastAsia" w:ascii="宋体" w:hAnsi="宋体" w:cs="Calibri"/>
                <w:bCs/>
                <w:color w:val="auto"/>
                <w:highlight w:val="none"/>
              </w:rPr>
            </w:pPr>
          </w:p>
        </w:tc>
        <w:tc>
          <w:tcPr>
            <w:tcW w:w="947" w:type="dxa"/>
            <w:vAlign w:val="center"/>
          </w:tcPr>
          <w:p w14:paraId="6639B146">
            <w:pPr>
              <w:widowControl/>
              <w:rPr>
                <w:rFonts w:hint="eastAsia" w:ascii="宋体" w:hAnsi="宋体" w:cs="Calibri"/>
                <w:bCs/>
                <w:color w:val="auto"/>
                <w:highlight w:val="none"/>
              </w:rPr>
            </w:pPr>
          </w:p>
        </w:tc>
        <w:tc>
          <w:tcPr>
            <w:tcW w:w="947" w:type="dxa"/>
            <w:vAlign w:val="center"/>
          </w:tcPr>
          <w:p w14:paraId="4E52C9BB">
            <w:pPr>
              <w:widowControl/>
              <w:rPr>
                <w:rFonts w:hint="eastAsia" w:ascii="宋体" w:hAnsi="宋体" w:cs="Calibri"/>
                <w:bCs/>
                <w:color w:val="auto"/>
                <w:highlight w:val="none"/>
              </w:rPr>
            </w:pPr>
          </w:p>
        </w:tc>
      </w:tr>
      <w:tr w14:paraId="58C6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22004962">
            <w:pPr>
              <w:widowControl/>
              <w:rPr>
                <w:rFonts w:hint="eastAsia" w:ascii="宋体" w:hAnsi="宋体" w:cs="Calibri"/>
                <w:bCs/>
                <w:color w:val="auto"/>
                <w:highlight w:val="none"/>
              </w:rPr>
            </w:pPr>
          </w:p>
        </w:tc>
        <w:tc>
          <w:tcPr>
            <w:tcW w:w="850" w:type="dxa"/>
            <w:vAlign w:val="center"/>
          </w:tcPr>
          <w:p w14:paraId="000BFE56">
            <w:pPr>
              <w:widowControl/>
              <w:rPr>
                <w:rFonts w:hint="eastAsia" w:ascii="宋体" w:hAnsi="宋体" w:cs="Calibri"/>
                <w:bCs/>
                <w:color w:val="auto"/>
                <w:highlight w:val="none"/>
              </w:rPr>
            </w:pPr>
          </w:p>
        </w:tc>
        <w:tc>
          <w:tcPr>
            <w:tcW w:w="1276" w:type="dxa"/>
            <w:vAlign w:val="center"/>
          </w:tcPr>
          <w:p w14:paraId="6728D287">
            <w:pPr>
              <w:widowControl/>
              <w:rPr>
                <w:rFonts w:hint="eastAsia" w:ascii="宋体" w:hAnsi="宋体" w:cs="Calibri"/>
                <w:bCs/>
                <w:color w:val="auto"/>
                <w:highlight w:val="none"/>
              </w:rPr>
            </w:pPr>
          </w:p>
        </w:tc>
        <w:tc>
          <w:tcPr>
            <w:tcW w:w="1276" w:type="dxa"/>
            <w:vAlign w:val="center"/>
          </w:tcPr>
          <w:p w14:paraId="2421621B">
            <w:pPr>
              <w:widowControl/>
              <w:rPr>
                <w:rFonts w:hint="eastAsia" w:ascii="宋体" w:hAnsi="宋体" w:cs="Calibri"/>
                <w:bCs/>
                <w:color w:val="auto"/>
                <w:highlight w:val="none"/>
              </w:rPr>
            </w:pPr>
          </w:p>
        </w:tc>
        <w:tc>
          <w:tcPr>
            <w:tcW w:w="798" w:type="dxa"/>
            <w:vAlign w:val="center"/>
          </w:tcPr>
          <w:p w14:paraId="2FBD7DDA">
            <w:pPr>
              <w:widowControl/>
              <w:rPr>
                <w:rFonts w:hint="eastAsia" w:ascii="宋体" w:hAnsi="宋体" w:cs="Calibri"/>
                <w:bCs/>
                <w:color w:val="auto"/>
                <w:highlight w:val="none"/>
              </w:rPr>
            </w:pPr>
          </w:p>
        </w:tc>
        <w:tc>
          <w:tcPr>
            <w:tcW w:w="947" w:type="dxa"/>
            <w:vAlign w:val="center"/>
          </w:tcPr>
          <w:p w14:paraId="1391D815">
            <w:pPr>
              <w:widowControl/>
              <w:rPr>
                <w:rFonts w:hint="eastAsia" w:ascii="宋体" w:hAnsi="宋体" w:cs="Calibri"/>
                <w:bCs/>
                <w:color w:val="auto"/>
                <w:highlight w:val="none"/>
              </w:rPr>
            </w:pPr>
          </w:p>
        </w:tc>
        <w:tc>
          <w:tcPr>
            <w:tcW w:w="947" w:type="dxa"/>
            <w:vAlign w:val="center"/>
          </w:tcPr>
          <w:p w14:paraId="5D1B66D5">
            <w:pPr>
              <w:widowControl/>
              <w:rPr>
                <w:rFonts w:hint="eastAsia" w:ascii="宋体" w:hAnsi="宋体" w:cs="Calibri"/>
                <w:bCs/>
                <w:color w:val="auto"/>
                <w:highlight w:val="none"/>
              </w:rPr>
            </w:pPr>
          </w:p>
        </w:tc>
        <w:tc>
          <w:tcPr>
            <w:tcW w:w="947" w:type="dxa"/>
            <w:vAlign w:val="center"/>
          </w:tcPr>
          <w:p w14:paraId="7F44E4F9">
            <w:pPr>
              <w:widowControl/>
              <w:rPr>
                <w:rFonts w:hint="eastAsia" w:ascii="宋体" w:hAnsi="宋体" w:cs="Calibri"/>
                <w:bCs/>
                <w:color w:val="auto"/>
                <w:highlight w:val="none"/>
              </w:rPr>
            </w:pPr>
          </w:p>
        </w:tc>
        <w:tc>
          <w:tcPr>
            <w:tcW w:w="947" w:type="dxa"/>
            <w:vAlign w:val="center"/>
          </w:tcPr>
          <w:p w14:paraId="11111E5E">
            <w:pPr>
              <w:widowControl/>
              <w:rPr>
                <w:rFonts w:hint="eastAsia" w:ascii="宋体" w:hAnsi="宋体" w:cs="Calibri"/>
                <w:bCs/>
                <w:color w:val="auto"/>
                <w:highlight w:val="none"/>
              </w:rPr>
            </w:pPr>
          </w:p>
        </w:tc>
      </w:tr>
      <w:tr w14:paraId="2C64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5C5A3B9E">
            <w:pPr>
              <w:widowControl/>
              <w:rPr>
                <w:rFonts w:hint="eastAsia" w:ascii="宋体" w:hAnsi="宋体" w:cs="Calibri"/>
                <w:bCs/>
                <w:color w:val="auto"/>
                <w:highlight w:val="none"/>
              </w:rPr>
            </w:pPr>
          </w:p>
        </w:tc>
        <w:tc>
          <w:tcPr>
            <w:tcW w:w="850" w:type="dxa"/>
            <w:vAlign w:val="center"/>
          </w:tcPr>
          <w:p w14:paraId="0CAE13C3">
            <w:pPr>
              <w:widowControl/>
              <w:rPr>
                <w:rFonts w:hint="eastAsia" w:ascii="宋体" w:hAnsi="宋体" w:cs="Calibri"/>
                <w:bCs/>
                <w:color w:val="auto"/>
                <w:highlight w:val="none"/>
              </w:rPr>
            </w:pPr>
          </w:p>
        </w:tc>
        <w:tc>
          <w:tcPr>
            <w:tcW w:w="1276" w:type="dxa"/>
            <w:vAlign w:val="center"/>
          </w:tcPr>
          <w:p w14:paraId="0D38E0E2">
            <w:pPr>
              <w:widowControl/>
              <w:rPr>
                <w:rFonts w:hint="eastAsia" w:ascii="宋体" w:hAnsi="宋体" w:cs="Calibri"/>
                <w:bCs/>
                <w:color w:val="auto"/>
                <w:highlight w:val="none"/>
              </w:rPr>
            </w:pPr>
          </w:p>
        </w:tc>
        <w:tc>
          <w:tcPr>
            <w:tcW w:w="1276" w:type="dxa"/>
            <w:vAlign w:val="center"/>
          </w:tcPr>
          <w:p w14:paraId="5A17E4B0">
            <w:pPr>
              <w:widowControl/>
              <w:rPr>
                <w:rFonts w:hint="eastAsia" w:ascii="宋体" w:hAnsi="宋体" w:cs="Calibri"/>
                <w:bCs/>
                <w:color w:val="auto"/>
                <w:highlight w:val="none"/>
              </w:rPr>
            </w:pPr>
          </w:p>
        </w:tc>
        <w:tc>
          <w:tcPr>
            <w:tcW w:w="798" w:type="dxa"/>
            <w:vAlign w:val="center"/>
          </w:tcPr>
          <w:p w14:paraId="61AD22AE">
            <w:pPr>
              <w:widowControl/>
              <w:rPr>
                <w:rFonts w:hint="eastAsia" w:ascii="宋体" w:hAnsi="宋体" w:cs="Calibri"/>
                <w:bCs/>
                <w:color w:val="auto"/>
                <w:highlight w:val="none"/>
              </w:rPr>
            </w:pPr>
          </w:p>
        </w:tc>
        <w:tc>
          <w:tcPr>
            <w:tcW w:w="947" w:type="dxa"/>
            <w:vAlign w:val="center"/>
          </w:tcPr>
          <w:p w14:paraId="4A1858E2">
            <w:pPr>
              <w:widowControl/>
              <w:rPr>
                <w:rFonts w:hint="eastAsia" w:ascii="宋体" w:hAnsi="宋体" w:cs="Calibri"/>
                <w:bCs/>
                <w:color w:val="auto"/>
                <w:highlight w:val="none"/>
              </w:rPr>
            </w:pPr>
          </w:p>
        </w:tc>
        <w:tc>
          <w:tcPr>
            <w:tcW w:w="947" w:type="dxa"/>
            <w:vAlign w:val="center"/>
          </w:tcPr>
          <w:p w14:paraId="2316B09E">
            <w:pPr>
              <w:widowControl/>
              <w:rPr>
                <w:rFonts w:hint="eastAsia" w:ascii="宋体" w:hAnsi="宋体" w:cs="Calibri"/>
                <w:bCs/>
                <w:color w:val="auto"/>
                <w:highlight w:val="none"/>
              </w:rPr>
            </w:pPr>
          </w:p>
        </w:tc>
        <w:tc>
          <w:tcPr>
            <w:tcW w:w="947" w:type="dxa"/>
            <w:vAlign w:val="center"/>
          </w:tcPr>
          <w:p w14:paraId="3882610F">
            <w:pPr>
              <w:widowControl/>
              <w:rPr>
                <w:rFonts w:hint="eastAsia" w:ascii="宋体" w:hAnsi="宋体" w:cs="Calibri"/>
                <w:bCs/>
                <w:color w:val="auto"/>
                <w:highlight w:val="none"/>
              </w:rPr>
            </w:pPr>
          </w:p>
        </w:tc>
        <w:tc>
          <w:tcPr>
            <w:tcW w:w="947" w:type="dxa"/>
            <w:vAlign w:val="center"/>
          </w:tcPr>
          <w:p w14:paraId="7CD2571C">
            <w:pPr>
              <w:widowControl/>
              <w:rPr>
                <w:rFonts w:hint="eastAsia" w:ascii="宋体" w:hAnsi="宋体" w:cs="Calibri"/>
                <w:bCs/>
                <w:color w:val="auto"/>
                <w:highlight w:val="none"/>
              </w:rPr>
            </w:pPr>
          </w:p>
        </w:tc>
      </w:tr>
      <w:tr w14:paraId="2611D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30EB7BD9">
            <w:pPr>
              <w:widowControl/>
              <w:rPr>
                <w:rFonts w:hint="eastAsia" w:ascii="宋体" w:hAnsi="宋体" w:cs="Calibri"/>
                <w:bCs/>
                <w:color w:val="auto"/>
                <w:highlight w:val="none"/>
              </w:rPr>
            </w:pPr>
          </w:p>
        </w:tc>
        <w:tc>
          <w:tcPr>
            <w:tcW w:w="850" w:type="dxa"/>
            <w:vAlign w:val="center"/>
          </w:tcPr>
          <w:p w14:paraId="54FB0D25">
            <w:pPr>
              <w:widowControl/>
              <w:rPr>
                <w:rFonts w:hint="eastAsia" w:ascii="宋体" w:hAnsi="宋体" w:cs="Calibri"/>
                <w:bCs/>
                <w:color w:val="auto"/>
                <w:highlight w:val="none"/>
              </w:rPr>
            </w:pPr>
          </w:p>
        </w:tc>
        <w:tc>
          <w:tcPr>
            <w:tcW w:w="1276" w:type="dxa"/>
            <w:vAlign w:val="center"/>
          </w:tcPr>
          <w:p w14:paraId="3E343210">
            <w:pPr>
              <w:widowControl/>
              <w:rPr>
                <w:rFonts w:hint="eastAsia" w:ascii="宋体" w:hAnsi="宋体" w:cs="Calibri"/>
                <w:bCs/>
                <w:color w:val="auto"/>
                <w:highlight w:val="none"/>
              </w:rPr>
            </w:pPr>
          </w:p>
        </w:tc>
        <w:tc>
          <w:tcPr>
            <w:tcW w:w="1276" w:type="dxa"/>
            <w:vAlign w:val="center"/>
          </w:tcPr>
          <w:p w14:paraId="73715FAF">
            <w:pPr>
              <w:widowControl/>
              <w:rPr>
                <w:rFonts w:hint="eastAsia" w:ascii="宋体" w:hAnsi="宋体" w:cs="Calibri"/>
                <w:bCs/>
                <w:color w:val="auto"/>
                <w:highlight w:val="none"/>
              </w:rPr>
            </w:pPr>
          </w:p>
        </w:tc>
        <w:tc>
          <w:tcPr>
            <w:tcW w:w="798" w:type="dxa"/>
            <w:vAlign w:val="center"/>
          </w:tcPr>
          <w:p w14:paraId="5F70AE8A">
            <w:pPr>
              <w:widowControl/>
              <w:rPr>
                <w:rFonts w:hint="eastAsia" w:ascii="宋体" w:hAnsi="宋体" w:cs="Calibri"/>
                <w:bCs/>
                <w:color w:val="auto"/>
                <w:highlight w:val="none"/>
              </w:rPr>
            </w:pPr>
          </w:p>
        </w:tc>
        <w:tc>
          <w:tcPr>
            <w:tcW w:w="947" w:type="dxa"/>
            <w:vAlign w:val="center"/>
          </w:tcPr>
          <w:p w14:paraId="00E4C89E">
            <w:pPr>
              <w:widowControl/>
              <w:rPr>
                <w:rFonts w:hint="eastAsia" w:ascii="宋体" w:hAnsi="宋体" w:cs="Calibri"/>
                <w:bCs/>
                <w:color w:val="auto"/>
                <w:highlight w:val="none"/>
              </w:rPr>
            </w:pPr>
          </w:p>
        </w:tc>
        <w:tc>
          <w:tcPr>
            <w:tcW w:w="947" w:type="dxa"/>
            <w:vAlign w:val="center"/>
          </w:tcPr>
          <w:p w14:paraId="63F0F8C3">
            <w:pPr>
              <w:widowControl/>
              <w:rPr>
                <w:rFonts w:hint="eastAsia" w:ascii="宋体" w:hAnsi="宋体" w:cs="Calibri"/>
                <w:bCs/>
                <w:color w:val="auto"/>
                <w:highlight w:val="none"/>
              </w:rPr>
            </w:pPr>
          </w:p>
        </w:tc>
        <w:tc>
          <w:tcPr>
            <w:tcW w:w="947" w:type="dxa"/>
            <w:vAlign w:val="center"/>
          </w:tcPr>
          <w:p w14:paraId="2E8446DB">
            <w:pPr>
              <w:widowControl/>
              <w:rPr>
                <w:rFonts w:hint="eastAsia" w:ascii="宋体" w:hAnsi="宋体" w:cs="Calibri"/>
                <w:bCs/>
                <w:color w:val="auto"/>
                <w:highlight w:val="none"/>
              </w:rPr>
            </w:pPr>
          </w:p>
        </w:tc>
        <w:tc>
          <w:tcPr>
            <w:tcW w:w="947" w:type="dxa"/>
            <w:vAlign w:val="center"/>
          </w:tcPr>
          <w:p w14:paraId="239F01B9">
            <w:pPr>
              <w:widowControl/>
              <w:rPr>
                <w:rFonts w:hint="eastAsia" w:ascii="宋体" w:hAnsi="宋体" w:cs="Calibri"/>
                <w:bCs/>
                <w:color w:val="auto"/>
                <w:highlight w:val="none"/>
              </w:rPr>
            </w:pPr>
          </w:p>
        </w:tc>
      </w:tr>
      <w:tr w14:paraId="7B9A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15AF1683">
            <w:pPr>
              <w:widowControl/>
              <w:rPr>
                <w:rFonts w:hint="eastAsia" w:ascii="宋体" w:hAnsi="宋体" w:cs="Calibri"/>
                <w:bCs/>
                <w:color w:val="auto"/>
                <w:highlight w:val="none"/>
              </w:rPr>
            </w:pPr>
          </w:p>
        </w:tc>
        <w:tc>
          <w:tcPr>
            <w:tcW w:w="850" w:type="dxa"/>
            <w:vAlign w:val="center"/>
          </w:tcPr>
          <w:p w14:paraId="78FF6A84">
            <w:pPr>
              <w:widowControl/>
              <w:rPr>
                <w:rFonts w:hint="eastAsia" w:ascii="宋体" w:hAnsi="宋体" w:cs="Calibri"/>
                <w:bCs/>
                <w:color w:val="auto"/>
                <w:highlight w:val="none"/>
              </w:rPr>
            </w:pPr>
          </w:p>
        </w:tc>
        <w:tc>
          <w:tcPr>
            <w:tcW w:w="1276" w:type="dxa"/>
            <w:vAlign w:val="center"/>
          </w:tcPr>
          <w:p w14:paraId="79A63C5E">
            <w:pPr>
              <w:widowControl/>
              <w:rPr>
                <w:rFonts w:hint="eastAsia" w:ascii="宋体" w:hAnsi="宋体" w:cs="Calibri"/>
                <w:bCs/>
                <w:color w:val="auto"/>
                <w:highlight w:val="none"/>
              </w:rPr>
            </w:pPr>
          </w:p>
        </w:tc>
        <w:tc>
          <w:tcPr>
            <w:tcW w:w="1276" w:type="dxa"/>
            <w:vAlign w:val="center"/>
          </w:tcPr>
          <w:p w14:paraId="7966CA12">
            <w:pPr>
              <w:widowControl/>
              <w:rPr>
                <w:rFonts w:hint="eastAsia" w:ascii="宋体" w:hAnsi="宋体" w:cs="Calibri"/>
                <w:bCs/>
                <w:color w:val="auto"/>
                <w:highlight w:val="none"/>
              </w:rPr>
            </w:pPr>
          </w:p>
        </w:tc>
        <w:tc>
          <w:tcPr>
            <w:tcW w:w="798" w:type="dxa"/>
            <w:vAlign w:val="center"/>
          </w:tcPr>
          <w:p w14:paraId="77631257">
            <w:pPr>
              <w:widowControl/>
              <w:rPr>
                <w:rFonts w:hint="eastAsia" w:ascii="宋体" w:hAnsi="宋体" w:cs="Calibri"/>
                <w:bCs/>
                <w:color w:val="auto"/>
                <w:highlight w:val="none"/>
              </w:rPr>
            </w:pPr>
          </w:p>
        </w:tc>
        <w:tc>
          <w:tcPr>
            <w:tcW w:w="947" w:type="dxa"/>
            <w:vAlign w:val="center"/>
          </w:tcPr>
          <w:p w14:paraId="2EC392E9">
            <w:pPr>
              <w:widowControl/>
              <w:rPr>
                <w:rFonts w:hint="eastAsia" w:ascii="宋体" w:hAnsi="宋体" w:cs="Calibri"/>
                <w:bCs/>
                <w:color w:val="auto"/>
                <w:highlight w:val="none"/>
              </w:rPr>
            </w:pPr>
          </w:p>
        </w:tc>
        <w:tc>
          <w:tcPr>
            <w:tcW w:w="947" w:type="dxa"/>
            <w:vAlign w:val="center"/>
          </w:tcPr>
          <w:p w14:paraId="1FE7BF80">
            <w:pPr>
              <w:widowControl/>
              <w:rPr>
                <w:rFonts w:hint="eastAsia" w:ascii="宋体" w:hAnsi="宋体" w:cs="Calibri"/>
                <w:bCs/>
                <w:color w:val="auto"/>
                <w:highlight w:val="none"/>
              </w:rPr>
            </w:pPr>
          </w:p>
        </w:tc>
        <w:tc>
          <w:tcPr>
            <w:tcW w:w="947" w:type="dxa"/>
            <w:vAlign w:val="center"/>
          </w:tcPr>
          <w:p w14:paraId="18AA5696">
            <w:pPr>
              <w:widowControl/>
              <w:rPr>
                <w:rFonts w:hint="eastAsia" w:ascii="宋体" w:hAnsi="宋体" w:cs="Calibri"/>
                <w:bCs/>
                <w:color w:val="auto"/>
                <w:highlight w:val="none"/>
              </w:rPr>
            </w:pPr>
          </w:p>
        </w:tc>
        <w:tc>
          <w:tcPr>
            <w:tcW w:w="947" w:type="dxa"/>
            <w:vAlign w:val="center"/>
          </w:tcPr>
          <w:p w14:paraId="59C87E19">
            <w:pPr>
              <w:widowControl/>
              <w:rPr>
                <w:rFonts w:hint="eastAsia" w:ascii="宋体" w:hAnsi="宋体" w:cs="Calibri"/>
                <w:bCs/>
                <w:color w:val="auto"/>
                <w:highlight w:val="none"/>
              </w:rPr>
            </w:pPr>
          </w:p>
        </w:tc>
      </w:tr>
      <w:tr w14:paraId="6206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707F8421">
            <w:pPr>
              <w:widowControl/>
              <w:rPr>
                <w:rFonts w:hint="eastAsia" w:ascii="宋体" w:hAnsi="宋体" w:cs="Calibri"/>
                <w:bCs/>
                <w:color w:val="auto"/>
                <w:highlight w:val="none"/>
              </w:rPr>
            </w:pPr>
          </w:p>
        </w:tc>
        <w:tc>
          <w:tcPr>
            <w:tcW w:w="850" w:type="dxa"/>
            <w:vAlign w:val="center"/>
          </w:tcPr>
          <w:p w14:paraId="66FCE896">
            <w:pPr>
              <w:widowControl/>
              <w:rPr>
                <w:rFonts w:hint="eastAsia" w:ascii="宋体" w:hAnsi="宋体" w:cs="Calibri"/>
                <w:bCs/>
                <w:color w:val="auto"/>
                <w:highlight w:val="none"/>
              </w:rPr>
            </w:pPr>
          </w:p>
        </w:tc>
        <w:tc>
          <w:tcPr>
            <w:tcW w:w="1276" w:type="dxa"/>
            <w:vAlign w:val="center"/>
          </w:tcPr>
          <w:p w14:paraId="0F73B36A">
            <w:pPr>
              <w:widowControl/>
              <w:rPr>
                <w:rFonts w:hint="eastAsia" w:ascii="宋体" w:hAnsi="宋体" w:cs="Calibri"/>
                <w:bCs/>
                <w:color w:val="auto"/>
                <w:highlight w:val="none"/>
              </w:rPr>
            </w:pPr>
          </w:p>
        </w:tc>
        <w:tc>
          <w:tcPr>
            <w:tcW w:w="1276" w:type="dxa"/>
            <w:vAlign w:val="center"/>
          </w:tcPr>
          <w:p w14:paraId="64B692B7">
            <w:pPr>
              <w:widowControl/>
              <w:rPr>
                <w:rFonts w:hint="eastAsia" w:ascii="宋体" w:hAnsi="宋体" w:cs="Calibri"/>
                <w:bCs/>
                <w:color w:val="auto"/>
                <w:highlight w:val="none"/>
              </w:rPr>
            </w:pPr>
          </w:p>
        </w:tc>
        <w:tc>
          <w:tcPr>
            <w:tcW w:w="798" w:type="dxa"/>
            <w:vAlign w:val="center"/>
          </w:tcPr>
          <w:p w14:paraId="4B2772F0">
            <w:pPr>
              <w:widowControl/>
              <w:rPr>
                <w:rFonts w:hint="eastAsia" w:ascii="宋体" w:hAnsi="宋体" w:cs="Calibri"/>
                <w:bCs/>
                <w:color w:val="auto"/>
                <w:highlight w:val="none"/>
              </w:rPr>
            </w:pPr>
          </w:p>
        </w:tc>
        <w:tc>
          <w:tcPr>
            <w:tcW w:w="947" w:type="dxa"/>
            <w:vAlign w:val="center"/>
          </w:tcPr>
          <w:p w14:paraId="43712FB6">
            <w:pPr>
              <w:widowControl/>
              <w:rPr>
                <w:rFonts w:hint="eastAsia" w:ascii="宋体" w:hAnsi="宋体" w:cs="Calibri"/>
                <w:bCs/>
                <w:color w:val="auto"/>
                <w:highlight w:val="none"/>
              </w:rPr>
            </w:pPr>
          </w:p>
        </w:tc>
        <w:tc>
          <w:tcPr>
            <w:tcW w:w="947" w:type="dxa"/>
            <w:vAlign w:val="center"/>
          </w:tcPr>
          <w:p w14:paraId="684040BE">
            <w:pPr>
              <w:widowControl/>
              <w:rPr>
                <w:rFonts w:hint="eastAsia" w:ascii="宋体" w:hAnsi="宋体" w:cs="Calibri"/>
                <w:bCs/>
                <w:color w:val="auto"/>
                <w:highlight w:val="none"/>
              </w:rPr>
            </w:pPr>
          </w:p>
        </w:tc>
        <w:tc>
          <w:tcPr>
            <w:tcW w:w="947" w:type="dxa"/>
            <w:vAlign w:val="center"/>
          </w:tcPr>
          <w:p w14:paraId="04009AE2">
            <w:pPr>
              <w:widowControl/>
              <w:rPr>
                <w:rFonts w:hint="eastAsia" w:ascii="宋体" w:hAnsi="宋体" w:cs="Calibri"/>
                <w:bCs/>
                <w:color w:val="auto"/>
                <w:highlight w:val="none"/>
              </w:rPr>
            </w:pPr>
          </w:p>
        </w:tc>
        <w:tc>
          <w:tcPr>
            <w:tcW w:w="947" w:type="dxa"/>
            <w:vAlign w:val="center"/>
          </w:tcPr>
          <w:p w14:paraId="26428C1F">
            <w:pPr>
              <w:widowControl/>
              <w:rPr>
                <w:rFonts w:hint="eastAsia" w:ascii="宋体" w:hAnsi="宋体" w:cs="Calibri"/>
                <w:bCs/>
                <w:color w:val="auto"/>
                <w:highlight w:val="none"/>
              </w:rPr>
            </w:pPr>
          </w:p>
        </w:tc>
      </w:tr>
      <w:tr w14:paraId="0C7B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25F9479D">
            <w:pPr>
              <w:widowControl/>
              <w:rPr>
                <w:rFonts w:hint="eastAsia" w:ascii="宋体" w:hAnsi="宋体" w:cs="Calibri"/>
                <w:bCs/>
                <w:color w:val="auto"/>
                <w:highlight w:val="none"/>
              </w:rPr>
            </w:pPr>
          </w:p>
        </w:tc>
        <w:tc>
          <w:tcPr>
            <w:tcW w:w="850" w:type="dxa"/>
            <w:vAlign w:val="center"/>
          </w:tcPr>
          <w:p w14:paraId="673D249B">
            <w:pPr>
              <w:widowControl/>
              <w:rPr>
                <w:rFonts w:hint="eastAsia" w:ascii="宋体" w:hAnsi="宋体" w:cs="Calibri"/>
                <w:bCs/>
                <w:color w:val="auto"/>
                <w:highlight w:val="none"/>
              </w:rPr>
            </w:pPr>
          </w:p>
        </w:tc>
        <w:tc>
          <w:tcPr>
            <w:tcW w:w="1276" w:type="dxa"/>
            <w:vAlign w:val="center"/>
          </w:tcPr>
          <w:p w14:paraId="2FB22E98">
            <w:pPr>
              <w:widowControl/>
              <w:rPr>
                <w:rFonts w:hint="eastAsia" w:ascii="宋体" w:hAnsi="宋体" w:cs="Calibri"/>
                <w:bCs/>
                <w:color w:val="auto"/>
                <w:highlight w:val="none"/>
              </w:rPr>
            </w:pPr>
          </w:p>
        </w:tc>
        <w:tc>
          <w:tcPr>
            <w:tcW w:w="1276" w:type="dxa"/>
            <w:vAlign w:val="center"/>
          </w:tcPr>
          <w:p w14:paraId="61B2405A">
            <w:pPr>
              <w:widowControl/>
              <w:rPr>
                <w:rFonts w:hint="eastAsia" w:ascii="宋体" w:hAnsi="宋体" w:cs="Calibri"/>
                <w:bCs/>
                <w:color w:val="auto"/>
                <w:highlight w:val="none"/>
              </w:rPr>
            </w:pPr>
          </w:p>
        </w:tc>
        <w:tc>
          <w:tcPr>
            <w:tcW w:w="798" w:type="dxa"/>
            <w:vAlign w:val="center"/>
          </w:tcPr>
          <w:p w14:paraId="0E5BB34F">
            <w:pPr>
              <w:widowControl/>
              <w:rPr>
                <w:rFonts w:hint="eastAsia" w:ascii="宋体" w:hAnsi="宋体" w:cs="Calibri"/>
                <w:bCs/>
                <w:color w:val="auto"/>
                <w:highlight w:val="none"/>
              </w:rPr>
            </w:pPr>
          </w:p>
        </w:tc>
        <w:tc>
          <w:tcPr>
            <w:tcW w:w="947" w:type="dxa"/>
            <w:vAlign w:val="center"/>
          </w:tcPr>
          <w:p w14:paraId="6EFAA5C7">
            <w:pPr>
              <w:widowControl/>
              <w:rPr>
                <w:rFonts w:hint="eastAsia" w:ascii="宋体" w:hAnsi="宋体" w:cs="Calibri"/>
                <w:bCs/>
                <w:color w:val="auto"/>
                <w:highlight w:val="none"/>
              </w:rPr>
            </w:pPr>
          </w:p>
        </w:tc>
        <w:tc>
          <w:tcPr>
            <w:tcW w:w="947" w:type="dxa"/>
            <w:vAlign w:val="center"/>
          </w:tcPr>
          <w:p w14:paraId="20B6B975">
            <w:pPr>
              <w:widowControl/>
              <w:rPr>
                <w:rFonts w:hint="eastAsia" w:ascii="宋体" w:hAnsi="宋体" w:cs="Calibri"/>
                <w:bCs/>
                <w:color w:val="auto"/>
                <w:highlight w:val="none"/>
              </w:rPr>
            </w:pPr>
          </w:p>
        </w:tc>
        <w:tc>
          <w:tcPr>
            <w:tcW w:w="947" w:type="dxa"/>
            <w:vAlign w:val="center"/>
          </w:tcPr>
          <w:p w14:paraId="1CF58237">
            <w:pPr>
              <w:widowControl/>
              <w:rPr>
                <w:rFonts w:hint="eastAsia" w:ascii="宋体" w:hAnsi="宋体" w:cs="Calibri"/>
                <w:bCs/>
                <w:color w:val="auto"/>
                <w:highlight w:val="none"/>
              </w:rPr>
            </w:pPr>
          </w:p>
        </w:tc>
        <w:tc>
          <w:tcPr>
            <w:tcW w:w="947" w:type="dxa"/>
            <w:vAlign w:val="center"/>
          </w:tcPr>
          <w:p w14:paraId="1191411D">
            <w:pPr>
              <w:widowControl/>
              <w:rPr>
                <w:rFonts w:hint="eastAsia" w:ascii="宋体" w:hAnsi="宋体" w:cs="Calibri"/>
                <w:bCs/>
                <w:color w:val="auto"/>
                <w:highlight w:val="none"/>
              </w:rPr>
            </w:pPr>
          </w:p>
        </w:tc>
      </w:tr>
      <w:tr w14:paraId="21FE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00AD9725">
            <w:pPr>
              <w:widowControl/>
              <w:rPr>
                <w:rFonts w:hint="eastAsia" w:ascii="宋体" w:hAnsi="宋体" w:cs="Calibri"/>
                <w:bCs/>
                <w:color w:val="auto"/>
                <w:highlight w:val="none"/>
              </w:rPr>
            </w:pPr>
          </w:p>
        </w:tc>
        <w:tc>
          <w:tcPr>
            <w:tcW w:w="850" w:type="dxa"/>
            <w:vAlign w:val="center"/>
          </w:tcPr>
          <w:p w14:paraId="1E8C077D">
            <w:pPr>
              <w:widowControl/>
              <w:rPr>
                <w:rFonts w:hint="eastAsia" w:ascii="宋体" w:hAnsi="宋体" w:cs="Calibri"/>
                <w:bCs/>
                <w:color w:val="auto"/>
                <w:highlight w:val="none"/>
              </w:rPr>
            </w:pPr>
          </w:p>
        </w:tc>
        <w:tc>
          <w:tcPr>
            <w:tcW w:w="1276" w:type="dxa"/>
            <w:vAlign w:val="center"/>
          </w:tcPr>
          <w:p w14:paraId="7D07FDDB">
            <w:pPr>
              <w:widowControl/>
              <w:rPr>
                <w:rFonts w:hint="eastAsia" w:ascii="宋体" w:hAnsi="宋体" w:cs="Calibri"/>
                <w:bCs/>
                <w:color w:val="auto"/>
                <w:highlight w:val="none"/>
              </w:rPr>
            </w:pPr>
          </w:p>
        </w:tc>
        <w:tc>
          <w:tcPr>
            <w:tcW w:w="1276" w:type="dxa"/>
            <w:vAlign w:val="center"/>
          </w:tcPr>
          <w:p w14:paraId="36A2AFC9">
            <w:pPr>
              <w:widowControl/>
              <w:rPr>
                <w:rFonts w:hint="eastAsia" w:ascii="宋体" w:hAnsi="宋体" w:cs="Calibri"/>
                <w:bCs/>
                <w:color w:val="auto"/>
                <w:highlight w:val="none"/>
              </w:rPr>
            </w:pPr>
          </w:p>
        </w:tc>
        <w:tc>
          <w:tcPr>
            <w:tcW w:w="798" w:type="dxa"/>
            <w:vAlign w:val="center"/>
          </w:tcPr>
          <w:p w14:paraId="1A3E7F93">
            <w:pPr>
              <w:widowControl/>
              <w:rPr>
                <w:rFonts w:hint="eastAsia" w:ascii="宋体" w:hAnsi="宋体" w:cs="Calibri"/>
                <w:bCs/>
                <w:color w:val="auto"/>
                <w:highlight w:val="none"/>
              </w:rPr>
            </w:pPr>
          </w:p>
        </w:tc>
        <w:tc>
          <w:tcPr>
            <w:tcW w:w="947" w:type="dxa"/>
            <w:vAlign w:val="center"/>
          </w:tcPr>
          <w:p w14:paraId="6AB0DDCD">
            <w:pPr>
              <w:widowControl/>
              <w:rPr>
                <w:rFonts w:hint="eastAsia" w:ascii="宋体" w:hAnsi="宋体" w:cs="Calibri"/>
                <w:bCs/>
                <w:color w:val="auto"/>
                <w:highlight w:val="none"/>
              </w:rPr>
            </w:pPr>
          </w:p>
        </w:tc>
        <w:tc>
          <w:tcPr>
            <w:tcW w:w="947" w:type="dxa"/>
            <w:vAlign w:val="center"/>
          </w:tcPr>
          <w:p w14:paraId="1E39F28B">
            <w:pPr>
              <w:widowControl/>
              <w:rPr>
                <w:rFonts w:hint="eastAsia" w:ascii="宋体" w:hAnsi="宋体" w:cs="Calibri"/>
                <w:bCs/>
                <w:color w:val="auto"/>
                <w:highlight w:val="none"/>
              </w:rPr>
            </w:pPr>
          </w:p>
        </w:tc>
        <w:tc>
          <w:tcPr>
            <w:tcW w:w="947" w:type="dxa"/>
            <w:vAlign w:val="center"/>
          </w:tcPr>
          <w:p w14:paraId="301A75A5">
            <w:pPr>
              <w:widowControl/>
              <w:rPr>
                <w:rFonts w:hint="eastAsia" w:ascii="宋体" w:hAnsi="宋体" w:cs="Calibri"/>
                <w:bCs/>
                <w:color w:val="auto"/>
                <w:highlight w:val="none"/>
              </w:rPr>
            </w:pPr>
          </w:p>
        </w:tc>
        <w:tc>
          <w:tcPr>
            <w:tcW w:w="947" w:type="dxa"/>
            <w:vAlign w:val="center"/>
          </w:tcPr>
          <w:p w14:paraId="022008CC">
            <w:pPr>
              <w:widowControl/>
              <w:rPr>
                <w:rFonts w:hint="eastAsia" w:ascii="宋体" w:hAnsi="宋体" w:cs="Calibri"/>
                <w:bCs/>
                <w:color w:val="auto"/>
                <w:highlight w:val="none"/>
              </w:rPr>
            </w:pPr>
          </w:p>
        </w:tc>
      </w:tr>
      <w:tr w14:paraId="7E58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2D925767">
            <w:pPr>
              <w:widowControl/>
              <w:rPr>
                <w:rFonts w:hint="eastAsia" w:ascii="宋体" w:hAnsi="宋体" w:cs="Calibri"/>
                <w:bCs/>
                <w:color w:val="auto"/>
                <w:highlight w:val="none"/>
              </w:rPr>
            </w:pPr>
          </w:p>
        </w:tc>
        <w:tc>
          <w:tcPr>
            <w:tcW w:w="850" w:type="dxa"/>
            <w:vAlign w:val="center"/>
          </w:tcPr>
          <w:p w14:paraId="622FDA11">
            <w:pPr>
              <w:widowControl/>
              <w:rPr>
                <w:rFonts w:hint="eastAsia" w:ascii="宋体" w:hAnsi="宋体" w:cs="Calibri"/>
                <w:bCs/>
                <w:color w:val="auto"/>
                <w:highlight w:val="none"/>
              </w:rPr>
            </w:pPr>
          </w:p>
        </w:tc>
        <w:tc>
          <w:tcPr>
            <w:tcW w:w="1276" w:type="dxa"/>
            <w:vAlign w:val="center"/>
          </w:tcPr>
          <w:p w14:paraId="60CD9B3C">
            <w:pPr>
              <w:widowControl/>
              <w:rPr>
                <w:rFonts w:hint="eastAsia" w:ascii="宋体" w:hAnsi="宋体" w:cs="Calibri"/>
                <w:bCs/>
                <w:color w:val="auto"/>
                <w:highlight w:val="none"/>
              </w:rPr>
            </w:pPr>
          </w:p>
        </w:tc>
        <w:tc>
          <w:tcPr>
            <w:tcW w:w="1276" w:type="dxa"/>
            <w:vAlign w:val="center"/>
          </w:tcPr>
          <w:p w14:paraId="4AC93D90">
            <w:pPr>
              <w:widowControl/>
              <w:rPr>
                <w:rFonts w:hint="eastAsia" w:ascii="宋体" w:hAnsi="宋体" w:cs="Calibri"/>
                <w:bCs/>
                <w:color w:val="auto"/>
                <w:highlight w:val="none"/>
              </w:rPr>
            </w:pPr>
          </w:p>
        </w:tc>
        <w:tc>
          <w:tcPr>
            <w:tcW w:w="798" w:type="dxa"/>
            <w:vAlign w:val="center"/>
          </w:tcPr>
          <w:p w14:paraId="254BA551">
            <w:pPr>
              <w:widowControl/>
              <w:rPr>
                <w:rFonts w:hint="eastAsia" w:ascii="宋体" w:hAnsi="宋体" w:cs="Calibri"/>
                <w:bCs/>
                <w:color w:val="auto"/>
                <w:highlight w:val="none"/>
              </w:rPr>
            </w:pPr>
          </w:p>
        </w:tc>
        <w:tc>
          <w:tcPr>
            <w:tcW w:w="947" w:type="dxa"/>
            <w:vAlign w:val="center"/>
          </w:tcPr>
          <w:p w14:paraId="6211CC65">
            <w:pPr>
              <w:widowControl/>
              <w:rPr>
                <w:rFonts w:hint="eastAsia" w:ascii="宋体" w:hAnsi="宋体" w:cs="Calibri"/>
                <w:bCs/>
                <w:color w:val="auto"/>
                <w:highlight w:val="none"/>
              </w:rPr>
            </w:pPr>
          </w:p>
        </w:tc>
        <w:tc>
          <w:tcPr>
            <w:tcW w:w="947" w:type="dxa"/>
            <w:vAlign w:val="center"/>
          </w:tcPr>
          <w:p w14:paraId="5FDB32D4">
            <w:pPr>
              <w:widowControl/>
              <w:rPr>
                <w:rFonts w:hint="eastAsia" w:ascii="宋体" w:hAnsi="宋体" w:cs="Calibri"/>
                <w:bCs/>
                <w:color w:val="auto"/>
                <w:highlight w:val="none"/>
              </w:rPr>
            </w:pPr>
          </w:p>
        </w:tc>
        <w:tc>
          <w:tcPr>
            <w:tcW w:w="947" w:type="dxa"/>
            <w:vAlign w:val="center"/>
          </w:tcPr>
          <w:p w14:paraId="7739DDAF">
            <w:pPr>
              <w:widowControl/>
              <w:rPr>
                <w:rFonts w:hint="eastAsia" w:ascii="宋体" w:hAnsi="宋体" w:cs="Calibri"/>
                <w:bCs/>
                <w:color w:val="auto"/>
                <w:highlight w:val="none"/>
              </w:rPr>
            </w:pPr>
          </w:p>
        </w:tc>
        <w:tc>
          <w:tcPr>
            <w:tcW w:w="947" w:type="dxa"/>
            <w:vAlign w:val="center"/>
          </w:tcPr>
          <w:p w14:paraId="01FA6748">
            <w:pPr>
              <w:widowControl/>
              <w:rPr>
                <w:rFonts w:hint="eastAsia" w:ascii="宋体" w:hAnsi="宋体" w:cs="Calibri"/>
                <w:bCs/>
                <w:color w:val="auto"/>
                <w:highlight w:val="none"/>
              </w:rPr>
            </w:pPr>
          </w:p>
        </w:tc>
      </w:tr>
      <w:tr w14:paraId="5F51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34995840">
            <w:pPr>
              <w:widowControl/>
              <w:rPr>
                <w:rFonts w:hint="eastAsia" w:ascii="宋体" w:hAnsi="宋体" w:cs="Calibri"/>
                <w:bCs/>
                <w:color w:val="auto"/>
                <w:highlight w:val="none"/>
              </w:rPr>
            </w:pPr>
          </w:p>
        </w:tc>
        <w:tc>
          <w:tcPr>
            <w:tcW w:w="850" w:type="dxa"/>
            <w:vAlign w:val="center"/>
          </w:tcPr>
          <w:p w14:paraId="79DB5E25">
            <w:pPr>
              <w:widowControl/>
              <w:rPr>
                <w:rFonts w:hint="eastAsia" w:ascii="宋体" w:hAnsi="宋体" w:cs="Calibri"/>
                <w:bCs/>
                <w:color w:val="auto"/>
                <w:highlight w:val="none"/>
              </w:rPr>
            </w:pPr>
          </w:p>
        </w:tc>
        <w:tc>
          <w:tcPr>
            <w:tcW w:w="1276" w:type="dxa"/>
            <w:vAlign w:val="center"/>
          </w:tcPr>
          <w:p w14:paraId="6FB7BBE8">
            <w:pPr>
              <w:widowControl/>
              <w:rPr>
                <w:rFonts w:hint="eastAsia" w:ascii="宋体" w:hAnsi="宋体" w:cs="Calibri"/>
                <w:bCs/>
                <w:color w:val="auto"/>
                <w:highlight w:val="none"/>
              </w:rPr>
            </w:pPr>
          </w:p>
        </w:tc>
        <w:tc>
          <w:tcPr>
            <w:tcW w:w="1276" w:type="dxa"/>
            <w:vAlign w:val="center"/>
          </w:tcPr>
          <w:p w14:paraId="76B0A6E5">
            <w:pPr>
              <w:widowControl/>
              <w:rPr>
                <w:rFonts w:hint="eastAsia" w:ascii="宋体" w:hAnsi="宋体" w:cs="Calibri"/>
                <w:bCs/>
                <w:color w:val="auto"/>
                <w:highlight w:val="none"/>
              </w:rPr>
            </w:pPr>
          </w:p>
        </w:tc>
        <w:tc>
          <w:tcPr>
            <w:tcW w:w="798" w:type="dxa"/>
            <w:vAlign w:val="center"/>
          </w:tcPr>
          <w:p w14:paraId="71FF8385">
            <w:pPr>
              <w:widowControl/>
              <w:rPr>
                <w:rFonts w:hint="eastAsia" w:ascii="宋体" w:hAnsi="宋体" w:cs="Calibri"/>
                <w:bCs/>
                <w:color w:val="auto"/>
                <w:highlight w:val="none"/>
              </w:rPr>
            </w:pPr>
          </w:p>
        </w:tc>
        <w:tc>
          <w:tcPr>
            <w:tcW w:w="947" w:type="dxa"/>
            <w:vAlign w:val="center"/>
          </w:tcPr>
          <w:p w14:paraId="7265678B">
            <w:pPr>
              <w:widowControl/>
              <w:rPr>
                <w:rFonts w:hint="eastAsia" w:ascii="宋体" w:hAnsi="宋体" w:cs="Calibri"/>
                <w:bCs/>
                <w:color w:val="auto"/>
                <w:highlight w:val="none"/>
              </w:rPr>
            </w:pPr>
          </w:p>
        </w:tc>
        <w:tc>
          <w:tcPr>
            <w:tcW w:w="947" w:type="dxa"/>
            <w:vAlign w:val="center"/>
          </w:tcPr>
          <w:p w14:paraId="374244CB">
            <w:pPr>
              <w:widowControl/>
              <w:rPr>
                <w:rFonts w:hint="eastAsia" w:ascii="宋体" w:hAnsi="宋体" w:cs="Calibri"/>
                <w:bCs/>
                <w:color w:val="auto"/>
                <w:highlight w:val="none"/>
              </w:rPr>
            </w:pPr>
          </w:p>
        </w:tc>
        <w:tc>
          <w:tcPr>
            <w:tcW w:w="947" w:type="dxa"/>
            <w:vAlign w:val="center"/>
          </w:tcPr>
          <w:p w14:paraId="0455FEFC">
            <w:pPr>
              <w:widowControl/>
              <w:rPr>
                <w:rFonts w:hint="eastAsia" w:ascii="宋体" w:hAnsi="宋体" w:cs="Calibri"/>
                <w:bCs/>
                <w:color w:val="auto"/>
                <w:highlight w:val="none"/>
              </w:rPr>
            </w:pPr>
          </w:p>
        </w:tc>
        <w:tc>
          <w:tcPr>
            <w:tcW w:w="947" w:type="dxa"/>
            <w:vAlign w:val="center"/>
          </w:tcPr>
          <w:p w14:paraId="7223B7DA">
            <w:pPr>
              <w:widowControl/>
              <w:rPr>
                <w:rFonts w:hint="eastAsia" w:ascii="宋体" w:hAnsi="宋体" w:cs="Calibri"/>
                <w:bCs/>
                <w:color w:val="auto"/>
                <w:highlight w:val="none"/>
              </w:rPr>
            </w:pPr>
          </w:p>
        </w:tc>
      </w:tr>
      <w:tr w14:paraId="582B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42F0DA34">
            <w:pPr>
              <w:widowControl/>
              <w:rPr>
                <w:rFonts w:hint="eastAsia" w:ascii="宋体" w:hAnsi="宋体" w:cs="Calibri"/>
                <w:bCs/>
                <w:color w:val="auto"/>
                <w:highlight w:val="none"/>
              </w:rPr>
            </w:pPr>
          </w:p>
        </w:tc>
        <w:tc>
          <w:tcPr>
            <w:tcW w:w="850" w:type="dxa"/>
            <w:vAlign w:val="center"/>
          </w:tcPr>
          <w:p w14:paraId="2CEFDE99">
            <w:pPr>
              <w:widowControl/>
              <w:rPr>
                <w:rFonts w:hint="eastAsia" w:ascii="宋体" w:hAnsi="宋体" w:cs="Calibri"/>
                <w:bCs/>
                <w:color w:val="auto"/>
                <w:highlight w:val="none"/>
              </w:rPr>
            </w:pPr>
          </w:p>
        </w:tc>
        <w:tc>
          <w:tcPr>
            <w:tcW w:w="1276" w:type="dxa"/>
            <w:vAlign w:val="center"/>
          </w:tcPr>
          <w:p w14:paraId="093B6808">
            <w:pPr>
              <w:widowControl/>
              <w:rPr>
                <w:rFonts w:hint="eastAsia" w:ascii="宋体" w:hAnsi="宋体" w:cs="Calibri"/>
                <w:bCs/>
                <w:color w:val="auto"/>
                <w:highlight w:val="none"/>
              </w:rPr>
            </w:pPr>
          </w:p>
        </w:tc>
        <w:tc>
          <w:tcPr>
            <w:tcW w:w="1276" w:type="dxa"/>
            <w:vAlign w:val="center"/>
          </w:tcPr>
          <w:p w14:paraId="4712A338">
            <w:pPr>
              <w:widowControl/>
              <w:rPr>
                <w:rFonts w:hint="eastAsia" w:ascii="宋体" w:hAnsi="宋体" w:cs="Calibri"/>
                <w:bCs/>
                <w:color w:val="auto"/>
                <w:highlight w:val="none"/>
              </w:rPr>
            </w:pPr>
          </w:p>
        </w:tc>
        <w:tc>
          <w:tcPr>
            <w:tcW w:w="798" w:type="dxa"/>
            <w:vAlign w:val="center"/>
          </w:tcPr>
          <w:p w14:paraId="310C6A8B">
            <w:pPr>
              <w:widowControl/>
              <w:rPr>
                <w:rFonts w:hint="eastAsia" w:ascii="宋体" w:hAnsi="宋体" w:cs="Calibri"/>
                <w:bCs/>
                <w:color w:val="auto"/>
                <w:highlight w:val="none"/>
              </w:rPr>
            </w:pPr>
          </w:p>
        </w:tc>
        <w:tc>
          <w:tcPr>
            <w:tcW w:w="947" w:type="dxa"/>
            <w:vAlign w:val="center"/>
          </w:tcPr>
          <w:p w14:paraId="4460301C">
            <w:pPr>
              <w:widowControl/>
              <w:rPr>
                <w:rFonts w:hint="eastAsia" w:ascii="宋体" w:hAnsi="宋体" w:cs="Calibri"/>
                <w:bCs/>
                <w:color w:val="auto"/>
                <w:highlight w:val="none"/>
              </w:rPr>
            </w:pPr>
          </w:p>
        </w:tc>
        <w:tc>
          <w:tcPr>
            <w:tcW w:w="947" w:type="dxa"/>
            <w:vAlign w:val="center"/>
          </w:tcPr>
          <w:p w14:paraId="3922854E">
            <w:pPr>
              <w:widowControl/>
              <w:rPr>
                <w:rFonts w:hint="eastAsia" w:ascii="宋体" w:hAnsi="宋体" w:cs="Calibri"/>
                <w:bCs/>
                <w:color w:val="auto"/>
                <w:highlight w:val="none"/>
              </w:rPr>
            </w:pPr>
          </w:p>
        </w:tc>
        <w:tc>
          <w:tcPr>
            <w:tcW w:w="947" w:type="dxa"/>
            <w:vAlign w:val="center"/>
          </w:tcPr>
          <w:p w14:paraId="7C60C0B9">
            <w:pPr>
              <w:widowControl/>
              <w:rPr>
                <w:rFonts w:hint="eastAsia" w:ascii="宋体" w:hAnsi="宋体" w:cs="Calibri"/>
                <w:bCs/>
                <w:color w:val="auto"/>
                <w:highlight w:val="none"/>
              </w:rPr>
            </w:pPr>
          </w:p>
        </w:tc>
        <w:tc>
          <w:tcPr>
            <w:tcW w:w="947" w:type="dxa"/>
            <w:vAlign w:val="center"/>
          </w:tcPr>
          <w:p w14:paraId="26CE6CAC">
            <w:pPr>
              <w:widowControl/>
              <w:rPr>
                <w:rFonts w:hint="eastAsia" w:ascii="宋体" w:hAnsi="宋体" w:cs="Calibri"/>
                <w:bCs/>
                <w:color w:val="auto"/>
                <w:highlight w:val="none"/>
              </w:rPr>
            </w:pPr>
          </w:p>
        </w:tc>
      </w:tr>
      <w:tr w14:paraId="43D1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252BF3C6">
            <w:pPr>
              <w:widowControl/>
              <w:rPr>
                <w:rFonts w:hint="eastAsia" w:ascii="宋体" w:hAnsi="宋体" w:cs="Calibri"/>
                <w:bCs/>
                <w:color w:val="auto"/>
                <w:highlight w:val="none"/>
              </w:rPr>
            </w:pPr>
          </w:p>
        </w:tc>
        <w:tc>
          <w:tcPr>
            <w:tcW w:w="850" w:type="dxa"/>
            <w:vAlign w:val="center"/>
          </w:tcPr>
          <w:p w14:paraId="2233CA13">
            <w:pPr>
              <w:widowControl/>
              <w:rPr>
                <w:rFonts w:hint="eastAsia" w:ascii="宋体" w:hAnsi="宋体" w:cs="Calibri"/>
                <w:bCs/>
                <w:color w:val="auto"/>
                <w:highlight w:val="none"/>
              </w:rPr>
            </w:pPr>
          </w:p>
        </w:tc>
        <w:tc>
          <w:tcPr>
            <w:tcW w:w="1276" w:type="dxa"/>
            <w:vAlign w:val="center"/>
          </w:tcPr>
          <w:p w14:paraId="37DBF7E5">
            <w:pPr>
              <w:widowControl/>
              <w:rPr>
                <w:rFonts w:hint="eastAsia" w:ascii="宋体" w:hAnsi="宋体" w:cs="Calibri"/>
                <w:bCs/>
                <w:color w:val="auto"/>
                <w:highlight w:val="none"/>
              </w:rPr>
            </w:pPr>
          </w:p>
        </w:tc>
        <w:tc>
          <w:tcPr>
            <w:tcW w:w="1276" w:type="dxa"/>
            <w:vAlign w:val="center"/>
          </w:tcPr>
          <w:p w14:paraId="0CC1E07D">
            <w:pPr>
              <w:widowControl/>
              <w:rPr>
                <w:rFonts w:hint="eastAsia" w:ascii="宋体" w:hAnsi="宋体" w:cs="Calibri"/>
                <w:bCs/>
                <w:color w:val="auto"/>
                <w:highlight w:val="none"/>
              </w:rPr>
            </w:pPr>
          </w:p>
        </w:tc>
        <w:tc>
          <w:tcPr>
            <w:tcW w:w="798" w:type="dxa"/>
            <w:vAlign w:val="center"/>
          </w:tcPr>
          <w:p w14:paraId="04CDDC27">
            <w:pPr>
              <w:widowControl/>
              <w:rPr>
                <w:rFonts w:hint="eastAsia" w:ascii="宋体" w:hAnsi="宋体" w:cs="Calibri"/>
                <w:bCs/>
                <w:color w:val="auto"/>
                <w:highlight w:val="none"/>
              </w:rPr>
            </w:pPr>
          </w:p>
        </w:tc>
        <w:tc>
          <w:tcPr>
            <w:tcW w:w="947" w:type="dxa"/>
            <w:vAlign w:val="center"/>
          </w:tcPr>
          <w:p w14:paraId="6883753E">
            <w:pPr>
              <w:widowControl/>
              <w:rPr>
                <w:rFonts w:hint="eastAsia" w:ascii="宋体" w:hAnsi="宋体" w:cs="Calibri"/>
                <w:bCs/>
                <w:color w:val="auto"/>
                <w:highlight w:val="none"/>
              </w:rPr>
            </w:pPr>
          </w:p>
        </w:tc>
        <w:tc>
          <w:tcPr>
            <w:tcW w:w="947" w:type="dxa"/>
            <w:vAlign w:val="center"/>
          </w:tcPr>
          <w:p w14:paraId="1635CAC1">
            <w:pPr>
              <w:widowControl/>
              <w:rPr>
                <w:rFonts w:hint="eastAsia" w:ascii="宋体" w:hAnsi="宋体" w:cs="Calibri"/>
                <w:bCs/>
                <w:color w:val="auto"/>
                <w:highlight w:val="none"/>
              </w:rPr>
            </w:pPr>
          </w:p>
        </w:tc>
        <w:tc>
          <w:tcPr>
            <w:tcW w:w="947" w:type="dxa"/>
            <w:vAlign w:val="center"/>
          </w:tcPr>
          <w:p w14:paraId="28B011ED">
            <w:pPr>
              <w:widowControl/>
              <w:rPr>
                <w:rFonts w:hint="eastAsia" w:ascii="宋体" w:hAnsi="宋体" w:cs="Calibri"/>
                <w:bCs/>
                <w:color w:val="auto"/>
                <w:highlight w:val="none"/>
              </w:rPr>
            </w:pPr>
          </w:p>
        </w:tc>
        <w:tc>
          <w:tcPr>
            <w:tcW w:w="947" w:type="dxa"/>
            <w:vAlign w:val="center"/>
          </w:tcPr>
          <w:p w14:paraId="05AC7357">
            <w:pPr>
              <w:widowControl/>
              <w:rPr>
                <w:rFonts w:hint="eastAsia" w:ascii="宋体" w:hAnsi="宋体" w:cs="Calibri"/>
                <w:bCs/>
                <w:color w:val="auto"/>
                <w:highlight w:val="none"/>
              </w:rPr>
            </w:pPr>
          </w:p>
        </w:tc>
      </w:tr>
      <w:tr w14:paraId="4D4C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34" w:type="dxa"/>
            <w:vAlign w:val="center"/>
          </w:tcPr>
          <w:p w14:paraId="554C87C0">
            <w:pPr>
              <w:widowControl/>
              <w:rPr>
                <w:rFonts w:hint="eastAsia" w:ascii="宋体" w:hAnsi="宋体" w:cs="Calibri"/>
                <w:bCs/>
                <w:color w:val="auto"/>
                <w:highlight w:val="none"/>
              </w:rPr>
            </w:pPr>
          </w:p>
        </w:tc>
        <w:tc>
          <w:tcPr>
            <w:tcW w:w="850" w:type="dxa"/>
            <w:vAlign w:val="center"/>
          </w:tcPr>
          <w:p w14:paraId="7400C26A">
            <w:pPr>
              <w:widowControl/>
              <w:rPr>
                <w:rFonts w:hint="eastAsia" w:ascii="宋体" w:hAnsi="宋体" w:cs="Calibri"/>
                <w:bCs/>
                <w:color w:val="auto"/>
                <w:highlight w:val="none"/>
              </w:rPr>
            </w:pPr>
          </w:p>
        </w:tc>
        <w:tc>
          <w:tcPr>
            <w:tcW w:w="1276" w:type="dxa"/>
            <w:vAlign w:val="center"/>
          </w:tcPr>
          <w:p w14:paraId="5C2F4B66">
            <w:pPr>
              <w:widowControl/>
              <w:rPr>
                <w:rFonts w:hint="eastAsia" w:ascii="宋体" w:hAnsi="宋体" w:cs="Calibri"/>
                <w:bCs/>
                <w:color w:val="auto"/>
                <w:highlight w:val="none"/>
              </w:rPr>
            </w:pPr>
          </w:p>
        </w:tc>
        <w:tc>
          <w:tcPr>
            <w:tcW w:w="1276" w:type="dxa"/>
            <w:vAlign w:val="center"/>
          </w:tcPr>
          <w:p w14:paraId="1D6C81AA">
            <w:pPr>
              <w:widowControl/>
              <w:rPr>
                <w:rFonts w:hint="eastAsia" w:ascii="宋体" w:hAnsi="宋体" w:cs="Calibri"/>
                <w:bCs/>
                <w:color w:val="auto"/>
                <w:highlight w:val="none"/>
              </w:rPr>
            </w:pPr>
          </w:p>
        </w:tc>
        <w:tc>
          <w:tcPr>
            <w:tcW w:w="798" w:type="dxa"/>
            <w:vAlign w:val="center"/>
          </w:tcPr>
          <w:p w14:paraId="66B72907">
            <w:pPr>
              <w:widowControl/>
              <w:rPr>
                <w:rFonts w:hint="eastAsia" w:ascii="宋体" w:hAnsi="宋体" w:cs="Calibri"/>
                <w:bCs/>
                <w:color w:val="auto"/>
                <w:highlight w:val="none"/>
              </w:rPr>
            </w:pPr>
          </w:p>
        </w:tc>
        <w:tc>
          <w:tcPr>
            <w:tcW w:w="947" w:type="dxa"/>
            <w:vAlign w:val="center"/>
          </w:tcPr>
          <w:p w14:paraId="1BADDC51">
            <w:pPr>
              <w:widowControl/>
              <w:rPr>
                <w:rFonts w:hint="eastAsia" w:ascii="宋体" w:hAnsi="宋体" w:cs="Calibri"/>
                <w:bCs/>
                <w:color w:val="auto"/>
                <w:highlight w:val="none"/>
              </w:rPr>
            </w:pPr>
          </w:p>
        </w:tc>
        <w:tc>
          <w:tcPr>
            <w:tcW w:w="947" w:type="dxa"/>
            <w:vAlign w:val="center"/>
          </w:tcPr>
          <w:p w14:paraId="77E9E30B">
            <w:pPr>
              <w:widowControl/>
              <w:rPr>
                <w:rFonts w:hint="eastAsia" w:ascii="宋体" w:hAnsi="宋体" w:cs="Calibri"/>
                <w:bCs/>
                <w:color w:val="auto"/>
                <w:highlight w:val="none"/>
              </w:rPr>
            </w:pPr>
          </w:p>
        </w:tc>
        <w:tc>
          <w:tcPr>
            <w:tcW w:w="947" w:type="dxa"/>
            <w:vAlign w:val="center"/>
          </w:tcPr>
          <w:p w14:paraId="62B8121B">
            <w:pPr>
              <w:widowControl/>
              <w:rPr>
                <w:rFonts w:hint="eastAsia" w:ascii="宋体" w:hAnsi="宋体" w:cs="Calibri"/>
                <w:bCs/>
                <w:color w:val="auto"/>
                <w:highlight w:val="none"/>
              </w:rPr>
            </w:pPr>
          </w:p>
        </w:tc>
        <w:tc>
          <w:tcPr>
            <w:tcW w:w="947" w:type="dxa"/>
            <w:vAlign w:val="center"/>
          </w:tcPr>
          <w:p w14:paraId="4A9B926A">
            <w:pPr>
              <w:widowControl/>
              <w:rPr>
                <w:rFonts w:hint="eastAsia" w:ascii="宋体" w:hAnsi="宋体" w:cs="Calibri"/>
                <w:bCs/>
                <w:color w:val="auto"/>
                <w:highlight w:val="none"/>
              </w:rPr>
            </w:pPr>
          </w:p>
        </w:tc>
      </w:tr>
    </w:tbl>
    <w:p w14:paraId="15C6B17B">
      <w:pPr>
        <w:widowControl/>
        <w:autoSpaceDE/>
        <w:autoSpaceDN/>
        <w:adjustRightInd/>
        <w:rPr>
          <w:rFonts w:hint="eastAsia" w:ascii="宋体" w:hAnsi="宋体"/>
          <w:color w:val="auto"/>
          <w:highlight w:val="none"/>
        </w:rPr>
      </w:pPr>
    </w:p>
    <w:p w14:paraId="029377EE">
      <w:pPr>
        <w:widowControl/>
        <w:autoSpaceDE/>
        <w:autoSpaceDN/>
        <w:adjustRightInd/>
        <w:rPr>
          <w:rFonts w:hint="eastAsia" w:ascii="宋体" w:hAnsi="宋体"/>
          <w:color w:val="auto"/>
          <w:highlight w:val="none"/>
        </w:rPr>
      </w:pPr>
    </w:p>
    <w:p w14:paraId="6E6C9A6F">
      <w:pPr>
        <w:widowControl/>
        <w:autoSpaceDE/>
        <w:autoSpaceDN/>
        <w:adjustRightInd/>
        <w:rPr>
          <w:rFonts w:hint="eastAsia" w:ascii="宋体" w:hAnsi="宋体"/>
          <w:color w:val="auto"/>
          <w:highlight w:val="none"/>
        </w:rPr>
      </w:pPr>
    </w:p>
    <w:p w14:paraId="576D7E46">
      <w:pPr>
        <w:widowControl/>
        <w:autoSpaceDE/>
        <w:autoSpaceDN/>
        <w:adjustRightInd/>
        <w:rPr>
          <w:rFonts w:hint="eastAsia" w:ascii="宋体" w:hAnsi="宋体"/>
          <w:color w:val="auto"/>
          <w:highlight w:val="none"/>
        </w:rPr>
      </w:pPr>
    </w:p>
    <w:p w14:paraId="1E922E34">
      <w:pPr>
        <w:widowControl/>
        <w:autoSpaceDE/>
        <w:autoSpaceDN/>
        <w:adjustRightInd/>
        <w:rPr>
          <w:rFonts w:hint="eastAsia" w:ascii="宋体" w:hAnsi="宋体"/>
          <w:color w:val="auto"/>
          <w:highlight w:val="none"/>
        </w:rPr>
      </w:pPr>
    </w:p>
    <w:p w14:paraId="69035482">
      <w:pPr>
        <w:widowControl/>
        <w:autoSpaceDE/>
        <w:autoSpaceDN/>
        <w:adjustRightInd/>
        <w:rPr>
          <w:rFonts w:hint="eastAsia" w:ascii="宋体" w:hAnsi="宋体"/>
          <w:color w:val="auto"/>
          <w:highlight w:val="none"/>
        </w:rPr>
      </w:pPr>
    </w:p>
    <w:p w14:paraId="3FCDF457">
      <w:pPr>
        <w:widowControl/>
        <w:autoSpaceDE/>
        <w:autoSpaceDN/>
        <w:adjustRightInd/>
        <w:rPr>
          <w:rFonts w:hint="eastAsia" w:ascii="宋体" w:hAnsi="宋体"/>
          <w:color w:val="auto"/>
          <w:highlight w:val="none"/>
        </w:rPr>
      </w:pPr>
    </w:p>
    <w:p w14:paraId="5B2383C6">
      <w:pPr>
        <w:widowControl/>
        <w:autoSpaceDE/>
        <w:autoSpaceDN/>
        <w:adjustRightInd/>
        <w:rPr>
          <w:rFonts w:hint="eastAsia" w:ascii="宋体" w:hAnsi="宋体"/>
          <w:color w:val="auto"/>
          <w:highlight w:val="none"/>
        </w:rPr>
      </w:pPr>
    </w:p>
    <w:p w14:paraId="7C83186B">
      <w:pPr>
        <w:widowControl/>
        <w:autoSpaceDE/>
        <w:autoSpaceDN/>
        <w:adjustRightInd/>
        <w:rPr>
          <w:rFonts w:hint="eastAsia" w:ascii="宋体" w:hAnsi="宋体"/>
          <w:color w:val="auto"/>
          <w:highlight w:val="none"/>
        </w:rPr>
      </w:pPr>
    </w:p>
    <w:p w14:paraId="4C4CCABD">
      <w:pPr>
        <w:widowControl/>
        <w:autoSpaceDE/>
        <w:autoSpaceDN/>
        <w:adjustRightInd/>
        <w:rPr>
          <w:rFonts w:hint="eastAsia" w:ascii="宋体" w:hAnsi="宋体"/>
          <w:color w:val="auto"/>
          <w:highlight w:val="none"/>
        </w:rPr>
      </w:pPr>
    </w:p>
    <w:p w14:paraId="390A96E4">
      <w:pPr>
        <w:widowControl/>
        <w:autoSpaceDE/>
        <w:autoSpaceDN/>
        <w:adjustRightInd/>
        <w:rPr>
          <w:rFonts w:hint="eastAsia" w:ascii="宋体" w:hAnsi="宋体"/>
          <w:color w:val="auto"/>
          <w:highlight w:val="none"/>
        </w:rPr>
      </w:pPr>
    </w:p>
    <w:p w14:paraId="664B87AF">
      <w:pPr>
        <w:widowControl/>
        <w:autoSpaceDE/>
        <w:autoSpaceDN/>
        <w:adjustRightInd/>
        <w:rPr>
          <w:rFonts w:hint="eastAsia" w:ascii="宋体" w:hAnsi="宋体"/>
          <w:color w:val="auto"/>
          <w:highlight w:val="none"/>
        </w:rPr>
      </w:pPr>
    </w:p>
    <w:p w14:paraId="7AA14320">
      <w:pPr>
        <w:widowControl/>
        <w:autoSpaceDE/>
        <w:autoSpaceDN/>
        <w:adjustRightInd/>
        <w:rPr>
          <w:rFonts w:hint="eastAsia" w:ascii="宋体" w:hAnsi="宋体"/>
          <w:color w:val="auto"/>
          <w:highlight w:val="none"/>
        </w:rPr>
        <w:sectPr>
          <w:pgSz w:w="11850" w:h="16783"/>
          <w:pgMar w:top="879" w:right="1701" w:bottom="879" w:left="1701" w:header="851" w:footer="992" w:gutter="0"/>
          <w:cols w:space="720" w:num="1"/>
          <w:docGrid w:type="lines" w:linePitch="327" w:charSpace="0"/>
        </w:sectPr>
      </w:pPr>
    </w:p>
    <w:p w14:paraId="17991AD0">
      <w:pPr>
        <w:tabs>
          <w:tab w:val="left" w:pos="567"/>
          <w:tab w:val="left" w:pos="993"/>
        </w:tabs>
        <w:spacing w:line="360" w:lineRule="auto"/>
        <w:ind w:right="560"/>
        <w:rPr>
          <w:rFonts w:ascii="方正仿宋"/>
          <w:b/>
          <w:bCs/>
          <w:color w:val="auto"/>
          <w:highlight w:val="none"/>
        </w:rPr>
      </w:pPr>
      <w:r>
        <w:rPr>
          <w:rFonts w:hint="eastAsia" w:ascii="方正仿宋"/>
          <w:b/>
          <w:bCs/>
          <w:color w:val="auto"/>
          <w:highlight w:val="none"/>
        </w:rPr>
        <w:t>附件：</w:t>
      </w:r>
    </w:p>
    <w:p w14:paraId="67A65E86">
      <w:pPr>
        <w:adjustRightInd/>
        <w:spacing w:line="360" w:lineRule="auto"/>
        <w:ind w:firstLine="600" w:firstLineChars="200"/>
        <w:jc w:val="both"/>
        <w:rPr>
          <w:rFonts w:hint="eastAsia" w:hAnsi="宋体"/>
          <w:color w:val="auto"/>
          <w:sz w:val="30"/>
          <w:szCs w:val="30"/>
          <w:highlight w:val="none"/>
        </w:rPr>
      </w:pPr>
      <w:r>
        <w:rPr>
          <w:rFonts w:hint="eastAsia" w:hAnsi="宋体"/>
          <w:color w:val="auto"/>
          <w:sz w:val="30"/>
          <w:szCs w:val="30"/>
          <w:highlight w:val="none"/>
        </w:rPr>
        <w:t>评标基准价计算采用方法一、方法三、方法五，供招标人在开标现场随机确定其中一种；各区县市招投标主管部门也可在此基础上视情增加其余计算方法。</w:t>
      </w:r>
    </w:p>
    <w:p w14:paraId="74852706">
      <w:pPr>
        <w:adjustRightInd/>
        <w:spacing w:line="360" w:lineRule="auto"/>
        <w:ind w:firstLine="480" w:firstLineChars="200"/>
        <w:jc w:val="both"/>
        <w:rPr>
          <w:rFonts w:hint="eastAsia" w:hAnsi="宋体"/>
          <w:color w:val="auto"/>
          <w:highlight w:val="none"/>
        </w:rPr>
      </w:pPr>
    </w:p>
    <w:p w14:paraId="3337040C">
      <w:pPr>
        <w:pStyle w:val="14"/>
        <w:spacing w:line="360" w:lineRule="auto"/>
        <w:rPr>
          <w:rFonts w:hint="eastAsia" w:hAnsi="宋体" w:cs="宋体"/>
          <w:snapToGrid w:val="0"/>
          <w:color w:val="auto"/>
          <w:kern w:val="32"/>
          <w:sz w:val="32"/>
          <w:szCs w:val="32"/>
          <w:highlight w:val="none"/>
        </w:rPr>
      </w:pPr>
      <w:r>
        <w:rPr>
          <w:rFonts w:hint="eastAsia" w:ascii="仿宋_GB2312" w:hAnsi="宋体" w:eastAsia="仿宋_GB2312" w:cs="宋体"/>
          <w:snapToGrid w:val="0"/>
          <w:color w:val="auto"/>
          <w:kern w:val="32"/>
          <w:sz w:val="32"/>
          <w:szCs w:val="32"/>
          <w:highlight w:val="none"/>
        </w:rPr>
        <w:t>☑</w:t>
      </w:r>
      <w:r>
        <w:rPr>
          <w:rFonts w:hint="eastAsia" w:hAnsi="宋体" w:cs="宋体"/>
          <w:snapToGrid w:val="0"/>
          <w:color w:val="auto"/>
          <w:kern w:val="32"/>
          <w:sz w:val="32"/>
          <w:szCs w:val="32"/>
          <w:highlight w:val="none"/>
        </w:rPr>
        <w:t>方法一</w:t>
      </w:r>
    </w:p>
    <w:p w14:paraId="60A3055E">
      <w:pPr>
        <w:spacing w:line="360" w:lineRule="auto"/>
        <w:rPr>
          <w:rFonts w:hint="eastAsia" w:ascii="宋体" w:hAnsi="宋体" w:cs="宋体"/>
          <w:snapToGrid w:val="0"/>
          <w:color w:val="auto"/>
          <w:kern w:val="32"/>
          <w:highlight w:val="none"/>
        </w:rPr>
      </w:pPr>
      <w:r>
        <w:rPr>
          <w:rFonts w:hint="eastAsia" w:ascii="宋体" w:hAnsi="宋体"/>
          <w:color w:val="auto"/>
          <w:highlight w:val="none"/>
        </w:rPr>
        <w:t>（1）评标基准价计算范围:见评标办法。</w:t>
      </w:r>
    </w:p>
    <w:p w14:paraId="6911CC26">
      <w:pPr>
        <w:pStyle w:val="14"/>
        <w:spacing w:line="360" w:lineRule="auto"/>
        <w:rPr>
          <w:rFonts w:hint="eastAsia" w:hAnsi="宋体" w:cs="宋体"/>
          <w:snapToGrid w:val="0"/>
          <w:color w:val="auto"/>
          <w:kern w:val="32"/>
          <w:sz w:val="24"/>
          <w:szCs w:val="24"/>
          <w:highlight w:val="none"/>
        </w:rPr>
      </w:pPr>
      <w:r>
        <w:rPr>
          <w:rFonts w:hint="eastAsia" w:hAnsi="宋体" w:cs="宋体"/>
          <w:snapToGrid w:val="0"/>
          <w:color w:val="auto"/>
          <w:kern w:val="32"/>
          <w:sz w:val="24"/>
          <w:szCs w:val="24"/>
          <w:highlight w:val="none"/>
        </w:rPr>
        <w:t>（2）评标基准价计算：</w:t>
      </w:r>
    </w:p>
    <w:p w14:paraId="6AD1C84F">
      <w:pPr>
        <w:pStyle w:val="14"/>
        <w:spacing w:line="360" w:lineRule="auto"/>
        <w:ind w:firstLine="480" w:firstLineChars="200"/>
        <w:rPr>
          <w:rFonts w:hint="eastAsia" w:hAnsi="宋体" w:cs="宋体"/>
          <w:snapToGrid w:val="0"/>
          <w:color w:val="auto"/>
          <w:kern w:val="32"/>
          <w:sz w:val="24"/>
          <w:szCs w:val="24"/>
          <w:highlight w:val="none"/>
        </w:rPr>
      </w:pPr>
      <w:r>
        <w:rPr>
          <w:rFonts w:hint="eastAsia" w:hAnsi="宋体" w:cs="宋体"/>
          <w:snapToGrid w:val="0"/>
          <w:color w:val="auto"/>
          <w:kern w:val="32"/>
          <w:sz w:val="24"/>
          <w:szCs w:val="24"/>
          <w:highlight w:val="none"/>
        </w:rPr>
        <w:t>评标基准价 = 经评审的各有效合理投标价格算术平均值×（1+浮动率C）×投标价格权重B + 招标控制价 ×（1－浮动率A）×（1－投标价格权重B）</w:t>
      </w:r>
    </w:p>
    <w:p w14:paraId="0CFE7E3B">
      <w:pPr>
        <w:pStyle w:val="14"/>
        <w:spacing w:line="360" w:lineRule="auto"/>
        <w:ind w:firstLine="480" w:firstLineChars="200"/>
        <w:rPr>
          <w:rFonts w:hint="eastAsia" w:hAnsi="宋体" w:cs="宋体"/>
          <w:snapToGrid w:val="0"/>
          <w:color w:val="auto"/>
          <w:kern w:val="32"/>
          <w:sz w:val="24"/>
          <w:szCs w:val="24"/>
          <w:highlight w:val="none"/>
        </w:rPr>
      </w:pPr>
      <w:r>
        <w:rPr>
          <w:rFonts w:hint="eastAsia" w:hAnsi="宋体" w:cs="宋体"/>
          <w:snapToGrid w:val="0"/>
          <w:color w:val="auto"/>
          <w:kern w:val="32"/>
          <w:sz w:val="24"/>
          <w:szCs w:val="24"/>
          <w:highlight w:val="none"/>
        </w:rPr>
        <w:t>经评审的各有效合理投标价格算术平均值的计算方法为所有有效合理投标报价去掉最高和最低报价后的平均值（当有效投标报价在3家及以下时，算术平均值则为全部有效合理投标报价的平均值）。</w:t>
      </w:r>
    </w:p>
    <w:p w14:paraId="1A3D56E8">
      <w:pPr>
        <w:pStyle w:val="14"/>
        <w:spacing w:line="360" w:lineRule="auto"/>
        <w:ind w:firstLine="480" w:firstLineChars="200"/>
        <w:rPr>
          <w:rFonts w:hint="eastAsia" w:hAnsi="宋体" w:cs="宋体"/>
          <w:snapToGrid w:val="0"/>
          <w:color w:val="auto"/>
          <w:kern w:val="32"/>
          <w:sz w:val="24"/>
          <w:szCs w:val="24"/>
          <w:highlight w:val="none"/>
        </w:rPr>
      </w:pPr>
      <w:r>
        <w:rPr>
          <w:rFonts w:hint="eastAsia" w:hAnsi="宋体" w:cs="宋体"/>
          <w:snapToGrid w:val="0"/>
          <w:color w:val="auto"/>
          <w:kern w:val="32"/>
          <w:sz w:val="24"/>
          <w:szCs w:val="24"/>
          <w:highlight w:val="none"/>
        </w:rPr>
        <w:t>各有效投标报价与评标基准价进行比较，按以下公式求出百分比K值（有效投标报价高于或低于评标基准价不足一个百分点的，按直线插入法计算，保留两位小数，第三位四舍五入）：</w:t>
      </w:r>
    </w:p>
    <w:p w14:paraId="3E3BC1F9">
      <w:pPr>
        <w:pStyle w:val="14"/>
        <w:spacing w:line="360" w:lineRule="auto"/>
        <w:ind w:firstLine="480" w:firstLineChars="200"/>
        <w:rPr>
          <w:rFonts w:hint="eastAsia" w:hAnsi="宋体" w:cs="宋体"/>
          <w:snapToGrid w:val="0"/>
          <w:color w:val="auto"/>
          <w:kern w:val="32"/>
          <w:sz w:val="24"/>
          <w:szCs w:val="24"/>
          <w:highlight w:val="none"/>
        </w:rPr>
      </w:pPr>
      <w:r>
        <w:rPr>
          <w:rFonts w:hint="eastAsia" w:hAnsi="宋体" w:cs="宋体"/>
          <w:snapToGrid w:val="0"/>
          <w:color w:val="auto"/>
          <w:kern w:val="32"/>
          <w:sz w:val="24"/>
          <w:szCs w:val="24"/>
          <w:highlight w:val="none"/>
        </w:rPr>
        <w:t>K=（有效投标报价—评标基准价）÷评标基准价*100%</w:t>
      </w:r>
    </w:p>
    <w:p w14:paraId="158D3012">
      <w:pPr>
        <w:pStyle w:val="14"/>
        <w:spacing w:line="360" w:lineRule="auto"/>
        <w:ind w:firstLine="480" w:firstLineChars="200"/>
        <w:rPr>
          <w:rFonts w:hint="eastAsia" w:hAnsi="宋体" w:cs="宋体"/>
          <w:snapToGrid w:val="0"/>
          <w:color w:val="auto"/>
          <w:kern w:val="32"/>
          <w:sz w:val="24"/>
          <w:szCs w:val="24"/>
          <w:highlight w:val="none"/>
        </w:rPr>
      </w:pPr>
      <w:r>
        <w:rPr>
          <w:rFonts w:hint="eastAsia" w:hAnsi="宋体" w:cs="宋体"/>
          <w:snapToGrid w:val="0"/>
          <w:color w:val="auto"/>
          <w:kern w:val="32"/>
          <w:sz w:val="24"/>
          <w:szCs w:val="24"/>
          <w:highlight w:val="none"/>
        </w:rPr>
        <w:t>当K值等于零时，得满分；</w:t>
      </w:r>
    </w:p>
    <w:p w14:paraId="6479E85F">
      <w:pPr>
        <w:pStyle w:val="14"/>
        <w:spacing w:line="360" w:lineRule="auto"/>
        <w:ind w:firstLine="480" w:firstLineChars="200"/>
        <w:rPr>
          <w:rFonts w:hint="eastAsia" w:hAnsi="宋体" w:cs="宋体"/>
          <w:snapToGrid w:val="0"/>
          <w:color w:val="auto"/>
          <w:kern w:val="32"/>
          <w:sz w:val="32"/>
          <w:szCs w:val="32"/>
          <w:highlight w:val="none"/>
        </w:rPr>
      </w:pPr>
      <w:r>
        <w:rPr>
          <w:rFonts w:hint="eastAsia" w:hAnsi="宋体" w:cs="宋体"/>
          <w:snapToGrid w:val="0"/>
          <w:color w:val="auto"/>
          <w:kern w:val="32"/>
          <w:sz w:val="24"/>
          <w:szCs w:val="24"/>
          <w:highlight w:val="none"/>
        </w:rPr>
        <w:t>当K值大于零时，K值每增1%，在总分上扣</w:t>
      </w:r>
      <w:r>
        <w:rPr>
          <w:rFonts w:hint="eastAsia" w:hAnsi="宋体" w:cs="宋体"/>
          <w:snapToGrid w:val="0"/>
          <w:color w:val="auto"/>
          <w:kern w:val="32"/>
          <w:sz w:val="24"/>
          <w:szCs w:val="24"/>
          <w:highlight w:val="none"/>
          <w:u w:val="single"/>
        </w:rPr>
        <w:t xml:space="preserve"> 2C </w:t>
      </w:r>
      <w:r>
        <w:rPr>
          <w:rFonts w:hint="eastAsia" w:hAnsi="宋体" w:cs="宋体"/>
          <w:snapToGrid w:val="0"/>
          <w:color w:val="auto"/>
          <w:kern w:val="32"/>
          <w:sz w:val="24"/>
          <w:szCs w:val="24"/>
          <w:highlight w:val="none"/>
        </w:rPr>
        <w:t>分；</w:t>
      </w:r>
      <w:r>
        <w:rPr>
          <w:rFonts w:hint="eastAsia" w:hAnsi="宋体" w:cs="宋体"/>
          <w:snapToGrid w:val="0"/>
          <w:color w:val="auto"/>
          <w:kern w:val="32"/>
          <w:sz w:val="32"/>
          <w:szCs w:val="32"/>
          <w:highlight w:val="none"/>
        </w:rPr>
        <w:t>　</w:t>
      </w:r>
    </w:p>
    <w:p w14:paraId="33D46971">
      <w:pPr>
        <w:pStyle w:val="14"/>
        <w:spacing w:line="360" w:lineRule="auto"/>
        <w:ind w:firstLine="480" w:firstLineChars="200"/>
        <w:rPr>
          <w:rFonts w:hint="eastAsia" w:hAnsi="宋体" w:cs="宋体"/>
          <w:snapToGrid w:val="0"/>
          <w:color w:val="auto"/>
          <w:kern w:val="32"/>
          <w:sz w:val="24"/>
          <w:szCs w:val="24"/>
          <w:highlight w:val="none"/>
        </w:rPr>
      </w:pPr>
      <w:r>
        <w:rPr>
          <w:rFonts w:hint="eastAsia" w:hAnsi="宋体" w:cs="宋体"/>
          <w:snapToGrid w:val="0"/>
          <w:color w:val="auto"/>
          <w:kern w:val="32"/>
          <w:sz w:val="24"/>
          <w:szCs w:val="24"/>
          <w:highlight w:val="none"/>
        </w:rPr>
        <w:t>当K值小于零时，K值每减1%，在总分上扣</w:t>
      </w:r>
      <w:r>
        <w:rPr>
          <w:rFonts w:hint="eastAsia" w:hAnsi="宋体" w:cs="宋体"/>
          <w:snapToGrid w:val="0"/>
          <w:color w:val="auto"/>
          <w:kern w:val="32"/>
          <w:sz w:val="24"/>
          <w:szCs w:val="24"/>
          <w:highlight w:val="none"/>
          <w:u w:val="single"/>
        </w:rPr>
        <w:t xml:space="preserve"> 1C</w:t>
      </w:r>
      <w:r>
        <w:rPr>
          <w:rFonts w:hint="eastAsia" w:hAnsi="宋体" w:cs="宋体"/>
          <w:snapToGrid w:val="0"/>
          <w:color w:val="auto"/>
          <w:kern w:val="32"/>
          <w:sz w:val="24"/>
          <w:szCs w:val="24"/>
          <w:highlight w:val="none"/>
        </w:rPr>
        <w:t>分。（该C值分别为1.0、1.5和2.0，现场抽取，详见评标办法。）</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41"/>
        <w:gridCol w:w="11287"/>
      </w:tblGrid>
      <w:tr w14:paraId="2755C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741" w:type="dxa"/>
            <w:vAlign w:val="center"/>
          </w:tcPr>
          <w:p w14:paraId="76DDE139">
            <w:pPr>
              <w:spacing w:line="360" w:lineRule="auto"/>
              <w:jc w:val="center"/>
              <w:rPr>
                <w:rFonts w:hint="eastAsia" w:ascii="宋体" w:hAnsi="宋体" w:cs="宋体"/>
                <w:color w:val="auto"/>
                <w:highlight w:val="none"/>
              </w:rPr>
            </w:pPr>
            <w:r>
              <w:rPr>
                <w:rFonts w:hint="eastAsia" w:ascii="宋体" w:hAnsi="宋体" w:cs="宋体"/>
                <w:color w:val="auto"/>
                <w:highlight w:val="none"/>
              </w:rPr>
              <w:t>工程类型</w:t>
            </w:r>
          </w:p>
        </w:tc>
        <w:tc>
          <w:tcPr>
            <w:tcW w:w="11287" w:type="dxa"/>
            <w:vAlign w:val="center"/>
          </w:tcPr>
          <w:p w14:paraId="39164B5B">
            <w:pPr>
              <w:spacing w:line="360" w:lineRule="auto"/>
              <w:jc w:val="center"/>
              <w:rPr>
                <w:rFonts w:hint="eastAsia" w:ascii="宋体" w:hAnsi="宋体" w:cs="宋体"/>
                <w:color w:val="auto"/>
                <w:highlight w:val="none"/>
              </w:rPr>
            </w:pPr>
            <w:r>
              <w:rPr>
                <w:rFonts w:hint="eastAsia" w:ascii="宋体" w:hAnsi="宋体" w:cs="宋体"/>
                <w:color w:val="auto"/>
                <w:highlight w:val="none"/>
              </w:rPr>
              <w:t>商务标评标基准价确定方式</w:t>
            </w:r>
          </w:p>
        </w:tc>
      </w:tr>
      <w:tr w14:paraId="479B2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4" w:hRule="atLeast"/>
          <w:jc w:val="center"/>
        </w:trPr>
        <w:tc>
          <w:tcPr>
            <w:tcW w:w="13028" w:type="dxa"/>
            <w:gridSpan w:val="2"/>
            <w:vAlign w:val="center"/>
          </w:tcPr>
          <w:p w14:paraId="1FEAEEA9">
            <w:pPr>
              <w:spacing w:line="360" w:lineRule="auto"/>
              <w:rPr>
                <w:rFonts w:hint="eastAsia" w:ascii="宋体" w:hAnsi="宋体" w:cs="宋体"/>
                <w:color w:val="auto"/>
                <w:highlight w:val="none"/>
              </w:rPr>
            </w:pPr>
            <w:r>
              <w:rPr>
                <w:rFonts w:hint="eastAsia" w:ascii="宋体" w:hAnsi="宋体" w:cs="宋体"/>
                <w:color w:val="auto"/>
                <w:highlight w:val="none"/>
              </w:rPr>
              <w:t>评标基准价 =经评审的各有效合理投标价格算术平均值×（1+浮动率C）×投标价格权重B + 招标控制价 ×（1－浮动率A）×（1－投标价格权重B）。</w:t>
            </w:r>
          </w:p>
          <w:p w14:paraId="12D27E5F">
            <w:pPr>
              <w:spacing w:line="360" w:lineRule="auto"/>
              <w:rPr>
                <w:rFonts w:hint="eastAsia" w:ascii="宋体" w:hAnsi="宋体" w:cs="宋体"/>
                <w:color w:val="auto"/>
                <w:highlight w:val="none"/>
              </w:rPr>
            </w:pPr>
            <w:r>
              <w:rPr>
                <w:rFonts w:hint="eastAsia" w:ascii="宋体" w:hAnsi="宋体" w:cs="宋体"/>
                <w:color w:val="auto"/>
                <w:highlight w:val="none"/>
              </w:rPr>
              <w:t>设经评审的各有效合理投标价格算术平均值与招标控制价的下浮率为F，根据F的数值范围分别确定浮动率A。</w:t>
            </w:r>
          </w:p>
          <w:p w14:paraId="3046C619">
            <w:pPr>
              <w:spacing w:line="360" w:lineRule="auto"/>
              <w:rPr>
                <w:rFonts w:hint="eastAsia" w:ascii="宋体" w:hAnsi="宋体" w:cs="宋体"/>
                <w:color w:val="auto"/>
                <w:highlight w:val="none"/>
              </w:rPr>
            </w:pPr>
            <w:r>
              <w:rPr>
                <w:rFonts w:hint="eastAsia" w:ascii="宋体" w:hAnsi="宋体" w:cs="宋体"/>
                <w:color w:val="auto"/>
                <w:highlight w:val="none"/>
              </w:rPr>
              <w:t>投标价格权重B的确定：40%、42%、44%、46%、48%、50%、52%、54%、56%、58%、60%十一档数值。</w:t>
            </w:r>
          </w:p>
          <w:p w14:paraId="262A80C7">
            <w:pPr>
              <w:spacing w:line="360" w:lineRule="auto"/>
              <w:rPr>
                <w:rFonts w:hint="eastAsia" w:ascii="宋体" w:hAnsi="宋体" w:cs="宋体"/>
                <w:color w:val="auto"/>
                <w:highlight w:val="none"/>
              </w:rPr>
            </w:pPr>
            <w:r>
              <w:rPr>
                <w:rFonts w:hint="eastAsia" w:ascii="宋体" w:hAnsi="宋体" w:cs="宋体"/>
                <w:color w:val="auto"/>
                <w:highlight w:val="none"/>
              </w:rPr>
              <w:t>各投标价格的算术平均值浮动率C的确定：－1.5%、－1.0%、－0.5%、0%、0.5%、1.0%、1.5%七档数值。</w:t>
            </w:r>
          </w:p>
        </w:tc>
      </w:tr>
      <w:tr w14:paraId="2F906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741" w:type="dxa"/>
            <w:vAlign w:val="center"/>
          </w:tcPr>
          <w:p w14:paraId="265ACD23">
            <w:pPr>
              <w:spacing w:line="360" w:lineRule="auto"/>
              <w:jc w:val="center"/>
              <w:rPr>
                <w:rFonts w:hint="eastAsia" w:ascii="宋体" w:hAnsi="宋体" w:cs="宋体"/>
                <w:color w:val="auto"/>
                <w:highlight w:val="none"/>
              </w:rPr>
            </w:pPr>
            <w:r>
              <w:rPr>
                <w:rFonts w:hint="eastAsia" w:ascii="宋体" w:hAnsi="宋体" w:cs="宋体"/>
                <w:color w:val="auto"/>
                <w:highlight w:val="none"/>
              </w:rPr>
              <w:t>建筑工程项目（仿古建筑）</w:t>
            </w:r>
          </w:p>
        </w:tc>
        <w:tc>
          <w:tcPr>
            <w:tcW w:w="11287" w:type="dxa"/>
            <w:vAlign w:val="center"/>
          </w:tcPr>
          <w:p w14:paraId="047C8D96">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1.F≤5%      A取6.5%、7%、7.5%、8%、8.5%、9%、9.5%、10%、10.5%、11%、11.5%十一档数值；</w:t>
            </w:r>
          </w:p>
          <w:p w14:paraId="39506D1D">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2.5%&lt;F≤10%  A取4.5%、5%、5.5%、6%、6.5%、7%、7.5%、8%、8.5%、9%、9.5%十一档数值；</w:t>
            </w:r>
          </w:p>
          <w:p w14:paraId="5D76BF29">
            <w:pPr>
              <w:spacing w:line="360" w:lineRule="auto"/>
              <w:rPr>
                <w:rFonts w:hint="eastAsia" w:ascii="宋体" w:hAnsi="宋体" w:cs="宋体"/>
                <w:b/>
                <w:color w:val="auto"/>
                <w:highlight w:val="none"/>
              </w:rPr>
            </w:pPr>
            <w:r>
              <w:rPr>
                <w:rFonts w:hint="eastAsia" w:ascii="宋体" w:hAnsi="宋体" w:cs="宋体"/>
                <w:color w:val="auto"/>
                <w:highlight w:val="none"/>
              </w:rPr>
              <w:t xml:space="preserve">    3.F&gt;10%      A取2.5%、3%、3.5%、4%、4.5%、5%、5.5%、6%、6.5%、7%、7.5%十一档数值；</w:t>
            </w:r>
          </w:p>
        </w:tc>
      </w:tr>
      <w:tr w14:paraId="1C548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741" w:type="dxa"/>
            <w:vAlign w:val="center"/>
          </w:tcPr>
          <w:p w14:paraId="520AAF12">
            <w:pPr>
              <w:spacing w:line="360" w:lineRule="auto"/>
              <w:jc w:val="center"/>
              <w:rPr>
                <w:rFonts w:hint="eastAsia" w:ascii="宋体" w:hAnsi="宋体" w:cs="宋体"/>
                <w:strike/>
                <w:color w:val="auto"/>
                <w:highlight w:val="none"/>
              </w:rPr>
            </w:pPr>
            <w:r>
              <w:rPr>
                <w:rFonts w:hint="eastAsia" w:ascii="宋体" w:hAnsi="宋体" w:cs="宋体"/>
                <w:strike/>
                <w:color w:val="auto"/>
                <w:highlight w:val="none"/>
              </w:rPr>
              <w:t>市政公用项目</w:t>
            </w:r>
          </w:p>
        </w:tc>
        <w:tc>
          <w:tcPr>
            <w:tcW w:w="11287" w:type="dxa"/>
            <w:vAlign w:val="center"/>
          </w:tcPr>
          <w:p w14:paraId="7EEB236C">
            <w:pPr>
              <w:spacing w:line="360" w:lineRule="auto"/>
              <w:ind w:firstLine="480" w:firstLineChars="200"/>
              <w:rPr>
                <w:rFonts w:hint="eastAsia" w:ascii="宋体" w:hAnsi="宋体" w:cs="宋体"/>
                <w:strike/>
                <w:color w:val="auto"/>
                <w:highlight w:val="none"/>
              </w:rPr>
            </w:pPr>
            <w:r>
              <w:rPr>
                <w:rFonts w:hint="eastAsia" w:ascii="宋体" w:hAnsi="宋体" w:cs="宋体"/>
                <w:strike/>
                <w:color w:val="auto"/>
                <w:highlight w:val="none"/>
              </w:rPr>
              <w:t>1.</w:t>
            </w:r>
            <w:r>
              <w:rPr>
                <w:rFonts w:hint="eastAsia" w:ascii="宋体" w:hAnsi="宋体" w:cs="宋体"/>
                <w:strike/>
                <w:color w:val="auto"/>
                <w:spacing w:val="-4"/>
                <w:highlight w:val="none"/>
              </w:rPr>
              <w:t>F≤8%     A取11.5%、12%、12.5%、13%、13.5%、14%、14.5%、15%、15.5%、16%、16.5%十一档数值；</w:t>
            </w:r>
          </w:p>
          <w:p w14:paraId="1DBAD6EE">
            <w:pPr>
              <w:spacing w:line="360" w:lineRule="auto"/>
              <w:ind w:firstLine="480" w:firstLineChars="200"/>
              <w:rPr>
                <w:rFonts w:hint="eastAsia" w:ascii="宋体" w:hAnsi="宋体" w:cs="宋体"/>
                <w:strike/>
                <w:color w:val="auto"/>
                <w:highlight w:val="none"/>
              </w:rPr>
            </w:pPr>
            <w:r>
              <w:rPr>
                <w:rFonts w:hint="eastAsia" w:ascii="宋体" w:hAnsi="宋体" w:cs="宋体"/>
                <w:strike/>
                <w:color w:val="auto"/>
                <w:highlight w:val="none"/>
              </w:rPr>
              <w:t>2.</w:t>
            </w:r>
            <w:r>
              <w:rPr>
                <w:rFonts w:hint="eastAsia" w:ascii="宋体" w:hAnsi="宋体" w:cs="宋体"/>
                <w:strike/>
                <w:color w:val="auto"/>
                <w:spacing w:val="-4"/>
                <w:highlight w:val="none"/>
              </w:rPr>
              <w:t>8%&lt;F≤15% A取9%、9.5%、10%、10.5%、11%、11.5%、12%、12.5%、13%、13.5%、14%取十一档数值；</w:t>
            </w:r>
          </w:p>
          <w:p w14:paraId="23D42322">
            <w:pPr>
              <w:spacing w:line="360" w:lineRule="auto"/>
              <w:ind w:firstLine="480" w:firstLineChars="200"/>
              <w:rPr>
                <w:rFonts w:hint="eastAsia" w:ascii="宋体" w:hAnsi="宋体" w:cs="宋体"/>
                <w:strike/>
                <w:color w:val="auto"/>
                <w:highlight w:val="none"/>
              </w:rPr>
            </w:pPr>
            <w:r>
              <w:rPr>
                <w:rFonts w:hint="eastAsia" w:ascii="宋体" w:hAnsi="宋体" w:cs="宋体"/>
                <w:strike/>
                <w:color w:val="auto"/>
                <w:highlight w:val="none"/>
              </w:rPr>
              <w:t>3.F&gt;15%     A取6.5%、7%、7.5%、8%、8.5%、9%、9.5%、10%、10.5%、11%、11.5%取十一档数值；</w:t>
            </w:r>
          </w:p>
        </w:tc>
      </w:tr>
      <w:tr w14:paraId="57490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741" w:type="dxa"/>
            <w:vAlign w:val="center"/>
          </w:tcPr>
          <w:p w14:paraId="727661D0">
            <w:pPr>
              <w:spacing w:line="360" w:lineRule="auto"/>
              <w:jc w:val="center"/>
              <w:rPr>
                <w:rFonts w:hint="eastAsia" w:ascii="宋体" w:hAnsi="宋体" w:cs="宋体"/>
                <w:strike/>
                <w:color w:val="auto"/>
                <w:highlight w:val="none"/>
              </w:rPr>
            </w:pPr>
            <w:r>
              <w:rPr>
                <w:rFonts w:hint="eastAsia" w:ascii="宋体" w:hAnsi="宋体" w:cs="宋体"/>
                <w:strike/>
                <w:color w:val="auto"/>
                <w:highlight w:val="none"/>
              </w:rPr>
              <w:t>园林绿化项目</w:t>
            </w:r>
          </w:p>
          <w:p w14:paraId="42935AC1">
            <w:pPr>
              <w:spacing w:line="360" w:lineRule="auto"/>
              <w:jc w:val="center"/>
              <w:rPr>
                <w:rFonts w:hint="eastAsia" w:ascii="宋体" w:hAnsi="宋体" w:cs="宋体"/>
                <w:strike/>
                <w:color w:val="auto"/>
                <w:highlight w:val="none"/>
              </w:rPr>
            </w:pPr>
            <w:r>
              <w:rPr>
                <w:rFonts w:hint="eastAsia" w:ascii="宋体" w:hAnsi="宋体" w:cs="宋体"/>
                <w:strike/>
                <w:color w:val="auto"/>
                <w:highlight w:val="none"/>
              </w:rPr>
              <w:t>（以绿化</w:t>
            </w:r>
          </w:p>
          <w:p w14:paraId="2A0D7110">
            <w:pPr>
              <w:spacing w:line="360" w:lineRule="auto"/>
              <w:jc w:val="center"/>
              <w:rPr>
                <w:rFonts w:hint="eastAsia" w:ascii="宋体" w:hAnsi="宋体" w:cs="宋体"/>
                <w:strike/>
                <w:color w:val="auto"/>
                <w:highlight w:val="none"/>
              </w:rPr>
            </w:pPr>
            <w:r>
              <w:rPr>
                <w:rFonts w:hint="eastAsia" w:ascii="宋体" w:hAnsi="宋体" w:cs="宋体"/>
                <w:strike/>
                <w:color w:val="auto"/>
                <w:highlight w:val="none"/>
              </w:rPr>
              <w:t>为主）</w:t>
            </w:r>
          </w:p>
        </w:tc>
        <w:tc>
          <w:tcPr>
            <w:tcW w:w="11287" w:type="dxa"/>
            <w:vAlign w:val="center"/>
          </w:tcPr>
          <w:p w14:paraId="60B72935">
            <w:pPr>
              <w:spacing w:line="360" w:lineRule="auto"/>
              <w:ind w:firstLine="480" w:firstLineChars="200"/>
              <w:rPr>
                <w:rFonts w:hint="eastAsia" w:ascii="宋体" w:hAnsi="宋体" w:cs="宋体"/>
                <w:strike/>
                <w:color w:val="auto"/>
                <w:highlight w:val="none"/>
              </w:rPr>
            </w:pPr>
            <w:r>
              <w:rPr>
                <w:rFonts w:hint="eastAsia" w:ascii="宋体" w:hAnsi="宋体" w:cs="宋体"/>
                <w:strike/>
                <w:color w:val="auto"/>
                <w:highlight w:val="none"/>
              </w:rPr>
              <w:t xml:space="preserve">1.F≤10%   </w:t>
            </w:r>
            <w:r>
              <w:rPr>
                <w:rFonts w:hint="eastAsia" w:ascii="宋体" w:hAnsi="宋体" w:cs="宋体"/>
                <w:strike/>
                <w:color w:val="auto"/>
                <w:spacing w:val="-4"/>
                <w:highlight w:val="none"/>
              </w:rPr>
              <w:t>A取13.5%、14%、14.5%、15%、15.5%、16%、16.5%、17%、17.5%、18%、18.5%十一档数值；</w:t>
            </w:r>
          </w:p>
          <w:p w14:paraId="6DB4D182">
            <w:pPr>
              <w:spacing w:line="360" w:lineRule="auto"/>
              <w:ind w:firstLine="480" w:firstLineChars="200"/>
              <w:rPr>
                <w:rFonts w:hint="eastAsia" w:ascii="宋体" w:hAnsi="宋体" w:cs="宋体"/>
                <w:strike/>
                <w:color w:val="auto"/>
                <w:highlight w:val="none"/>
              </w:rPr>
            </w:pPr>
            <w:r>
              <w:rPr>
                <w:rFonts w:hint="eastAsia" w:ascii="宋体" w:hAnsi="宋体" w:cs="宋体"/>
                <w:strike/>
                <w:color w:val="auto"/>
                <w:highlight w:val="none"/>
              </w:rPr>
              <w:t xml:space="preserve">2.10%&lt;F≤20%  </w:t>
            </w:r>
            <w:r>
              <w:rPr>
                <w:rFonts w:hint="eastAsia" w:ascii="宋体" w:hAnsi="宋体" w:cs="宋体"/>
                <w:strike/>
                <w:color w:val="auto"/>
                <w:spacing w:val="-8"/>
                <w:highlight w:val="none"/>
              </w:rPr>
              <w:t>A取9.5%、10%、10.5%、11%、11.5%、12%、12.5%、13%、13.5%、14%、14.5%十一档数值；</w:t>
            </w:r>
          </w:p>
          <w:p w14:paraId="4CD660B6">
            <w:pPr>
              <w:spacing w:line="360" w:lineRule="auto"/>
              <w:ind w:firstLine="480" w:firstLineChars="200"/>
              <w:rPr>
                <w:rFonts w:hint="eastAsia" w:ascii="宋体" w:hAnsi="宋体" w:cs="宋体"/>
                <w:strike/>
                <w:color w:val="auto"/>
                <w:highlight w:val="none"/>
              </w:rPr>
            </w:pPr>
            <w:r>
              <w:rPr>
                <w:rFonts w:hint="eastAsia" w:ascii="宋体" w:hAnsi="宋体" w:cs="宋体"/>
                <w:strike/>
                <w:color w:val="auto"/>
                <w:highlight w:val="none"/>
              </w:rPr>
              <w:t xml:space="preserve">3.F&gt;20%       A取6.5%、7%、7.5%、8%、8.5%、9%、9.5%、10%、10.5%、11%、11.5%十一档数值； </w:t>
            </w:r>
          </w:p>
        </w:tc>
      </w:tr>
    </w:tbl>
    <w:p w14:paraId="27032681">
      <w:pPr>
        <w:spacing w:line="360" w:lineRule="auto"/>
        <w:rPr>
          <w:rFonts w:hint="eastAsia" w:ascii="宋体" w:hAnsi="宋体" w:cs="宋体"/>
          <w:color w:val="auto"/>
          <w:highlight w:val="none"/>
        </w:rPr>
      </w:pPr>
      <w:r>
        <w:rPr>
          <w:rFonts w:hint="eastAsia" w:ascii="宋体" w:hAnsi="宋体" w:cs="宋体"/>
          <w:color w:val="auto"/>
          <w:highlight w:val="none"/>
        </w:rPr>
        <w:t>备注：1.浮动率A和权重B和浮动率C按招标文件约定由招标人代表分别在规定数值中随机抽取；</w:t>
      </w:r>
    </w:p>
    <w:p w14:paraId="3EE8F0DD">
      <w:pPr>
        <w:spacing w:line="360" w:lineRule="auto"/>
        <w:ind w:firstLine="720" w:firstLineChars="300"/>
        <w:rPr>
          <w:rFonts w:hint="eastAsia" w:ascii="宋体" w:hAnsi="宋体" w:cs="宋体"/>
          <w:color w:val="auto"/>
          <w:highlight w:val="none"/>
        </w:rPr>
        <w:sectPr>
          <w:pgSz w:w="16838" w:h="11906" w:orient="landscape"/>
          <w:pgMar w:top="1474" w:right="2041" w:bottom="1588" w:left="1985" w:header="851" w:footer="1531" w:gutter="0"/>
          <w:cols w:space="720" w:num="1"/>
          <w:docGrid w:type="lines" w:linePitch="312" w:charSpace="0"/>
        </w:sectPr>
      </w:pPr>
      <w:r>
        <w:rPr>
          <w:rFonts w:hint="eastAsia" w:ascii="宋体" w:hAnsi="宋体" w:cs="宋体"/>
          <w:color w:val="auto"/>
          <w:highlight w:val="none"/>
        </w:rPr>
        <w:t>2.F值保留两位小数，第三位四舍五入。</w:t>
      </w:r>
    </w:p>
    <w:p w14:paraId="096D2B80">
      <w:pPr>
        <w:pStyle w:val="14"/>
        <w:spacing w:line="600" w:lineRule="exact"/>
        <w:rPr>
          <w:rFonts w:hint="eastAsia" w:ascii="仿宋_GB2312" w:hAnsi="宋体" w:eastAsia="仿宋_GB2312" w:cs="宋体"/>
          <w:strike/>
          <w:snapToGrid w:val="0"/>
          <w:color w:val="auto"/>
          <w:kern w:val="32"/>
          <w:sz w:val="32"/>
          <w:szCs w:val="32"/>
          <w:highlight w:val="none"/>
        </w:rPr>
      </w:pPr>
      <w:r>
        <w:rPr>
          <w:rFonts w:hint="eastAsia" w:ascii="仿宋_GB2312" w:hAnsi="宋体" w:eastAsia="仿宋_GB2312" w:cs="宋体"/>
          <w:strike/>
          <w:snapToGrid w:val="0"/>
          <w:color w:val="auto"/>
          <w:kern w:val="32"/>
          <w:sz w:val="32"/>
          <w:szCs w:val="32"/>
          <w:highlight w:val="none"/>
        </w:rPr>
        <w:sym w:font="Wingdings 2" w:char="00A3"/>
      </w:r>
      <w:r>
        <w:rPr>
          <w:rFonts w:hint="eastAsia" w:ascii="仿宋_GB2312" w:hAnsi="宋体" w:eastAsia="仿宋_GB2312" w:cs="宋体"/>
          <w:strike/>
          <w:snapToGrid w:val="0"/>
          <w:color w:val="auto"/>
          <w:kern w:val="32"/>
          <w:sz w:val="32"/>
          <w:szCs w:val="32"/>
          <w:highlight w:val="none"/>
        </w:rPr>
        <w:t>方法二</w:t>
      </w:r>
    </w:p>
    <w:p w14:paraId="3C2A7F7A">
      <w:pPr>
        <w:spacing w:line="360" w:lineRule="auto"/>
        <w:rPr>
          <w:rStyle w:val="26"/>
          <w:strike/>
          <w:color w:val="auto"/>
          <w:highlight w:val="none"/>
        </w:rPr>
      </w:pPr>
      <w:r>
        <w:rPr>
          <w:rFonts w:hint="eastAsia" w:ascii="宋体" w:hAnsi="宋体"/>
          <w:strike/>
          <w:color w:val="auto"/>
          <w:highlight w:val="none"/>
        </w:rPr>
        <w:t>评标基准价计算范围:见评标办法。</w:t>
      </w:r>
    </w:p>
    <w:p w14:paraId="45694B14">
      <w:pPr>
        <w:spacing w:line="360" w:lineRule="auto"/>
        <w:rPr>
          <w:rFonts w:hint="eastAsia" w:ascii="宋体" w:hAnsi="宋体"/>
          <w:strike/>
          <w:color w:val="auto"/>
          <w:highlight w:val="none"/>
        </w:rPr>
      </w:pPr>
      <w:r>
        <w:rPr>
          <w:rFonts w:ascii="宋体" w:hAnsi="宋体"/>
          <w:strike/>
          <w:color w:val="auto"/>
          <w:highlight w:val="none"/>
        </w:rPr>
        <w:t>（1）评标价的确定：</w:t>
      </w:r>
    </w:p>
    <w:p w14:paraId="73721D59">
      <w:pPr>
        <w:spacing w:line="360" w:lineRule="auto"/>
        <w:ind w:firstLine="480" w:firstLineChars="200"/>
        <w:rPr>
          <w:rFonts w:hint="eastAsia" w:ascii="宋体" w:hAnsi="宋体"/>
          <w:strike/>
          <w:color w:val="auto"/>
          <w:highlight w:val="none"/>
        </w:rPr>
      </w:pPr>
      <w:r>
        <w:rPr>
          <w:rFonts w:ascii="宋体" w:hAnsi="宋体"/>
          <w:strike/>
          <w:color w:val="auto"/>
          <w:highlight w:val="none"/>
        </w:rPr>
        <w:t>方法一：评标价＝</w:t>
      </w:r>
      <w:r>
        <w:rPr>
          <w:rFonts w:ascii="宋体" w:hAnsi="宋体"/>
          <w:b/>
          <w:bCs/>
          <w:strike/>
          <w:color w:val="auto"/>
          <w:highlight w:val="none"/>
        </w:rPr>
        <w:t>投标函文字报价</w:t>
      </w:r>
    </w:p>
    <w:p w14:paraId="7BDCCC6D">
      <w:pPr>
        <w:spacing w:line="360" w:lineRule="auto"/>
        <w:rPr>
          <w:rFonts w:hint="eastAsia" w:ascii="宋体" w:hAnsi="宋体"/>
          <w:strike/>
          <w:color w:val="auto"/>
          <w:highlight w:val="none"/>
        </w:rPr>
      </w:pPr>
      <w:r>
        <w:rPr>
          <w:rFonts w:ascii="宋体" w:hAnsi="宋体"/>
          <w:strike/>
          <w:color w:val="auto"/>
          <w:highlight w:val="none"/>
        </w:rPr>
        <w:t>（2）评标价平均值的计算：</w:t>
      </w:r>
    </w:p>
    <w:p w14:paraId="609B5D6B">
      <w:pPr>
        <w:spacing w:line="360" w:lineRule="auto"/>
        <w:ind w:firstLine="480" w:firstLineChars="200"/>
        <w:rPr>
          <w:rFonts w:hint="eastAsia" w:ascii="宋体" w:hAnsi="宋体"/>
          <w:strike/>
          <w:color w:val="auto"/>
          <w:highlight w:val="none"/>
        </w:rPr>
      </w:pPr>
      <w:r>
        <w:rPr>
          <w:rFonts w:ascii="宋体" w:hAnsi="宋体"/>
          <w:strike/>
          <w:color w:val="auto"/>
          <w:highlight w:val="none"/>
        </w:rPr>
        <w:t>除按</w:t>
      </w:r>
      <w:r>
        <w:rPr>
          <w:rFonts w:hint="eastAsia" w:ascii="宋体" w:hAnsi="宋体"/>
          <w:strike/>
          <w:color w:val="auto"/>
          <w:highlight w:val="none"/>
        </w:rPr>
        <w:t>第二章“</w:t>
      </w:r>
      <w:r>
        <w:rPr>
          <w:rFonts w:ascii="宋体" w:hAnsi="宋体"/>
          <w:strike/>
          <w:color w:val="auto"/>
          <w:highlight w:val="none"/>
        </w:rPr>
        <w:t>投标人须知</w:t>
      </w:r>
      <w:r>
        <w:rPr>
          <w:rFonts w:hint="eastAsia" w:ascii="宋体" w:hAnsi="宋体"/>
          <w:strike/>
          <w:color w:val="auto"/>
          <w:highlight w:val="none"/>
        </w:rPr>
        <w:t>”前附表</w:t>
      </w:r>
      <w:r>
        <w:rPr>
          <w:rFonts w:ascii="宋体" w:hAnsi="宋体"/>
          <w:strike/>
          <w:color w:val="auto"/>
          <w:highlight w:val="none"/>
        </w:rPr>
        <w:t>第</w:t>
      </w:r>
      <w:r>
        <w:rPr>
          <w:rFonts w:hint="eastAsia" w:ascii="宋体" w:hAnsi="宋体"/>
          <w:strike/>
          <w:color w:val="auto"/>
          <w:highlight w:val="none"/>
        </w:rPr>
        <w:t>10.5</w:t>
      </w:r>
      <w:r>
        <w:rPr>
          <w:rFonts w:ascii="宋体" w:hAnsi="宋体"/>
          <w:strike/>
          <w:color w:val="auto"/>
          <w:highlight w:val="none"/>
        </w:rPr>
        <w:t>规定</w:t>
      </w:r>
      <w:r>
        <w:rPr>
          <w:rFonts w:hint="eastAsia" w:ascii="宋体" w:hAnsi="宋体"/>
          <w:strike/>
          <w:color w:val="auto"/>
          <w:highlight w:val="none"/>
        </w:rPr>
        <w:t>被否决投标的，不进入评标基准价计算</w:t>
      </w:r>
      <w:r>
        <w:rPr>
          <w:rFonts w:ascii="宋体" w:hAnsi="宋体"/>
          <w:strike/>
          <w:color w:val="auto"/>
          <w:highlight w:val="none"/>
        </w:rPr>
        <w:t>的投标报价之外，所有投标人的评标价去掉一个最高值和一个最低值后的算术平均值即为评标价平均值（如果参与评标价平均值计算的有效投标人少于</w:t>
      </w:r>
      <w:r>
        <w:rPr>
          <w:rFonts w:hint="eastAsia" w:ascii="宋体" w:hAnsi="宋体"/>
          <w:strike/>
          <w:color w:val="auto"/>
          <w:highlight w:val="none"/>
          <w:u w:val="single"/>
        </w:rPr>
        <w:t xml:space="preserve">   </w:t>
      </w:r>
      <w:r>
        <w:rPr>
          <w:rFonts w:ascii="宋体" w:hAnsi="宋体"/>
          <w:strike/>
          <w:color w:val="auto"/>
          <w:highlight w:val="none"/>
        </w:rPr>
        <w:t>家时，则计算评标价平均值时不去掉最高值和最低值）；</w:t>
      </w:r>
    </w:p>
    <w:p w14:paraId="435BBA65">
      <w:pPr>
        <w:spacing w:line="360" w:lineRule="auto"/>
        <w:rPr>
          <w:rFonts w:hint="eastAsia" w:ascii="宋体" w:hAnsi="宋体"/>
          <w:strike/>
          <w:color w:val="auto"/>
          <w:highlight w:val="none"/>
        </w:rPr>
      </w:pPr>
      <w:r>
        <w:rPr>
          <w:rFonts w:ascii="宋体" w:hAnsi="宋体"/>
          <w:strike/>
          <w:color w:val="auto"/>
          <w:highlight w:val="none"/>
        </w:rPr>
        <w:t>（3）评标基准价的确定：</w:t>
      </w:r>
    </w:p>
    <w:p w14:paraId="310A9D71">
      <w:pPr>
        <w:spacing w:line="360" w:lineRule="auto"/>
        <w:ind w:firstLine="480" w:firstLineChars="200"/>
        <w:rPr>
          <w:rFonts w:hint="eastAsia" w:ascii="宋体" w:hAnsi="宋体"/>
          <w:strike/>
          <w:color w:val="auto"/>
          <w:highlight w:val="none"/>
        </w:rPr>
      </w:pPr>
      <w:r>
        <w:rPr>
          <w:strike/>
          <w:color w:val="auto"/>
          <w:highlight w:val="none"/>
        </w:rPr>
        <w:sym w:font="Wingdings 2" w:char="00A3"/>
      </w:r>
      <w:r>
        <w:rPr>
          <w:rFonts w:ascii="宋体" w:hAnsi="宋体"/>
          <w:strike/>
          <w:color w:val="auto"/>
          <w:highlight w:val="none"/>
        </w:rPr>
        <w:t>方法</w:t>
      </w:r>
      <w:r>
        <w:rPr>
          <w:rFonts w:hint="eastAsia" w:ascii="宋体" w:hAnsi="宋体"/>
          <w:strike/>
          <w:color w:val="auto"/>
          <w:highlight w:val="none"/>
        </w:rPr>
        <w:t>1</w:t>
      </w:r>
      <w:r>
        <w:rPr>
          <w:rFonts w:ascii="宋体" w:hAnsi="宋体"/>
          <w:strike/>
          <w:color w:val="auto"/>
          <w:highlight w:val="none"/>
        </w:rPr>
        <w:t>：</w:t>
      </w:r>
      <w:r>
        <w:rPr>
          <w:rFonts w:hint="eastAsia" w:ascii="宋体" w:hAnsi="宋体"/>
          <w:strike/>
          <w:color w:val="auto"/>
          <w:highlight w:val="none"/>
        </w:rPr>
        <w:t>将</w:t>
      </w:r>
      <w:r>
        <w:rPr>
          <w:rFonts w:ascii="宋体" w:hAnsi="宋体"/>
          <w:strike/>
          <w:color w:val="auto"/>
          <w:highlight w:val="none"/>
        </w:rPr>
        <w:t>评标价平均值直接作为评标基准价。</w:t>
      </w:r>
    </w:p>
    <w:p w14:paraId="7F46CF57">
      <w:pPr>
        <w:spacing w:line="360" w:lineRule="auto"/>
        <w:ind w:firstLine="480" w:firstLineChars="200"/>
        <w:rPr>
          <w:rFonts w:hint="eastAsia" w:ascii="宋体" w:hAnsi="宋体"/>
          <w:strike/>
          <w:color w:val="auto"/>
          <w:highlight w:val="none"/>
        </w:rPr>
      </w:pPr>
      <w:r>
        <w:rPr>
          <w:strike/>
          <w:color w:val="auto"/>
          <w:highlight w:val="none"/>
        </w:rPr>
        <w:sym w:font="Wingdings 2" w:char="00A3"/>
      </w:r>
      <w:r>
        <w:rPr>
          <w:rFonts w:ascii="宋体" w:hAnsi="宋体"/>
          <w:strike/>
          <w:color w:val="auto"/>
          <w:highlight w:val="none"/>
        </w:rPr>
        <w:t>方法</w:t>
      </w:r>
      <w:r>
        <w:rPr>
          <w:rFonts w:hint="eastAsia" w:ascii="宋体" w:hAnsi="宋体"/>
          <w:strike/>
          <w:color w:val="auto"/>
          <w:highlight w:val="none"/>
        </w:rPr>
        <w:t>2</w:t>
      </w:r>
      <w:r>
        <w:rPr>
          <w:rFonts w:ascii="宋体" w:hAnsi="宋体"/>
          <w:strike/>
          <w:color w:val="auto"/>
          <w:highlight w:val="none"/>
        </w:rPr>
        <w:t>：将评标价平均值下浮</w:t>
      </w:r>
      <w:r>
        <w:rPr>
          <w:rFonts w:ascii="宋体" w:hAnsi="宋体"/>
          <w:strike/>
          <w:color w:val="auto"/>
          <w:highlight w:val="none"/>
          <w:u w:val="single"/>
        </w:rPr>
        <w:t xml:space="preserve">   </w:t>
      </w:r>
      <w:r>
        <w:rPr>
          <w:rFonts w:ascii="宋体" w:hAnsi="宋体"/>
          <w:strike/>
          <w:color w:val="auto"/>
          <w:highlight w:val="none"/>
        </w:rPr>
        <w:t>％，作为评标基准价。</w:t>
      </w:r>
    </w:p>
    <w:p w14:paraId="5A8D2DE5">
      <w:pPr>
        <w:spacing w:line="360" w:lineRule="auto"/>
        <w:ind w:firstLine="480" w:firstLineChars="200"/>
        <w:rPr>
          <w:rFonts w:hint="eastAsia" w:ascii="宋体" w:hAnsi="宋体"/>
          <w:strike/>
          <w:color w:val="auto"/>
          <w:highlight w:val="none"/>
        </w:rPr>
      </w:pPr>
      <w:r>
        <w:rPr>
          <w:rFonts w:hint="eastAsia" w:ascii="宋体" w:hAnsi="宋体"/>
          <w:strike/>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75269C9B">
      <w:pPr>
        <w:spacing w:line="360" w:lineRule="auto"/>
        <w:rPr>
          <w:rFonts w:hint="eastAsia" w:ascii="宋体" w:hAnsi="宋体"/>
          <w:strike/>
          <w:color w:val="auto"/>
          <w:highlight w:val="none"/>
        </w:rPr>
      </w:pPr>
      <w:r>
        <w:rPr>
          <w:rFonts w:hint="eastAsia" w:ascii="宋体" w:hAnsi="宋体"/>
          <w:strike/>
          <w:color w:val="auto"/>
          <w:highlight w:val="none"/>
        </w:rPr>
        <w:t>K=（有效投标报价—评标基准价）÷评标基准价*100%</w:t>
      </w:r>
    </w:p>
    <w:p w14:paraId="6552CE28">
      <w:pPr>
        <w:spacing w:line="360" w:lineRule="auto"/>
        <w:rPr>
          <w:rFonts w:hint="eastAsia" w:ascii="宋体" w:hAnsi="宋体"/>
          <w:strike/>
          <w:color w:val="auto"/>
          <w:highlight w:val="none"/>
        </w:rPr>
      </w:pPr>
      <w:r>
        <w:rPr>
          <w:rFonts w:hint="eastAsia" w:ascii="宋体" w:hAnsi="宋体"/>
          <w:strike/>
          <w:color w:val="auto"/>
          <w:highlight w:val="none"/>
        </w:rPr>
        <w:t>当K值等于零时，得满分100分；</w:t>
      </w:r>
    </w:p>
    <w:p w14:paraId="34BBCB72">
      <w:pPr>
        <w:spacing w:line="360" w:lineRule="auto"/>
        <w:rPr>
          <w:rFonts w:hint="eastAsia" w:ascii="宋体" w:hAnsi="宋体"/>
          <w:strike/>
          <w:color w:val="auto"/>
          <w:highlight w:val="none"/>
        </w:rPr>
      </w:pPr>
      <w:r>
        <w:rPr>
          <w:rFonts w:hint="eastAsia" w:ascii="宋体" w:hAnsi="宋体"/>
          <w:strike/>
          <w:color w:val="auto"/>
          <w:highlight w:val="none"/>
        </w:rPr>
        <w:t>当K值大于零时，K值每增1%，在总分上扣</w:t>
      </w:r>
      <w:r>
        <w:rPr>
          <w:rFonts w:hint="eastAsia" w:ascii="宋体" w:hAnsi="宋体"/>
          <w:strike/>
          <w:color w:val="auto"/>
          <w:highlight w:val="none"/>
          <w:u w:val="single"/>
        </w:rPr>
        <w:t xml:space="preserve">   </w:t>
      </w:r>
      <w:r>
        <w:rPr>
          <w:rFonts w:hint="eastAsia" w:ascii="宋体" w:hAnsi="宋体"/>
          <w:strike/>
          <w:color w:val="auto"/>
          <w:highlight w:val="none"/>
        </w:rPr>
        <w:t>分；　</w:t>
      </w:r>
    </w:p>
    <w:p w14:paraId="23789202">
      <w:pPr>
        <w:spacing w:line="360" w:lineRule="auto"/>
        <w:rPr>
          <w:rFonts w:hint="eastAsia" w:ascii="宋体" w:hAnsi="宋体"/>
          <w:strike/>
          <w:color w:val="auto"/>
          <w:highlight w:val="none"/>
        </w:rPr>
      </w:pPr>
      <w:r>
        <w:rPr>
          <w:rFonts w:hint="eastAsia" w:ascii="宋体" w:hAnsi="宋体"/>
          <w:strike/>
          <w:color w:val="auto"/>
          <w:highlight w:val="none"/>
        </w:rPr>
        <w:t>当K值小于零时，K值每减1%，在总分上扣</w:t>
      </w:r>
      <w:r>
        <w:rPr>
          <w:rFonts w:hint="eastAsia" w:ascii="宋体" w:hAnsi="宋体"/>
          <w:strike/>
          <w:color w:val="auto"/>
          <w:highlight w:val="none"/>
          <w:u w:val="single"/>
        </w:rPr>
        <w:t xml:space="preserve">   </w:t>
      </w:r>
      <w:r>
        <w:rPr>
          <w:rFonts w:hint="eastAsia" w:ascii="宋体" w:hAnsi="宋体"/>
          <w:strike/>
          <w:color w:val="auto"/>
          <w:highlight w:val="none"/>
        </w:rPr>
        <w:t>分。</w:t>
      </w:r>
    </w:p>
    <w:p w14:paraId="6386160A">
      <w:pPr>
        <w:spacing w:line="360" w:lineRule="auto"/>
        <w:rPr>
          <w:rFonts w:hint="eastAsia" w:ascii="宋体" w:hAnsi="宋体"/>
          <w:color w:val="auto"/>
          <w:highlight w:val="none"/>
        </w:rPr>
      </w:pPr>
    </w:p>
    <w:p w14:paraId="2A086A21">
      <w:pPr>
        <w:spacing w:line="360" w:lineRule="auto"/>
        <w:rPr>
          <w:rFonts w:hint="eastAsia" w:ascii="宋体" w:hAnsi="宋体"/>
          <w:color w:val="auto"/>
          <w:highlight w:val="none"/>
        </w:rPr>
      </w:pPr>
    </w:p>
    <w:p w14:paraId="1FDC4E6E">
      <w:pPr>
        <w:rPr>
          <w:rFonts w:hint="eastAsia" w:ascii="宋体" w:hAnsi="宋体"/>
          <w:color w:val="auto"/>
          <w:highlight w:val="none"/>
        </w:rPr>
      </w:pPr>
    </w:p>
    <w:p w14:paraId="61B98EA7">
      <w:pPr>
        <w:rPr>
          <w:rFonts w:hint="eastAsia" w:ascii="宋体" w:hAnsi="宋体"/>
          <w:color w:val="auto"/>
          <w:highlight w:val="none"/>
        </w:rPr>
      </w:pPr>
    </w:p>
    <w:p w14:paraId="26A27B74">
      <w:pPr>
        <w:rPr>
          <w:rFonts w:hint="eastAsia" w:ascii="宋体" w:hAnsi="宋体"/>
          <w:color w:val="auto"/>
          <w:highlight w:val="none"/>
        </w:rPr>
      </w:pPr>
    </w:p>
    <w:p w14:paraId="4266E25D">
      <w:pPr>
        <w:rPr>
          <w:rFonts w:hint="eastAsia" w:ascii="宋体" w:hAnsi="宋体"/>
          <w:color w:val="auto"/>
          <w:highlight w:val="none"/>
        </w:rPr>
      </w:pPr>
    </w:p>
    <w:p w14:paraId="0006DFBB">
      <w:pPr>
        <w:rPr>
          <w:rFonts w:hint="eastAsia" w:ascii="宋体" w:hAnsi="宋体"/>
          <w:color w:val="auto"/>
          <w:highlight w:val="none"/>
        </w:rPr>
      </w:pPr>
    </w:p>
    <w:p w14:paraId="22C1C986">
      <w:pPr>
        <w:rPr>
          <w:rFonts w:hint="eastAsia" w:ascii="宋体" w:hAnsi="宋体"/>
          <w:color w:val="auto"/>
          <w:highlight w:val="none"/>
        </w:rPr>
      </w:pPr>
    </w:p>
    <w:p w14:paraId="7F5CE32F">
      <w:pPr>
        <w:rPr>
          <w:rFonts w:hint="eastAsia" w:ascii="宋体" w:hAnsi="宋体"/>
          <w:color w:val="auto"/>
          <w:highlight w:val="none"/>
        </w:rPr>
      </w:pPr>
    </w:p>
    <w:p w14:paraId="298470D2">
      <w:pPr>
        <w:rPr>
          <w:rFonts w:hint="eastAsia" w:ascii="宋体" w:hAnsi="宋体"/>
          <w:color w:val="auto"/>
          <w:highlight w:val="none"/>
        </w:rPr>
      </w:pPr>
    </w:p>
    <w:p w14:paraId="58E8EDBF">
      <w:pPr>
        <w:rPr>
          <w:rFonts w:hint="eastAsia" w:ascii="宋体" w:hAnsi="宋体"/>
          <w:color w:val="auto"/>
          <w:highlight w:val="none"/>
        </w:rPr>
      </w:pPr>
    </w:p>
    <w:p w14:paraId="7AF5A0D5">
      <w:pPr>
        <w:rPr>
          <w:rFonts w:hint="eastAsia" w:ascii="宋体" w:hAnsi="宋体"/>
          <w:color w:val="auto"/>
          <w:highlight w:val="none"/>
        </w:rPr>
      </w:pPr>
    </w:p>
    <w:p w14:paraId="3C281386">
      <w:pPr>
        <w:rPr>
          <w:rFonts w:hint="eastAsia" w:ascii="宋体" w:hAnsi="宋体"/>
          <w:color w:val="auto"/>
          <w:highlight w:val="none"/>
        </w:rPr>
      </w:pPr>
    </w:p>
    <w:p w14:paraId="6881D72A">
      <w:pPr>
        <w:pStyle w:val="14"/>
        <w:spacing w:line="600" w:lineRule="exact"/>
        <w:rPr>
          <w:rFonts w:hint="eastAsia" w:ascii="仿宋_GB2312" w:hAnsi="宋体" w:eastAsia="仿宋_GB2312" w:cs="宋体"/>
          <w:snapToGrid w:val="0"/>
          <w:color w:val="auto"/>
          <w:kern w:val="32"/>
          <w:sz w:val="32"/>
          <w:szCs w:val="32"/>
          <w:highlight w:val="none"/>
        </w:rPr>
      </w:pPr>
      <w:r>
        <w:rPr>
          <w:rFonts w:hint="eastAsia" w:ascii="仿宋_GB2312" w:hAnsi="宋体" w:eastAsia="仿宋_GB2312" w:cs="宋体"/>
          <w:snapToGrid w:val="0"/>
          <w:color w:val="auto"/>
          <w:kern w:val="32"/>
          <w:sz w:val="32"/>
          <w:szCs w:val="32"/>
          <w:highlight w:val="none"/>
        </w:rPr>
        <w:t>☑方法三</w:t>
      </w:r>
    </w:p>
    <w:p w14:paraId="58285E24">
      <w:pPr>
        <w:spacing w:line="360" w:lineRule="auto"/>
        <w:rPr>
          <w:rFonts w:hint="eastAsia" w:ascii="宋体" w:hAnsi="宋体"/>
          <w:color w:val="auto"/>
          <w:highlight w:val="none"/>
        </w:rPr>
      </w:pPr>
      <w:r>
        <w:rPr>
          <w:rFonts w:ascii="宋体" w:hAnsi="宋体"/>
          <w:color w:val="auto"/>
          <w:highlight w:val="none"/>
        </w:rPr>
        <w:t>（</w:t>
      </w: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评标基准价计算范围:见评标办法。</w:t>
      </w:r>
    </w:p>
    <w:p w14:paraId="1FB07CE6">
      <w:pPr>
        <w:spacing w:line="360" w:lineRule="auto"/>
        <w:rPr>
          <w:rFonts w:hint="eastAsia" w:ascii="宋体" w:hAnsi="宋体"/>
          <w:color w:val="auto"/>
          <w:highlight w:val="none"/>
        </w:rPr>
      </w:pPr>
      <w:r>
        <w:rPr>
          <w:rFonts w:ascii="宋体" w:hAnsi="宋体"/>
          <w:color w:val="auto"/>
          <w:highlight w:val="none"/>
        </w:rPr>
        <w:t>（2）报价平均值：</w:t>
      </w:r>
    </w:p>
    <w:p w14:paraId="50B433A8">
      <w:pPr>
        <w:spacing w:line="360" w:lineRule="auto"/>
        <w:ind w:firstLine="480" w:firstLineChars="200"/>
        <w:rPr>
          <w:rFonts w:hint="eastAsia" w:ascii="宋体" w:hAnsi="宋体"/>
          <w:color w:val="auto"/>
          <w:highlight w:val="none"/>
        </w:rPr>
      </w:pPr>
      <w:r>
        <w:rPr>
          <w:rFonts w:ascii="宋体" w:hAnsi="宋体"/>
          <w:color w:val="auto"/>
          <w:highlight w:val="none"/>
        </w:rPr>
        <w:t xml:space="preserve">进入评分范围的所有投标人的评标价的算术平均值为报价平均值(投标评标价在 </w:t>
      </w:r>
      <w:r>
        <w:rPr>
          <w:rFonts w:ascii="宋体" w:hAnsi="宋体"/>
          <w:color w:val="auto"/>
          <w:highlight w:val="none"/>
          <w:u w:val="single"/>
        </w:rPr>
        <w:t xml:space="preserve">5 </w:t>
      </w:r>
      <w:r>
        <w:rPr>
          <w:rFonts w:ascii="宋体" w:hAnsi="宋体"/>
          <w:color w:val="auto"/>
          <w:highlight w:val="none"/>
        </w:rPr>
        <w:t>个至</w:t>
      </w:r>
      <w:r>
        <w:rPr>
          <w:rFonts w:ascii="宋体" w:hAnsi="宋体"/>
          <w:color w:val="auto"/>
          <w:highlight w:val="none"/>
          <w:u w:val="single"/>
        </w:rPr>
        <w:t xml:space="preserve"> 7 </w:t>
      </w:r>
      <w:r>
        <w:rPr>
          <w:rFonts w:ascii="宋体" w:hAnsi="宋体"/>
          <w:color w:val="auto"/>
          <w:highlight w:val="none"/>
        </w:rPr>
        <w:t>个时，去除一个最高价和一个最低价；投标评标价在</w:t>
      </w:r>
      <w:r>
        <w:rPr>
          <w:rFonts w:ascii="宋体" w:hAnsi="宋体"/>
          <w:color w:val="auto"/>
          <w:highlight w:val="none"/>
          <w:u w:val="single"/>
        </w:rPr>
        <w:t xml:space="preserve"> 8 </w:t>
      </w:r>
      <w:r>
        <w:rPr>
          <w:rFonts w:ascii="宋体" w:hAnsi="宋体"/>
          <w:color w:val="auto"/>
          <w:highlight w:val="none"/>
        </w:rPr>
        <w:t>个及以上时，去除一个最高、次高价和一个最低、次低价)。</w:t>
      </w:r>
    </w:p>
    <w:p w14:paraId="2C2EA566">
      <w:pPr>
        <w:spacing w:line="360" w:lineRule="auto"/>
        <w:rPr>
          <w:rFonts w:hint="eastAsia" w:ascii="宋体" w:hAnsi="宋体"/>
          <w:color w:val="auto"/>
          <w:highlight w:val="none"/>
        </w:rPr>
      </w:pPr>
      <w:r>
        <w:rPr>
          <w:rFonts w:ascii="宋体" w:hAnsi="宋体"/>
          <w:color w:val="auto"/>
          <w:highlight w:val="none"/>
        </w:rPr>
        <w:t>（3）评标基准</w:t>
      </w:r>
      <w:r>
        <w:rPr>
          <w:rFonts w:hint="eastAsia" w:ascii="宋体" w:hAnsi="宋体"/>
          <w:color w:val="auto"/>
          <w:highlight w:val="none"/>
        </w:rPr>
        <w:t>价</w:t>
      </w:r>
      <w:r>
        <w:rPr>
          <w:rFonts w:ascii="宋体" w:hAnsi="宋体"/>
          <w:color w:val="auto"/>
          <w:highlight w:val="none"/>
        </w:rPr>
        <w:t>：</w:t>
      </w:r>
    </w:p>
    <w:p w14:paraId="148C0D14">
      <w:pPr>
        <w:spacing w:line="360" w:lineRule="auto"/>
        <w:ind w:firstLine="480" w:firstLineChars="200"/>
        <w:rPr>
          <w:rFonts w:hint="eastAsia" w:ascii="宋体" w:hAnsi="宋体" w:cs="宋体"/>
          <w:color w:val="auto"/>
          <w:highlight w:val="none"/>
        </w:rPr>
      </w:pPr>
      <w:r>
        <w:rPr>
          <w:rFonts w:ascii="宋体" w:hAnsi="宋体"/>
          <w:color w:val="auto"/>
          <w:highlight w:val="none"/>
        </w:rPr>
        <w:t>由招标人代表从</w:t>
      </w:r>
      <w:r>
        <w:rPr>
          <w:rFonts w:hint="eastAsia" w:ascii="宋体" w:hAnsi="宋体"/>
          <w:color w:val="auto"/>
          <w:highlight w:val="none"/>
          <w:u w:val="single"/>
        </w:rPr>
        <w:t xml:space="preserve"> </w:t>
      </w:r>
      <w:r>
        <w:rPr>
          <w:rFonts w:ascii="宋体" w:hAnsi="宋体"/>
          <w:color w:val="auto"/>
          <w:highlight w:val="none"/>
          <w:u w:val="single"/>
        </w:rPr>
        <w:t>0、0.5、1、1.5、2</w:t>
      </w:r>
      <w:r>
        <w:rPr>
          <w:rFonts w:hint="eastAsia" w:ascii="宋体" w:hAnsi="宋体"/>
          <w:color w:val="auto"/>
          <w:highlight w:val="none"/>
          <w:u w:val="single"/>
        </w:rPr>
        <w:t xml:space="preserve">  </w:t>
      </w:r>
      <w:r>
        <w:rPr>
          <w:rFonts w:ascii="宋体" w:hAnsi="宋体"/>
          <w:color w:val="auto"/>
          <w:highlight w:val="none"/>
        </w:rPr>
        <w:t>中随机抽取一个百分数，作为下浮值；（招标人在</w:t>
      </w:r>
      <w:r>
        <w:rPr>
          <w:rFonts w:ascii="宋体" w:hAnsi="宋体"/>
          <w:color w:val="auto"/>
          <w:highlight w:val="none"/>
          <w:u w:val="single"/>
        </w:rPr>
        <w:t xml:space="preserve"> 0、0.5、1、1.5、2、2.5、.……、4</w:t>
      </w:r>
      <w:r>
        <w:rPr>
          <w:rFonts w:hint="eastAsia" w:ascii="宋体" w:hAnsi="宋体"/>
          <w:color w:val="auto"/>
          <w:highlight w:val="none"/>
          <w:u w:val="single"/>
        </w:rPr>
        <w:t>.5</w:t>
      </w:r>
      <w:r>
        <w:rPr>
          <w:rFonts w:ascii="宋体" w:hAnsi="宋体"/>
          <w:color w:val="auto"/>
          <w:highlight w:val="none"/>
          <w:u w:val="single"/>
        </w:rPr>
        <w:t>，5</w:t>
      </w:r>
      <w:r>
        <w:rPr>
          <w:rFonts w:ascii="宋体" w:hAnsi="宋体"/>
          <w:color w:val="auto"/>
          <w:highlight w:val="none"/>
        </w:rPr>
        <w:t xml:space="preserve"> 等 </w:t>
      </w:r>
      <w:r>
        <w:rPr>
          <w:rFonts w:ascii="宋体" w:hAnsi="宋体"/>
          <w:color w:val="auto"/>
          <w:highlight w:val="none"/>
          <w:u w:val="single"/>
        </w:rPr>
        <w:t>1</w:t>
      </w:r>
      <w:r>
        <w:rPr>
          <w:rFonts w:hint="eastAsia" w:ascii="宋体" w:hAnsi="宋体"/>
          <w:color w:val="auto"/>
          <w:highlight w:val="none"/>
          <w:u w:val="single"/>
        </w:rPr>
        <w:t>1</w:t>
      </w:r>
      <w:r>
        <w:rPr>
          <w:rFonts w:ascii="宋体" w:hAnsi="宋体"/>
          <w:color w:val="auto"/>
          <w:highlight w:val="none"/>
          <w:u w:val="single"/>
        </w:rPr>
        <w:t xml:space="preserve"> </w:t>
      </w:r>
      <w:r>
        <w:rPr>
          <w:rFonts w:ascii="宋体" w:hAnsi="宋体"/>
          <w:color w:val="auto"/>
          <w:highlight w:val="none"/>
        </w:rPr>
        <w:t>个数中,确定一个由其中</w:t>
      </w:r>
      <w:r>
        <w:rPr>
          <w:rFonts w:ascii="宋体" w:hAnsi="宋体"/>
          <w:color w:val="auto"/>
          <w:highlight w:val="none"/>
          <w:u w:val="single"/>
        </w:rPr>
        <w:t xml:space="preserve"> 5 </w:t>
      </w:r>
      <w:r>
        <w:rPr>
          <w:rFonts w:ascii="宋体" w:hAnsi="宋体"/>
          <w:color w:val="auto"/>
          <w:highlight w:val="none"/>
        </w:rPr>
        <w:t>个</w:t>
      </w:r>
      <w:r>
        <w:rPr>
          <w:rFonts w:hint="eastAsia" w:ascii="宋体" w:hAnsi="宋体"/>
          <w:color w:val="auto"/>
          <w:highlight w:val="none"/>
        </w:rPr>
        <w:t>连续</w:t>
      </w:r>
      <w:r>
        <w:rPr>
          <w:rFonts w:ascii="宋体" w:hAnsi="宋体"/>
          <w:color w:val="auto"/>
          <w:highlight w:val="none"/>
        </w:rPr>
        <w:t>数组成的等差数列，在编制招标文件时填入）</w:t>
      </w:r>
      <w:r>
        <w:rPr>
          <w:rFonts w:hint="eastAsia" w:ascii="宋体" w:hAnsi="宋体"/>
          <w:color w:val="auto"/>
          <w:highlight w:val="none"/>
        </w:rPr>
        <w:t>，</w:t>
      </w:r>
      <w:r>
        <w:rPr>
          <w:rFonts w:hint="eastAsia" w:ascii="宋体" w:hAnsi="宋体" w:cs="宋体"/>
          <w:color w:val="auto"/>
          <w:highlight w:val="none"/>
          <w:lang w:bidi="ar"/>
        </w:rPr>
        <w:t>计算公式：</w:t>
      </w:r>
    </w:p>
    <w:p w14:paraId="5BDE75A1">
      <w:pPr>
        <w:spacing w:line="360" w:lineRule="auto"/>
        <w:ind w:firstLine="480" w:firstLineChars="200"/>
        <w:rPr>
          <w:rFonts w:hint="eastAsia" w:ascii="宋体" w:hAnsi="宋体"/>
          <w:color w:val="auto"/>
          <w:highlight w:val="none"/>
        </w:rPr>
      </w:pPr>
      <w:r>
        <w:rPr>
          <w:rFonts w:hint="eastAsia" w:ascii="宋体" w:hAnsi="宋体" w:cs="宋体"/>
          <w:color w:val="auto"/>
          <w:highlight w:val="none"/>
          <w:lang w:bidi="ar"/>
        </w:rPr>
        <w:t>评标基准价=报价平均值*（1-下浮值）</w:t>
      </w:r>
    </w:p>
    <w:p w14:paraId="005398A1">
      <w:pPr>
        <w:spacing w:line="360" w:lineRule="auto"/>
        <w:ind w:firstLine="480" w:firstLineChars="200"/>
        <w:rPr>
          <w:rFonts w:hint="eastAsia" w:ascii="宋体" w:hAnsi="宋体"/>
          <w:color w:val="auto"/>
          <w:highlight w:val="none"/>
        </w:rPr>
      </w:pPr>
      <w:r>
        <w:rPr>
          <w:rFonts w:hint="eastAsia" w:ascii="宋体" w:hAnsi="宋体"/>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221304A0">
      <w:pPr>
        <w:spacing w:line="360" w:lineRule="auto"/>
        <w:rPr>
          <w:rFonts w:hint="eastAsia" w:ascii="宋体" w:hAnsi="宋体"/>
          <w:color w:val="auto"/>
          <w:highlight w:val="none"/>
        </w:rPr>
      </w:pPr>
      <w:r>
        <w:rPr>
          <w:rFonts w:hint="eastAsia" w:ascii="宋体" w:hAnsi="宋体"/>
          <w:color w:val="auto"/>
          <w:highlight w:val="none"/>
        </w:rPr>
        <w:t>K=（有效投标报价—评标基准价）÷评标基准价*100%</w:t>
      </w:r>
    </w:p>
    <w:p w14:paraId="4EA52114">
      <w:pPr>
        <w:spacing w:line="360" w:lineRule="auto"/>
        <w:rPr>
          <w:rFonts w:hint="eastAsia" w:ascii="宋体" w:hAnsi="宋体"/>
          <w:color w:val="auto"/>
          <w:highlight w:val="none"/>
        </w:rPr>
      </w:pPr>
      <w:r>
        <w:rPr>
          <w:rFonts w:hint="eastAsia" w:ascii="宋体" w:hAnsi="宋体"/>
          <w:color w:val="auto"/>
          <w:highlight w:val="none"/>
        </w:rPr>
        <w:t>当K值等于零时，得满分；</w:t>
      </w:r>
    </w:p>
    <w:p w14:paraId="2FF2D1E9">
      <w:pPr>
        <w:spacing w:line="360" w:lineRule="auto"/>
        <w:rPr>
          <w:rFonts w:hint="eastAsia" w:ascii="宋体" w:hAnsi="宋体"/>
          <w:color w:val="auto"/>
          <w:highlight w:val="none"/>
        </w:rPr>
      </w:pPr>
      <w:r>
        <w:rPr>
          <w:rFonts w:hint="eastAsia" w:ascii="宋体" w:hAnsi="宋体"/>
          <w:color w:val="auto"/>
          <w:highlight w:val="none"/>
        </w:rPr>
        <w:t>当K值大于零时，K值每增1%，在总分上扣</w:t>
      </w:r>
      <w:r>
        <w:rPr>
          <w:rFonts w:hint="eastAsia" w:ascii="宋体" w:hAnsi="宋体"/>
          <w:color w:val="auto"/>
          <w:highlight w:val="none"/>
          <w:u w:val="single"/>
        </w:rPr>
        <w:t xml:space="preserve"> 2C </w:t>
      </w:r>
      <w:r>
        <w:rPr>
          <w:rFonts w:hint="eastAsia" w:ascii="宋体" w:hAnsi="宋体"/>
          <w:color w:val="auto"/>
          <w:highlight w:val="none"/>
        </w:rPr>
        <w:t>分；　</w:t>
      </w:r>
    </w:p>
    <w:p w14:paraId="116BA2BA">
      <w:pPr>
        <w:spacing w:line="360" w:lineRule="auto"/>
        <w:rPr>
          <w:rFonts w:hint="eastAsia" w:ascii="宋体" w:hAnsi="宋体"/>
          <w:color w:val="auto"/>
          <w:highlight w:val="none"/>
        </w:rPr>
      </w:pPr>
      <w:r>
        <w:rPr>
          <w:rFonts w:hint="eastAsia" w:ascii="宋体" w:hAnsi="宋体"/>
          <w:color w:val="auto"/>
          <w:highlight w:val="none"/>
        </w:rPr>
        <w:t>当K值小于零时，K值每减1%，在总分上扣</w:t>
      </w:r>
      <w:r>
        <w:rPr>
          <w:rFonts w:hint="eastAsia" w:ascii="宋体" w:hAnsi="宋体"/>
          <w:color w:val="auto"/>
          <w:highlight w:val="none"/>
          <w:u w:val="single"/>
        </w:rPr>
        <w:t xml:space="preserve"> 1C</w:t>
      </w:r>
      <w:r>
        <w:rPr>
          <w:rFonts w:hint="eastAsia" w:ascii="宋体" w:hAnsi="宋体"/>
          <w:color w:val="auto"/>
          <w:highlight w:val="none"/>
        </w:rPr>
        <w:t>分。</w:t>
      </w:r>
      <w:r>
        <w:rPr>
          <w:rFonts w:hint="eastAsia" w:hAnsi="宋体" w:cs="宋体"/>
          <w:snapToGrid w:val="0"/>
          <w:color w:val="auto"/>
          <w:kern w:val="32"/>
          <w:highlight w:val="none"/>
        </w:rPr>
        <w:t>（该C值分别为1.0、1.5和2.0，现场抽取，详见评标办法。）</w:t>
      </w:r>
    </w:p>
    <w:p w14:paraId="694E6D32">
      <w:pPr>
        <w:spacing w:line="360" w:lineRule="auto"/>
        <w:rPr>
          <w:rFonts w:hint="eastAsia" w:ascii="宋体" w:hAnsi="宋体"/>
          <w:color w:val="auto"/>
          <w:highlight w:val="none"/>
        </w:rPr>
      </w:pPr>
    </w:p>
    <w:p w14:paraId="00BFF6C7">
      <w:pPr>
        <w:rPr>
          <w:rFonts w:hint="eastAsia" w:ascii="宋体" w:hAnsi="宋体"/>
          <w:color w:val="auto"/>
          <w:highlight w:val="none"/>
        </w:rPr>
      </w:pPr>
    </w:p>
    <w:p w14:paraId="5F6ADB13">
      <w:pPr>
        <w:rPr>
          <w:rFonts w:hint="eastAsia" w:ascii="宋体" w:hAnsi="宋体"/>
          <w:color w:val="auto"/>
          <w:highlight w:val="none"/>
        </w:rPr>
      </w:pPr>
    </w:p>
    <w:p w14:paraId="21635D3E">
      <w:pPr>
        <w:rPr>
          <w:rFonts w:hint="eastAsia" w:ascii="宋体" w:hAnsi="宋体"/>
          <w:color w:val="auto"/>
          <w:highlight w:val="none"/>
        </w:rPr>
      </w:pPr>
    </w:p>
    <w:p w14:paraId="7BFCE3B2">
      <w:pPr>
        <w:rPr>
          <w:rFonts w:hint="eastAsia" w:ascii="宋体" w:hAnsi="宋体"/>
          <w:color w:val="auto"/>
          <w:highlight w:val="none"/>
        </w:rPr>
      </w:pPr>
    </w:p>
    <w:p w14:paraId="2FB80B24">
      <w:pPr>
        <w:rPr>
          <w:rFonts w:hint="eastAsia" w:ascii="宋体" w:hAnsi="宋体"/>
          <w:color w:val="auto"/>
          <w:highlight w:val="none"/>
        </w:rPr>
      </w:pPr>
    </w:p>
    <w:p w14:paraId="42903813">
      <w:pPr>
        <w:rPr>
          <w:rFonts w:hint="eastAsia" w:ascii="宋体" w:hAnsi="宋体"/>
          <w:color w:val="auto"/>
          <w:highlight w:val="none"/>
        </w:rPr>
      </w:pPr>
    </w:p>
    <w:p w14:paraId="31C3FC22">
      <w:pPr>
        <w:rPr>
          <w:rFonts w:hint="eastAsia" w:ascii="宋体" w:hAnsi="宋体"/>
          <w:color w:val="auto"/>
          <w:highlight w:val="none"/>
        </w:rPr>
      </w:pPr>
    </w:p>
    <w:p w14:paraId="46AC65EA">
      <w:pPr>
        <w:rPr>
          <w:rFonts w:hint="eastAsia" w:ascii="宋体" w:hAnsi="宋体"/>
          <w:color w:val="auto"/>
          <w:highlight w:val="none"/>
        </w:rPr>
      </w:pPr>
    </w:p>
    <w:p w14:paraId="5ECE995F">
      <w:pPr>
        <w:rPr>
          <w:rFonts w:hint="eastAsia" w:ascii="宋体" w:hAnsi="宋体"/>
          <w:color w:val="auto"/>
          <w:highlight w:val="none"/>
        </w:rPr>
      </w:pPr>
    </w:p>
    <w:p w14:paraId="36DEC9C6">
      <w:pPr>
        <w:rPr>
          <w:rFonts w:hint="eastAsia" w:ascii="宋体" w:hAnsi="宋体"/>
          <w:color w:val="auto"/>
          <w:highlight w:val="none"/>
        </w:rPr>
      </w:pPr>
    </w:p>
    <w:p w14:paraId="1BEF78DD">
      <w:pPr>
        <w:rPr>
          <w:rFonts w:hint="eastAsia" w:ascii="宋体" w:hAnsi="宋体"/>
          <w:color w:val="auto"/>
          <w:highlight w:val="none"/>
        </w:rPr>
      </w:pPr>
    </w:p>
    <w:p w14:paraId="4CFC7826">
      <w:pPr>
        <w:rPr>
          <w:rFonts w:hint="eastAsia" w:ascii="宋体" w:hAnsi="宋体"/>
          <w:color w:val="auto"/>
          <w:highlight w:val="none"/>
        </w:rPr>
      </w:pPr>
    </w:p>
    <w:p w14:paraId="0C9A16AF">
      <w:pPr>
        <w:rPr>
          <w:rFonts w:hint="eastAsia" w:ascii="宋体" w:hAnsi="宋体"/>
          <w:color w:val="auto"/>
          <w:highlight w:val="none"/>
        </w:rPr>
      </w:pPr>
    </w:p>
    <w:p w14:paraId="0E64F8FD">
      <w:pPr>
        <w:rPr>
          <w:rFonts w:hint="eastAsia" w:ascii="宋体" w:hAnsi="宋体"/>
          <w:color w:val="auto"/>
          <w:highlight w:val="none"/>
        </w:rPr>
      </w:pPr>
    </w:p>
    <w:p w14:paraId="52B0CB57">
      <w:pPr>
        <w:rPr>
          <w:rFonts w:hint="eastAsia" w:ascii="宋体" w:hAnsi="宋体"/>
          <w:color w:val="auto"/>
          <w:highlight w:val="none"/>
        </w:rPr>
      </w:pPr>
    </w:p>
    <w:p w14:paraId="6375A2BE">
      <w:pPr>
        <w:pStyle w:val="14"/>
        <w:spacing w:line="600" w:lineRule="exact"/>
        <w:rPr>
          <w:rFonts w:hint="eastAsia" w:hAnsi="宋体"/>
          <w:strike/>
          <w:color w:val="auto"/>
          <w:sz w:val="24"/>
          <w:szCs w:val="24"/>
          <w:highlight w:val="none"/>
        </w:rPr>
      </w:pPr>
      <w:r>
        <w:rPr>
          <w:rFonts w:hint="eastAsia" w:ascii="仿宋_GB2312" w:hAnsi="宋体" w:eastAsia="仿宋_GB2312" w:cs="宋体"/>
          <w:strike/>
          <w:snapToGrid w:val="0"/>
          <w:color w:val="auto"/>
          <w:kern w:val="32"/>
          <w:sz w:val="32"/>
          <w:szCs w:val="32"/>
          <w:highlight w:val="none"/>
        </w:rPr>
        <w:sym w:font="Wingdings 2" w:char="00A3"/>
      </w:r>
      <w:r>
        <w:rPr>
          <w:rFonts w:hint="eastAsia" w:ascii="仿宋_GB2312" w:hAnsi="宋体" w:eastAsia="仿宋_GB2312" w:cs="宋体"/>
          <w:strike/>
          <w:snapToGrid w:val="0"/>
          <w:color w:val="auto"/>
          <w:kern w:val="32"/>
          <w:sz w:val="32"/>
          <w:szCs w:val="32"/>
          <w:highlight w:val="none"/>
        </w:rPr>
        <w:t>方法四</w:t>
      </w:r>
    </w:p>
    <w:p w14:paraId="32F14092">
      <w:pPr>
        <w:spacing w:line="360" w:lineRule="auto"/>
        <w:rPr>
          <w:rFonts w:hint="eastAsia" w:ascii="宋体" w:hAnsi="宋体"/>
          <w:strike/>
          <w:color w:val="auto"/>
          <w:highlight w:val="none"/>
        </w:rPr>
      </w:pPr>
      <w:r>
        <w:rPr>
          <w:rFonts w:hint="eastAsia" w:ascii="宋体" w:hAnsi="宋体"/>
          <w:strike/>
          <w:color w:val="auto"/>
          <w:highlight w:val="none"/>
        </w:rPr>
        <w:t xml:space="preserve">（1）评标基准价计算范围:见评标办法。 </w:t>
      </w:r>
    </w:p>
    <w:p w14:paraId="6C46E9F1">
      <w:pPr>
        <w:spacing w:line="360" w:lineRule="auto"/>
        <w:rPr>
          <w:rFonts w:hint="eastAsia" w:ascii="宋体" w:hAnsi="宋体"/>
          <w:strike/>
          <w:color w:val="auto"/>
          <w:highlight w:val="none"/>
        </w:rPr>
      </w:pPr>
      <w:r>
        <w:rPr>
          <w:rFonts w:hint="eastAsia" w:ascii="宋体" w:hAnsi="宋体"/>
          <w:strike/>
          <w:color w:val="auto"/>
          <w:highlight w:val="none"/>
        </w:rPr>
        <w:t>（2）报价平均值:</w:t>
      </w:r>
    </w:p>
    <w:p w14:paraId="7789B8A2">
      <w:pPr>
        <w:spacing w:line="360" w:lineRule="auto"/>
        <w:ind w:firstLine="480" w:firstLineChars="200"/>
        <w:rPr>
          <w:rFonts w:hint="eastAsia" w:ascii="宋体" w:hAnsi="宋体"/>
          <w:strike/>
          <w:color w:val="auto"/>
          <w:highlight w:val="none"/>
        </w:rPr>
      </w:pPr>
      <w:r>
        <w:rPr>
          <w:rFonts w:hint="eastAsia" w:ascii="宋体" w:hAnsi="宋体"/>
          <w:strike/>
          <w:color w:val="auto"/>
          <w:highlight w:val="none"/>
        </w:rPr>
        <w:t>进入评分范围的投标评标价的算术平均值为报价平均值(投标评标价在</w:t>
      </w:r>
      <w:r>
        <w:rPr>
          <w:rFonts w:hint="eastAsia" w:ascii="宋体" w:hAnsi="宋体"/>
          <w:strike/>
          <w:color w:val="auto"/>
          <w:highlight w:val="none"/>
          <w:u w:val="single"/>
        </w:rPr>
        <w:t xml:space="preserve"> </w:t>
      </w:r>
      <w:r>
        <w:rPr>
          <w:rFonts w:hint="eastAsia" w:ascii="宋体" w:hAnsi="宋体"/>
          <w:strike/>
          <w:color w:val="auto"/>
          <w:highlight w:val="none"/>
        </w:rPr>
        <w:t>个至</w:t>
      </w:r>
      <w:r>
        <w:rPr>
          <w:rFonts w:hint="eastAsia" w:ascii="宋体" w:hAnsi="宋体"/>
          <w:strike/>
          <w:color w:val="auto"/>
          <w:highlight w:val="none"/>
          <w:u w:val="single"/>
        </w:rPr>
        <w:t xml:space="preserve">  </w:t>
      </w:r>
      <w:r>
        <w:rPr>
          <w:rFonts w:hint="eastAsia" w:ascii="宋体" w:hAnsi="宋体"/>
          <w:strike/>
          <w:color w:val="auto"/>
          <w:highlight w:val="none"/>
        </w:rPr>
        <w:t>个时，去除一个最高价和一个最低价；投标评标价在</w:t>
      </w:r>
      <w:r>
        <w:rPr>
          <w:rFonts w:hint="eastAsia" w:ascii="宋体" w:hAnsi="宋体"/>
          <w:strike/>
          <w:color w:val="auto"/>
          <w:highlight w:val="none"/>
          <w:u w:val="single"/>
        </w:rPr>
        <w:t xml:space="preserve">  </w:t>
      </w:r>
      <w:r>
        <w:rPr>
          <w:rFonts w:hint="eastAsia" w:ascii="宋体" w:hAnsi="宋体"/>
          <w:strike/>
          <w:color w:val="auto"/>
          <w:highlight w:val="none"/>
        </w:rPr>
        <w:t>个及以上时，去除一个最高、次高价和一个最低、次低价</w:t>
      </w:r>
      <w:r>
        <w:rPr>
          <w:rFonts w:ascii="宋体" w:hAnsi="宋体"/>
          <w:strike/>
          <w:color w:val="auto"/>
          <w:highlight w:val="none"/>
        </w:rPr>
        <w:t>)</w:t>
      </w:r>
      <w:r>
        <w:rPr>
          <w:rFonts w:hint="eastAsia" w:ascii="宋体" w:hAnsi="宋体"/>
          <w:strike/>
          <w:color w:val="auto"/>
          <w:highlight w:val="none"/>
        </w:rPr>
        <w:t xml:space="preserve">。 </w:t>
      </w:r>
    </w:p>
    <w:p w14:paraId="797D293E">
      <w:pPr>
        <w:spacing w:line="360" w:lineRule="auto"/>
        <w:rPr>
          <w:rFonts w:hint="eastAsia" w:ascii="宋体" w:hAnsi="宋体"/>
          <w:strike/>
          <w:color w:val="auto"/>
          <w:highlight w:val="none"/>
        </w:rPr>
      </w:pPr>
      <w:r>
        <w:rPr>
          <w:rFonts w:hint="eastAsia" w:ascii="宋体" w:hAnsi="宋体"/>
          <w:strike/>
          <w:color w:val="auto"/>
          <w:highlight w:val="none"/>
        </w:rPr>
        <w:t>（3）评标基准价：</w:t>
      </w:r>
    </w:p>
    <w:p w14:paraId="51A41C3E">
      <w:pPr>
        <w:spacing w:line="360" w:lineRule="auto"/>
        <w:ind w:firstLine="480" w:firstLineChars="200"/>
        <w:rPr>
          <w:rFonts w:hint="eastAsia" w:ascii="宋体" w:hAnsi="宋体"/>
          <w:strike/>
          <w:color w:val="auto"/>
          <w:highlight w:val="none"/>
        </w:rPr>
      </w:pPr>
      <w:r>
        <w:rPr>
          <w:rFonts w:hint="eastAsia" w:ascii="宋体" w:hAnsi="宋体"/>
          <w:strike/>
          <w:color w:val="auto"/>
          <w:highlight w:val="none"/>
        </w:rPr>
        <w:t>报价平均值与进入评分范围的投标评标价中的次低投标评标价</w:t>
      </w:r>
      <w:r>
        <w:rPr>
          <w:rFonts w:ascii="宋体" w:hAnsi="宋体"/>
          <w:strike/>
          <w:color w:val="auto"/>
          <w:highlight w:val="none"/>
        </w:rPr>
        <w:t>(</w:t>
      </w:r>
      <w:r>
        <w:rPr>
          <w:rFonts w:hint="eastAsia" w:ascii="宋体" w:hAnsi="宋体"/>
          <w:strike/>
          <w:color w:val="auto"/>
          <w:highlight w:val="none"/>
        </w:rPr>
        <w:t>不足</w:t>
      </w:r>
      <w:r>
        <w:rPr>
          <w:rFonts w:ascii="宋体" w:hAnsi="宋体"/>
          <w:strike/>
          <w:color w:val="auto"/>
          <w:highlight w:val="none"/>
          <w:u w:val="single"/>
        </w:rPr>
        <w:t>4</w:t>
      </w:r>
      <w:r>
        <w:rPr>
          <w:rFonts w:hint="eastAsia" w:ascii="宋体" w:hAnsi="宋体"/>
          <w:strike/>
          <w:color w:val="auto"/>
          <w:highlight w:val="none"/>
        </w:rPr>
        <w:t>个的与最低投标评标价</w:t>
      </w:r>
      <w:r>
        <w:rPr>
          <w:rFonts w:ascii="宋体" w:hAnsi="宋体"/>
          <w:strike/>
          <w:color w:val="auto"/>
          <w:highlight w:val="none"/>
        </w:rPr>
        <w:t>)</w:t>
      </w:r>
      <w:r>
        <w:rPr>
          <w:rFonts w:hint="eastAsia" w:ascii="宋体" w:hAnsi="宋体"/>
          <w:strike/>
          <w:color w:val="auto"/>
          <w:highlight w:val="none"/>
        </w:rPr>
        <w:t xml:space="preserve">的算术平均值为评标基准价。 </w:t>
      </w:r>
    </w:p>
    <w:p w14:paraId="1FDC65F2">
      <w:pPr>
        <w:spacing w:line="360" w:lineRule="auto"/>
        <w:ind w:firstLine="480" w:firstLineChars="200"/>
        <w:rPr>
          <w:rFonts w:hint="eastAsia" w:ascii="宋体" w:hAnsi="宋体"/>
          <w:strike/>
          <w:color w:val="auto"/>
          <w:highlight w:val="none"/>
        </w:rPr>
      </w:pPr>
      <w:r>
        <w:rPr>
          <w:rFonts w:hint="eastAsia" w:ascii="宋体" w:hAnsi="宋体"/>
          <w:strike/>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653FAC36">
      <w:pPr>
        <w:spacing w:line="360" w:lineRule="auto"/>
        <w:rPr>
          <w:rFonts w:hint="eastAsia" w:ascii="宋体" w:hAnsi="宋体"/>
          <w:strike/>
          <w:color w:val="auto"/>
          <w:highlight w:val="none"/>
        </w:rPr>
      </w:pPr>
      <w:r>
        <w:rPr>
          <w:rFonts w:hint="eastAsia" w:ascii="宋体" w:hAnsi="宋体"/>
          <w:strike/>
          <w:color w:val="auto"/>
          <w:highlight w:val="none"/>
        </w:rPr>
        <w:t>K=（有效投标报价—评标基准价）÷评标基准价*100%</w:t>
      </w:r>
    </w:p>
    <w:p w14:paraId="56BE6F67">
      <w:pPr>
        <w:spacing w:line="360" w:lineRule="auto"/>
        <w:rPr>
          <w:rFonts w:hint="eastAsia" w:ascii="宋体" w:hAnsi="宋体"/>
          <w:strike/>
          <w:color w:val="auto"/>
          <w:highlight w:val="none"/>
        </w:rPr>
      </w:pPr>
      <w:r>
        <w:rPr>
          <w:rFonts w:hint="eastAsia" w:ascii="宋体" w:hAnsi="宋体"/>
          <w:strike/>
          <w:color w:val="auto"/>
          <w:highlight w:val="none"/>
        </w:rPr>
        <w:t>当K值等于零时，得满分；</w:t>
      </w:r>
    </w:p>
    <w:p w14:paraId="62C4AFD0">
      <w:pPr>
        <w:spacing w:line="360" w:lineRule="auto"/>
        <w:rPr>
          <w:rFonts w:hint="eastAsia" w:ascii="宋体" w:hAnsi="宋体"/>
          <w:strike/>
          <w:color w:val="auto"/>
          <w:highlight w:val="none"/>
        </w:rPr>
      </w:pPr>
      <w:r>
        <w:rPr>
          <w:rFonts w:hint="eastAsia" w:ascii="宋体" w:hAnsi="宋体"/>
          <w:strike/>
          <w:color w:val="auto"/>
          <w:highlight w:val="none"/>
        </w:rPr>
        <w:t>当K值大于零时，K值每增1%，在总分上扣</w:t>
      </w:r>
      <w:r>
        <w:rPr>
          <w:rFonts w:hint="eastAsia" w:ascii="宋体" w:hAnsi="宋体"/>
          <w:strike/>
          <w:color w:val="auto"/>
          <w:highlight w:val="none"/>
          <w:u w:val="single"/>
        </w:rPr>
        <w:t xml:space="preserve">   </w:t>
      </w:r>
      <w:r>
        <w:rPr>
          <w:rFonts w:hint="eastAsia" w:ascii="宋体" w:hAnsi="宋体"/>
          <w:strike/>
          <w:color w:val="auto"/>
          <w:highlight w:val="none"/>
        </w:rPr>
        <w:t>分；　</w:t>
      </w:r>
    </w:p>
    <w:p w14:paraId="2E999FE5">
      <w:pPr>
        <w:spacing w:line="360" w:lineRule="auto"/>
        <w:rPr>
          <w:rFonts w:hint="eastAsia" w:ascii="宋体" w:hAnsi="宋体"/>
          <w:strike/>
          <w:color w:val="auto"/>
          <w:highlight w:val="none"/>
        </w:rPr>
      </w:pPr>
      <w:r>
        <w:rPr>
          <w:rFonts w:hint="eastAsia" w:ascii="宋体" w:hAnsi="宋体"/>
          <w:strike/>
          <w:color w:val="auto"/>
          <w:highlight w:val="none"/>
        </w:rPr>
        <w:t>当K值小于零时，K值每减1%，在总分上扣</w:t>
      </w:r>
      <w:r>
        <w:rPr>
          <w:rFonts w:hint="eastAsia" w:ascii="宋体" w:hAnsi="宋体"/>
          <w:strike/>
          <w:color w:val="auto"/>
          <w:highlight w:val="none"/>
          <w:u w:val="single"/>
        </w:rPr>
        <w:t xml:space="preserve">   </w:t>
      </w:r>
      <w:r>
        <w:rPr>
          <w:rFonts w:hint="eastAsia" w:ascii="宋体" w:hAnsi="宋体"/>
          <w:strike/>
          <w:color w:val="auto"/>
          <w:highlight w:val="none"/>
        </w:rPr>
        <w:t>分。</w:t>
      </w:r>
    </w:p>
    <w:p w14:paraId="5697EC28">
      <w:pPr>
        <w:spacing w:line="360" w:lineRule="auto"/>
        <w:rPr>
          <w:rFonts w:hint="eastAsia" w:ascii="宋体" w:hAnsi="宋体"/>
          <w:color w:val="auto"/>
          <w:highlight w:val="none"/>
        </w:rPr>
      </w:pPr>
    </w:p>
    <w:p w14:paraId="1D4B9DD0">
      <w:pPr>
        <w:rPr>
          <w:rFonts w:hint="eastAsia" w:ascii="宋体" w:hAnsi="宋体"/>
          <w:color w:val="auto"/>
          <w:highlight w:val="none"/>
        </w:rPr>
      </w:pPr>
    </w:p>
    <w:p w14:paraId="78F201E3">
      <w:pPr>
        <w:rPr>
          <w:rFonts w:hint="eastAsia" w:ascii="宋体" w:hAnsi="宋体"/>
          <w:color w:val="auto"/>
          <w:highlight w:val="none"/>
        </w:rPr>
      </w:pPr>
    </w:p>
    <w:p w14:paraId="773F4CAF">
      <w:pPr>
        <w:rPr>
          <w:rFonts w:hint="eastAsia" w:ascii="宋体" w:hAnsi="宋体"/>
          <w:color w:val="auto"/>
          <w:highlight w:val="none"/>
        </w:rPr>
      </w:pPr>
    </w:p>
    <w:p w14:paraId="526DD314">
      <w:pPr>
        <w:rPr>
          <w:rFonts w:hint="eastAsia" w:ascii="宋体" w:hAnsi="宋体"/>
          <w:color w:val="auto"/>
          <w:highlight w:val="none"/>
        </w:rPr>
      </w:pPr>
    </w:p>
    <w:p w14:paraId="5A4789B2">
      <w:pPr>
        <w:rPr>
          <w:rFonts w:hint="eastAsia" w:ascii="宋体" w:hAnsi="宋体"/>
          <w:color w:val="auto"/>
          <w:highlight w:val="none"/>
        </w:rPr>
      </w:pPr>
    </w:p>
    <w:p w14:paraId="057A4CEE">
      <w:pPr>
        <w:rPr>
          <w:rFonts w:hint="eastAsia" w:ascii="宋体" w:hAnsi="宋体"/>
          <w:color w:val="auto"/>
          <w:highlight w:val="none"/>
        </w:rPr>
      </w:pPr>
    </w:p>
    <w:p w14:paraId="3FE60314">
      <w:pPr>
        <w:rPr>
          <w:rFonts w:hint="eastAsia" w:ascii="宋体" w:hAnsi="宋体"/>
          <w:color w:val="auto"/>
          <w:highlight w:val="none"/>
        </w:rPr>
      </w:pPr>
    </w:p>
    <w:p w14:paraId="7610EE14">
      <w:pPr>
        <w:rPr>
          <w:rFonts w:hint="eastAsia" w:ascii="宋体" w:hAnsi="宋体"/>
          <w:color w:val="auto"/>
          <w:highlight w:val="none"/>
        </w:rPr>
      </w:pPr>
    </w:p>
    <w:p w14:paraId="028A70FA">
      <w:pPr>
        <w:rPr>
          <w:rFonts w:hint="eastAsia" w:ascii="宋体" w:hAnsi="宋体"/>
          <w:color w:val="auto"/>
          <w:highlight w:val="none"/>
        </w:rPr>
      </w:pPr>
    </w:p>
    <w:p w14:paraId="141CD61A">
      <w:pPr>
        <w:rPr>
          <w:rFonts w:hint="eastAsia" w:ascii="宋体" w:hAnsi="宋体"/>
          <w:color w:val="auto"/>
          <w:highlight w:val="none"/>
        </w:rPr>
      </w:pPr>
    </w:p>
    <w:p w14:paraId="314E6E87">
      <w:pPr>
        <w:rPr>
          <w:rFonts w:hint="eastAsia" w:ascii="宋体" w:hAnsi="宋体"/>
          <w:color w:val="auto"/>
          <w:highlight w:val="none"/>
        </w:rPr>
      </w:pPr>
    </w:p>
    <w:p w14:paraId="28F2FBAC">
      <w:pPr>
        <w:rPr>
          <w:rFonts w:hint="eastAsia" w:ascii="宋体" w:hAnsi="宋体"/>
          <w:color w:val="auto"/>
          <w:highlight w:val="none"/>
        </w:rPr>
      </w:pPr>
    </w:p>
    <w:p w14:paraId="0CADCC08">
      <w:pPr>
        <w:rPr>
          <w:rFonts w:hint="eastAsia" w:ascii="宋体" w:hAnsi="宋体"/>
          <w:color w:val="auto"/>
          <w:highlight w:val="none"/>
        </w:rPr>
      </w:pPr>
    </w:p>
    <w:p w14:paraId="0278FA85">
      <w:pPr>
        <w:rPr>
          <w:rFonts w:hint="eastAsia" w:ascii="宋体" w:hAnsi="宋体"/>
          <w:color w:val="auto"/>
          <w:highlight w:val="none"/>
        </w:rPr>
      </w:pPr>
    </w:p>
    <w:p w14:paraId="762F68DA">
      <w:pPr>
        <w:rPr>
          <w:rFonts w:hint="eastAsia" w:ascii="宋体" w:hAnsi="宋体"/>
          <w:color w:val="auto"/>
          <w:highlight w:val="none"/>
        </w:rPr>
      </w:pPr>
    </w:p>
    <w:p w14:paraId="13D6574E">
      <w:pPr>
        <w:rPr>
          <w:rFonts w:hint="eastAsia" w:ascii="宋体" w:hAnsi="宋体"/>
          <w:color w:val="auto"/>
          <w:highlight w:val="none"/>
        </w:rPr>
      </w:pPr>
    </w:p>
    <w:p w14:paraId="20E0094E">
      <w:pPr>
        <w:rPr>
          <w:rFonts w:hint="eastAsia" w:ascii="宋体" w:hAnsi="宋体"/>
          <w:color w:val="auto"/>
          <w:highlight w:val="none"/>
        </w:rPr>
      </w:pPr>
    </w:p>
    <w:p w14:paraId="4DD1B121">
      <w:pPr>
        <w:rPr>
          <w:rFonts w:hint="eastAsia" w:ascii="宋体" w:hAnsi="宋体"/>
          <w:color w:val="auto"/>
          <w:highlight w:val="none"/>
        </w:rPr>
      </w:pPr>
    </w:p>
    <w:p w14:paraId="008516E2">
      <w:pPr>
        <w:pStyle w:val="14"/>
        <w:spacing w:line="600" w:lineRule="exact"/>
        <w:rPr>
          <w:rFonts w:hint="eastAsia" w:ascii="仿宋_GB2312" w:hAnsi="宋体" w:eastAsia="仿宋_GB2312" w:cs="宋体"/>
          <w:snapToGrid w:val="0"/>
          <w:color w:val="auto"/>
          <w:kern w:val="32"/>
          <w:sz w:val="32"/>
          <w:szCs w:val="32"/>
          <w:highlight w:val="none"/>
        </w:rPr>
      </w:pPr>
      <w:r>
        <w:rPr>
          <w:rFonts w:hint="eastAsia" w:ascii="仿宋_GB2312" w:hAnsi="宋体" w:eastAsia="仿宋_GB2312" w:cs="宋体"/>
          <w:snapToGrid w:val="0"/>
          <w:color w:val="auto"/>
          <w:kern w:val="32"/>
          <w:sz w:val="32"/>
          <w:szCs w:val="32"/>
          <w:highlight w:val="none"/>
        </w:rPr>
        <w:t>☑方法五</w:t>
      </w:r>
    </w:p>
    <w:p w14:paraId="0CCB920E">
      <w:pPr>
        <w:spacing w:line="360" w:lineRule="auto"/>
        <w:rPr>
          <w:rFonts w:hint="eastAsia" w:ascii="宋体" w:hAnsi="宋体"/>
          <w:color w:val="auto"/>
          <w:highlight w:val="none"/>
        </w:rPr>
      </w:pPr>
      <w:r>
        <w:rPr>
          <w:rFonts w:hint="eastAsia" w:ascii="宋体" w:hAnsi="宋体"/>
          <w:color w:val="auto"/>
          <w:highlight w:val="none"/>
        </w:rPr>
        <w:t>（1）所有进入评标基准价计算范围的投标文件在0-1之间随机抽取一个权重系数。</w:t>
      </w:r>
    </w:p>
    <w:p w14:paraId="78AECE2B">
      <w:pPr>
        <w:spacing w:line="360" w:lineRule="auto"/>
        <w:rPr>
          <w:rFonts w:hint="eastAsia" w:ascii="宋体" w:hAnsi="宋体"/>
          <w:color w:val="auto"/>
          <w:highlight w:val="none"/>
        </w:rPr>
      </w:pPr>
      <w:r>
        <w:rPr>
          <w:rFonts w:hint="eastAsia" w:ascii="宋体" w:hAnsi="宋体"/>
          <w:color w:val="auto"/>
          <w:highlight w:val="none"/>
        </w:rPr>
        <w:t xml:space="preserve">    权重系数抽取办法：①</w:t>
      </w:r>
      <w:r>
        <w:rPr>
          <w:rFonts w:ascii="宋体" w:hAnsi="宋体"/>
          <w:color w:val="auto"/>
          <w:highlight w:val="none"/>
        </w:rPr>
        <w:t>权重系数由系统随机抽取，由招标人（代理机构）负责启动操作，系统按照进入评标基准价计算范围的投标单位数量（N个）随机抽取N个权重系数并按1-N编号排序（权重系数从0.01-0.99之间，步长为0.01的99个数字中间随机抽取）。</w:t>
      </w:r>
    </w:p>
    <w:p w14:paraId="65283DF8">
      <w:pPr>
        <w:spacing w:line="360" w:lineRule="auto"/>
        <w:rPr>
          <w:rFonts w:hint="eastAsia" w:ascii="宋体" w:hAnsi="宋体"/>
          <w:color w:val="auto"/>
          <w:highlight w:val="none"/>
        </w:rPr>
      </w:pPr>
      <w:r>
        <w:rPr>
          <w:rFonts w:hint="eastAsia" w:ascii="宋体" w:hAnsi="宋体"/>
          <w:color w:val="auto"/>
          <w:highlight w:val="none"/>
        </w:rPr>
        <w:t>②</w:t>
      </w:r>
      <w:r>
        <w:rPr>
          <w:rFonts w:ascii="宋体" w:hAnsi="宋体"/>
          <w:color w:val="auto"/>
          <w:highlight w:val="none"/>
        </w:rPr>
        <w:t>对进入评标基准价计算范围的投标单位，按照开标大厅唱标页面的单位顺序以1-N编号进行排序，由招标人现场从编号为1-N号的球中抽取一球，所抽取球编号X对应的投标单位取编号为1的权重系数，编号X+1对应的投标单位取编号为2的权重系数，依次类推，直至编号N对应的投标单位的权重系数取完，再从编号为1的投标单位起，按顺序至所有进入评标基准价计算范围的投标单位都获得权重系数。</w:t>
      </w:r>
    </w:p>
    <w:p w14:paraId="53DE3C5E">
      <w:pPr>
        <w:spacing w:line="360" w:lineRule="auto"/>
        <w:rPr>
          <w:rFonts w:hint="eastAsia" w:ascii="宋体" w:hAnsi="宋体"/>
          <w:color w:val="auto"/>
          <w:highlight w:val="none"/>
        </w:rPr>
      </w:pPr>
      <w:r>
        <w:rPr>
          <w:rFonts w:hint="eastAsia" w:ascii="宋体" w:hAnsi="宋体"/>
          <w:color w:val="auto"/>
          <w:highlight w:val="none"/>
        </w:rPr>
        <w:t>（2）评标基准价计算范围:见评标办法。</w:t>
      </w:r>
    </w:p>
    <w:p w14:paraId="0FBEC3DC">
      <w:pPr>
        <w:spacing w:line="360" w:lineRule="auto"/>
        <w:rPr>
          <w:rFonts w:hint="eastAsia" w:ascii="宋体" w:hAnsi="宋体"/>
          <w:color w:val="auto"/>
          <w:highlight w:val="none"/>
        </w:rPr>
      </w:pPr>
      <w:r>
        <w:rPr>
          <w:rFonts w:hint="eastAsia" w:ascii="宋体" w:hAnsi="宋体"/>
          <w:color w:val="auto"/>
          <w:highlight w:val="none"/>
        </w:rPr>
        <w:t>（3）评标基准价：</w:t>
      </w:r>
    </w:p>
    <w:p w14:paraId="246C7D01">
      <w:pPr>
        <w:spacing w:line="360" w:lineRule="auto"/>
        <w:ind w:firstLine="480" w:firstLineChars="200"/>
        <w:rPr>
          <w:rFonts w:hint="eastAsia" w:ascii="宋体" w:hAnsi="宋体"/>
          <w:color w:val="auto"/>
          <w:highlight w:val="none"/>
        </w:rPr>
      </w:pPr>
      <w:r>
        <w:rPr>
          <w:rFonts w:hint="eastAsia" w:ascii="宋体" w:hAnsi="宋体"/>
          <w:color w:val="auto"/>
          <w:highlight w:val="none"/>
        </w:rPr>
        <w:t>进入评分范围的投标评标价（C1、C2、…Cn），与对应的权重系数（A1、A2、…An）进行加权平均计算得出评标基准价，计算公式：</w:t>
      </w:r>
    </w:p>
    <w:p w14:paraId="71045E09">
      <w:pPr>
        <w:spacing w:line="360" w:lineRule="auto"/>
        <w:rPr>
          <w:rFonts w:hint="eastAsia" w:ascii="宋体" w:hAnsi="宋体"/>
          <w:color w:val="auto"/>
          <w:highlight w:val="none"/>
        </w:rPr>
      </w:pP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40"/>
      </w:tblGrid>
      <w:tr w14:paraId="37E81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9" w:hRule="atLeast"/>
          <w:jc w:val="center"/>
        </w:trPr>
        <w:tc>
          <w:tcPr>
            <w:tcW w:w="5740" w:type="dxa"/>
            <w:tcBorders>
              <w:top w:val="nil"/>
              <w:left w:val="nil"/>
              <w:bottom w:val="nil"/>
              <w:right w:val="nil"/>
            </w:tcBorders>
          </w:tcPr>
          <w:p w14:paraId="4F9874D5">
            <w:pPr>
              <w:spacing w:line="360" w:lineRule="auto"/>
              <w:ind w:firstLine="1440" w:firstLineChars="600"/>
              <w:rPr>
                <w:rFonts w:hint="eastAsia" w:ascii="宋体" w:hAnsi="宋体"/>
                <w:color w:val="auto"/>
                <w:highlight w:val="none"/>
              </w:rPr>
            </w:pPr>
            <w:r>
              <w:rPr>
                <w:rFonts w:hint="eastAsia" w:ascii="宋体" w:hAnsi="宋体"/>
                <w:color w:val="auto"/>
                <w:highlight w:val="none"/>
              </w:rPr>
              <w:t>（C1×A1）+（C2×A2）+…（Cn×An）</w:t>
            </w:r>
          </w:p>
          <w:p w14:paraId="26C6E912">
            <w:pPr>
              <w:spacing w:line="360" w:lineRule="auto"/>
              <w:ind w:left="1680" w:hanging="1680" w:hangingChars="700"/>
              <w:rPr>
                <w:rFonts w:hint="eastAsia" w:ascii="宋体" w:hAnsi="宋体"/>
                <w:color w:val="auto"/>
                <w:highlight w:val="none"/>
              </w:rPr>
            </w:pPr>
            <w:r>
              <w:rPr>
                <w:rFonts w:hint="eastAsia" w:ascii="宋体" w:hAnsi="宋体"/>
                <w:color w:val="auto"/>
                <w:highlight w:val="none"/>
              </w:rPr>
              <w:t>评标基准价=—————————————————A1+A2+…An</w:t>
            </w:r>
          </w:p>
        </w:tc>
      </w:tr>
    </w:tbl>
    <w:p w14:paraId="5E6B2E0F">
      <w:pPr>
        <w:spacing w:line="360" w:lineRule="auto"/>
        <w:ind w:firstLine="480" w:firstLineChars="200"/>
        <w:rPr>
          <w:rFonts w:hint="eastAsia" w:ascii="宋体" w:hAnsi="宋体"/>
          <w:color w:val="auto"/>
          <w:highlight w:val="none"/>
        </w:rPr>
      </w:pPr>
      <w:r>
        <w:rPr>
          <w:rFonts w:hint="eastAsia" w:ascii="宋体" w:hAnsi="宋体"/>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50D2E94A">
      <w:pPr>
        <w:spacing w:line="360" w:lineRule="auto"/>
        <w:rPr>
          <w:rFonts w:hint="eastAsia" w:ascii="宋体" w:hAnsi="宋体"/>
          <w:color w:val="auto"/>
          <w:highlight w:val="none"/>
        </w:rPr>
      </w:pPr>
      <w:r>
        <w:rPr>
          <w:rFonts w:hint="eastAsia" w:ascii="宋体" w:hAnsi="宋体"/>
          <w:color w:val="auto"/>
          <w:highlight w:val="none"/>
        </w:rPr>
        <w:t>K=（有效投标报价—评标基准价）÷评标基准价*100%</w:t>
      </w:r>
    </w:p>
    <w:p w14:paraId="464C8EAE">
      <w:pPr>
        <w:spacing w:line="360" w:lineRule="auto"/>
        <w:rPr>
          <w:rFonts w:hint="eastAsia" w:ascii="宋体" w:hAnsi="宋体"/>
          <w:color w:val="auto"/>
          <w:highlight w:val="none"/>
        </w:rPr>
      </w:pPr>
      <w:r>
        <w:rPr>
          <w:rFonts w:hint="eastAsia" w:ascii="宋体" w:hAnsi="宋体"/>
          <w:color w:val="auto"/>
          <w:highlight w:val="none"/>
        </w:rPr>
        <w:t>当K值等于零时，得满分；</w:t>
      </w:r>
    </w:p>
    <w:p w14:paraId="020A780A">
      <w:pPr>
        <w:spacing w:line="360" w:lineRule="auto"/>
        <w:rPr>
          <w:rFonts w:hint="eastAsia" w:ascii="宋体" w:hAnsi="宋体"/>
          <w:color w:val="auto"/>
          <w:highlight w:val="none"/>
        </w:rPr>
      </w:pPr>
      <w:r>
        <w:rPr>
          <w:rFonts w:hint="eastAsia" w:ascii="宋体" w:hAnsi="宋体"/>
          <w:color w:val="auto"/>
          <w:highlight w:val="none"/>
        </w:rPr>
        <w:t>当K值大于零时，K值每增1%，在总分上扣</w:t>
      </w:r>
      <w:r>
        <w:rPr>
          <w:rFonts w:hint="eastAsia" w:ascii="宋体" w:hAnsi="宋体"/>
          <w:color w:val="auto"/>
          <w:highlight w:val="none"/>
          <w:u w:val="single"/>
        </w:rPr>
        <w:t xml:space="preserve"> </w:t>
      </w:r>
      <w:r>
        <w:rPr>
          <w:rFonts w:hint="eastAsia" w:hAnsi="宋体" w:cs="宋体"/>
          <w:snapToGrid w:val="0"/>
          <w:color w:val="auto"/>
          <w:kern w:val="32"/>
          <w:highlight w:val="none"/>
          <w:u w:val="single"/>
        </w:rPr>
        <w:t>2C</w:t>
      </w:r>
      <w:r>
        <w:rPr>
          <w:rFonts w:hint="eastAsia" w:ascii="宋体" w:hAnsi="宋体"/>
          <w:color w:val="auto"/>
          <w:highlight w:val="none"/>
          <w:u w:val="single"/>
        </w:rPr>
        <w:t xml:space="preserve"> </w:t>
      </w:r>
      <w:r>
        <w:rPr>
          <w:rFonts w:hint="eastAsia" w:ascii="宋体" w:hAnsi="宋体"/>
          <w:color w:val="auto"/>
          <w:highlight w:val="none"/>
        </w:rPr>
        <w:t>分；　</w:t>
      </w:r>
    </w:p>
    <w:p w14:paraId="66ABCE67">
      <w:pPr>
        <w:spacing w:line="360" w:lineRule="auto"/>
        <w:rPr>
          <w:rFonts w:hint="eastAsia" w:ascii="宋体" w:hAnsi="宋体"/>
          <w:color w:val="auto"/>
          <w:highlight w:val="none"/>
        </w:rPr>
      </w:pPr>
      <w:r>
        <w:rPr>
          <w:rFonts w:hint="eastAsia" w:ascii="宋体" w:hAnsi="宋体"/>
          <w:color w:val="auto"/>
          <w:highlight w:val="none"/>
        </w:rPr>
        <w:t>当K值小于零时，K值每减1%，在总分上扣</w:t>
      </w:r>
      <w:r>
        <w:rPr>
          <w:rFonts w:hint="eastAsia" w:ascii="宋体" w:hAnsi="宋体"/>
          <w:color w:val="auto"/>
          <w:highlight w:val="none"/>
          <w:u w:val="single"/>
        </w:rPr>
        <w:t xml:space="preserve"> </w:t>
      </w:r>
      <w:r>
        <w:rPr>
          <w:rFonts w:hint="eastAsia" w:hAnsi="宋体" w:cs="宋体"/>
          <w:snapToGrid w:val="0"/>
          <w:color w:val="auto"/>
          <w:kern w:val="32"/>
          <w:highlight w:val="none"/>
          <w:u w:val="single"/>
        </w:rPr>
        <w:t>1C</w:t>
      </w:r>
      <w:r>
        <w:rPr>
          <w:rFonts w:hint="eastAsia" w:ascii="宋体" w:hAnsi="宋体"/>
          <w:color w:val="auto"/>
          <w:highlight w:val="none"/>
        </w:rPr>
        <w:t>分。</w:t>
      </w:r>
      <w:r>
        <w:rPr>
          <w:rFonts w:hint="eastAsia" w:hAnsi="宋体" w:cs="宋体"/>
          <w:snapToGrid w:val="0"/>
          <w:color w:val="auto"/>
          <w:kern w:val="32"/>
          <w:highlight w:val="none"/>
        </w:rPr>
        <w:t>（该C值分别为1.0、1.5和2.0，现场抽取，详见评标办法。）</w:t>
      </w:r>
    </w:p>
    <w:p w14:paraId="681A3D27">
      <w:pPr>
        <w:rPr>
          <w:rFonts w:hint="eastAsia" w:ascii="宋体" w:hAnsi="宋体"/>
          <w:color w:val="auto"/>
          <w:highlight w:val="none"/>
        </w:rPr>
      </w:pPr>
    </w:p>
    <w:p w14:paraId="51A8FC0D">
      <w:pPr>
        <w:rPr>
          <w:rFonts w:hint="eastAsia" w:ascii="宋体" w:hAnsi="宋体"/>
          <w:color w:val="auto"/>
          <w:highlight w:val="none"/>
        </w:rPr>
      </w:pPr>
    </w:p>
    <w:p w14:paraId="5ADA545D">
      <w:pPr>
        <w:rPr>
          <w:rFonts w:hint="eastAsia" w:ascii="宋体" w:hAnsi="宋体"/>
          <w:color w:val="auto"/>
          <w:highlight w:val="none"/>
        </w:rPr>
      </w:pPr>
    </w:p>
    <w:p w14:paraId="04E3653B">
      <w:pPr>
        <w:pStyle w:val="14"/>
        <w:spacing w:line="600" w:lineRule="exact"/>
        <w:rPr>
          <w:rFonts w:hint="eastAsia" w:ascii="仿宋_GB2312" w:hAnsi="宋体" w:eastAsia="仿宋_GB2312" w:cs="宋体"/>
          <w:strike/>
          <w:snapToGrid w:val="0"/>
          <w:color w:val="auto"/>
          <w:kern w:val="32"/>
          <w:sz w:val="32"/>
          <w:szCs w:val="32"/>
          <w:highlight w:val="none"/>
        </w:rPr>
      </w:pPr>
      <w:r>
        <w:rPr>
          <w:rFonts w:hint="eastAsia" w:ascii="仿宋_GB2312" w:hAnsi="宋体" w:eastAsia="仿宋_GB2312" w:cs="宋体"/>
          <w:strike/>
          <w:snapToGrid w:val="0"/>
          <w:color w:val="auto"/>
          <w:kern w:val="32"/>
          <w:sz w:val="32"/>
          <w:szCs w:val="32"/>
          <w:highlight w:val="none"/>
        </w:rPr>
        <w:sym w:font="Wingdings 2" w:char="00A3"/>
      </w:r>
      <w:r>
        <w:rPr>
          <w:rFonts w:hint="eastAsia" w:ascii="仿宋_GB2312" w:hAnsi="宋体" w:eastAsia="仿宋_GB2312" w:cs="宋体"/>
          <w:strike/>
          <w:snapToGrid w:val="0"/>
          <w:color w:val="auto"/>
          <w:kern w:val="32"/>
          <w:sz w:val="32"/>
          <w:szCs w:val="32"/>
          <w:highlight w:val="none"/>
        </w:rPr>
        <w:t>方法六</w:t>
      </w:r>
    </w:p>
    <w:p w14:paraId="22AF3C10">
      <w:pPr>
        <w:spacing w:line="360" w:lineRule="auto"/>
        <w:rPr>
          <w:rFonts w:hint="eastAsia" w:ascii="宋体" w:hAnsi="宋体"/>
          <w:strike/>
          <w:color w:val="auto"/>
          <w:highlight w:val="none"/>
        </w:rPr>
      </w:pPr>
      <w:r>
        <w:rPr>
          <w:rFonts w:hint="eastAsia" w:ascii="宋体" w:hAnsi="宋体"/>
          <w:strike/>
          <w:color w:val="auto"/>
          <w:highlight w:val="none"/>
        </w:rPr>
        <w:t>（1）评标基准价计算范围:见评标办法。</w:t>
      </w:r>
    </w:p>
    <w:p w14:paraId="379FEB0F">
      <w:pPr>
        <w:spacing w:line="360" w:lineRule="auto"/>
        <w:rPr>
          <w:rFonts w:hint="eastAsia" w:ascii="宋体" w:hAnsi="宋体"/>
          <w:strike/>
          <w:color w:val="auto"/>
          <w:highlight w:val="none"/>
        </w:rPr>
      </w:pPr>
      <w:r>
        <w:rPr>
          <w:rFonts w:hint="eastAsia" w:ascii="宋体" w:hAnsi="宋体"/>
          <w:strike/>
          <w:color w:val="auto"/>
          <w:highlight w:val="none"/>
        </w:rPr>
        <w:t>（2）评标基准价计算</w:t>
      </w:r>
    </w:p>
    <w:p w14:paraId="0D096F9A">
      <w:pPr>
        <w:spacing w:line="360" w:lineRule="auto"/>
        <w:ind w:firstLine="480" w:firstLineChars="200"/>
        <w:rPr>
          <w:rFonts w:hint="eastAsia" w:ascii="宋体" w:hAnsi="宋体"/>
          <w:strike/>
          <w:color w:val="auto"/>
          <w:highlight w:val="none"/>
        </w:rPr>
      </w:pPr>
      <w:r>
        <w:rPr>
          <w:rFonts w:ascii="宋体" w:hAnsi="宋体"/>
          <w:strike/>
          <w:color w:val="auto"/>
          <w:highlight w:val="none"/>
        </w:rPr>
        <w:t>去除投标报价最高和最低的</w:t>
      </w:r>
      <w:r>
        <w:rPr>
          <w:rFonts w:hint="eastAsia" w:ascii="宋体" w:hAnsi="宋体"/>
          <w:strike/>
          <w:color w:val="auto"/>
          <w:highlight w:val="none"/>
          <w:u w:val="single"/>
        </w:rPr>
        <w:t>Q</w:t>
      </w:r>
      <w:r>
        <w:rPr>
          <w:rFonts w:ascii="宋体" w:hAnsi="宋体"/>
          <w:strike/>
          <w:color w:val="auto"/>
          <w:highlight w:val="none"/>
        </w:rPr>
        <w:t>个报价（四舍五入，若去除最低的</w:t>
      </w:r>
      <w:r>
        <w:rPr>
          <w:rFonts w:hint="eastAsia" w:ascii="宋体" w:hAnsi="宋体"/>
          <w:strike/>
          <w:color w:val="auto"/>
          <w:highlight w:val="none"/>
        </w:rPr>
        <w:t>*</w:t>
      </w:r>
      <w:r>
        <w:rPr>
          <w:rFonts w:ascii="宋体" w:hAnsi="宋体"/>
          <w:strike/>
          <w:color w:val="auto"/>
          <w:highlight w:val="none"/>
        </w:rPr>
        <w:t>0%个报价后，剩余投标人中的最低价仍低于风险控制价的，则去除所有低于风险控制价的报价），将剩余投标报价从高到低排序后计算差值【差值C=（最高报价DN-最低报价D0）/3】，按差值将投标报价分为高【DN至DN-C（含）】、中【DN-C至D0+C（含）】、低【D0+C至D0（含）】三个区间，随后在每个区间内随机抽取</w:t>
      </w:r>
      <w:r>
        <w:rPr>
          <w:rFonts w:hint="eastAsia" w:ascii="宋体" w:hAnsi="宋体"/>
          <w:strike/>
          <w:color w:val="auto"/>
          <w:highlight w:val="none"/>
          <w:u w:val="single"/>
        </w:rPr>
        <w:t>M</w:t>
      </w:r>
      <w:r>
        <w:rPr>
          <w:rFonts w:ascii="宋体" w:hAnsi="宋体"/>
          <w:strike/>
          <w:color w:val="auto"/>
          <w:highlight w:val="none"/>
        </w:rPr>
        <w:t>个投标报价；</w:t>
      </w:r>
    </w:p>
    <w:p w14:paraId="3E0B0F8F">
      <w:pPr>
        <w:spacing w:line="360" w:lineRule="auto"/>
        <w:ind w:firstLine="480" w:firstLineChars="200"/>
        <w:rPr>
          <w:rFonts w:hint="eastAsia" w:ascii="宋体" w:hAnsi="宋体"/>
          <w:strike/>
          <w:color w:val="auto"/>
          <w:highlight w:val="none"/>
        </w:rPr>
      </w:pPr>
      <w:r>
        <w:rPr>
          <w:rFonts w:ascii="宋体" w:hAnsi="宋体"/>
          <w:strike/>
          <w:color w:val="auto"/>
          <w:highlight w:val="none"/>
        </w:rPr>
        <w:t>存在价格抽取方式产生的入围评审区间投标人数量不足</w:t>
      </w:r>
      <w:r>
        <w:rPr>
          <w:rFonts w:hint="eastAsia" w:ascii="宋体" w:hAnsi="宋体"/>
          <w:strike/>
          <w:color w:val="auto"/>
          <w:highlight w:val="none"/>
          <w:u w:val="single"/>
        </w:rPr>
        <w:t>N</w:t>
      </w:r>
      <w:r>
        <w:rPr>
          <w:rFonts w:ascii="宋体" w:hAnsi="宋体"/>
          <w:strike/>
          <w:color w:val="auto"/>
          <w:highlight w:val="none"/>
        </w:rPr>
        <w:t>个的，在中区间依次抽取递补（若中区间无投标人递补，在低区间依次抽取递补；若低区间无投标人递补，则在高区间依次抽取递补），直至入围评审区间的投标人达到</w:t>
      </w:r>
      <w:r>
        <w:rPr>
          <w:rFonts w:hint="eastAsia" w:ascii="宋体" w:hAnsi="宋体"/>
          <w:strike/>
          <w:color w:val="auto"/>
          <w:highlight w:val="none"/>
          <w:u w:val="single"/>
        </w:rPr>
        <w:t>N</w:t>
      </w:r>
      <w:r>
        <w:rPr>
          <w:rFonts w:ascii="宋体" w:hAnsi="宋体"/>
          <w:strike/>
          <w:color w:val="auto"/>
          <w:highlight w:val="none"/>
        </w:rPr>
        <w:t>个；</w:t>
      </w:r>
    </w:p>
    <w:p w14:paraId="4960A5A9">
      <w:pPr>
        <w:spacing w:line="360" w:lineRule="auto"/>
        <w:ind w:firstLine="480" w:firstLineChars="200"/>
        <w:rPr>
          <w:rFonts w:hint="eastAsia" w:ascii="宋体" w:hAnsi="宋体"/>
          <w:strike/>
          <w:color w:val="auto"/>
          <w:highlight w:val="none"/>
        </w:rPr>
      </w:pPr>
      <w:r>
        <w:rPr>
          <w:rFonts w:ascii="宋体" w:hAnsi="宋体"/>
          <w:strike/>
          <w:color w:val="auto"/>
          <w:highlight w:val="none"/>
        </w:rPr>
        <w:t>C=（最高报价DN-最低报价D0）/3</w:t>
      </w:r>
    </w:p>
    <w:p w14:paraId="1BC00D87">
      <w:pPr>
        <w:spacing w:line="360" w:lineRule="auto"/>
        <w:ind w:firstLine="480" w:firstLineChars="200"/>
        <w:rPr>
          <w:rFonts w:hint="eastAsia" w:ascii="宋体" w:hAnsi="宋体"/>
          <w:strike/>
          <w:color w:val="auto"/>
          <w:highlight w:val="none"/>
        </w:rPr>
      </w:pPr>
      <w:r>
        <w:rPr>
          <w:rFonts w:hint="eastAsia" w:ascii="宋体" w:hAnsi="宋体"/>
          <w:strike/>
          <w:color w:val="auto"/>
          <w:highlight w:val="none"/>
        </w:rPr>
        <w:t>M=</w:t>
      </w:r>
      <w:r>
        <w:rPr>
          <w:rFonts w:hint="eastAsia" w:ascii="宋体" w:hAnsi="宋体"/>
          <w:strike/>
          <w:color w:val="auto"/>
          <w:highlight w:val="none"/>
          <w:u w:val="single"/>
        </w:rPr>
        <w:t xml:space="preserve">      </w:t>
      </w:r>
      <w:r>
        <w:rPr>
          <w:rFonts w:hint="eastAsia" w:ascii="宋体" w:hAnsi="宋体"/>
          <w:strike/>
          <w:color w:val="auto"/>
          <w:highlight w:val="none"/>
        </w:rPr>
        <w:t>；</w:t>
      </w:r>
    </w:p>
    <w:p w14:paraId="31D3B24F">
      <w:pPr>
        <w:tabs>
          <w:tab w:val="left" w:pos="312"/>
        </w:tabs>
        <w:spacing w:before="156" w:beforeLines="50" w:line="360" w:lineRule="auto"/>
        <w:ind w:firstLine="480" w:firstLineChars="200"/>
        <w:jc w:val="both"/>
        <w:rPr>
          <w:bCs/>
          <w:strike/>
          <w:color w:val="auto"/>
          <w:highlight w:val="none"/>
        </w:rPr>
      </w:pPr>
      <w:r>
        <w:rPr>
          <w:rFonts w:hint="eastAsia" w:ascii="宋体" w:hAnsi="宋体"/>
          <w:strike/>
          <w:color w:val="auto"/>
          <w:highlight w:val="none"/>
        </w:rPr>
        <w:t>N=</w:t>
      </w:r>
      <w:r>
        <w:rPr>
          <w:rFonts w:hint="eastAsia" w:ascii="宋体" w:hAnsi="宋体"/>
          <w:strike/>
          <w:color w:val="auto"/>
          <w:highlight w:val="none"/>
          <w:u w:val="single"/>
        </w:rPr>
        <w:t xml:space="preserve">      </w:t>
      </w:r>
      <w:r>
        <w:rPr>
          <w:rFonts w:hint="eastAsia" w:ascii="宋体" w:hAnsi="宋体"/>
          <w:strike/>
          <w:color w:val="auto"/>
          <w:highlight w:val="none"/>
        </w:rPr>
        <w:t>；</w:t>
      </w:r>
    </w:p>
    <w:p w14:paraId="216C585E">
      <w:pPr>
        <w:spacing w:line="360" w:lineRule="auto"/>
        <w:ind w:firstLine="480" w:firstLineChars="200"/>
        <w:rPr>
          <w:rFonts w:hint="eastAsia" w:ascii="宋体" w:hAnsi="宋体"/>
          <w:strike/>
          <w:color w:val="auto"/>
          <w:highlight w:val="none"/>
        </w:rPr>
      </w:pPr>
      <w:r>
        <w:rPr>
          <w:rFonts w:hint="eastAsia" w:ascii="宋体" w:hAnsi="宋体"/>
          <w:strike/>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5486D58E">
      <w:pPr>
        <w:spacing w:line="360" w:lineRule="auto"/>
        <w:rPr>
          <w:rFonts w:hint="eastAsia" w:ascii="宋体" w:hAnsi="宋体"/>
          <w:strike/>
          <w:color w:val="auto"/>
          <w:highlight w:val="none"/>
        </w:rPr>
      </w:pPr>
      <w:r>
        <w:rPr>
          <w:rFonts w:hint="eastAsia" w:ascii="宋体" w:hAnsi="宋体"/>
          <w:strike/>
          <w:color w:val="auto"/>
          <w:highlight w:val="none"/>
        </w:rPr>
        <w:t>K=（有效投标报价—评标基准价）÷评标基准价*100%</w:t>
      </w:r>
    </w:p>
    <w:p w14:paraId="53BB8665">
      <w:pPr>
        <w:spacing w:line="360" w:lineRule="auto"/>
        <w:rPr>
          <w:rFonts w:hint="eastAsia" w:ascii="宋体" w:hAnsi="宋体"/>
          <w:strike/>
          <w:color w:val="auto"/>
          <w:highlight w:val="none"/>
        </w:rPr>
      </w:pPr>
      <w:r>
        <w:rPr>
          <w:rFonts w:hint="eastAsia" w:ascii="宋体" w:hAnsi="宋体"/>
          <w:strike/>
          <w:color w:val="auto"/>
          <w:highlight w:val="none"/>
        </w:rPr>
        <w:t>当K值等于零时，得满分；</w:t>
      </w:r>
    </w:p>
    <w:p w14:paraId="5C1FBA6A">
      <w:pPr>
        <w:spacing w:line="360" w:lineRule="auto"/>
        <w:rPr>
          <w:rFonts w:hint="eastAsia" w:ascii="宋体" w:hAnsi="宋体"/>
          <w:strike/>
          <w:color w:val="auto"/>
          <w:highlight w:val="none"/>
        </w:rPr>
      </w:pPr>
      <w:r>
        <w:rPr>
          <w:rFonts w:hint="eastAsia" w:ascii="宋体" w:hAnsi="宋体"/>
          <w:strike/>
          <w:color w:val="auto"/>
          <w:highlight w:val="none"/>
        </w:rPr>
        <w:t>当K值大于零时，K值每增1%，在总分上扣</w:t>
      </w:r>
      <w:r>
        <w:rPr>
          <w:rFonts w:hint="eastAsia" w:ascii="宋体" w:hAnsi="宋体"/>
          <w:strike/>
          <w:color w:val="auto"/>
          <w:highlight w:val="none"/>
          <w:u w:val="single"/>
        </w:rPr>
        <w:t xml:space="preserve">   </w:t>
      </w:r>
      <w:r>
        <w:rPr>
          <w:rFonts w:hint="eastAsia" w:ascii="宋体" w:hAnsi="宋体"/>
          <w:strike/>
          <w:color w:val="auto"/>
          <w:highlight w:val="none"/>
        </w:rPr>
        <w:t>分；　</w:t>
      </w:r>
    </w:p>
    <w:p w14:paraId="483F59A9">
      <w:pPr>
        <w:spacing w:line="360" w:lineRule="auto"/>
        <w:rPr>
          <w:rFonts w:hint="eastAsia" w:ascii="宋体" w:hAnsi="宋体"/>
          <w:strike/>
          <w:color w:val="auto"/>
          <w:highlight w:val="none"/>
        </w:rPr>
      </w:pPr>
      <w:r>
        <w:rPr>
          <w:rFonts w:hint="eastAsia" w:ascii="宋体" w:hAnsi="宋体"/>
          <w:strike/>
          <w:color w:val="auto"/>
          <w:highlight w:val="none"/>
        </w:rPr>
        <w:t>当K值小于零时，K值每减1%，在总分上扣</w:t>
      </w:r>
      <w:r>
        <w:rPr>
          <w:rFonts w:hint="eastAsia" w:ascii="宋体" w:hAnsi="宋体"/>
          <w:strike/>
          <w:color w:val="auto"/>
          <w:highlight w:val="none"/>
          <w:u w:val="single"/>
        </w:rPr>
        <w:t xml:space="preserve">   </w:t>
      </w:r>
      <w:r>
        <w:rPr>
          <w:rFonts w:hint="eastAsia" w:ascii="宋体" w:hAnsi="宋体"/>
          <w:strike/>
          <w:color w:val="auto"/>
          <w:highlight w:val="none"/>
        </w:rPr>
        <w:t>分。</w:t>
      </w:r>
    </w:p>
    <w:p w14:paraId="415F8A7A">
      <w:pPr>
        <w:rPr>
          <w:rFonts w:hint="eastAsia" w:ascii="宋体" w:hAnsi="宋体"/>
          <w:color w:val="auto"/>
          <w:highlight w:val="none"/>
        </w:rPr>
      </w:pPr>
    </w:p>
    <w:p w14:paraId="09503B3F">
      <w:pPr>
        <w:rPr>
          <w:color w:val="auto"/>
          <w:highlight w:val="none"/>
        </w:rPr>
      </w:pPr>
      <w:r>
        <w:rPr>
          <w:rFonts w:hint="eastAsia"/>
          <w:color w:val="auto"/>
          <w:highlight w:val="none"/>
        </w:rPr>
        <w:tab/>
      </w:r>
    </w:p>
    <w:p w14:paraId="65FD99F4">
      <w:pPr>
        <w:rPr>
          <w:color w:val="auto"/>
          <w:highlight w:val="none"/>
        </w:rPr>
      </w:pPr>
    </w:p>
    <w:p w14:paraId="4D081D13">
      <w:pPr>
        <w:widowControl/>
        <w:autoSpaceDE/>
        <w:autoSpaceDN/>
        <w:adjustRightInd/>
        <w:rPr>
          <w:rFonts w:hint="eastAsia" w:ascii="宋体" w:hAnsi="宋体"/>
          <w:color w:val="auto"/>
          <w:highlight w:val="none"/>
        </w:rPr>
      </w:pPr>
    </w:p>
    <w:p w14:paraId="4B505045">
      <w:pPr>
        <w:rPr>
          <w:color w:val="auto"/>
          <w:highlight w:val="none"/>
        </w:rPr>
      </w:pPr>
    </w:p>
    <w:sectPr>
      <w:type w:val="continuous"/>
      <w:pgSz w:w="11907" w:h="16839"/>
      <w:pgMar w:top="1440" w:right="1559"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D353230-CB84-4A66-AA0D-2A2CDE2966D5}"/>
  </w:font>
  <w:font w:name="黑体">
    <w:panose1 w:val="02010609060101010101"/>
    <w:charset w:val="86"/>
    <w:family w:val="auto"/>
    <w:pitch w:val="default"/>
    <w:sig w:usb0="800002BF" w:usb1="38CF7CFA" w:usb2="00000016" w:usb3="00000000" w:csb0="00040001" w:csb1="00000000"/>
    <w:embedRegular r:id="rId2" w:fontKey="{61110EEF-34F5-44FE-80B1-01D015C0A6FD}"/>
  </w:font>
  <w:font w:name="Courier New">
    <w:panose1 w:val="02070309020205020404"/>
    <w:charset w:val="01"/>
    <w:family w:val="modern"/>
    <w:pitch w:val="default"/>
    <w:sig w:usb0="E0002EFF" w:usb1="C0007843" w:usb2="00000009" w:usb3="00000000" w:csb0="400001FF" w:csb1="FFFF0000"/>
    <w:embedRegular r:id="rId3" w:fontKey="{538FE51D-03B2-4C9E-8144-1123CCF8528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AFB0434-8F44-43C7-98DC-00DE8920121C}"/>
  </w:font>
  <w:font w:name="Calibri Light">
    <w:panose1 w:val="020F0302020204030204"/>
    <w:charset w:val="00"/>
    <w:family w:val="swiss"/>
    <w:pitch w:val="default"/>
    <w:sig w:usb0="E4002EFF" w:usb1="C000247B" w:usb2="00000009" w:usb3="00000000" w:csb0="200001FF" w:csb1="00000000"/>
  </w:font>
  <w:font w:name="???|CS?o｡ﾀ?">
    <w:altName w:val="MS Gothic"/>
    <w:panose1 w:val="00000000000000000000"/>
    <w:charset w:val="80"/>
    <w:family w:val="moder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等线 Light">
    <w:panose1 w:val="02010600030101010101"/>
    <w:charset w:val="86"/>
    <w:family w:val="auto"/>
    <w:pitch w:val="default"/>
    <w:sig w:usb0="A00002BF" w:usb1="38CF7CFA" w:usb2="00000016" w:usb3="00000000" w:csb0="0004000F" w:csb1="00000000"/>
  </w:font>
  <w:font w:name="方正小标宋简体">
    <w:altName w:val="微软雅黑"/>
    <w:panose1 w:val="00000000000000000000"/>
    <w:charset w:val="86"/>
    <w:family w:val="script"/>
    <w:pitch w:val="default"/>
    <w:sig w:usb0="00000000" w:usb1="00000000" w:usb2="00000006" w:usb3="00000000" w:csb0="00040001" w:csb1="00000000"/>
    <w:embedRegular r:id="rId5" w:fontKey="{60FB9667-A111-4AE6-A89E-E0B0EA76D345}"/>
  </w:font>
  <w:font w:name="微软雅黑">
    <w:panose1 w:val="020B0503020204020204"/>
    <w:charset w:val="86"/>
    <w:family w:val="swiss"/>
    <w:pitch w:val="default"/>
    <w:sig w:usb0="80000287" w:usb1="2ACF3C50" w:usb2="00000016" w:usb3="00000000" w:csb0="0004001F" w:csb1="00000000"/>
    <w:embedRegular r:id="rId6" w:fontKey="{50F08891-2EC2-48E3-AC41-6836AE998EDD}"/>
  </w:font>
  <w:font w:name="方正小标宋_GBK">
    <w:altName w:val="微软雅黑"/>
    <w:panose1 w:val="00000000000000000000"/>
    <w:charset w:val="86"/>
    <w:family w:val="auto"/>
    <w:pitch w:val="default"/>
    <w:sig w:usb0="00000000" w:usb1="00000000" w:usb2="00000006" w:usb3="00000000" w:csb0="00040001" w:csb1="00000000"/>
    <w:embedRegular r:id="rId7" w:fontKey="{4C172EDF-FEB0-427C-8963-35451D4E4BB4}"/>
  </w:font>
  <w:font w:name="楷体_GB2312">
    <w:altName w:val="楷体"/>
    <w:panose1 w:val="00000000000000000000"/>
    <w:charset w:val="86"/>
    <w:family w:val="modern"/>
    <w:pitch w:val="default"/>
    <w:sig w:usb0="00000000" w:usb1="00000000" w:usb2="00000000" w:usb3="00000000" w:csb0="00040000" w:csb1="00000000"/>
    <w:embedRegular r:id="rId8" w:fontKey="{38DF4E0A-0943-4889-BFF5-3AE6D9D78E62}"/>
  </w:font>
  <w:font w:name="楷体">
    <w:panose1 w:val="02010609060101010101"/>
    <w:charset w:val="86"/>
    <w:family w:val="auto"/>
    <w:pitch w:val="default"/>
    <w:sig w:usb0="800002BF" w:usb1="38CF7CFA" w:usb2="00000016" w:usb3="00000000" w:csb0="00040001" w:csb1="00000000"/>
  </w:font>
  <w:font w:name="小标宋">
    <w:altName w:val="微软雅黑"/>
    <w:panose1 w:val="00000000000000000000"/>
    <w:charset w:val="86"/>
    <w:family w:val="script"/>
    <w:pitch w:val="default"/>
    <w:sig w:usb0="00000000" w:usb1="00000000" w:usb2="00000006" w:usb3="00000000" w:csb0="00040001" w:csb1="00000000"/>
    <w:embedRegular r:id="rId9" w:fontKey="{6F0B8AE6-0E3E-4740-8DC4-0313C535015B}"/>
  </w:font>
  <w:font w:name="新宋体">
    <w:panose1 w:val="02010609030101010101"/>
    <w:charset w:val="86"/>
    <w:family w:val="modern"/>
    <w:pitch w:val="default"/>
    <w:sig w:usb0="00000203" w:usb1="288F0000" w:usb2="00000006" w:usb3="00000000" w:csb0="00040001" w:csb1="00000000"/>
    <w:embedRegular r:id="rId10" w:fontKey="{BD7A3FD2-EC02-4FCF-A5D5-F17D8F7C089B}"/>
  </w:font>
  <w:font w:name="仿宋">
    <w:panose1 w:val="02010609060101010101"/>
    <w:charset w:val="86"/>
    <w:family w:val="modern"/>
    <w:pitch w:val="default"/>
    <w:sig w:usb0="800002BF" w:usb1="38CF7CFA" w:usb2="00000016" w:usb3="00000000" w:csb0="00040001" w:csb1="00000000"/>
    <w:embedRegular r:id="rId11" w:fontKey="{ED07A960-90E9-4845-8B02-02671656529C}"/>
  </w:font>
  <w:font w:name="Wingdings 2">
    <w:panose1 w:val="05020102010507070707"/>
    <w:charset w:val="02"/>
    <w:family w:val="roman"/>
    <w:pitch w:val="default"/>
    <w:sig w:usb0="00000000" w:usb1="00000000" w:usb2="00000000" w:usb3="00000000" w:csb0="80000000" w:csb1="00000000"/>
    <w:embedRegular r:id="rId12" w:fontKey="{D81DA831-890E-4B9D-BAF9-90B6C3ACCC55}"/>
  </w:font>
  <w:font w:name="华文中宋">
    <w:altName w:val="宋体"/>
    <w:panose1 w:val="02010600040101010101"/>
    <w:charset w:val="86"/>
    <w:family w:val="auto"/>
    <w:pitch w:val="default"/>
    <w:sig w:usb0="00000000" w:usb1="00000000" w:usb2="00000010" w:usb3="00000000" w:csb0="0004009F" w:csb1="00000000"/>
    <w:embedRegular r:id="rId13" w:fontKey="{AE0AB804-C934-4719-849D-62A5DBFDE419}"/>
  </w:font>
  <w:font w:name="仿宋_GB2312">
    <w:altName w:val="仿宋"/>
    <w:panose1 w:val="00000000000000000000"/>
    <w:charset w:val="86"/>
    <w:family w:val="modern"/>
    <w:pitch w:val="default"/>
    <w:sig w:usb0="00000000" w:usb1="00000000" w:usb2="00000000" w:usb3="00000000" w:csb0="00040000" w:csb1="00000000"/>
    <w:embedRegular r:id="rId14" w:fontKey="{73505A3F-6AD5-4B59-A0E2-AAA07FC34DEF}"/>
  </w:font>
  <w:font w:name="等线">
    <w:panose1 w:val="02010600030101010101"/>
    <w:charset w:val="86"/>
    <w:family w:val="auto"/>
    <w:pitch w:val="default"/>
    <w:sig w:usb0="A00002BF" w:usb1="38CF7CFA" w:usb2="00000016" w:usb3="00000000" w:csb0="0004000F" w:csb1="00000000"/>
    <w:embedRegular r:id="rId15" w:fontKey="{579D2715-66EE-4A0F-8841-AEC734228252}"/>
  </w:font>
  <w:font w:name="MS Mincho">
    <w:altName w:val="ＭＳ 明朝"/>
    <w:panose1 w:val="02020609040205080304"/>
    <w:charset w:val="80"/>
    <w:family w:val="modern"/>
    <w:pitch w:val="default"/>
    <w:sig w:usb0="E00002FF" w:usb1="6AC7FDFB" w:usb2="08000012" w:usb3="00000000" w:csb0="4002009F" w:csb1="DFD70000"/>
    <w:embedRegular r:id="rId16" w:fontKey="{27C1220D-35F8-47E1-AD78-A5EBCA6D0619}"/>
  </w:font>
  <w:font w:name="Microsoft JhengHei">
    <w:panose1 w:val="020B0604030504040204"/>
    <w:charset w:val="88"/>
    <w:family w:val="swiss"/>
    <w:pitch w:val="default"/>
    <w:sig w:usb0="000002A7" w:usb1="28CF4400" w:usb2="00000016" w:usb3="00000000" w:csb0="00100009" w:csb1="00000000"/>
    <w:embedRegular r:id="rId17" w:fontKey="{28EB4A61-4937-4286-8E83-9346C10FDA8E}"/>
  </w:font>
  <w:font w:name="方正仿宋">
    <w:altName w:val="仿宋"/>
    <w:panose1 w:val="00000000000000000000"/>
    <w:charset w:val="86"/>
    <w:family w:val="script"/>
    <w:pitch w:val="default"/>
    <w:sig w:usb0="00000000" w:usb1="00000000" w:usb2="00000006" w:usb3="00000000" w:csb0="00040001" w:csb1="00000000"/>
    <w:embedRegular r:id="rId18" w:fontKey="{EFB96344-5542-45E1-963B-27566A00D688}"/>
  </w:font>
  <w:font w:name="MS PGothic">
    <w:panose1 w:val="020B0600070205080204"/>
    <w:charset w:val="80"/>
    <w:family w:val="auto"/>
    <w:pitch w:val="default"/>
    <w:sig w:usb0="E00002FF" w:usb1="6AC7FDFB" w:usb2="08000012" w:usb3="00000000" w:csb0="4002009F" w:csb1="DFD70000"/>
  </w:font>
  <w:font w:name="WPSEMBED1">
    <w:panose1 w:val="05020102010507070707"/>
    <w:charset w:val="00"/>
    <w:family w:val="auto"/>
    <w:pitch w:val="default"/>
    <w:sig w:usb0="00000000" w:usb1="00000000" w:usb2="00000000" w:usb3="00000000" w:csb0="80000000" w:csb1="00000000"/>
  </w:font>
  <w:font w:name="WPSEMBED2">
    <w:panose1 w:val="020206090402050803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E609D">
    <w:pPr>
      <w:pStyle w:val="15"/>
      <w:rPr>
        <w:rFonts w:cs="宋体"/>
      </w:rPr>
    </w:pPr>
    <w:r>
      <w:rPr>
        <w:rFonts w:hint="eastAsia" w:cs="宋体"/>
      </w:rPr>
      <w:fldChar w:fldCharType="begin"/>
    </w:r>
    <w:r>
      <w:rPr>
        <w:rFonts w:hint="eastAsia" w:cs="宋体"/>
      </w:rPr>
      <w:instrText xml:space="preserve"> PAGE   \* MERGEFORMAT </w:instrText>
    </w:r>
    <w:r>
      <w:rPr>
        <w:rFonts w:hint="eastAsia" w:cs="宋体"/>
      </w:rPr>
      <w:fldChar w:fldCharType="separate"/>
    </w:r>
    <w:r>
      <w:rPr>
        <w:rFonts w:hint="eastAsia" w:cs="宋体"/>
      </w:rPr>
      <w:t>154</w:t>
    </w:r>
    <w:r>
      <w:rPr>
        <w:rFonts w:hint="eastAsia" w:cs="宋体"/>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9EC9F">
    <w:pPr>
      <w:pStyle w:val="15"/>
      <w:jc w:val="center"/>
    </w:pPr>
    <w:r>
      <w:rPr>
        <w:rFonts w:ascii="Arial" w:hAnsi="Arial" w:eastAsia="Arial" w:cs="Arial"/>
        <w:snapToGrid w:val="0"/>
        <w:color w:val="000000"/>
        <w:lang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44616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147</w:t>
                          </w:r>
                          <w:r>
                            <w:rPr>
                              <w:rFonts w:hint="eastAsia"/>
                              <w:sz w:val="18"/>
                            </w:rPr>
                            <w:fldChar w:fldCharType="end"/>
                          </w:r>
                        </w:p>
                      </w:txbxContent>
                    </wps:txbx>
                    <wps:bodyPr wrap="none" lIns="0" tIns="0" rIns="0" bIns="0">
                      <a:spAutoFit/>
                    </wps:bodyPr>
                  </wps:wsp>
                </a:graphicData>
              </a:graphic>
            </wp:anchor>
          </w:drawing>
        </mc:Choice>
        <mc:Fallback>
          <w:pict>
            <v:shape id="文本框28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YkyEc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LO3XGLEz///HH+9ef8+/ty&#10;tcoC9QFqzLsLmJmGD37A5NkP6My8BxVt/iIjgnGU93SRVw6JiPxohYAVhgTG5gvis6fnIUL6KL0l&#10;2WhoxPkVWfnxM6QxdU7J1Zy/1caUGRr3lwMxs4fl3sces5WG3TAR2vn2hHx6HH1DHW46JeaTQ2Xz&#10;lsxGnI3dZOQaEN4fEhYu/WTUEWoqhnMqjKadyovw/F6ynv6jz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eYkyEcEBAACPAwAADgAAAAAAAAABACAAAAAeAQAAZHJzL2Uyb0RvYy54bWxQSwUG&#10;AAAAAAYABgBZAQAAUQUAAAAA&#10;">
              <v:fill on="f" focussize="0,0"/>
              <v:stroke on="f"/>
              <v:imagedata o:title=""/>
              <o:lock v:ext="edit" aspectratio="f"/>
              <v:textbox inset="0mm,0mm,0mm,0mm" style="mso-fit-shape-to-text:t;">
                <w:txbxContent>
                  <w:p w14:paraId="2344616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147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0DB07">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05207"/>
    <w:multiLevelType w:val="multilevel"/>
    <w:tmpl w:val="A0F05207"/>
    <w:lvl w:ilvl="0" w:tentative="0">
      <w:start w:val="3"/>
      <w:numFmt w:val="decimal"/>
      <w:lvlText w:val="%1"/>
      <w:lvlJc w:val="left"/>
      <w:pPr>
        <w:ind w:left="1751" w:hanging="483"/>
      </w:pPr>
      <w:rPr>
        <w:rFonts w:hint="default"/>
        <w:lang w:val="zh-CN" w:eastAsia="zh-CN" w:bidi="zh-CN"/>
      </w:rPr>
    </w:lvl>
    <w:lvl w:ilvl="1" w:tentative="0">
      <w:start w:val="5"/>
      <w:numFmt w:val="decimal"/>
      <w:lvlText w:val="%1.%2"/>
      <w:lvlJc w:val="left"/>
      <w:pPr>
        <w:ind w:left="1751" w:hanging="483"/>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788" w:hanging="720"/>
      </w:pPr>
      <w:rPr>
        <w:rFonts w:hint="default" w:ascii="宋体" w:hAnsi="宋体" w:eastAsia="宋体" w:cs="宋体"/>
        <w:w w:val="100"/>
        <w:sz w:val="24"/>
        <w:szCs w:val="24"/>
        <w:lang w:val="zh-CN" w:eastAsia="zh-CN" w:bidi="zh-CN"/>
      </w:rPr>
    </w:lvl>
    <w:lvl w:ilvl="3" w:tentative="0">
      <w:start w:val="0"/>
      <w:numFmt w:val="bullet"/>
      <w:lvlText w:val="•"/>
      <w:lvlJc w:val="left"/>
      <w:pPr>
        <w:ind w:left="3734" w:hanging="720"/>
      </w:pPr>
      <w:rPr>
        <w:rFonts w:hint="default"/>
        <w:lang w:val="zh-CN" w:eastAsia="zh-CN" w:bidi="zh-CN"/>
      </w:rPr>
    </w:lvl>
    <w:lvl w:ilvl="4" w:tentative="0">
      <w:start w:val="0"/>
      <w:numFmt w:val="bullet"/>
      <w:lvlText w:val="•"/>
      <w:lvlJc w:val="left"/>
      <w:pPr>
        <w:ind w:left="4722" w:hanging="720"/>
      </w:pPr>
      <w:rPr>
        <w:rFonts w:hint="default"/>
        <w:lang w:val="zh-CN" w:eastAsia="zh-CN" w:bidi="zh-CN"/>
      </w:rPr>
    </w:lvl>
    <w:lvl w:ilvl="5" w:tentative="0">
      <w:start w:val="0"/>
      <w:numFmt w:val="bullet"/>
      <w:lvlText w:val="•"/>
      <w:lvlJc w:val="left"/>
      <w:pPr>
        <w:ind w:left="5709" w:hanging="720"/>
      </w:pPr>
      <w:rPr>
        <w:rFonts w:hint="default"/>
        <w:lang w:val="zh-CN" w:eastAsia="zh-CN" w:bidi="zh-CN"/>
      </w:rPr>
    </w:lvl>
    <w:lvl w:ilvl="6" w:tentative="0">
      <w:start w:val="0"/>
      <w:numFmt w:val="bullet"/>
      <w:lvlText w:val="•"/>
      <w:lvlJc w:val="left"/>
      <w:pPr>
        <w:ind w:left="6696" w:hanging="720"/>
      </w:pPr>
      <w:rPr>
        <w:rFonts w:hint="default"/>
        <w:lang w:val="zh-CN" w:eastAsia="zh-CN" w:bidi="zh-CN"/>
      </w:rPr>
    </w:lvl>
    <w:lvl w:ilvl="7" w:tentative="0">
      <w:start w:val="0"/>
      <w:numFmt w:val="bullet"/>
      <w:lvlText w:val="•"/>
      <w:lvlJc w:val="left"/>
      <w:pPr>
        <w:ind w:left="7684" w:hanging="720"/>
      </w:pPr>
      <w:rPr>
        <w:rFonts w:hint="default"/>
        <w:lang w:val="zh-CN" w:eastAsia="zh-CN" w:bidi="zh-CN"/>
      </w:rPr>
    </w:lvl>
    <w:lvl w:ilvl="8" w:tentative="0">
      <w:start w:val="0"/>
      <w:numFmt w:val="bullet"/>
      <w:lvlText w:val="•"/>
      <w:lvlJc w:val="left"/>
      <w:pPr>
        <w:ind w:left="8671" w:hanging="720"/>
      </w:pPr>
      <w:rPr>
        <w:rFonts w:hint="default"/>
        <w:lang w:val="zh-CN" w:eastAsia="zh-CN" w:bidi="zh-CN"/>
      </w:rPr>
    </w:lvl>
  </w:abstractNum>
  <w:abstractNum w:abstractNumId="1">
    <w:nsid w:val="A80B5C90"/>
    <w:multiLevelType w:val="singleLevel"/>
    <w:tmpl w:val="A80B5C90"/>
    <w:lvl w:ilvl="0" w:tentative="0">
      <w:start w:val="1"/>
      <w:numFmt w:val="decimal"/>
      <w:lvlText w:val="%1."/>
      <w:lvlJc w:val="left"/>
      <w:pPr>
        <w:tabs>
          <w:tab w:val="left" w:pos="312"/>
        </w:tabs>
      </w:pPr>
    </w:lvl>
  </w:abstractNum>
  <w:abstractNum w:abstractNumId="2">
    <w:nsid w:val="A93B7CE3"/>
    <w:multiLevelType w:val="singleLevel"/>
    <w:tmpl w:val="A93B7CE3"/>
    <w:lvl w:ilvl="0" w:tentative="0">
      <w:start w:val="1"/>
      <w:numFmt w:val="decimal"/>
      <w:lvlText w:val="%1."/>
      <w:lvlJc w:val="left"/>
      <w:pPr>
        <w:tabs>
          <w:tab w:val="left" w:pos="312"/>
        </w:tabs>
      </w:pPr>
    </w:lvl>
  </w:abstractNum>
  <w:abstractNum w:abstractNumId="3">
    <w:nsid w:val="B23A94A9"/>
    <w:multiLevelType w:val="multilevel"/>
    <w:tmpl w:val="B23A94A9"/>
    <w:lvl w:ilvl="0" w:tentative="0">
      <w:start w:val="1"/>
      <w:numFmt w:val="decimal"/>
      <w:lvlText w:val="（%1）"/>
      <w:lvlJc w:val="left"/>
      <w:pPr>
        <w:ind w:left="1797" w:hanging="601"/>
      </w:pPr>
      <w:rPr>
        <w:rFonts w:hint="default" w:ascii="宋体" w:hAnsi="宋体" w:eastAsia="宋体" w:cs="宋体"/>
        <w:w w:val="100"/>
        <w:sz w:val="24"/>
        <w:szCs w:val="24"/>
        <w:lang w:val="zh-CN" w:eastAsia="zh-CN" w:bidi="zh-CN"/>
      </w:rPr>
    </w:lvl>
    <w:lvl w:ilvl="1" w:tentative="0">
      <w:start w:val="0"/>
      <w:numFmt w:val="bullet"/>
      <w:lvlText w:val="•"/>
      <w:lvlJc w:val="left"/>
      <w:pPr>
        <w:ind w:left="2684" w:hanging="601"/>
      </w:pPr>
      <w:rPr>
        <w:rFonts w:hint="default"/>
        <w:lang w:val="zh-CN" w:eastAsia="zh-CN" w:bidi="zh-CN"/>
      </w:rPr>
    </w:lvl>
    <w:lvl w:ilvl="2" w:tentative="0">
      <w:start w:val="0"/>
      <w:numFmt w:val="bullet"/>
      <w:lvlText w:val="•"/>
      <w:lvlJc w:val="left"/>
      <w:pPr>
        <w:ind w:left="3569" w:hanging="601"/>
      </w:pPr>
      <w:rPr>
        <w:rFonts w:hint="default"/>
        <w:lang w:val="zh-CN" w:eastAsia="zh-CN" w:bidi="zh-CN"/>
      </w:rPr>
    </w:lvl>
    <w:lvl w:ilvl="3" w:tentative="0">
      <w:start w:val="0"/>
      <w:numFmt w:val="bullet"/>
      <w:lvlText w:val="•"/>
      <w:lvlJc w:val="left"/>
      <w:pPr>
        <w:ind w:left="4453" w:hanging="601"/>
      </w:pPr>
      <w:rPr>
        <w:rFonts w:hint="default"/>
        <w:lang w:val="zh-CN" w:eastAsia="zh-CN" w:bidi="zh-CN"/>
      </w:rPr>
    </w:lvl>
    <w:lvl w:ilvl="4" w:tentative="0">
      <w:start w:val="0"/>
      <w:numFmt w:val="bullet"/>
      <w:lvlText w:val="•"/>
      <w:lvlJc w:val="left"/>
      <w:pPr>
        <w:ind w:left="5338" w:hanging="601"/>
      </w:pPr>
      <w:rPr>
        <w:rFonts w:hint="default"/>
        <w:lang w:val="zh-CN" w:eastAsia="zh-CN" w:bidi="zh-CN"/>
      </w:rPr>
    </w:lvl>
    <w:lvl w:ilvl="5" w:tentative="0">
      <w:start w:val="0"/>
      <w:numFmt w:val="bullet"/>
      <w:lvlText w:val="•"/>
      <w:lvlJc w:val="left"/>
      <w:pPr>
        <w:ind w:left="6223" w:hanging="601"/>
      </w:pPr>
      <w:rPr>
        <w:rFonts w:hint="default"/>
        <w:lang w:val="zh-CN" w:eastAsia="zh-CN" w:bidi="zh-CN"/>
      </w:rPr>
    </w:lvl>
    <w:lvl w:ilvl="6" w:tentative="0">
      <w:start w:val="0"/>
      <w:numFmt w:val="bullet"/>
      <w:lvlText w:val="•"/>
      <w:lvlJc w:val="left"/>
      <w:pPr>
        <w:ind w:left="7107" w:hanging="601"/>
      </w:pPr>
      <w:rPr>
        <w:rFonts w:hint="default"/>
        <w:lang w:val="zh-CN" w:eastAsia="zh-CN" w:bidi="zh-CN"/>
      </w:rPr>
    </w:lvl>
    <w:lvl w:ilvl="7" w:tentative="0">
      <w:start w:val="0"/>
      <w:numFmt w:val="bullet"/>
      <w:lvlText w:val="•"/>
      <w:lvlJc w:val="left"/>
      <w:pPr>
        <w:ind w:left="7992" w:hanging="601"/>
      </w:pPr>
      <w:rPr>
        <w:rFonts w:hint="default"/>
        <w:lang w:val="zh-CN" w:eastAsia="zh-CN" w:bidi="zh-CN"/>
      </w:rPr>
    </w:lvl>
    <w:lvl w:ilvl="8" w:tentative="0">
      <w:start w:val="0"/>
      <w:numFmt w:val="bullet"/>
      <w:lvlText w:val="•"/>
      <w:lvlJc w:val="left"/>
      <w:pPr>
        <w:ind w:left="8876" w:hanging="601"/>
      </w:pPr>
      <w:rPr>
        <w:rFonts w:hint="default"/>
        <w:lang w:val="zh-CN" w:eastAsia="zh-CN" w:bidi="zh-CN"/>
      </w:rPr>
    </w:lvl>
  </w:abstractNum>
  <w:abstractNum w:abstractNumId="4">
    <w:nsid w:val="C0915F4F"/>
    <w:multiLevelType w:val="multilevel"/>
    <w:tmpl w:val="C0915F4F"/>
    <w:lvl w:ilvl="0" w:tentative="0">
      <w:start w:val="1"/>
      <w:numFmt w:val="decimal"/>
      <w:lvlText w:val="（%1）"/>
      <w:lvlJc w:val="left"/>
      <w:pPr>
        <w:ind w:left="1869" w:hanging="601"/>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2738" w:hanging="601"/>
      </w:pPr>
      <w:rPr>
        <w:rFonts w:hint="default"/>
        <w:lang w:val="zh-CN" w:eastAsia="zh-CN" w:bidi="zh-CN"/>
      </w:rPr>
    </w:lvl>
    <w:lvl w:ilvl="2" w:tentative="0">
      <w:start w:val="0"/>
      <w:numFmt w:val="bullet"/>
      <w:lvlText w:val="•"/>
      <w:lvlJc w:val="left"/>
      <w:pPr>
        <w:ind w:left="3617" w:hanging="601"/>
      </w:pPr>
      <w:rPr>
        <w:rFonts w:hint="default"/>
        <w:lang w:val="zh-CN" w:eastAsia="zh-CN" w:bidi="zh-CN"/>
      </w:rPr>
    </w:lvl>
    <w:lvl w:ilvl="3" w:tentative="0">
      <w:start w:val="0"/>
      <w:numFmt w:val="bullet"/>
      <w:lvlText w:val="•"/>
      <w:lvlJc w:val="left"/>
      <w:pPr>
        <w:ind w:left="4495" w:hanging="601"/>
      </w:pPr>
      <w:rPr>
        <w:rFonts w:hint="default"/>
        <w:lang w:val="zh-CN" w:eastAsia="zh-CN" w:bidi="zh-CN"/>
      </w:rPr>
    </w:lvl>
    <w:lvl w:ilvl="4" w:tentative="0">
      <w:start w:val="0"/>
      <w:numFmt w:val="bullet"/>
      <w:lvlText w:val="•"/>
      <w:lvlJc w:val="left"/>
      <w:pPr>
        <w:ind w:left="5374" w:hanging="601"/>
      </w:pPr>
      <w:rPr>
        <w:rFonts w:hint="default"/>
        <w:lang w:val="zh-CN" w:eastAsia="zh-CN" w:bidi="zh-CN"/>
      </w:rPr>
    </w:lvl>
    <w:lvl w:ilvl="5" w:tentative="0">
      <w:start w:val="0"/>
      <w:numFmt w:val="bullet"/>
      <w:lvlText w:val="•"/>
      <w:lvlJc w:val="left"/>
      <w:pPr>
        <w:ind w:left="6253"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8010" w:hanging="601"/>
      </w:pPr>
      <w:rPr>
        <w:rFonts w:hint="default"/>
        <w:lang w:val="zh-CN" w:eastAsia="zh-CN" w:bidi="zh-CN"/>
      </w:rPr>
    </w:lvl>
    <w:lvl w:ilvl="8" w:tentative="0">
      <w:start w:val="0"/>
      <w:numFmt w:val="bullet"/>
      <w:lvlText w:val="•"/>
      <w:lvlJc w:val="left"/>
      <w:pPr>
        <w:ind w:left="8888" w:hanging="601"/>
      </w:pPr>
      <w:rPr>
        <w:rFonts w:hint="default"/>
        <w:lang w:val="zh-CN" w:eastAsia="zh-CN" w:bidi="zh-CN"/>
      </w:rPr>
    </w:lvl>
  </w:abstractNum>
  <w:abstractNum w:abstractNumId="5">
    <w:nsid w:val="D6DCE257"/>
    <w:multiLevelType w:val="singleLevel"/>
    <w:tmpl w:val="D6DCE257"/>
    <w:lvl w:ilvl="0" w:tentative="0">
      <w:start w:val="1"/>
      <w:numFmt w:val="decimal"/>
      <w:lvlText w:val="%1."/>
      <w:lvlJc w:val="left"/>
      <w:pPr>
        <w:tabs>
          <w:tab w:val="left" w:pos="312"/>
        </w:tabs>
      </w:pPr>
    </w:lvl>
  </w:abstractNum>
  <w:abstractNum w:abstractNumId="6">
    <w:nsid w:val="DFDFCD36"/>
    <w:multiLevelType w:val="singleLevel"/>
    <w:tmpl w:val="DFDFCD36"/>
    <w:lvl w:ilvl="0" w:tentative="0">
      <w:start w:val="1"/>
      <w:numFmt w:val="decimal"/>
      <w:lvlText w:val="%1."/>
      <w:lvlJc w:val="left"/>
      <w:pPr>
        <w:tabs>
          <w:tab w:val="left" w:pos="312"/>
        </w:tabs>
      </w:pPr>
    </w:lvl>
  </w:abstractNum>
  <w:abstractNum w:abstractNumId="7">
    <w:nsid w:val="E34A85B0"/>
    <w:multiLevelType w:val="singleLevel"/>
    <w:tmpl w:val="E34A85B0"/>
    <w:lvl w:ilvl="0" w:tentative="0">
      <w:start w:val="10"/>
      <w:numFmt w:val="chineseCounting"/>
      <w:suff w:val="nothing"/>
      <w:lvlText w:val="%1、"/>
      <w:lvlJc w:val="left"/>
      <w:rPr>
        <w:rFonts w:hint="eastAsia"/>
      </w:rPr>
    </w:lvl>
  </w:abstractNum>
  <w:abstractNum w:abstractNumId="8">
    <w:nsid w:val="EFAA7998"/>
    <w:multiLevelType w:val="singleLevel"/>
    <w:tmpl w:val="EFAA7998"/>
    <w:lvl w:ilvl="0" w:tentative="0">
      <w:start w:val="2"/>
      <w:numFmt w:val="decimal"/>
      <w:suff w:val="nothing"/>
      <w:lvlText w:val="（%1）"/>
      <w:lvlJc w:val="left"/>
    </w:lvl>
  </w:abstractNum>
  <w:abstractNum w:abstractNumId="9">
    <w:nsid w:val="F689643B"/>
    <w:multiLevelType w:val="multilevel"/>
    <w:tmpl w:val="F689643B"/>
    <w:lvl w:ilvl="0" w:tentative="0">
      <w:start w:val="1"/>
      <w:numFmt w:val="decimal"/>
      <w:lvlText w:val="（%1）"/>
      <w:lvlJc w:val="left"/>
      <w:pPr>
        <w:ind w:left="1869" w:hanging="601"/>
      </w:pPr>
      <w:rPr>
        <w:rFonts w:hint="default" w:ascii="宋体" w:hAnsi="宋体" w:eastAsia="宋体" w:cs="宋体"/>
        <w:w w:val="100"/>
        <w:sz w:val="24"/>
        <w:szCs w:val="24"/>
        <w:lang w:val="zh-CN" w:eastAsia="zh-CN" w:bidi="zh-CN"/>
      </w:rPr>
    </w:lvl>
    <w:lvl w:ilvl="1" w:tentative="0">
      <w:start w:val="0"/>
      <w:numFmt w:val="bullet"/>
      <w:lvlText w:val="•"/>
      <w:lvlJc w:val="left"/>
      <w:pPr>
        <w:ind w:left="2738" w:hanging="601"/>
      </w:pPr>
      <w:rPr>
        <w:rFonts w:hint="default"/>
        <w:lang w:val="zh-CN" w:eastAsia="zh-CN" w:bidi="zh-CN"/>
      </w:rPr>
    </w:lvl>
    <w:lvl w:ilvl="2" w:tentative="0">
      <w:start w:val="0"/>
      <w:numFmt w:val="bullet"/>
      <w:lvlText w:val="•"/>
      <w:lvlJc w:val="left"/>
      <w:pPr>
        <w:ind w:left="3617" w:hanging="601"/>
      </w:pPr>
      <w:rPr>
        <w:rFonts w:hint="default"/>
        <w:lang w:val="zh-CN" w:eastAsia="zh-CN" w:bidi="zh-CN"/>
      </w:rPr>
    </w:lvl>
    <w:lvl w:ilvl="3" w:tentative="0">
      <w:start w:val="0"/>
      <w:numFmt w:val="bullet"/>
      <w:lvlText w:val="•"/>
      <w:lvlJc w:val="left"/>
      <w:pPr>
        <w:ind w:left="4495" w:hanging="601"/>
      </w:pPr>
      <w:rPr>
        <w:rFonts w:hint="default"/>
        <w:lang w:val="zh-CN" w:eastAsia="zh-CN" w:bidi="zh-CN"/>
      </w:rPr>
    </w:lvl>
    <w:lvl w:ilvl="4" w:tentative="0">
      <w:start w:val="0"/>
      <w:numFmt w:val="bullet"/>
      <w:lvlText w:val="•"/>
      <w:lvlJc w:val="left"/>
      <w:pPr>
        <w:ind w:left="5374" w:hanging="601"/>
      </w:pPr>
      <w:rPr>
        <w:rFonts w:hint="default"/>
        <w:lang w:val="zh-CN" w:eastAsia="zh-CN" w:bidi="zh-CN"/>
      </w:rPr>
    </w:lvl>
    <w:lvl w:ilvl="5" w:tentative="0">
      <w:start w:val="0"/>
      <w:numFmt w:val="bullet"/>
      <w:lvlText w:val="•"/>
      <w:lvlJc w:val="left"/>
      <w:pPr>
        <w:ind w:left="6253"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8010" w:hanging="601"/>
      </w:pPr>
      <w:rPr>
        <w:rFonts w:hint="default"/>
        <w:lang w:val="zh-CN" w:eastAsia="zh-CN" w:bidi="zh-CN"/>
      </w:rPr>
    </w:lvl>
    <w:lvl w:ilvl="8" w:tentative="0">
      <w:start w:val="0"/>
      <w:numFmt w:val="bullet"/>
      <w:lvlText w:val="•"/>
      <w:lvlJc w:val="left"/>
      <w:pPr>
        <w:ind w:left="8888" w:hanging="601"/>
      </w:pPr>
      <w:rPr>
        <w:rFonts w:hint="default"/>
        <w:lang w:val="zh-CN" w:eastAsia="zh-CN" w:bidi="zh-CN"/>
      </w:rPr>
    </w:lvl>
  </w:abstractNum>
  <w:abstractNum w:abstractNumId="10">
    <w:nsid w:val="FEC2EA36"/>
    <w:multiLevelType w:val="multilevel"/>
    <w:tmpl w:val="FEC2EA36"/>
    <w:lvl w:ilvl="0" w:tentative="0">
      <w:start w:val="9"/>
      <w:numFmt w:val="decimal"/>
      <w:lvlText w:val="%1."/>
      <w:lvlJc w:val="left"/>
      <w:pPr>
        <w:ind w:left="1628" w:hanging="360"/>
      </w:pPr>
      <w:rPr>
        <w:rFonts w:hint="default" w:ascii="宋体" w:hAnsi="宋体" w:eastAsia="宋体" w:cs="宋体"/>
        <w:b/>
        <w:bCs/>
        <w:w w:val="99"/>
        <w:sz w:val="24"/>
        <w:szCs w:val="24"/>
        <w:lang w:val="zh-CN" w:eastAsia="zh-CN" w:bidi="zh-CN"/>
      </w:rPr>
    </w:lvl>
    <w:lvl w:ilvl="1" w:tentative="0">
      <w:start w:val="1"/>
      <w:numFmt w:val="decimal"/>
      <w:lvlText w:val="%1.%2"/>
      <w:lvlJc w:val="left"/>
      <w:pPr>
        <w:ind w:left="1808" w:hanging="540"/>
      </w:pPr>
      <w:rPr>
        <w:rFonts w:hint="default" w:ascii="宋体" w:hAnsi="宋体" w:eastAsia="宋体" w:cs="宋体"/>
        <w:w w:val="100"/>
        <w:sz w:val="24"/>
        <w:szCs w:val="24"/>
        <w:lang w:val="zh-CN" w:eastAsia="zh-CN" w:bidi="zh-CN"/>
      </w:rPr>
    </w:lvl>
    <w:lvl w:ilvl="2" w:tentative="0">
      <w:start w:val="0"/>
      <w:numFmt w:val="bullet"/>
      <w:lvlText w:val="•"/>
      <w:lvlJc w:val="left"/>
      <w:pPr>
        <w:ind w:left="1800" w:hanging="540"/>
      </w:pPr>
      <w:rPr>
        <w:rFonts w:hint="default"/>
        <w:lang w:val="zh-CN" w:eastAsia="zh-CN" w:bidi="zh-CN"/>
      </w:rPr>
    </w:lvl>
    <w:lvl w:ilvl="3" w:tentative="0">
      <w:start w:val="0"/>
      <w:numFmt w:val="bullet"/>
      <w:lvlText w:val="•"/>
      <w:lvlJc w:val="left"/>
      <w:pPr>
        <w:ind w:left="2905" w:hanging="540"/>
      </w:pPr>
      <w:rPr>
        <w:rFonts w:hint="default"/>
        <w:lang w:val="zh-CN" w:eastAsia="zh-CN" w:bidi="zh-CN"/>
      </w:rPr>
    </w:lvl>
    <w:lvl w:ilvl="4" w:tentative="0">
      <w:start w:val="0"/>
      <w:numFmt w:val="bullet"/>
      <w:lvlText w:val="•"/>
      <w:lvlJc w:val="left"/>
      <w:pPr>
        <w:ind w:left="4011" w:hanging="540"/>
      </w:pPr>
      <w:rPr>
        <w:rFonts w:hint="default"/>
        <w:lang w:val="zh-CN" w:eastAsia="zh-CN" w:bidi="zh-CN"/>
      </w:rPr>
    </w:lvl>
    <w:lvl w:ilvl="5" w:tentative="0">
      <w:start w:val="0"/>
      <w:numFmt w:val="bullet"/>
      <w:lvlText w:val="•"/>
      <w:lvlJc w:val="left"/>
      <w:pPr>
        <w:ind w:left="5117" w:hanging="540"/>
      </w:pPr>
      <w:rPr>
        <w:rFonts w:hint="default"/>
        <w:lang w:val="zh-CN" w:eastAsia="zh-CN" w:bidi="zh-CN"/>
      </w:rPr>
    </w:lvl>
    <w:lvl w:ilvl="6" w:tentative="0">
      <w:start w:val="0"/>
      <w:numFmt w:val="bullet"/>
      <w:lvlText w:val="•"/>
      <w:lvlJc w:val="left"/>
      <w:pPr>
        <w:ind w:left="6223" w:hanging="540"/>
      </w:pPr>
      <w:rPr>
        <w:rFonts w:hint="default"/>
        <w:lang w:val="zh-CN" w:eastAsia="zh-CN" w:bidi="zh-CN"/>
      </w:rPr>
    </w:lvl>
    <w:lvl w:ilvl="7" w:tentative="0">
      <w:start w:val="0"/>
      <w:numFmt w:val="bullet"/>
      <w:lvlText w:val="•"/>
      <w:lvlJc w:val="left"/>
      <w:pPr>
        <w:ind w:left="7328" w:hanging="540"/>
      </w:pPr>
      <w:rPr>
        <w:rFonts w:hint="default"/>
        <w:lang w:val="zh-CN" w:eastAsia="zh-CN" w:bidi="zh-CN"/>
      </w:rPr>
    </w:lvl>
    <w:lvl w:ilvl="8" w:tentative="0">
      <w:start w:val="0"/>
      <w:numFmt w:val="bullet"/>
      <w:lvlText w:val="•"/>
      <w:lvlJc w:val="left"/>
      <w:pPr>
        <w:ind w:left="8434" w:hanging="540"/>
      </w:pPr>
      <w:rPr>
        <w:rFonts w:hint="default"/>
        <w:lang w:val="zh-CN" w:eastAsia="zh-CN" w:bidi="zh-CN"/>
      </w:rPr>
    </w:lvl>
  </w:abstractNum>
  <w:abstractNum w:abstractNumId="11">
    <w:nsid w:val="0000000F"/>
    <w:multiLevelType w:val="multilevel"/>
    <w:tmpl w:val="0000000F"/>
    <w:lvl w:ilvl="0" w:tentative="0">
      <w:start w:val="1"/>
      <w:numFmt w:val="decimal"/>
      <w:suff w:val="nothing"/>
      <w:lvlText w:val="（%1）"/>
      <w:lvlJc w:val="left"/>
      <w:pPr>
        <w:ind w:left="420" w:hanging="420"/>
      </w:pPr>
      <w:rPr>
        <w:rFonts w:hint="default"/>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00000016"/>
    <w:multiLevelType w:val="multilevel"/>
    <w:tmpl w:val="0000001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suff w:val="nothing"/>
      <w:lvlText w:val="%1.12.%3 "/>
      <w:lvlJc w:val="left"/>
      <w:pPr>
        <w:ind w:left="1418" w:hanging="567"/>
      </w:pPr>
      <w:rPr>
        <w:rFonts w:hint="default" w:ascii="宋体" w:hAnsi="宋体" w:eastAsia="宋体" w:cs="宋体"/>
        <w:sz w:val="24"/>
        <w:szCs w:val="24"/>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03450F79"/>
    <w:multiLevelType w:val="multilevel"/>
    <w:tmpl w:val="03450F79"/>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
    <w:nsid w:val="03A63A41"/>
    <w:multiLevelType w:val="multilevel"/>
    <w:tmpl w:val="03A63A41"/>
    <w:lvl w:ilvl="0" w:tentative="0">
      <w:start w:val="1"/>
      <w:numFmt w:val="decimal"/>
      <w:lvlText w:val="（%1）"/>
      <w:lvlJc w:val="left"/>
      <w:pPr>
        <w:ind w:left="1869"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738" w:hanging="601"/>
      </w:pPr>
      <w:rPr>
        <w:rFonts w:hint="default"/>
        <w:lang w:val="zh-CN" w:eastAsia="zh-CN" w:bidi="zh-CN"/>
      </w:rPr>
    </w:lvl>
    <w:lvl w:ilvl="2" w:tentative="0">
      <w:start w:val="0"/>
      <w:numFmt w:val="bullet"/>
      <w:lvlText w:val="•"/>
      <w:lvlJc w:val="left"/>
      <w:pPr>
        <w:ind w:left="3617" w:hanging="601"/>
      </w:pPr>
      <w:rPr>
        <w:rFonts w:hint="default"/>
        <w:lang w:val="zh-CN" w:eastAsia="zh-CN" w:bidi="zh-CN"/>
      </w:rPr>
    </w:lvl>
    <w:lvl w:ilvl="3" w:tentative="0">
      <w:start w:val="0"/>
      <w:numFmt w:val="bullet"/>
      <w:lvlText w:val="•"/>
      <w:lvlJc w:val="left"/>
      <w:pPr>
        <w:ind w:left="4495" w:hanging="601"/>
      </w:pPr>
      <w:rPr>
        <w:rFonts w:hint="default"/>
        <w:lang w:val="zh-CN" w:eastAsia="zh-CN" w:bidi="zh-CN"/>
      </w:rPr>
    </w:lvl>
    <w:lvl w:ilvl="4" w:tentative="0">
      <w:start w:val="0"/>
      <w:numFmt w:val="bullet"/>
      <w:lvlText w:val="•"/>
      <w:lvlJc w:val="left"/>
      <w:pPr>
        <w:ind w:left="5374" w:hanging="601"/>
      </w:pPr>
      <w:rPr>
        <w:rFonts w:hint="default"/>
        <w:lang w:val="zh-CN" w:eastAsia="zh-CN" w:bidi="zh-CN"/>
      </w:rPr>
    </w:lvl>
    <w:lvl w:ilvl="5" w:tentative="0">
      <w:start w:val="0"/>
      <w:numFmt w:val="bullet"/>
      <w:lvlText w:val="•"/>
      <w:lvlJc w:val="left"/>
      <w:pPr>
        <w:ind w:left="6253"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8010" w:hanging="601"/>
      </w:pPr>
      <w:rPr>
        <w:rFonts w:hint="default"/>
        <w:lang w:val="zh-CN" w:eastAsia="zh-CN" w:bidi="zh-CN"/>
      </w:rPr>
    </w:lvl>
    <w:lvl w:ilvl="8" w:tentative="0">
      <w:start w:val="0"/>
      <w:numFmt w:val="bullet"/>
      <w:lvlText w:val="•"/>
      <w:lvlJc w:val="left"/>
      <w:pPr>
        <w:ind w:left="8888" w:hanging="601"/>
      </w:pPr>
      <w:rPr>
        <w:rFonts w:hint="default"/>
        <w:lang w:val="zh-CN" w:eastAsia="zh-CN" w:bidi="zh-CN"/>
      </w:rPr>
    </w:lvl>
  </w:abstractNum>
  <w:abstractNum w:abstractNumId="15">
    <w:nsid w:val="0451561C"/>
    <w:multiLevelType w:val="multilevel"/>
    <w:tmpl w:val="0451561C"/>
    <w:lvl w:ilvl="0" w:tentative="0">
      <w:start w:val="5"/>
      <w:numFmt w:val="decimal"/>
      <w:lvlText w:val="%1"/>
      <w:lvlJc w:val="left"/>
      <w:pPr>
        <w:ind w:left="360" w:hanging="360"/>
      </w:pPr>
      <w:rPr>
        <w:rFonts w:hint="default"/>
      </w:rPr>
    </w:lvl>
    <w:lvl w:ilvl="1" w:tentative="0">
      <w:start w:val="1"/>
      <w:numFmt w:val="decimal"/>
      <w:lvlText w:val="2.%2"/>
      <w:lvlJc w:val="left"/>
      <w:pPr>
        <w:ind w:left="440" w:hanging="440"/>
      </w:pPr>
      <w:rPr>
        <w:rFonts w:hint="eastAsia"/>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6">
    <w:nsid w:val="07EB6E7C"/>
    <w:multiLevelType w:val="multilevel"/>
    <w:tmpl w:val="07EB6E7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7">
    <w:nsid w:val="0AB44C56"/>
    <w:multiLevelType w:val="multilevel"/>
    <w:tmpl w:val="0AB44C56"/>
    <w:lvl w:ilvl="0" w:tentative="0">
      <w:start w:val="1"/>
      <w:numFmt w:val="bullet"/>
      <w:lvlText w:val=""/>
      <w:lvlJc w:val="left"/>
      <w:pPr>
        <w:ind w:left="561"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0F9F9CCA"/>
    <w:multiLevelType w:val="multilevel"/>
    <w:tmpl w:val="0F9F9CCA"/>
    <w:lvl w:ilvl="0" w:tentative="0">
      <w:start w:val="1"/>
      <w:numFmt w:val="decimal"/>
      <w:lvlText w:val="%1."/>
      <w:lvlJc w:val="left"/>
      <w:pPr>
        <w:ind w:left="1628" w:hanging="360"/>
      </w:pPr>
      <w:rPr>
        <w:rFonts w:hint="default" w:ascii="宋体" w:hAnsi="宋体" w:eastAsia="宋体" w:cs="宋体"/>
        <w:b/>
        <w:bCs/>
        <w:spacing w:val="0"/>
        <w:w w:val="99"/>
        <w:sz w:val="24"/>
        <w:szCs w:val="24"/>
        <w:lang w:val="zh-CN" w:eastAsia="zh-CN" w:bidi="zh-CN"/>
      </w:rPr>
    </w:lvl>
    <w:lvl w:ilvl="1" w:tentative="0">
      <w:start w:val="1"/>
      <w:numFmt w:val="decimal"/>
      <w:lvlText w:val="%1.%2"/>
      <w:lvlJc w:val="left"/>
      <w:pPr>
        <w:ind w:left="1753" w:hanging="485"/>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788" w:hanging="660"/>
      </w:pPr>
      <w:rPr>
        <w:rFonts w:hint="default" w:ascii="宋体" w:hAnsi="宋体" w:eastAsia="宋体" w:cs="宋体"/>
        <w:w w:val="100"/>
        <w:sz w:val="24"/>
        <w:szCs w:val="24"/>
        <w:lang w:val="zh-CN" w:eastAsia="zh-CN" w:bidi="zh-CN"/>
      </w:rPr>
    </w:lvl>
    <w:lvl w:ilvl="3" w:tentative="0">
      <w:start w:val="0"/>
      <w:numFmt w:val="bullet"/>
      <w:lvlText w:val="•"/>
      <w:lvlJc w:val="left"/>
      <w:pPr>
        <w:ind w:left="1760" w:hanging="660"/>
      </w:pPr>
      <w:rPr>
        <w:rFonts w:hint="default"/>
        <w:lang w:val="zh-CN" w:eastAsia="zh-CN" w:bidi="zh-CN"/>
      </w:rPr>
    </w:lvl>
    <w:lvl w:ilvl="4" w:tentative="0">
      <w:start w:val="0"/>
      <w:numFmt w:val="bullet"/>
      <w:lvlText w:val="•"/>
      <w:lvlJc w:val="left"/>
      <w:pPr>
        <w:ind w:left="1980" w:hanging="660"/>
      </w:pPr>
      <w:rPr>
        <w:rFonts w:hint="default"/>
        <w:lang w:val="zh-CN" w:eastAsia="zh-CN" w:bidi="zh-CN"/>
      </w:rPr>
    </w:lvl>
    <w:lvl w:ilvl="5" w:tentative="0">
      <w:start w:val="0"/>
      <w:numFmt w:val="bullet"/>
      <w:lvlText w:val="•"/>
      <w:lvlJc w:val="left"/>
      <w:pPr>
        <w:ind w:left="3424" w:hanging="660"/>
      </w:pPr>
      <w:rPr>
        <w:rFonts w:hint="default"/>
        <w:lang w:val="zh-CN" w:eastAsia="zh-CN" w:bidi="zh-CN"/>
      </w:rPr>
    </w:lvl>
    <w:lvl w:ilvl="6" w:tentative="0">
      <w:start w:val="0"/>
      <w:numFmt w:val="bullet"/>
      <w:lvlText w:val="•"/>
      <w:lvlJc w:val="left"/>
      <w:pPr>
        <w:ind w:left="4868" w:hanging="660"/>
      </w:pPr>
      <w:rPr>
        <w:rFonts w:hint="default"/>
        <w:lang w:val="zh-CN" w:eastAsia="zh-CN" w:bidi="zh-CN"/>
      </w:rPr>
    </w:lvl>
    <w:lvl w:ilvl="7" w:tentative="0">
      <w:start w:val="0"/>
      <w:numFmt w:val="bullet"/>
      <w:lvlText w:val="•"/>
      <w:lvlJc w:val="left"/>
      <w:pPr>
        <w:ind w:left="6313" w:hanging="660"/>
      </w:pPr>
      <w:rPr>
        <w:rFonts w:hint="default"/>
        <w:lang w:val="zh-CN" w:eastAsia="zh-CN" w:bidi="zh-CN"/>
      </w:rPr>
    </w:lvl>
    <w:lvl w:ilvl="8" w:tentative="0">
      <w:start w:val="0"/>
      <w:numFmt w:val="bullet"/>
      <w:lvlText w:val="•"/>
      <w:lvlJc w:val="left"/>
      <w:pPr>
        <w:ind w:left="7757" w:hanging="660"/>
      </w:pPr>
      <w:rPr>
        <w:rFonts w:hint="default"/>
        <w:lang w:val="zh-CN" w:eastAsia="zh-CN" w:bidi="zh-CN"/>
      </w:rPr>
    </w:lvl>
  </w:abstractNum>
  <w:abstractNum w:abstractNumId="19">
    <w:nsid w:val="0FE12469"/>
    <w:multiLevelType w:val="singleLevel"/>
    <w:tmpl w:val="0FE12469"/>
    <w:lvl w:ilvl="0" w:tentative="0">
      <w:start w:val="1"/>
      <w:numFmt w:val="decimal"/>
      <w:suff w:val="nothing"/>
      <w:lvlText w:val="（%1）"/>
      <w:lvlJc w:val="left"/>
    </w:lvl>
  </w:abstractNum>
  <w:abstractNum w:abstractNumId="20">
    <w:nsid w:val="107462F2"/>
    <w:multiLevelType w:val="multilevel"/>
    <w:tmpl w:val="107462F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44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1">
    <w:nsid w:val="12EADF99"/>
    <w:multiLevelType w:val="multilevel"/>
    <w:tmpl w:val="12EADF99"/>
    <w:lvl w:ilvl="0" w:tentative="0">
      <w:start w:val="1"/>
      <w:numFmt w:val="decimal"/>
      <w:lvlText w:val="（%1）"/>
      <w:lvlJc w:val="left"/>
      <w:pPr>
        <w:ind w:left="1869" w:hanging="601"/>
      </w:pPr>
      <w:rPr>
        <w:rFonts w:hint="default" w:ascii="宋体" w:hAnsi="宋体" w:eastAsia="宋体" w:cs="宋体"/>
        <w:w w:val="100"/>
        <w:sz w:val="24"/>
        <w:szCs w:val="24"/>
        <w:lang w:val="zh-CN" w:eastAsia="zh-CN" w:bidi="zh-CN"/>
      </w:rPr>
    </w:lvl>
    <w:lvl w:ilvl="1" w:tentative="0">
      <w:start w:val="0"/>
      <w:numFmt w:val="bullet"/>
      <w:lvlText w:val="•"/>
      <w:lvlJc w:val="left"/>
      <w:pPr>
        <w:ind w:left="2738" w:hanging="601"/>
      </w:pPr>
      <w:rPr>
        <w:rFonts w:hint="default"/>
        <w:lang w:val="zh-CN" w:eastAsia="zh-CN" w:bidi="zh-CN"/>
      </w:rPr>
    </w:lvl>
    <w:lvl w:ilvl="2" w:tentative="0">
      <w:start w:val="0"/>
      <w:numFmt w:val="bullet"/>
      <w:lvlText w:val="•"/>
      <w:lvlJc w:val="left"/>
      <w:pPr>
        <w:ind w:left="3617" w:hanging="601"/>
      </w:pPr>
      <w:rPr>
        <w:rFonts w:hint="default"/>
        <w:lang w:val="zh-CN" w:eastAsia="zh-CN" w:bidi="zh-CN"/>
      </w:rPr>
    </w:lvl>
    <w:lvl w:ilvl="3" w:tentative="0">
      <w:start w:val="0"/>
      <w:numFmt w:val="bullet"/>
      <w:lvlText w:val="•"/>
      <w:lvlJc w:val="left"/>
      <w:pPr>
        <w:ind w:left="4495" w:hanging="601"/>
      </w:pPr>
      <w:rPr>
        <w:rFonts w:hint="default"/>
        <w:lang w:val="zh-CN" w:eastAsia="zh-CN" w:bidi="zh-CN"/>
      </w:rPr>
    </w:lvl>
    <w:lvl w:ilvl="4" w:tentative="0">
      <w:start w:val="0"/>
      <w:numFmt w:val="bullet"/>
      <w:lvlText w:val="•"/>
      <w:lvlJc w:val="left"/>
      <w:pPr>
        <w:ind w:left="5374" w:hanging="601"/>
      </w:pPr>
      <w:rPr>
        <w:rFonts w:hint="default"/>
        <w:lang w:val="zh-CN" w:eastAsia="zh-CN" w:bidi="zh-CN"/>
      </w:rPr>
    </w:lvl>
    <w:lvl w:ilvl="5" w:tentative="0">
      <w:start w:val="0"/>
      <w:numFmt w:val="bullet"/>
      <w:lvlText w:val="•"/>
      <w:lvlJc w:val="left"/>
      <w:pPr>
        <w:ind w:left="6253"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8010" w:hanging="601"/>
      </w:pPr>
      <w:rPr>
        <w:rFonts w:hint="default"/>
        <w:lang w:val="zh-CN" w:eastAsia="zh-CN" w:bidi="zh-CN"/>
      </w:rPr>
    </w:lvl>
    <w:lvl w:ilvl="8" w:tentative="0">
      <w:start w:val="0"/>
      <w:numFmt w:val="bullet"/>
      <w:lvlText w:val="•"/>
      <w:lvlJc w:val="left"/>
      <w:pPr>
        <w:ind w:left="8888" w:hanging="601"/>
      </w:pPr>
      <w:rPr>
        <w:rFonts w:hint="default"/>
        <w:lang w:val="zh-CN" w:eastAsia="zh-CN" w:bidi="zh-CN"/>
      </w:rPr>
    </w:lvl>
  </w:abstractNum>
  <w:abstractNum w:abstractNumId="22">
    <w:nsid w:val="13FB428D"/>
    <w:multiLevelType w:val="multilevel"/>
    <w:tmpl w:val="13FB428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3">
    <w:nsid w:val="171B171B"/>
    <w:multiLevelType w:val="multilevel"/>
    <w:tmpl w:val="171B171B"/>
    <w:lvl w:ilvl="0" w:tentative="0">
      <w:start w:val="1"/>
      <w:numFmt w:val="decimal"/>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175D0791"/>
    <w:multiLevelType w:val="multilevel"/>
    <w:tmpl w:val="175D0791"/>
    <w:lvl w:ilvl="0" w:tentative="0">
      <w:start w:val="1"/>
      <w:numFmt w:val="chineseCountingThousand"/>
      <w:suff w:val="nothing"/>
      <w:lvlText w:val="%1、"/>
      <w:lvlJc w:val="left"/>
      <w:pPr>
        <w:ind w:left="704" w:hanging="420"/>
      </w:pPr>
      <w:rPr>
        <w:rFonts w:hint="eastAsia"/>
      </w:rPr>
    </w:lvl>
    <w:lvl w:ilvl="1" w:tentative="0">
      <w:start w:val="1"/>
      <w:numFmt w:val="lowerLetter"/>
      <w:lvlText w:val="%2)"/>
      <w:lvlJc w:val="left"/>
      <w:pPr>
        <w:ind w:left="1438" w:hanging="420"/>
      </w:pPr>
      <w:rPr>
        <w:rFonts w:hint="eastAsia"/>
      </w:rPr>
    </w:lvl>
    <w:lvl w:ilvl="2" w:tentative="0">
      <w:start w:val="1"/>
      <w:numFmt w:val="lowerRoman"/>
      <w:lvlText w:val="%3."/>
      <w:lvlJc w:val="right"/>
      <w:pPr>
        <w:ind w:left="1858" w:hanging="420"/>
      </w:pPr>
      <w:rPr>
        <w:rFonts w:hint="eastAsia"/>
      </w:rPr>
    </w:lvl>
    <w:lvl w:ilvl="3" w:tentative="0">
      <w:start w:val="1"/>
      <w:numFmt w:val="decimal"/>
      <w:lvlText w:val="%4."/>
      <w:lvlJc w:val="left"/>
      <w:pPr>
        <w:ind w:left="2278" w:hanging="420"/>
      </w:pPr>
      <w:rPr>
        <w:rFonts w:hint="eastAsia"/>
      </w:rPr>
    </w:lvl>
    <w:lvl w:ilvl="4" w:tentative="0">
      <w:start w:val="1"/>
      <w:numFmt w:val="lowerLetter"/>
      <w:lvlText w:val="%5)"/>
      <w:lvlJc w:val="left"/>
      <w:pPr>
        <w:ind w:left="2698" w:hanging="420"/>
      </w:pPr>
      <w:rPr>
        <w:rFonts w:hint="eastAsia"/>
      </w:rPr>
    </w:lvl>
    <w:lvl w:ilvl="5" w:tentative="0">
      <w:start w:val="1"/>
      <w:numFmt w:val="lowerRoman"/>
      <w:lvlText w:val="%6."/>
      <w:lvlJc w:val="right"/>
      <w:pPr>
        <w:ind w:left="3118" w:hanging="420"/>
      </w:pPr>
      <w:rPr>
        <w:rFonts w:hint="eastAsia"/>
      </w:rPr>
    </w:lvl>
    <w:lvl w:ilvl="6" w:tentative="0">
      <w:start w:val="1"/>
      <w:numFmt w:val="decimal"/>
      <w:lvlText w:val="%7."/>
      <w:lvlJc w:val="left"/>
      <w:pPr>
        <w:ind w:left="3538" w:hanging="420"/>
      </w:pPr>
      <w:rPr>
        <w:rFonts w:hint="eastAsia"/>
      </w:rPr>
    </w:lvl>
    <w:lvl w:ilvl="7" w:tentative="0">
      <w:start w:val="1"/>
      <w:numFmt w:val="lowerLetter"/>
      <w:lvlText w:val="%8)"/>
      <w:lvlJc w:val="left"/>
      <w:pPr>
        <w:ind w:left="3958" w:hanging="420"/>
      </w:pPr>
      <w:rPr>
        <w:rFonts w:hint="eastAsia"/>
      </w:rPr>
    </w:lvl>
    <w:lvl w:ilvl="8" w:tentative="0">
      <w:start w:val="1"/>
      <w:numFmt w:val="lowerRoman"/>
      <w:lvlText w:val="%9."/>
      <w:lvlJc w:val="right"/>
      <w:pPr>
        <w:ind w:left="4378" w:hanging="420"/>
      </w:pPr>
      <w:rPr>
        <w:rFonts w:hint="eastAsia"/>
      </w:rPr>
    </w:lvl>
  </w:abstractNum>
  <w:abstractNum w:abstractNumId="25">
    <w:nsid w:val="26F83852"/>
    <w:multiLevelType w:val="multilevel"/>
    <w:tmpl w:val="26F8385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6">
    <w:nsid w:val="27C8669E"/>
    <w:multiLevelType w:val="multilevel"/>
    <w:tmpl w:val="27C8669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7">
    <w:nsid w:val="29CB0327"/>
    <w:multiLevelType w:val="multilevel"/>
    <w:tmpl w:val="29CB0327"/>
    <w:lvl w:ilvl="0" w:tentative="0">
      <w:start w:val="1"/>
      <w:numFmt w:val="decimal"/>
      <w:lvlText w:val="6.%1.1"/>
      <w:lvlJc w:val="left"/>
      <w:pPr>
        <w:ind w:left="567" w:hanging="567"/>
      </w:pPr>
      <w:rPr>
        <w:rFonts w:hint="default" w:ascii="Times New Roman" w:hAnsi="Times New Roman"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30A0AC00"/>
    <w:multiLevelType w:val="multilevel"/>
    <w:tmpl w:val="30A0AC00"/>
    <w:lvl w:ilvl="0" w:tentative="0">
      <w:start w:val="8"/>
      <w:numFmt w:val="decimal"/>
      <w:lvlText w:val="%1"/>
      <w:lvlJc w:val="left"/>
      <w:pPr>
        <w:ind w:left="1751" w:hanging="483"/>
      </w:pPr>
      <w:rPr>
        <w:rFonts w:hint="default"/>
        <w:lang w:val="zh-CN" w:eastAsia="zh-CN" w:bidi="zh-CN"/>
      </w:rPr>
    </w:lvl>
    <w:lvl w:ilvl="1" w:tentative="0">
      <w:start w:val="1"/>
      <w:numFmt w:val="decimal"/>
      <w:lvlText w:val="%1.%2"/>
      <w:lvlJc w:val="left"/>
      <w:pPr>
        <w:ind w:left="1751" w:hanging="483"/>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3537" w:hanging="483"/>
      </w:pPr>
      <w:rPr>
        <w:rFonts w:hint="default"/>
        <w:lang w:val="zh-CN" w:eastAsia="zh-CN" w:bidi="zh-CN"/>
      </w:rPr>
    </w:lvl>
    <w:lvl w:ilvl="3" w:tentative="0">
      <w:start w:val="0"/>
      <w:numFmt w:val="bullet"/>
      <w:lvlText w:val="•"/>
      <w:lvlJc w:val="left"/>
      <w:pPr>
        <w:ind w:left="4425" w:hanging="483"/>
      </w:pPr>
      <w:rPr>
        <w:rFonts w:hint="default"/>
        <w:lang w:val="zh-CN" w:eastAsia="zh-CN" w:bidi="zh-CN"/>
      </w:rPr>
    </w:lvl>
    <w:lvl w:ilvl="4" w:tentative="0">
      <w:start w:val="0"/>
      <w:numFmt w:val="bullet"/>
      <w:lvlText w:val="•"/>
      <w:lvlJc w:val="left"/>
      <w:pPr>
        <w:ind w:left="5314" w:hanging="483"/>
      </w:pPr>
      <w:rPr>
        <w:rFonts w:hint="default"/>
        <w:lang w:val="zh-CN" w:eastAsia="zh-CN" w:bidi="zh-CN"/>
      </w:rPr>
    </w:lvl>
    <w:lvl w:ilvl="5" w:tentative="0">
      <w:start w:val="0"/>
      <w:numFmt w:val="bullet"/>
      <w:lvlText w:val="•"/>
      <w:lvlJc w:val="left"/>
      <w:pPr>
        <w:ind w:left="6203" w:hanging="483"/>
      </w:pPr>
      <w:rPr>
        <w:rFonts w:hint="default"/>
        <w:lang w:val="zh-CN" w:eastAsia="zh-CN" w:bidi="zh-CN"/>
      </w:rPr>
    </w:lvl>
    <w:lvl w:ilvl="6" w:tentative="0">
      <w:start w:val="0"/>
      <w:numFmt w:val="bullet"/>
      <w:lvlText w:val="•"/>
      <w:lvlJc w:val="left"/>
      <w:pPr>
        <w:ind w:left="7091" w:hanging="483"/>
      </w:pPr>
      <w:rPr>
        <w:rFonts w:hint="default"/>
        <w:lang w:val="zh-CN" w:eastAsia="zh-CN" w:bidi="zh-CN"/>
      </w:rPr>
    </w:lvl>
    <w:lvl w:ilvl="7" w:tentative="0">
      <w:start w:val="0"/>
      <w:numFmt w:val="bullet"/>
      <w:lvlText w:val="•"/>
      <w:lvlJc w:val="left"/>
      <w:pPr>
        <w:ind w:left="7980" w:hanging="483"/>
      </w:pPr>
      <w:rPr>
        <w:rFonts w:hint="default"/>
        <w:lang w:val="zh-CN" w:eastAsia="zh-CN" w:bidi="zh-CN"/>
      </w:rPr>
    </w:lvl>
    <w:lvl w:ilvl="8" w:tentative="0">
      <w:start w:val="0"/>
      <w:numFmt w:val="bullet"/>
      <w:lvlText w:val="•"/>
      <w:lvlJc w:val="left"/>
      <w:pPr>
        <w:ind w:left="8868" w:hanging="483"/>
      </w:pPr>
      <w:rPr>
        <w:rFonts w:hint="default"/>
        <w:lang w:val="zh-CN" w:eastAsia="zh-CN" w:bidi="zh-CN"/>
      </w:rPr>
    </w:lvl>
  </w:abstractNum>
  <w:abstractNum w:abstractNumId="29">
    <w:nsid w:val="31BE7717"/>
    <w:multiLevelType w:val="multilevel"/>
    <w:tmpl w:val="31BE7717"/>
    <w:lvl w:ilvl="0" w:tentative="0">
      <w:start w:val="1"/>
      <w:numFmt w:val="chineseCountingThousand"/>
      <w:suff w:val="nothing"/>
      <w:lvlText w:val="%1、"/>
      <w:lvlJc w:val="left"/>
      <w:pPr>
        <w:ind w:left="1128" w:hanging="420"/>
      </w:pPr>
      <w:rPr>
        <w:rFonts w:hint="eastAsia"/>
      </w:rPr>
    </w:lvl>
    <w:lvl w:ilvl="1" w:tentative="0">
      <w:start w:val="1"/>
      <w:numFmt w:val="lowerLetter"/>
      <w:lvlText w:val="%2)"/>
      <w:lvlJc w:val="left"/>
      <w:pPr>
        <w:ind w:left="1438" w:hanging="420"/>
      </w:pPr>
      <w:rPr>
        <w:rFonts w:hint="eastAsia"/>
      </w:rPr>
    </w:lvl>
    <w:lvl w:ilvl="2" w:tentative="0">
      <w:start w:val="1"/>
      <w:numFmt w:val="lowerRoman"/>
      <w:lvlText w:val="%3."/>
      <w:lvlJc w:val="right"/>
      <w:pPr>
        <w:ind w:left="1858" w:hanging="420"/>
      </w:pPr>
      <w:rPr>
        <w:rFonts w:hint="eastAsia"/>
      </w:rPr>
    </w:lvl>
    <w:lvl w:ilvl="3" w:tentative="0">
      <w:start w:val="1"/>
      <w:numFmt w:val="decimal"/>
      <w:lvlText w:val="%4."/>
      <w:lvlJc w:val="left"/>
      <w:pPr>
        <w:ind w:left="2278" w:hanging="420"/>
      </w:pPr>
      <w:rPr>
        <w:rFonts w:hint="eastAsia"/>
      </w:rPr>
    </w:lvl>
    <w:lvl w:ilvl="4" w:tentative="0">
      <w:start w:val="1"/>
      <w:numFmt w:val="lowerLetter"/>
      <w:lvlText w:val="%5)"/>
      <w:lvlJc w:val="left"/>
      <w:pPr>
        <w:ind w:left="2698" w:hanging="420"/>
      </w:pPr>
      <w:rPr>
        <w:rFonts w:hint="eastAsia"/>
      </w:rPr>
    </w:lvl>
    <w:lvl w:ilvl="5" w:tentative="0">
      <w:start w:val="1"/>
      <w:numFmt w:val="lowerRoman"/>
      <w:lvlText w:val="%6."/>
      <w:lvlJc w:val="right"/>
      <w:pPr>
        <w:ind w:left="3118" w:hanging="420"/>
      </w:pPr>
      <w:rPr>
        <w:rFonts w:hint="eastAsia"/>
      </w:rPr>
    </w:lvl>
    <w:lvl w:ilvl="6" w:tentative="0">
      <w:start w:val="1"/>
      <w:numFmt w:val="decimal"/>
      <w:lvlText w:val="%7."/>
      <w:lvlJc w:val="left"/>
      <w:pPr>
        <w:ind w:left="3538" w:hanging="420"/>
      </w:pPr>
      <w:rPr>
        <w:rFonts w:hint="eastAsia"/>
      </w:rPr>
    </w:lvl>
    <w:lvl w:ilvl="7" w:tentative="0">
      <w:start w:val="1"/>
      <w:numFmt w:val="lowerLetter"/>
      <w:lvlText w:val="%8)"/>
      <w:lvlJc w:val="left"/>
      <w:pPr>
        <w:ind w:left="3958" w:hanging="420"/>
      </w:pPr>
      <w:rPr>
        <w:rFonts w:hint="eastAsia"/>
      </w:rPr>
    </w:lvl>
    <w:lvl w:ilvl="8" w:tentative="0">
      <w:start w:val="1"/>
      <w:numFmt w:val="lowerRoman"/>
      <w:lvlText w:val="%9."/>
      <w:lvlJc w:val="right"/>
      <w:pPr>
        <w:ind w:left="4378" w:hanging="420"/>
      </w:pPr>
      <w:rPr>
        <w:rFonts w:hint="eastAsia"/>
      </w:rPr>
    </w:lvl>
  </w:abstractNum>
  <w:abstractNum w:abstractNumId="30">
    <w:nsid w:val="35E83B33"/>
    <w:multiLevelType w:val="multilevel"/>
    <w:tmpl w:val="35E83B33"/>
    <w:lvl w:ilvl="0" w:tentative="0">
      <w:start w:val="1"/>
      <w:numFmt w:val="decimal"/>
      <w:lvlText w:val="%1"/>
      <w:lvlJc w:val="left"/>
      <w:pPr>
        <w:ind w:left="1751" w:hanging="483"/>
      </w:pPr>
      <w:rPr>
        <w:rFonts w:hint="default"/>
        <w:lang w:val="zh-CN" w:eastAsia="zh-CN" w:bidi="zh-CN"/>
      </w:rPr>
    </w:lvl>
    <w:lvl w:ilvl="1" w:tentative="0">
      <w:start w:val="4"/>
      <w:numFmt w:val="decimal"/>
      <w:lvlText w:val="%1.%2"/>
      <w:lvlJc w:val="left"/>
      <w:pPr>
        <w:ind w:left="1751" w:hanging="483"/>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1988" w:hanging="720"/>
      </w:pPr>
      <w:rPr>
        <w:rFonts w:hint="default" w:ascii="宋体" w:hAnsi="宋体" w:eastAsia="宋体" w:cs="宋体"/>
        <w:w w:val="100"/>
        <w:sz w:val="24"/>
        <w:szCs w:val="24"/>
        <w:lang w:val="zh-CN" w:eastAsia="zh-CN" w:bidi="zh-CN"/>
      </w:rPr>
    </w:lvl>
    <w:lvl w:ilvl="3" w:tentative="0">
      <w:start w:val="0"/>
      <w:numFmt w:val="bullet"/>
      <w:lvlText w:val="•"/>
      <w:lvlJc w:val="left"/>
      <w:pPr>
        <w:ind w:left="3063" w:hanging="720"/>
      </w:pPr>
      <w:rPr>
        <w:rFonts w:hint="default"/>
        <w:lang w:val="zh-CN" w:eastAsia="zh-CN" w:bidi="zh-CN"/>
      </w:rPr>
    </w:lvl>
    <w:lvl w:ilvl="4" w:tentative="0">
      <w:start w:val="0"/>
      <w:numFmt w:val="bullet"/>
      <w:lvlText w:val="•"/>
      <w:lvlJc w:val="left"/>
      <w:pPr>
        <w:ind w:left="4146" w:hanging="720"/>
      </w:pPr>
      <w:rPr>
        <w:rFonts w:hint="default"/>
        <w:lang w:val="zh-CN" w:eastAsia="zh-CN" w:bidi="zh-CN"/>
      </w:rPr>
    </w:lvl>
    <w:lvl w:ilvl="5" w:tentative="0">
      <w:start w:val="0"/>
      <w:numFmt w:val="bullet"/>
      <w:lvlText w:val="•"/>
      <w:lvlJc w:val="left"/>
      <w:pPr>
        <w:ind w:left="5229" w:hanging="720"/>
      </w:pPr>
      <w:rPr>
        <w:rFonts w:hint="default"/>
        <w:lang w:val="zh-CN" w:eastAsia="zh-CN" w:bidi="zh-CN"/>
      </w:rPr>
    </w:lvl>
    <w:lvl w:ilvl="6" w:tentative="0">
      <w:start w:val="0"/>
      <w:numFmt w:val="bullet"/>
      <w:lvlText w:val="•"/>
      <w:lvlJc w:val="left"/>
      <w:pPr>
        <w:ind w:left="6313" w:hanging="720"/>
      </w:pPr>
      <w:rPr>
        <w:rFonts w:hint="default"/>
        <w:lang w:val="zh-CN" w:eastAsia="zh-CN" w:bidi="zh-CN"/>
      </w:rPr>
    </w:lvl>
    <w:lvl w:ilvl="7" w:tentative="0">
      <w:start w:val="0"/>
      <w:numFmt w:val="bullet"/>
      <w:lvlText w:val="•"/>
      <w:lvlJc w:val="left"/>
      <w:pPr>
        <w:ind w:left="7396" w:hanging="720"/>
      </w:pPr>
      <w:rPr>
        <w:rFonts w:hint="default"/>
        <w:lang w:val="zh-CN" w:eastAsia="zh-CN" w:bidi="zh-CN"/>
      </w:rPr>
    </w:lvl>
    <w:lvl w:ilvl="8" w:tentative="0">
      <w:start w:val="0"/>
      <w:numFmt w:val="bullet"/>
      <w:lvlText w:val="•"/>
      <w:lvlJc w:val="left"/>
      <w:pPr>
        <w:ind w:left="8479" w:hanging="720"/>
      </w:pPr>
      <w:rPr>
        <w:rFonts w:hint="default"/>
        <w:lang w:val="zh-CN" w:eastAsia="zh-CN" w:bidi="zh-CN"/>
      </w:rPr>
    </w:lvl>
  </w:abstractNum>
  <w:abstractNum w:abstractNumId="31">
    <w:nsid w:val="36191759"/>
    <w:multiLevelType w:val="multilevel"/>
    <w:tmpl w:val="36191759"/>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2">
    <w:nsid w:val="3BBF4D3A"/>
    <w:multiLevelType w:val="multilevel"/>
    <w:tmpl w:val="3BBF4D3A"/>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b/>
        <w:bCs w:val="0"/>
      </w:rPr>
    </w:lvl>
    <w:lvl w:ilvl="2" w:tentative="0">
      <w:start w:val="1"/>
      <w:numFmt w:val="decimal"/>
      <w:lvlText w:val="%1.%2.%3"/>
      <w:lvlJc w:val="left"/>
      <w:pPr>
        <w:ind w:left="720" w:hanging="720"/>
      </w:pPr>
      <w:rPr>
        <w:rFonts w:hint="default" w:ascii="Times New Roman" w:hAnsi="Times New Roman" w:cs="Times New Roman"/>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3">
    <w:nsid w:val="41546E59"/>
    <w:multiLevelType w:val="multilevel"/>
    <w:tmpl w:val="41546E59"/>
    <w:lvl w:ilvl="0" w:tentative="0">
      <w:start w:val="3"/>
      <w:numFmt w:val="decimal"/>
      <w:lvlText w:val="%1"/>
      <w:lvlJc w:val="left"/>
      <w:pPr>
        <w:ind w:left="435" w:hanging="435"/>
      </w:pPr>
      <w:rPr>
        <w:rFonts w:hint="default"/>
      </w:rPr>
    </w:lvl>
    <w:lvl w:ilvl="1" w:tentative="0">
      <w:start w:val="3"/>
      <w:numFmt w:val="decimal"/>
      <w:lvlText w:val="%1.%2"/>
      <w:lvlJc w:val="left"/>
      <w:pPr>
        <w:ind w:left="435" w:hanging="43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4">
    <w:nsid w:val="483145EE"/>
    <w:multiLevelType w:val="multilevel"/>
    <w:tmpl w:val="483145EE"/>
    <w:lvl w:ilvl="0" w:tentative="0">
      <w:start w:val="2"/>
      <w:numFmt w:val="decimal"/>
      <w:lvlText w:val="6.2.%1"/>
      <w:lvlJc w:val="left"/>
      <w:pPr>
        <w:ind w:left="567" w:hanging="567"/>
      </w:pPr>
      <w:rPr>
        <w:rFonts w:hint="default" w:ascii="Times New Roman" w:hAnsi="Times New Roman"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496FBD5D"/>
    <w:multiLevelType w:val="singleLevel"/>
    <w:tmpl w:val="496FBD5D"/>
    <w:lvl w:ilvl="0" w:tentative="0">
      <w:start w:val="3"/>
      <w:numFmt w:val="chineseCounting"/>
      <w:suff w:val="nothing"/>
      <w:lvlText w:val="%1、"/>
      <w:lvlJc w:val="left"/>
      <w:rPr>
        <w:rFonts w:hint="eastAsia"/>
      </w:rPr>
    </w:lvl>
  </w:abstractNum>
  <w:abstractNum w:abstractNumId="36">
    <w:nsid w:val="4B250E4E"/>
    <w:multiLevelType w:val="multilevel"/>
    <w:tmpl w:val="4B250E4E"/>
    <w:lvl w:ilvl="0" w:tentative="0">
      <w:start w:val="1"/>
      <w:numFmt w:val="decimal"/>
      <w:lvlText w:val="5.%1"/>
      <w:lvlJc w:val="left"/>
      <w:pPr>
        <w:ind w:left="440" w:hanging="440"/>
      </w:pPr>
      <w:rPr>
        <w:rFonts w:hint="default" w:ascii="Times New Roman" w:hAnsi="Times New Roman" w:cs="Times New Roman"/>
        <w:b/>
        <w:bCs/>
        <w:sz w:val="28"/>
        <w:szCs w:val="2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
    <w:nsid w:val="4F965DD7"/>
    <w:multiLevelType w:val="singleLevel"/>
    <w:tmpl w:val="4F965DD7"/>
    <w:lvl w:ilvl="0" w:tentative="0">
      <w:start w:val="2"/>
      <w:numFmt w:val="chineseCounting"/>
      <w:suff w:val="nothing"/>
      <w:lvlText w:val="（%1）"/>
      <w:lvlJc w:val="left"/>
      <w:rPr>
        <w:rFonts w:hint="eastAsia"/>
      </w:rPr>
    </w:lvl>
  </w:abstractNum>
  <w:abstractNum w:abstractNumId="38">
    <w:nsid w:val="51D062A0"/>
    <w:multiLevelType w:val="multilevel"/>
    <w:tmpl w:val="51D062A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9">
    <w:nsid w:val="535CB85B"/>
    <w:multiLevelType w:val="singleLevel"/>
    <w:tmpl w:val="535CB85B"/>
    <w:lvl w:ilvl="0" w:tentative="0">
      <w:start w:val="1"/>
      <w:numFmt w:val="decimal"/>
      <w:lvlText w:val="%1."/>
      <w:lvlJc w:val="left"/>
      <w:pPr>
        <w:tabs>
          <w:tab w:val="left" w:pos="312"/>
        </w:tabs>
      </w:pPr>
    </w:lvl>
  </w:abstractNum>
  <w:abstractNum w:abstractNumId="40">
    <w:nsid w:val="57BE59E4"/>
    <w:multiLevelType w:val="multilevel"/>
    <w:tmpl w:val="57BE59E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58475920"/>
    <w:multiLevelType w:val="multilevel"/>
    <w:tmpl w:val="58475920"/>
    <w:lvl w:ilvl="0" w:tentative="0">
      <w:start w:val="1"/>
      <w:numFmt w:val="bullet"/>
      <w:lvlText w:val=""/>
      <w:lvlJc w:val="left"/>
      <w:pPr>
        <w:ind w:left="561" w:hanging="420"/>
      </w:pPr>
      <w:rPr>
        <w:rFonts w:hint="default" w:ascii="Wingdings" w:hAnsi="Wingdings"/>
      </w:rPr>
    </w:lvl>
    <w:lvl w:ilvl="1" w:tentative="0">
      <w:start w:val="1"/>
      <w:numFmt w:val="bullet"/>
      <w:lvlText w:val=""/>
      <w:lvlJc w:val="left"/>
      <w:pPr>
        <w:ind w:left="981" w:hanging="420"/>
      </w:pPr>
      <w:rPr>
        <w:rFonts w:hint="default" w:ascii="Wingdings" w:hAnsi="Wingdings"/>
      </w:rPr>
    </w:lvl>
    <w:lvl w:ilvl="2" w:tentative="0">
      <w:start w:val="1"/>
      <w:numFmt w:val="bullet"/>
      <w:lvlText w:val=""/>
      <w:lvlJc w:val="left"/>
      <w:pPr>
        <w:ind w:left="1401" w:hanging="420"/>
      </w:pPr>
      <w:rPr>
        <w:rFonts w:hint="default" w:ascii="Wingdings" w:hAnsi="Wingdings"/>
      </w:rPr>
    </w:lvl>
    <w:lvl w:ilvl="3" w:tentative="0">
      <w:start w:val="1"/>
      <w:numFmt w:val="bullet"/>
      <w:lvlText w:val=""/>
      <w:lvlJc w:val="left"/>
      <w:pPr>
        <w:ind w:left="1821" w:hanging="420"/>
      </w:pPr>
      <w:rPr>
        <w:rFonts w:hint="default" w:ascii="Wingdings" w:hAnsi="Wingdings"/>
      </w:rPr>
    </w:lvl>
    <w:lvl w:ilvl="4" w:tentative="0">
      <w:start w:val="1"/>
      <w:numFmt w:val="bullet"/>
      <w:lvlText w:val=""/>
      <w:lvlJc w:val="left"/>
      <w:pPr>
        <w:ind w:left="2241" w:hanging="420"/>
      </w:pPr>
      <w:rPr>
        <w:rFonts w:hint="default" w:ascii="Wingdings" w:hAnsi="Wingdings"/>
      </w:rPr>
    </w:lvl>
    <w:lvl w:ilvl="5" w:tentative="0">
      <w:start w:val="1"/>
      <w:numFmt w:val="bullet"/>
      <w:lvlText w:val=""/>
      <w:lvlJc w:val="left"/>
      <w:pPr>
        <w:ind w:left="2661" w:hanging="420"/>
      </w:pPr>
      <w:rPr>
        <w:rFonts w:hint="default" w:ascii="Wingdings" w:hAnsi="Wingdings"/>
      </w:rPr>
    </w:lvl>
    <w:lvl w:ilvl="6" w:tentative="0">
      <w:start w:val="1"/>
      <w:numFmt w:val="bullet"/>
      <w:lvlText w:val=""/>
      <w:lvlJc w:val="left"/>
      <w:pPr>
        <w:ind w:left="3081" w:hanging="420"/>
      </w:pPr>
      <w:rPr>
        <w:rFonts w:hint="default" w:ascii="Wingdings" w:hAnsi="Wingdings"/>
      </w:rPr>
    </w:lvl>
    <w:lvl w:ilvl="7" w:tentative="0">
      <w:start w:val="1"/>
      <w:numFmt w:val="bullet"/>
      <w:lvlText w:val=""/>
      <w:lvlJc w:val="left"/>
      <w:pPr>
        <w:ind w:left="3501" w:hanging="420"/>
      </w:pPr>
      <w:rPr>
        <w:rFonts w:hint="default" w:ascii="Wingdings" w:hAnsi="Wingdings"/>
      </w:rPr>
    </w:lvl>
    <w:lvl w:ilvl="8" w:tentative="0">
      <w:start w:val="1"/>
      <w:numFmt w:val="bullet"/>
      <w:lvlText w:val=""/>
      <w:lvlJc w:val="left"/>
      <w:pPr>
        <w:ind w:left="3921" w:hanging="420"/>
      </w:pPr>
      <w:rPr>
        <w:rFonts w:hint="default" w:ascii="Wingdings" w:hAnsi="Wingdings"/>
      </w:rPr>
    </w:lvl>
  </w:abstractNum>
  <w:abstractNum w:abstractNumId="42">
    <w:nsid w:val="62687BB6"/>
    <w:multiLevelType w:val="multilevel"/>
    <w:tmpl w:val="62687BB6"/>
    <w:lvl w:ilvl="0" w:tentative="0">
      <w:start w:val="1"/>
      <w:numFmt w:val="decimal"/>
      <w:pStyle w:val="41"/>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43">
    <w:nsid w:val="62843CEE"/>
    <w:multiLevelType w:val="multilevel"/>
    <w:tmpl w:val="62843CEE"/>
    <w:lvl w:ilvl="0" w:tentative="0">
      <w:start w:val="3"/>
      <w:numFmt w:val="decimal"/>
      <w:lvlText w:val="%1"/>
      <w:lvlJc w:val="left"/>
      <w:pPr>
        <w:ind w:left="435" w:hanging="435"/>
      </w:pPr>
      <w:rPr>
        <w:rFonts w:hint="default"/>
      </w:rPr>
    </w:lvl>
    <w:lvl w:ilvl="1" w:tentative="0">
      <w:start w:val="2"/>
      <w:numFmt w:val="decimal"/>
      <w:lvlText w:val="%1.%2"/>
      <w:lvlJc w:val="left"/>
      <w:pPr>
        <w:ind w:left="435" w:hanging="435"/>
      </w:pPr>
      <w:rPr>
        <w:rFonts w:hint="default"/>
      </w:rPr>
    </w:lvl>
    <w:lvl w:ilvl="2" w:tentative="0">
      <w:start w:val="3"/>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4">
    <w:nsid w:val="62D31697"/>
    <w:multiLevelType w:val="multilevel"/>
    <w:tmpl w:val="62D31697"/>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5">
    <w:nsid w:val="6AAA40DA"/>
    <w:multiLevelType w:val="multilevel"/>
    <w:tmpl w:val="6AAA40DA"/>
    <w:lvl w:ilvl="0" w:tentative="0">
      <w:start w:val="1"/>
      <w:numFmt w:val="bullet"/>
      <w:lvlText w:val=""/>
      <w:lvlJc w:val="left"/>
      <w:pPr>
        <w:ind w:left="630" w:hanging="420"/>
      </w:pPr>
      <w:rPr>
        <w:rFonts w:hint="default" w:ascii="Wingdings" w:hAnsi="Wingdings"/>
        <w:color w:val="auto"/>
      </w:rPr>
    </w:lvl>
    <w:lvl w:ilvl="1" w:tentative="0">
      <w:start w:val="1"/>
      <w:numFmt w:val="bullet"/>
      <w:lvlText w:val=""/>
      <w:lvlJc w:val="left"/>
      <w:pPr>
        <w:ind w:left="1050" w:hanging="420"/>
      </w:pPr>
      <w:rPr>
        <w:rFonts w:hint="default" w:ascii="Wingdings" w:hAnsi="Wingdings"/>
      </w:r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abstractNum w:abstractNumId="46">
    <w:nsid w:val="6E87019F"/>
    <w:multiLevelType w:val="multilevel"/>
    <w:tmpl w:val="6E87019F"/>
    <w:lvl w:ilvl="0" w:tentative="0">
      <w:start w:val="1"/>
      <w:numFmt w:val="chineseCountingThousand"/>
      <w:pStyle w:val="38"/>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7">
    <w:nsid w:val="6F3762FF"/>
    <w:multiLevelType w:val="multilevel"/>
    <w:tmpl w:val="6F3762F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8">
    <w:nsid w:val="73B81BA6"/>
    <w:multiLevelType w:val="multilevel"/>
    <w:tmpl w:val="73B81B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75FD48BF"/>
    <w:multiLevelType w:val="multilevel"/>
    <w:tmpl w:val="75FD48B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761EF3DF"/>
    <w:multiLevelType w:val="singleLevel"/>
    <w:tmpl w:val="761EF3DF"/>
    <w:lvl w:ilvl="0" w:tentative="0">
      <w:start w:val="3"/>
      <w:numFmt w:val="chineseCounting"/>
      <w:suff w:val="space"/>
      <w:lvlText w:val="第%1章"/>
      <w:lvlJc w:val="left"/>
      <w:rPr>
        <w:rFonts w:hint="eastAsia"/>
      </w:rPr>
    </w:lvl>
  </w:abstractNum>
  <w:abstractNum w:abstractNumId="51">
    <w:nsid w:val="777A4953"/>
    <w:multiLevelType w:val="multilevel"/>
    <w:tmpl w:val="777A4953"/>
    <w:lvl w:ilvl="0" w:tentative="0">
      <w:start w:val="4"/>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52">
    <w:nsid w:val="7D6843B4"/>
    <w:multiLevelType w:val="multilevel"/>
    <w:tmpl w:val="7D6843B4"/>
    <w:lvl w:ilvl="0" w:tentative="0">
      <w:start w:val="1"/>
      <w:numFmt w:val="japaneseCounting"/>
      <w:lvlText w:val="%1、"/>
      <w:lvlJc w:val="left"/>
      <w:pPr>
        <w:tabs>
          <w:tab w:val="left" w:pos="1347"/>
        </w:tabs>
        <w:ind w:left="1347" w:hanging="720"/>
      </w:pPr>
      <w:rPr>
        <w:rFonts w:hint="eastAsia"/>
      </w:rPr>
    </w:lvl>
    <w:lvl w:ilvl="1" w:tentative="0">
      <w:start w:val="1"/>
      <w:numFmt w:val="decimal"/>
      <w:suff w:val="nothing"/>
      <w:lvlText w:val="%2. "/>
      <w:lvlJc w:val="left"/>
      <w:pPr>
        <w:ind w:left="1767" w:hanging="720"/>
      </w:pPr>
      <w:rPr>
        <w:rFonts w:hint="eastAsia"/>
      </w:rPr>
    </w:lvl>
    <w:lvl w:ilvl="2" w:tentative="0">
      <w:start w:val="1"/>
      <w:numFmt w:val="lowerRoman"/>
      <w:lvlText w:val="%3."/>
      <w:lvlJc w:val="right"/>
      <w:pPr>
        <w:tabs>
          <w:tab w:val="left" w:pos="1887"/>
        </w:tabs>
        <w:ind w:left="1887" w:hanging="420"/>
      </w:pPr>
      <w:rPr>
        <w:rFonts w:hint="eastAsia"/>
      </w:rPr>
    </w:lvl>
    <w:lvl w:ilvl="3" w:tentative="0">
      <w:start w:val="1"/>
      <w:numFmt w:val="decimal"/>
      <w:lvlText w:val="%4."/>
      <w:lvlJc w:val="left"/>
      <w:pPr>
        <w:tabs>
          <w:tab w:val="left" w:pos="2307"/>
        </w:tabs>
        <w:ind w:left="2307" w:hanging="420"/>
      </w:pPr>
      <w:rPr>
        <w:rFonts w:hint="eastAsia"/>
      </w:rPr>
    </w:lvl>
    <w:lvl w:ilvl="4" w:tentative="0">
      <w:start w:val="1"/>
      <w:numFmt w:val="lowerLetter"/>
      <w:lvlText w:val="%5)"/>
      <w:lvlJc w:val="left"/>
      <w:pPr>
        <w:tabs>
          <w:tab w:val="left" w:pos="2727"/>
        </w:tabs>
        <w:ind w:left="2727" w:hanging="420"/>
      </w:pPr>
      <w:rPr>
        <w:rFonts w:hint="eastAsia"/>
      </w:rPr>
    </w:lvl>
    <w:lvl w:ilvl="5" w:tentative="0">
      <w:start w:val="1"/>
      <w:numFmt w:val="lowerRoman"/>
      <w:lvlText w:val="%6."/>
      <w:lvlJc w:val="right"/>
      <w:pPr>
        <w:tabs>
          <w:tab w:val="left" w:pos="3147"/>
        </w:tabs>
        <w:ind w:left="3147" w:hanging="420"/>
      </w:pPr>
      <w:rPr>
        <w:rFonts w:hint="eastAsia"/>
      </w:rPr>
    </w:lvl>
    <w:lvl w:ilvl="6" w:tentative="0">
      <w:start w:val="1"/>
      <w:numFmt w:val="decimal"/>
      <w:lvlText w:val="%7."/>
      <w:lvlJc w:val="left"/>
      <w:pPr>
        <w:tabs>
          <w:tab w:val="left" w:pos="3567"/>
        </w:tabs>
        <w:ind w:left="3567" w:hanging="420"/>
      </w:pPr>
      <w:rPr>
        <w:rFonts w:hint="eastAsia"/>
      </w:rPr>
    </w:lvl>
    <w:lvl w:ilvl="7" w:tentative="0">
      <w:start w:val="1"/>
      <w:numFmt w:val="lowerLetter"/>
      <w:lvlText w:val="%8)"/>
      <w:lvlJc w:val="left"/>
      <w:pPr>
        <w:tabs>
          <w:tab w:val="left" w:pos="3987"/>
        </w:tabs>
        <w:ind w:left="3987" w:hanging="420"/>
      </w:pPr>
      <w:rPr>
        <w:rFonts w:hint="eastAsia"/>
      </w:rPr>
    </w:lvl>
    <w:lvl w:ilvl="8" w:tentative="0">
      <w:start w:val="1"/>
      <w:numFmt w:val="lowerRoman"/>
      <w:lvlText w:val="%9."/>
      <w:lvlJc w:val="right"/>
      <w:pPr>
        <w:tabs>
          <w:tab w:val="left" w:pos="4407"/>
        </w:tabs>
        <w:ind w:left="4407" w:hanging="420"/>
      </w:pPr>
      <w:rPr>
        <w:rFonts w:hint="eastAsia"/>
      </w:rPr>
    </w:lvl>
  </w:abstractNum>
  <w:num w:numId="1">
    <w:abstractNumId w:val="46"/>
  </w:num>
  <w:num w:numId="2">
    <w:abstractNumId w:val="42"/>
  </w:num>
  <w:num w:numId="3">
    <w:abstractNumId w:val="5"/>
  </w:num>
  <w:num w:numId="4">
    <w:abstractNumId w:val="19"/>
  </w:num>
  <w:num w:numId="5">
    <w:abstractNumId w:val="8"/>
  </w:num>
  <w:num w:numId="6">
    <w:abstractNumId w:val="39"/>
  </w:num>
  <w:num w:numId="7">
    <w:abstractNumId w:val="2"/>
  </w:num>
  <w:num w:numId="8">
    <w:abstractNumId w:val="18"/>
  </w:num>
  <w:num w:numId="9">
    <w:abstractNumId w:val="30"/>
  </w:num>
  <w:num w:numId="10">
    <w:abstractNumId w:val="14"/>
  </w:num>
  <w:num w:numId="11">
    <w:abstractNumId w:val="4"/>
  </w:num>
  <w:num w:numId="12">
    <w:abstractNumId w:val="21"/>
  </w:num>
  <w:num w:numId="13">
    <w:abstractNumId w:val="12"/>
  </w:num>
  <w:num w:numId="14">
    <w:abstractNumId w:val="3"/>
  </w:num>
  <w:num w:numId="15">
    <w:abstractNumId w:val="11"/>
  </w:num>
  <w:num w:numId="16">
    <w:abstractNumId w:val="0"/>
  </w:num>
  <w:num w:numId="17">
    <w:abstractNumId w:val="9"/>
  </w:num>
  <w:num w:numId="18">
    <w:abstractNumId w:val="28"/>
  </w:num>
  <w:num w:numId="19">
    <w:abstractNumId w:val="10"/>
  </w:num>
  <w:num w:numId="20">
    <w:abstractNumId w:val="50"/>
  </w:num>
  <w:num w:numId="21">
    <w:abstractNumId w:val="24"/>
  </w:num>
  <w:num w:numId="22">
    <w:abstractNumId w:val="29"/>
  </w:num>
  <w:num w:numId="23">
    <w:abstractNumId w:val="49"/>
  </w:num>
  <w:num w:numId="24">
    <w:abstractNumId w:val="40"/>
  </w:num>
  <w:num w:numId="25">
    <w:abstractNumId w:val="48"/>
  </w:num>
  <w:num w:numId="26">
    <w:abstractNumId w:val="17"/>
  </w:num>
  <w:num w:numId="27">
    <w:abstractNumId w:val="45"/>
  </w:num>
  <w:num w:numId="28">
    <w:abstractNumId w:val="41"/>
  </w:num>
  <w:num w:numId="29">
    <w:abstractNumId w:val="44"/>
  </w:num>
  <w:num w:numId="30">
    <w:abstractNumId w:val="32"/>
  </w:num>
  <w:num w:numId="31">
    <w:abstractNumId w:val="43"/>
  </w:num>
  <w:num w:numId="32">
    <w:abstractNumId w:val="33"/>
  </w:num>
  <w:num w:numId="33">
    <w:abstractNumId w:val="15"/>
  </w:num>
  <w:num w:numId="34">
    <w:abstractNumId w:val="51"/>
  </w:num>
  <w:num w:numId="35">
    <w:abstractNumId w:val="36"/>
  </w:num>
  <w:num w:numId="36">
    <w:abstractNumId w:val="23"/>
  </w:num>
  <w:num w:numId="37">
    <w:abstractNumId w:val="27"/>
  </w:num>
  <w:num w:numId="38">
    <w:abstractNumId w:val="34"/>
  </w:num>
  <w:num w:numId="39">
    <w:abstractNumId w:val="38"/>
  </w:num>
  <w:num w:numId="40">
    <w:abstractNumId w:val="26"/>
  </w:num>
  <w:num w:numId="41">
    <w:abstractNumId w:val="13"/>
  </w:num>
  <w:num w:numId="42">
    <w:abstractNumId w:val="25"/>
  </w:num>
  <w:num w:numId="43">
    <w:abstractNumId w:val="22"/>
  </w:num>
  <w:num w:numId="44">
    <w:abstractNumId w:val="31"/>
  </w:num>
  <w:num w:numId="45">
    <w:abstractNumId w:val="20"/>
  </w:num>
  <w:num w:numId="46">
    <w:abstractNumId w:val="16"/>
  </w:num>
  <w:num w:numId="47">
    <w:abstractNumId w:val="47"/>
  </w:num>
  <w:num w:numId="48">
    <w:abstractNumId w:val="35"/>
  </w:num>
  <w:num w:numId="49">
    <w:abstractNumId w:val="37"/>
  </w:num>
  <w:num w:numId="50">
    <w:abstractNumId w:val="7"/>
  </w:num>
  <w:num w:numId="51">
    <w:abstractNumId w:val="52"/>
  </w:num>
  <w:num w:numId="52">
    <w:abstractNumId w:val="6"/>
  </w:num>
  <w:num w:numId="5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H">
    <w15:presenceInfo w15:providerId="None" w15:userId="XH"/>
  </w15:person>
  <w15:person w15:author="Windows">
    <w15:presenceInfo w15:providerId="None" w15:userId="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79"/>
    <w:rsid w:val="00005D6A"/>
    <w:rsid w:val="00043F22"/>
    <w:rsid w:val="00097A58"/>
    <w:rsid w:val="000D6B35"/>
    <w:rsid w:val="000D716C"/>
    <w:rsid w:val="000D7C43"/>
    <w:rsid w:val="0011290B"/>
    <w:rsid w:val="00131EFD"/>
    <w:rsid w:val="00162A9F"/>
    <w:rsid w:val="00165DF1"/>
    <w:rsid w:val="001717A8"/>
    <w:rsid w:val="001879E5"/>
    <w:rsid w:val="00191744"/>
    <w:rsid w:val="00193FCF"/>
    <w:rsid w:val="001B5910"/>
    <w:rsid w:val="001F1269"/>
    <w:rsid w:val="002376D7"/>
    <w:rsid w:val="0025410A"/>
    <w:rsid w:val="00277566"/>
    <w:rsid w:val="002A0B6F"/>
    <w:rsid w:val="002A1945"/>
    <w:rsid w:val="002A406B"/>
    <w:rsid w:val="002A7249"/>
    <w:rsid w:val="002B7F38"/>
    <w:rsid w:val="002C375D"/>
    <w:rsid w:val="00345322"/>
    <w:rsid w:val="00351220"/>
    <w:rsid w:val="00354DB9"/>
    <w:rsid w:val="00377F14"/>
    <w:rsid w:val="003B1DE4"/>
    <w:rsid w:val="003E7B79"/>
    <w:rsid w:val="004062C9"/>
    <w:rsid w:val="00412A69"/>
    <w:rsid w:val="0044163C"/>
    <w:rsid w:val="00443477"/>
    <w:rsid w:val="004B61A4"/>
    <w:rsid w:val="004D1FD4"/>
    <w:rsid w:val="004F4424"/>
    <w:rsid w:val="0054085E"/>
    <w:rsid w:val="00545267"/>
    <w:rsid w:val="005620EA"/>
    <w:rsid w:val="00571507"/>
    <w:rsid w:val="005C3F08"/>
    <w:rsid w:val="005C4A62"/>
    <w:rsid w:val="005F55FD"/>
    <w:rsid w:val="00617E99"/>
    <w:rsid w:val="0062187B"/>
    <w:rsid w:val="006235BC"/>
    <w:rsid w:val="00635839"/>
    <w:rsid w:val="00651B11"/>
    <w:rsid w:val="00695CF5"/>
    <w:rsid w:val="006967FC"/>
    <w:rsid w:val="006A2FC8"/>
    <w:rsid w:val="006D2EB7"/>
    <w:rsid w:val="006D4BA0"/>
    <w:rsid w:val="006E2B3A"/>
    <w:rsid w:val="0071108E"/>
    <w:rsid w:val="00715614"/>
    <w:rsid w:val="0072770E"/>
    <w:rsid w:val="007361F4"/>
    <w:rsid w:val="00747617"/>
    <w:rsid w:val="0075614A"/>
    <w:rsid w:val="00803566"/>
    <w:rsid w:val="0083657B"/>
    <w:rsid w:val="00857D30"/>
    <w:rsid w:val="008A0EB5"/>
    <w:rsid w:val="008A51BC"/>
    <w:rsid w:val="008B74D0"/>
    <w:rsid w:val="008C77C5"/>
    <w:rsid w:val="008D4EE8"/>
    <w:rsid w:val="008F44BF"/>
    <w:rsid w:val="008F68D1"/>
    <w:rsid w:val="00901F37"/>
    <w:rsid w:val="009353E5"/>
    <w:rsid w:val="009419FB"/>
    <w:rsid w:val="0096108C"/>
    <w:rsid w:val="00975D66"/>
    <w:rsid w:val="009B4DF5"/>
    <w:rsid w:val="009E0EEB"/>
    <w:rsid w:val="00A8423A"/>
    <w:rsid w:val="00A87285"/>
    <w:rsid w:val="00A90573"/>
    <w:rsid w:val="00A907B3"/>
    <w:rsid w:val="00A93B06"/>
    <w:rsid w:val="00A95E88"/>
    <w:rsid w:val="00AA3028"/>
    <w:rsid w:val="00AC57CB"/>
    <w:rsid w:val="00AD3141"/>
    <w:rsid w:val="00AD45B3"/>
    <w:rsid w:val="00AD5576"/>
    <w:rsid w:val="00AE356E"/>
    <w:rsid w:val="00AE4CFC"/>
    <w:rsid w:val="00AF0D91"/>
    <w:rsid w:val="00B0647A"/>
    <w:rsid w:val="00B14400"/>
    <w:rsid w:val="00B157F9"/>
    <w:rsid w:val="00B166D0"/>
    <w:rsid w:val="00B2620F"/>
    <w:rsid w:val="00B57B8D"/>
    <w:rsid w:val="00BA14F9"/>
    <w:rsid w:val="00BA649A"/>
    <w:rsid w:val="00BB34BF"/>
    <w:rsid w:val="00BD47EC"/>
    <w:rsid w:val="00C01785"/>
    <w:rsid w:val="00C277B5"/>
    <w:rsid w:val="00C41770"/>
    <w:rsid w:val="00C45510"/>
    <w:rsid w:val="00C726CB"/>
    <w:rsid w:val="00C86200"/>
    <w:rsid w:val="00CB5D54"/>
    <w:rsid w:val="00D0258F"/>
    <w:rsid w:val="00D4273C"/>
    <w:rsid w:val="00D50960"/>
    <w:rsid w:val="00DA175B"/>
    <w:rsid w:val="00DA1C82"/>
    <w:rsid w:val="00DA3372"/>
    <w:rsid w:val="00DC563A"/>
    <w:rsid w:val="00DD3686"/>
    <w:rsid w:val="00DE5AA0"/>
    <w:rsid w:val="00DF5571"/>
    <w:rsid w:val="00E43612"/>
    <w:rsid w:val="00E47109"/>
    <w:rsid w:val="00F00664"/>
    <w:rsid w:val="00F0453B"/>
    <w:rsid w:val="00F20F8B"/>
    <w:rsid w:val="00F316E8"/>
    <w:rsid w:val="00F406F1"/>
    <w:rsid w:val="00F4625B"/>
    <w:rsid w:val="00F5355A"/>
    <w:rsid w:val="00F57A64"/>
    <w:rsid w:val="00F655A2"/>
    <w:rsid w:val="00F82929"/>
    <w:rsid w:val="00FA1205"/>
    <w:rsid w:val="00FA159C"/>
    <w:rsid w:val="00FB3F99"/>
    <w:rsid w:val="00FD78C5"/>
    <w:rsid w:val="01145829"/>
    <w:rsid w:val="01E2462E"/>
    <w:rsid w:val="02154F48"/>
    <w:rsid w:val="021D229B"/>
    <w:rsid w:val="02993267"/>
    <w:rsid w:val="02CE758C"/>
    <w:rsid w:val="03241355"/>
    <w:rsid w:val="03BB7FBE"/>
    <w:rsid w:val="03EC461B"/>
    <w:rsid w:val="045439B3"/>
    <w:rsid w:val="049F343C"/>
    <w:rsid w:val="04C33693"/>
    <w:rsid w:val="04C77087"/>
    <w:rsid w:val="064F2C3F"/>
    <w:rsid w:val="068A724D"/>
    <w:rsid w:val="06911C3B"/>
    <w:rsid w:val="06AC32F6"/>
    <w:rsid w:val="07E16598"/>
    <w:rsid w:val="08582621"/>
    <w:rsid w:val="087C3A43"/>
    <w:rsid w:val="08DA0EE6"/>
    <w:rsid w:val="099F2D4D"/>
    <w:rsid w:val="0BCD6AE0"/>
    <w:rsid w:val="0BED7D3A"/>
    <w:rsid w:val="0C6F2896"/>
    <w:rsid w:val="0CD71238"/>
    <w:rsid w:val="0CEC11E8"/>
    <w:rsid w:val="0CF619A7"/>
    <w:rsid w:val="0CFB53D8"/>
    <w:rsid w:val="0CFD3CE0"/>
    <w:rsid w:val="0E2C505B"/>
    <w:rsid w:val="0E6D29B1"/>
    <w:rsid w:val="0ED40186"/>
    <w:rsid w:val="0FAB46A6"/>
    <w:rsid w:val="0FBB2D63"/>
    <w:rsid w:val="115D60FD"/>
    <w:rsid w:val="119360D6"/>
    <w:rsid w:val="1289734F"/>
    <w:rsid w:val="130C4392"/>
    <w:rsid w:val="13165211"/>
    <w:rsid w:val="1319085D"/>
    <w:rsid w:val="13471FDA"/>
    <w:rsid w:val="13B10CDE"/>
    <w:rsid w:val="14180746"/>
    <w:rsid w:val="142C10D4"/>
    <w:rsid w:val="161F43DC"/>
    <w:rsid w:val="16C13CC7"/>
    <w:rsid w:val="16D01FA6"/>
    <w:rsid w:val="173A358D"/>
    <w:rsid w:val="173C2D6C"/>
    <w:rsid w:val="17C03A07"/>
    <w:rsid w:val="188447AA"/>
    <w:rsid w:val="1C1D13BE"/>
    <w:rsid w:val="1CAB4413"/>
    <w:rsid w:val="1CCD2F9B"/>
    <w:rsid w:val="1D2938A7"/>
    <w:rsid w:val="1D6361A1"/>
    <w:rsid w:val="1F070103"/>
    <w:rsid w:val="21285BCF"/>
    <w:rsid w:val="215147F3"/>
    <w:rsid w:val="218E2416"/>
    <w:rsid w:val="23331568"/>
    <w:rsid w:val="234D7B33"/>
    <w:rsid w:val="23893DD4"/>
    <w:rsid w:val="23D12DAD"/>
    <w:rsid w:val="24B506C7"/>
    <w:rsid w:val="24CD5D6E"/>
    <w:rsid w:val="24FE78B3"/>
    <w:rsid w:val="260B670E"/>
    <w:rsid w:val="277A7DF1"/>
    <w:rsid w:val="2A0453F9"/>
    <w:rsid w:val="2A2153EE"/>
    <w:rsid w:val="2B166266"/>
    <w:rsid w:val="2CCD473A"/>
    <w:rsid w:val="2D584B56"/>
    <w:rsid w:val="2D9F64D0"/>
    <w:rsid w:val="2F0A3A24"/>
    <w:rsid w:val="2F593922"/>
    <w:rsid w:val="2F962DE0"/>
    <w:rsid w:val="2FA8004A"/>
    <w:rsid w:val="2FEE7840"/>
    <w:rsid w:val="303B5E5F"/>
    <w:rsid w:val="305558AE"/>
    <w:rsid w:val="31D73965"/>
    <w:rsid w:val="32515C0F"/>
    <w:rsid w:val="33C75B8B"/>
    <w:rsid w:val="34164C19"/>
    <w:rsid w:val="34FD36E3"/>
    <w:rsid w:val="352A6C9F"/>
    <w:rsid w:val="359B11B4"/>
    <w:rsid w:val="3711163C"/>
    <w:rsid w:val="377F0D27"/>
    <w:rsid w:val="3ADE7B13"/>
    <w:rsid w:val="3AF7062E"/>
    <w:rsid w:val="3B9D177C"/>
    <w:rsid w:val="3C0D6901"/>
    <w:rsid w:val="3C47355A"/>
    <w:rsid w:val="3CA164D5"/>
    <w:rsid w:val="3CB700CE"/>
    <w:rsid w:val="3CF24274"/>
    <w:rsid w:val="3E0C5604"/>
    <w:rsid w:val="3F042D6B"/>
    <w:rsid w:val="3FA51CB3"/>
    <w:rsid w:val="3FD57736"/>
    <w:rsid w:val="402C30CE"/>
    <w:rsid w:val="411029F0"/>
    <w:rsid w:val="420379CD"/>
    <w:rsid w:val="422E5823"/>
    <w:rsid w:val="42E163F2"/>
    <w:rsid w:val="43954C72"/>
    <w:rsid w:val="43F23912"/>
    <w:rsid w:val="44184095"/>
    <w:rsid w:val="447830E2"/>
    <w:rsid w:val="45AF0A29"/>
    <w:rsid w:val="461E170B"/>
    <w:rsid w:val="464B5F3B"/>
    <w:rsid w:val="46607F75"/>
    <w:rsid w:val="478E7B89"/>
    <w:rsid w:val="47B36C49"/>
    <w:rsid w:val="48061269"/>
    <w:rsid w:val="48BC239C"/>
    <w:rsid w:val="4959798C"/>
    <w:rsid w:val="49620E62"/>
    <w:rsid w:val="499F4F00"/>
    <w:rsid w:val="49B77EAC"/>
    <w:rsid w:val="4B0152D2"/>
    <w:rsid w:val="4C2152BB"/>
    <w:rsid w:val="4C2D6C19"/>
    <w:rsid w:val="4C3E48B5"/>
    <w:rsid w:val="4CD41BFD"/>
    <w:rsid w:val="4CDB0356"/>
    <w:rsid w:val="4D4077C7"/>
    <w:rsid w:val="4F2500BA"/>
    <w:rsid w:val="4F3C7129"/>
    <w:rsid w:val="4FD751E1"/>
    <w:rsid w:val="510C1D8F"/>
    <w:rsid w:val="51CB781E"/>
    <w:rsid w:val="52595CD2"/>
    <w:rsid w:val="54480953"/>
    <w:rsid w:val="54925BC2"/>
    <w:rsid w:val="554E04B2"/>
    <w:rsid w:val="556A04C9"/>
    <w:rsid w:val="57DA3351"/>
    <w:rsid w:val="582924E0"/>
    <w:rsid w:val="58EE3CC3"/>
    <w:rsid w:val="59154895"/>
    <w:rsid w:val="59486D73"/>
    <w:rsid w:val="5A0208F9"/>
    <w:rsid w:val="5A025174"/>
    <w:rsid w:val="5BD13050"/>
    <w:rsid w:val="5C1473E0"/>
    <w:rsid w:val="5C6E7022"/>
    <w:rsid w:val="5C7E1CA9"/>
    <w:rsid w:val="602816AC"/>
    <w:rsid w:val="608368E3"/>
    <w:rsid w:val="60B1344C"/>
    <w:rsid w:val="60E92BEA"/>
    <w:rsid w:val="61263FBA"/>
    <w:rsid w:val="6146003C"/>
    <w:rsid w:val="62F31AFE"/>
    <w:rsid w:val="63601ED7"/>
    <w:rsid w:val="63996A94"/>
    <w:rsid w:val="64427EB3"/>
    <w:rsid w:val="64FB4F01"/>
    <w:rsid w:val="658E7A69"/>
    <w:rsid w:val="65A45331"/>
    <w:rsid w:val="65DD6076"/>
    <w:rsid w:val="66430FEE"/>
    <w:rsid w:val="67886262"/>
    <w:rsid w:val="6807524B"/>
    <w:rsid w:val="68A52302"/>
    <w:rsid w:val="6A79436D"/>
    <w:rsid w:val="6A8137E3"/>
    <w:rsid w:val="6A8618C8"/>
    <w:rsid w:val="6BAA11C2"/>
    <w:rsid w:val="6BCE3108"/>
    <w:rsid w:val="6C501D6F"/>
    <w:rsid w:val="6C621AA2"/>
    <w:rsid w:val="6C9A3E2C"/>
    <w:rsid w:val="6D254F8B"/>
    <w:rsid w:val="6D325B6A"/>
    <w:rsid w:val="6E2A4841"/>
    <w:rsid w:val="6E443587"/>
    <w:rsid w:val="6E773A27"/>
    <w:rsid w:val="6E9C321D"/>
    <w:rsid w:val="6EC52DF7"/>
    <w:rsid w:val="6F455D89"/>
    <w:rsid w:val="6F8166E3"/>
    <w:rsid w:val="70422316"/>
    <w:rsid w:val="714E0847"/>
    <w:rsid w:val="7150066A"/>
    <w:rsid w:val="72145D15"/>
    <w:rsid w:val="72FB6BB6"/>
    <w:rsid w:val="73C5240B"/>
    <w:rsid w:val="73F94A3D"/>
    <w:rsid w:val="749145C2"/>
    <w:rsid w:val="74BF5CE3"/>
    <w:rsid w:val="75A1188D"/>
    <w:rsid w:val="78CA4586"/>
    <w:rsid w:val="79A731EA"/>
    <w:rsid w:val="79AB6836"/>
    <w:rsid w:val="7A2E1215"/>
    <w:rsid w:val="7A6D61E2"/>
    <w:rsid w:val="7AAD44EA"/>
    <w:rsid w:val="7AE84DE0"/>
    <w:rsid w:val="7BDA728E"/>
    <w:rsid w:val="7C1F175E"/>
    <w:rsid w:val="7C2D1965"/>
    <w:rsid w:val="7C42430D"/>
    <w:rsid w:val="7C572CA5"/>
    <w:rsid w:val="7C7C6F68"/>
    <w:rsid w:val="7CC540B3"/>
    <w:rsid w:val="7D1E58D9"/>
    <w:rsid w:val="7D233BC6"/>
    <w:rsid w:val="7DC2073A"/>
    <w:rsid w:val="7E0724A9"/>
    <w:rsid w:val="7E355610"/>
    <w:rsid w:val="7EAD3AAF"/>
    <w:rsid w:val="7F21188E"/>
    <w:rsid w:val="7F96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adjustRightInd w:val="0"/>
    </w:pPr>
    <w:rPr>
      <w:rFonts w:ascii="Calibri" w:hAnsi="Calibri" w:eastAsia="宋体" w:cs="Times New Roman"/>
      <w:sz w:val="24"/>
      <w:szCs w:val="24"/>
      <w:lang w:val="en-US" w:eastAsia="zh-CN" w:bidi="ar-SA"/>
    </w:rPr>
  </w:style>
  <w:style w:type="paragraph" w:styleId="2">
    <w:name w:val="heading 1"/>
    <w:basedOn w:val="1"/>
    <w:next w:val="1"/>
    <w:qFormat/>
    <w:uiPriority w:val="0"/>
    <w:pPr>
      <w:spacing w:before="50" w:beforeLines="50" w:after="50" w:afterLines="50" w:line="440" w:lineRule="exact"/>
      <w:jc w:val="center"/>
      <w:outlineLvl w:val="0"/>
    </w:pPr>
    <w:rPr>
      <w:rFonts w:ascii="Times New Roman" w:hAnsi="Times New Roman" w:eastAsia="黑体"/>
      <w:bCs/>
      <w:kern w:val="44"/>
      <w:sz w:val="44"/>
      <w:szCs w:val="44"/>
    </w:rPr>
  </w:style>
  <w:style w:type="paragraph" w:styleId="3">
    <w:name w:val="heading 2"/>
    <w:basedOn w:val="1"/>
    <w:next w:val="1"/>
    <w:qFormat/>
    <w:uiPriority w:val="0"/>
    <w:pPr>
      <w:keepNext/>
      <w:keepLines/>
      <w:spacing w:line="440" w:lineRule="exact"/>
      <w:outlineLvl w:val="1"/>
    </w:pPr>
    <w:rPr>
      <w:rFonts w:ascii="Calibri Light" w:hAnsi="Calibri Light"/>
      <w:b/>
      <w:bCs/>
      <w:sz w:val="32"/>
      <w:szCs w:val="32"/>
    </w:rPr>
  </w:style>
  <w:style w:type="paragraph" w:styleId="4">
    <w:name w:val="heading 3"/>
    <w:basedOn w:val="1"/>
    <w:next w:val="1"/>
    <w:qFormat/>
    <w:uiPriority w:val="9"/>
    <w:pPr>
      <w:keepNext/>
      <w:keepLines/>
      <w:spacing w:line="440" w:lineRule="exact"/>
      <w:outlineLvl w:val="2"/>
    </w:pPr>
    <w:rPr>
      <w:b/>
      <w:bCs/>
      <w:sz w:val="28"/>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annotation text"/>
    <w:basedOn w:val="1"/>
    <w:link w:val="27"/>
    <w:qFormat/>
    <w:uiPriority w:val="99"/>
    <w:rPr>
      <w:rFonts w:ascii="Times New Roman" w:hAnsi="Times New Roman"/>
    </w:rPr>
  </w:style>
  <w:style w:type="paragraph" w:styleId="8">
    <w:name w:val="Body Text 3"/>
    <w:basedOn w:val="1"/>
    <w:qFormat/>
    <w:uiPriority w:val="99"/>
    <w:pPr>
      <w:spacing w:after="120"/>
    </w:pPr>
    <w:rPr>
      <w:rFonts w:ascii="Times New Roman" w:hAnsi="Times New Roman"/>
      <w:sz w:val="16"/>
      <w:szCs w:val="16"/>
    </w:rPr>
  </w:style>
  <w:style w:type="paragraph" w:styleId="9">
    <w:name w:val="Body Text"/>
    <w:basedOn w:val="1"/>
    <w:next w:val="10"/>
    <w:unhideWhenUsed/>
    <w:qFormat/>
    <w:uiPriority w:val="99"/>
    <w:pPr>
      <w:spacing w:after="120"/>
    </w:pPr>
  </w:style>
  <w:style w:type="paragraph" w:styleId="10">
    <w:name w:val="Body Text First Indent"/>
    <w:basedOn w:val="9"/>
    <w:next w:val="11"/>
    <w:unhideWhenUsed/>
    <w:qFormat/>
    <w:uiPriority w:val="0"/>
    <w:pPr>
      <w:autoSpaceDE/>
      <w:autoSpaceDN/>
      <w:adjustRightInd/>
      <w:ind w:firstLine="420" w:firstLineChars="100"/>
      <w:jc w:val="both"/>
    </w:pPr>
    <w:rPr>
      <w:sz w:val="21"/>
      <w:szCs w:val="22"/>
    </w:rPr>
  </w:style>
  <w:style w:type="paragraph" w:styleId="11">
    <w:name w:val="toc 6"/>
    <w:basedOn w:val="1"/>
    <w:next w:val="1"/>
    <w:unhideWhenUsed/>
    <w:qFormat/>
    <w:uiPriority w:val="39"/>
    <w:pPr>
      <w:ind w:left="2100" w:leftChars="1000"/>
    </w:pPr>
  </w:style>
  <w:style w:type="paragraph" w:styleId="12">
    <w:name w:val="Body Text Indent"/>
    <w:basedOn w:val="1"/>
    <w:next w:val="13"/>
    <w:qFormat/>
    <w:uiPriority w:val="0"/>
    <w:pPr>
      <w:spacing w:line="500" w:lineRule="atLeast"/>
      <w:ind w:firstLine="510"/>
    </w:pPr>
  </w:style>
  <w:style w:type="paragraph" w:styleId="13">
    <w:name w:val="Body Text First Indent 2"/>
    <w:basedOn w:val="12"/>
    <w:qFormat/>
    <w:uiPriority w:val="0"/>
    <w:pPr>
      <w:ind w:firstLine="420" w:firstLineChars="200"/>
    </w:pPr>
    <w:rPr>
      <w:rFonts w:hint="eastAsia" w:ascii="宋体" w:hAnsi="Courier New"/>
      <w:spacing w:val="-4"/>
      <w:sz w:val="18"/>
    </w:rPr>
  </w:style>
  <w:style w:type="paragraph" w:styleId="14">
    <w:name w:val="Plain Text"/>
    <w:basedOn w:val="1"/>
    <w:qFormat/>
    <w:uiPriority w:val="0"/>
    <w:pPr>
      <w:autoSpaceDE/>
      <w:autoSpaceDN/>
      <w:adjustRightInd/>
      <w:jc w:val="both"/>
    </w:pPr>
    <w:rPr>
      <w:rFonts w:ascii="宋体" w:hAnsi="Courier New"/>
      <w:sz w:val="20"/>
      <w:szCs w:val="20"/>
    </w:rPr>
  </w:style>
  <w:style w:type="paragraph" w:styleId="15">
    <w:name w:val="footer"/>
    <w:basedOn w:val="1"/>
    <w:unhideWhenUsed/>
    <w:qFormat/>
    <w:uiPriority w:val="99"/>
    <w:pPr>
      <w:tabs>
        <w:tab w:val="center" w:pos="4153"/>
        <w:tab w:val="right" w:pos="8306"/>
      </w:tabs>
      <w:snapToGrid w:val="0"/>
    </w:pPr>
    <w:rPr>
      <w:sz w:val="18"/>
      <w:szCs w:val="18"/>
    </w:rPr>
  </w:style>
  <w:style w:type="paragraph" w:styleId="1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line="360" w:lineRule="auto"/>
      <w:jc w:val="center"/>
    </w:pPr>
    <w:rPr>
      <w:rFonts w:ascii="宋体" w:hAnsi="宋体"/>
    </w:rPr>
  </w:style>
  <w:style w:type="paragraph" w:styleId="18">
    <w:name w:val="Body Text Indent 3"/>
    <w:basedOn w:val="1"/>
    <w:unhideWhenUsed/>
    <w:qFormat/>
    <w:uiPriority w:val="99"/>
    <w:pPr>
      <w:spacing w:after="120"/>
      <w:ind w:left="420" w:leftChars="200"/>
    </w:pPr>
    <w:rPr>
      <w:sz w:val="16"/>
      <w:szCs w:val="16"/>
    </w:rPr>
  </w:style>
  <w:style w:type="paragraph" w:styleId="1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rPr>
  </w:style>
  <w:style w:type="paragraph" w:styleId="20">
    <w:name w:val="Normal (Web)"/>
    <w:basedOn w:val="1"/>
    <w:qFormat/>
    <w:uiPriority w:val="0"/>
    <w:pPr>
      <w:spacing w:beforeAutospacing="1" w:afterAutospacing="1"/>
    </w:pPr>
  </w:style>
  <w:style w:type="paragraph" w:styleId="21">
    <w:name w:val="Title"/>
    <w:basedOn w:val="1"/>
    <w:link w:val="28"/>
    <w:qFormat/>
    <w:uiPriority w:val="0"/>
    <w:pPr>
      <w:autoSpaceDE/>
      <w:autoSpaceDN/>
      <w:spacing w:before="240" w:after="240"/>
      <w:textAlignment w:val="baseline"/>
      <w:outlineLvl w:val="0"/>
    </w:pPr>
    <w:rPr>
      <w:rFonts w:ascii="Arial" w:hAnsi="Arial" w:eastAsia="黑体"/>
      <w:b/>
      <w:sz w:val="28"/>
      <w:szCs w:val="20"/>
    </w:rPr>
  </w:style>
  <w:style w:type="paragraph" w:styleId="22">
    <w:name w:val="annotation subject"/>
    <w:basedOn w:val="7"/>
    <w:next w:val="7"/>
    <w:link w:val="29"/>
    <w:qFormat/>
    <w:uiPriority w:val="0"/>
    <w:rPr>
      <w:rFonts w:ascii="Calibri" w:hAnsi="Calibri"/>
      <w:b/>
      <w:bCs/>
    </w:rPr>
  </w:style>
  <w:style w:type="character" w:styleId="25">
    <w:name w:val="Hyperlink"/>
    <w:qFormat/>
    <w:uiPriority w:val="99"/>
    <w:rPr>
      <w:color w:val="0000FF"/>
      <w:u w:val="single"/>
    </w:rPr>
  </w:style>
  <w:style w:type="character" w:styleId="26">
    <w:name w:val="annotation reference"/>
    <w:qFormat/>
    <w:uiPriority w:val="99"/>
    <w:rPr>
      <w:sz w:val="21"/>
      <w:szCs w:val="21"/>
    </w:rPr>
  </w:style>
  <w:style w:type="character" w:customStyle="1" w:styleId="27">
    <w:name w:val="批注文字 字符"/>
    <w:link w:val="7"/>
    <w:qFormat/>
    <w:uiPriority w:val="99"/>
    <w:rPr>
      <w:sz w:val="24"/>
      <w:szCs w:val="24"/>
    </w:rPr>
  </w:style>
  <w:style w:type="character" w:customStyle="1" w:styleId="28">
    <w:name w:val="标题 字符1"/>
    <w:link w:val="21"/>
    <w:qFormat/>
    <w:uiPriority w:val="0"/>
    <w:rPr>
      <w:rFonts w:ascii="Arial" w:hAnsi="Arial" w:eastAsia="黑体"/>
      <w:b/>
      <w:sz w:val="28"/>
    </w:rPr>
  </w:style>
  <w:style w:type="character" w:customStyle="1" w:styleId="29">
    <w:name w:val="批注主题 字符"/>
    <w:link w:val="22"/>
    <w:qFormat/>
    <w:uiPriority w:val="0"/>
    <w:rPr>
      <w:rFonts w:ascii="Calibri" w:hAnsi="Calibri"/>
      <w:b/>
      <w:bCs/>
      <w:sz w:val="24"/>
      <w:szCs w:val="24"/>
    </w:rPr>
  </w:style>
  <w:style w:type="character" w:customStyle="1" w:styleId="30">
    <w:name w:val="font11"/>
    <w:qFormat/>
    <w:uiPriority w:val="0"/>
    <w:rPr>
      <w:rFonts w:hint="eastAsia" w:ascii="宋体" w:hAnsi="宋体" w:eastAsia="宋体" w:cs="宋体"/>
      <w:color w:val="000000"/>
      <w:sz w:val="22"/>
      <w:szCs w:val="22"/>
      <w:u w:val="none"/>
    </w:rPr>
  </w:style>
  <w:style w:type="character" w:customStyle="1" w:styleId="31">
    <w:name w:val="font21"/>
    <w:qFormat/>
    <w:uiPriority w:val="0"/>
    <w:rPr>
      <w:rFonts w:hint="eastAsia" w:ascii="宋体" w:hAnsi="宋体" w:eastAsia="宋体" w:cs="宋体"/>
      <w:color w:val="FF0000"/>
      <w:sz w:val="22"/>
      <w:szCs w:val="22"/>
      <w:u w:val="none"/>
    </w:rPr>
  </w:style>
  <w:style w:type="character" w:customStyle="1" w:styleId="32">
    <w:name w:val="font01"/>
    <w:qFormat/>
    <w:uiPriority w:val="0"/>
    <w:rPr>
      <w:rFonts w:hint="eastAsia" w:ascii="宋体" w:hAnsi="宋体" w:eastAsia="宋体" w:cs="宋体"/>
      <w:color w:val="000000"/>
      <w:sz w:val="22"/>
      <w:szCs w:val="22"/>
      <w:u w:val="none"/>
    </w:rPr>
  </w:style>
  <w:style w:type="paragraph" w:customStyle="1" w:styleId="33">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34">
    <w:name w:val="样式5"/>
    <w:basedOn w:val="1"/>
    <w:qFormat/>
    <w:uiPriority w:val="0"/>
    <w:pPr>
      <w:spacing w:line="440" w:lineRule="exact"/>
      <w:ind w:firstLine="420" w:firstLineChars="200"/>
    </w:pPr>
    <w:rPr>
      <w:rFonts w:ascii="宋体" w:hAnsi="宋体"/>
      <w:szCs w:val="21"/>
    </w:rPr>
  </w:style>
  <w:style w:type="paragraph" w:customStyle="1" w:styleId="35">
    <w:name w:val="列表段落1"/>
    <w:basedOn w:val="1"/>
    <w:qFormat/>
    <w:uiPriority w:val="34"/>
    <w:pPr>
      <w:ind w:firstLine="420" w:firstLineChars="200"/>
    </w:pPr>
  </w:style>
  <w:style w:type="paragraph" w:customStyle="1" w:styleId="36">
    <w:name w:val="_Style 27"/>
    <w:basedOn w:val="1"/>
    <w:next w:val="35"/>
    <w:qFormat/>
    <w:uiPriority w:val="0"/>
  </w:style>
  <w:style w:type="paragraph" w:customStyle="1" w:styleId="37">
    <w:name w:val="[Normal]"/>
    <w:qFormat/>
    <w:uiPriority w:val="0"/>
    <w:rPr>
      <w:rFonts w:ascii="宋体" w:hAnsi="宋体" w:eastAsia="宋体" w:cs="Times New Roman"/>
      <w:sz w:val="24"/>
      <w:szCs w:val="22"/>
      <w:lang w:val="zh-CN" w:eastAsia="zh-CN" w:bidi="ar-SA"/>
    </w:rPr>
  </w:style>
  <w:style w:type="paragraph" w:customStyle="1" w:styleId="38">
    <w:name w:val="协议书标题2"/>
    <w:basedOn w:val="3"/>
    <w:next w:val="1"/>
    <w:qFormat/>
    <w:uiPriority w:val="0"/>
    <w:pPr>
      <w:keepNext w:val="0"/>
      <w:keepLines w:val="0"/>
      <w:numPr>
        <w:ilvl w:val="0"/>
        <w:numId w:val="1"/>
      </w:numPr>
      <w:tabs>
        <w:tab w:val="left" w:pos="567"/>
      </w:tabs>
      <w:spacing w:line="360" w:lineRule="auto"/>
      <w:ind w:firstLine="0"/>
    </w:pPr>
    <w:rPr>
      <w:rFonts w:ascii="宋体" w:hAnsi="宋体"/>
      <w:sz w:val="24"/>
    </w:rPr>
  </w:style>
  <w:style w:type="paragraph" w:customStyle="1" w:styleId="39">
    <w:name w:val="正文内容"/>
    <w:basedOn w:val="1"/>
    <w:qFormat/>
    <w:uiPriority w:val="0"/>
    <w:pPr>
      <w:spacing w:line="360" w:lineRule="auto"/>
      <w:ind w:firstLine="420" w:firstLineChars="200"/>
    </w:pPr>
    <w:rPr>
      <w:rFonts w:ascii="Arial" w:hAnsi="Arial"/>
    </w:rPr>
  </w:style>
  <w:style w:type="paragraph" w:customStyle="1" w:styleId="40">
    <w:name w:val="列表段落2"/>
    <w:basedOn w:val="1"/>
    <w:qFormat/>
    <w:uiPriority w:val="34"/>
    <w:pPr>
      <w:ind w:firstLine="420" w:firstLineChars="200"/>
    </w:pPr>
  </w:style>
  <w:style w:type="paragraph" w:customStyle="1" w:styleId="41">
    <w:name w:val="附件标题"/>
    <w:basedOn w:val="3"/>
    <w:next w:val="1"/>
    <w:qFormat/>
    <w:uiPriority w:val="0"/>
    <w:pPr>
      <w:numPr>
        <w:ilvl w:val="0"/>
        <w:numId w:val="2"/>
      </w:numPr>
      <w:tabs>
        <w:tab w:val="left" w:pos="1134"/>
      </w:tabs>
      <w:spacing w:line="360" w:lineRule="auto"/>
      <w:ind w:firstLine="0"/>
      <w:jc w:val="center"/>
    </w:pPr>
    <w:rPr>
      <w:rFonts w:ascii="黑体" w:hAnsi="黑体"/>
      <w:sz w:val="30"/>
      <w:szCs w:val="30"/>
    </w:rPr>
  </w:style>
  <w:style w:type="paragraph" w:customStyle="1" w:styleId="42">
    <w:name w:val="样式 正文文本"/>
    <w:basedOn w:val="1"/>
    <w:qFormat/>
    <w:uiPriority w:val="0"/>
    <w:pPr>
      <w:snapToGrid w:val="0"/>
      <w:spacing w:line="400" w:lineRule="exact"/>
      <w:ind w:firstLine="200" w:firstLineChars="200"/>
    </w:pPr>
    <w:rPr>
      <w:rFonts w:ascii="Arial" w:hAnsi="Arial" w:cs="宋体"/>
      <w:color w:val="000000"/>
      <w:szCs w:val="20"/>
    </w:rPr>
  </w:style>
  <w:style w:type="paragraph" w:customStyle="1" w:styleId="43">
    <w:name w:val="正文，首行缩进:"/>
    <w:basedOn w:val="1"/>
    <w:qFormat/>
    <w:uiPriority w:val="0"/>
    <w:pPr>
      <w:tabs>
        <w:tab w:val="left" w:pos="3376"/>
      </w:tabs>
      <w:spacing w:line="460" w:lineRule="exact"/>
      <w:ind w:firstLine="480" w:firstLineChars="200"/>
    </w:pPr>
    <w:rPr>
      <w:rFonts w:ascii="宋体" w:hAnsi="宋体" w:cs="宋体"/>
      <w:szCs w:val="20"/>
    </w:rPr>
  </w:style>
  <w:style w:type="paragraph" w:customStyle="1" w:styleId="44">
    <w:name w:val="Table Paragraph"/>
    <w:basedOn w:val="1"/>
    <w:qFormat/>
    <w:uiPriority w:val="1"/>
    <w:rPr>
      <w:rFonts w:ascii="宋体" w:hAnsi="宋体" w:cs="宋体"/>
      <w:lang w:val="zh-CN" w:bidi="zh-CN"/>
    </w:rPr>
  </w:style>
  <w:style w:type="paragraph" w:customStyle="1" w:styleId="45">
    <w:name w:val="列出段落1"/>
    <w:basedOn w:val="1"/>
    <w:qFormat/>
    <w:uiPriority w:val="0"/>
    <w:pPr>
      <w:autoSpaceDE/>
      <w:autoSpaceDN/>
      <w:adjustRightInd/>
      <w:ind w:firstLine="420" w:firstLineChars="200"/>
      <w:jc w:val="both"/>
    </w:pPr>
    <w:rPr>
      <w:kern w:val="2"/>
      <w:sz w:val="21"/>
      <w:szCs w:val="22"/>
    </w:rPr>
  </w:style>
  <w:style w:type="character" w:customStyle="1" w:styleId="46">
    <w:name w:val="标题 字符"/>
    <w:qFormat/>
    <w:uiPriority w:val="0"/>
    <w:rPr>
      <w:rFonts w:ascii="等线 Light" w:hAnsi="等线 Light" w:cs="Times New Roman"/>
      <w:b/>
      <w:bCs/>
      <w:sz w:val="32"/>
      <w:szCs w:val="32"/>
    </w:rPr>
  </w:style>
  <w:style w:type="paragraph" w:styleId="47">
    <w:name w:val="List Paragraph"/>
    <w:basedOn w:val="1"/>
    <w:qFormat/>
    <w:uiPriority w:val="34"/>
    <w:pPr>
      <w:autoSpaceDE/>
      <w:autoSpaceDN/>
      <w:adjustRightInd/>
      <w:ind w:firstLine="420" w:firstLineChars="200"/>
      <w:jc w:val="both"/>
    </w:pPr>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8" Type="http://schemas.microsoft.com/office/2011/relationships/people" Target="people.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8.wmf"/><Relationship Id="rId33" Type="http://schemas.openxmlformats.org/officeDocument/2006/relationships/oleObject" Target="embeddings/oleObject9.bin"/><Relationship Id="rId32" Type="http://schemas.openxmlformats.org/officeDocument/2006/relationships/image" Target="media/image17.wmf"/><Relationship Id="rId31" Type="http://schemas.openxmlformats.org/officeDocument/2006/relationships/oleObject" Target="embeddings/oleObject8.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5.wmf"/><Relationship Id="rId27" Type="http://schemas.openxmlformats.org/officeDocument/2006/relationships/oleObject" Target="embeddings/oleObject6.bin"/><Relationship Id="rId26" Type="http://schemas.openxmlformats.org/officeDocument/2006/relationships/image" Target="media/image14.wmf"/><Relationship Id="rId25" Type="http://schemas.openxmlformats.org/officeDocument/2006/relationships/oleObject" Target="embeddings/oleObject5.bin"/><Relationship Id="rId24" Type="http://schemas.openxmlformats.org/officeDocument/2006/relationships/image" Target="media/image13.wmf"/><Relationship Id="rId23" Type="http://schemas.openxmlformats.org/officeDocument/2006/relationships/oleObject" Target="embeddings/oleObject4.bin"/><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image" Target="file:///C:\Users\xufengfeng\AppData\Local\Temp\&#20225;&#19994;&#24494;&#20449;&#25130;&#22270;_17671483213283.png" TargetMode="Externa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193</Pages>
  <Words>2159</Words>
  <Characters>2353</Characters>
  <Lines>843</Lines>
  <Paragraphs>237</Paragraphs>
  <TotalTime>41</TotalTime>
  <ScaleCrop>false</ScaleCrop>
  <LinksUpToDate>false</LinksUpToDate>
  <CharactersWithSpaces>2406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2026-01-08T04:05:00Z</dcterms:created>
  <dc:creator>曹铖华</dc:creator>
  <cp:lastModifiedBy>Administrator</cp:lastModifiedBy>
  <cp:lastPrinted>2025-06-30T03:08:00Z</cp:lastPrinted>
  <dcterms:modified xsi:type="dcterms:W3CDTF">2026-01-09T08:47:46Z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eyJoZGlkIjoiOWQ2ZWExMDIwMTAyNTlkY2I3MDQ0MGE2NzkwYzQ5NGQiLCJ1c2VySWQiOiI3MDM4MjE3NDAifQ==</vt:lpwstr>
  </property>
  <property fmtid="{D5CDD505-2E9C-101B-9397-08002B2CF9AE}" pid="4" name="ICV">
    <vt:lpwstr>AED27CB08F744AC5BA9F3D618C8E24BB_13</vt:lpwstr>
  </property>
</Properties>
</file>