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》，我方已经清楚本次挂牌出让的宗地情况、交易资格条件、挂牌程序、报价规则、挂牌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A76BE4"/>
    <w:rsid w:val="18015C28"/>
    <w:rsid w:val="1AD64D9D"/>
    <w:rsid w:val="1E0D0FBE"/>
    <w:rsid w:val="1E43043E"/>
    <w:rsid w:val="296432A7"/>
    <w:rsid w:val="2F1A2299"/>
    <w:rsid w:val="322D5960"/>
    <w:rsid w:val="38B655A9"/>
    <w:rsid w:val="392C5A3D"/>
    <w:rsid w:val="3ADE19B2"/>
    <w:rsid w:val="4A1B4023"/>
    <w:rsid w:val="540051FF"/>
    <w:rsid w:val="54304D2E"/>
    <w:rsid w:val="5BDE5985"/>
    <w:rsid w:val="5CD84061"/>
    <w:rsid w:val="5E1D4969"/>
    <w:rsid w:val="607A6756"/>
    <w:rsid w:val="664D662E"/>
    <w:rsid w:val="6D9725EA"/>
    <w:rsid w:val="6F570D38"/>
    <w:rsid w:val="764A5DC3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2026-09-16T02:24:11Z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