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117EBB">
      <w:pPr>
        <w:pStyle w:val="6"/>
        <w:jc w:val="center"/>
        <w:rPr>
          <w:rFonts w:hint="eastAsia" w:ascii="宋体" w:hAnsi="宋体" w:eastAsia="宋体" w:cs="宋体"/>
          <w:sz w:val="30"/>
          <w:szCs w:val="30"/>
          <w:lang w:eastAsia="zh-CN"/>
        </w:rPr>
      </w:pPr>
      <w:r>
        <w:rPr>
          <w:rFonts w:hint="eastAsia" w:ascii="宋体" w:hAnsi="宋体" w:eastAsia="宋体" w:cs="宋体"/>
          <w:sz w:val="30"/>
          <w:szCs w:val="30"/>
          <w:lang w:eastAsia="zh-CN"/>
        </w:rPr>
        <w:t>一标段</w:t>
      </w:r>
    </w:p>
    <w:tbl>
      <w:tblPr>
        <w:tblStyle w:val="4"/>
        <w:tblW w:w="1112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80"/>
        <w:gridCol w:w="1966"/>
        <w:gridCol w:w="6990"/>
        <w:gridCol w:w="1092"/>
      </w:tblGrid>
      <w:tr w14:paraId="70779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07794AD">
            <w:pPr>
              <w:keepNext w:val="0"/>
              <w:keepLines w:val="0"/>
              <w:widowControl/>
              <w:suppressLineNumbers w:val="0"/>
              <w:jc w:val="center"/>
              <w:textAlignment w:val="bottom"/>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序号</w:t>
            </w:r>
          </w:p>
        </w:tc>
        <w:tc>
          <w:tcPr>
            <w:tcW w:w="196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FDC36C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采购内容</w:t>
            </w:r>
          </w:p>
        </w:tc>
        <w:tc>
          <w:tcPr>
            <w:tcW w:w="699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078F41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参数要求</w:t>
            </w:r>
          </w:p>
        </w:tc>
        <w:tc>
          <w:tcPr>
            <w:tcW w:w="109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01784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r>
      <w:tr w14:paraId="69A11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0DD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96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E39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购置119台3匹72柜机</w:t>
            </w:r>
          </w:p>
        </w:tc>
        <w:tc>
          <w:tcPr>
            <w:tcW w:w="699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65CEF47">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1.变频</w:t>
            </w:r>
          </w:p>
        </w:tc>
        <w:tc>
          <w:tcPr>
            <w:tcW w:w="10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3DE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119</w:t>
            </w:r>
          </w:p>
        </w:tc>
      </w:tr>
      <w:tr w14:paraId="06074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912DF">
            <w:pPr>
              <w:jc w:val="center"/>
              <w:rPr>
                <w:rFonts w:hint="eastAsia" w:ascii="宋体" w:hAnsi="宋体" w:eastAsia="宋体" w:cs="宋体"/>
                <w:i w:val="0"/>
                <w:iCs w:val="0"/>
                <w:color w:val="000000"/>
                <w:sz w:val="24"/>
                <w:szCs w:val="24"/>
                <w:u w:val="none"/>
              </w:rPr>
            </w:pPr>
          </w:p>
        </w:tc>
        <w:tc>
          <w:tcPr>
            <w:tcW w:w="19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966EA">
            <w:pPr>
              <w:jc w:val="center"/>
              <w:rPr>
                <w:rFonts w:hint="eastAsia" w:ascii="宋体" w:hAnsi="宋体" w:eastAsia="宋体" w:cs="宋体"/>
                <w:i w:val="0"/>
                <w:iCs w:val="0"/>
                <w:color w:val="000000"/>
                <w:sz w:val="24"/>
                <w:szCs w:val="24"/>
                <w:u w:val="none"/>
              </w:rPr>
            </w:pPr>
          </w:p>
        </w:tc>
        <w:tc>
          <w:tcPr>
            <w:tcW w:w="699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DA98BC9">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2.一级节能</w:t>
            </w:r>
          </w:p>
        </w:tc>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2B413">
            <w:pPr>
              <w:jc w:val="center"/>
              <w:rPr>
                <w:rFonts w:hint="eastAsia" w:ascii="宋体" w:hAnsi="宋体" w:eastAsia="宋体" w:cs="宋体"/>
                <w:i w:val="0"/>
                <w:iCs w:val="0"/>
                <w:color w:val="000000"/>
                <w:sz w:val="24"/>
                <w:szCs w:val="24"/>
                <w:u w:val="none"/>
              </w:rPr>
            </w:pPr>
          </w:p>
        </w:tc>
      </w:tr>
      <w:tr w14:paraId="3E263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31A00">
            <w:pPr>
              <w:jc w:val="center"/>
              <w:rPr>
                <w:rFonts w:hint="eastAsia" w:ascii="宋体" w:hAnsi="宋体" w:eastAsia="宋体" w:cs="宋体"/>
                <w:i w:val="0"/>
                <w:iCs w:val="0"/>
                <w:color w:val="000000"/>
                <w:sz w:val="24"/>
                <w:szCs w:val="24"/>
                <w:u w:val="none"/>
              </w:rPr>
            </w:pPr>
          </w:p>
        </w:tc>
        <w:tc>
          <w:tcPr>
            <w:tcW w:w="19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AE30F">
            <w:pPr>
              <w:jc w:val="center"/>
              <w:rPr>
                <w:rFonts w:hint="eastAsia" w:ascii="宋体" w:hAnsi="宋体" w:eastAsia="宋体" w:cs="宋体"/>
                <w:i w:val="0"/>
                <w:iCs w:val="0"/>
                <w:color w:val="000000"/>
                <w:sz w:val="24"/>
                <w:szCs w:val="24"/>
                <w:u w:val="none"/>
              </w:rPr>
            </w:pPr>
          </w:p>
        </w:tc>
        <w:tc>
          <w:tcPr>
            <w:tcW w:w="699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FB94357">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3.效能比：≥4.7</w:t>
            </w:r>
          </w:p>
        </w:tc>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92BED">
            <w:pPr>
              <w:jc w:val="center"/>
              <w:rPr>
                <w:rFonts w:hint="eastAsia" w:ascii="宋体" w:hAnsi="宋体" w:eastAsia="宋体" w:cs="宋体"/>
                <w:i w:val="0"/>
                <w:iCs w:val="0"/>
                <w:color w:val="000000"/>
                <w:sz w:val="24"/>
                <w:szCs w:val="24"/>
                <w:u w:val="none"/>
              </w:rPr>
            </w:pPr>
          </w:p>
        </w:tc>
      </w:tr>
      <w:tr w14:paraId="5D3F8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88B65">
            <w:pPr>
              <w:jc w:val="center"/>
              <w:rPr>
                <w:rFonts w:hint="eastAsia" w:ascii="宋体" w:hAnsi="宋体" w:eastAsia="宋体" w:cs="宋体"/>
                <w:i w:val="0"/>
                <w:iCs w:val="0"/>
                <w:color w:val="000000"/>
                <w:sz w:val="24"/>
                <w:szCs w:val="24"/>
                <w:u w:val="none"/>
              </w:rPr>
            </w:pPr>
          </w:p>
        </w:tc>
        <w:tc>
          <w:tcPr>
            <w:tcW w:w="19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F8C0D">
            <w:pPr>
              <w:jc w:val="center"/>
              <w:rPr>
                <w:rFonts w:hint="eastAsia" w:ascii="宋体" w:hAnsi="宋体" w:eastAsia="宋体" w:cs="宋体"/>
                <w:i w:val="0"/>
                <w:iCs w:val="0"/>
                <w:color w:val="000000"/>
                <w:sz w:val="24"/>
                <w:szCs w:val="24"/>
                <w:u w:val="none"/>
              </w:rPr>
            </w:pPr>
          </w:p>
        </w:tc>
        <w:tc>
          <w:tcPr>
            <w:tcW w:w="699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099D19A">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4.额定制冷量（W)：≥7330</w:t>
            </w:r>
          </w:p>
        </w:tc>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C6CCF">
            <w:pPr>
              <w:jc w:val="center"/>
              <w:rPr>
                <w:rFonts w:hint="eastAsia" w:ascii="宋体" w:hAnsi="宋体" w:eastAsia="宋体" w:cs="宋体"/>
                <w:i w:val="0"/>
                <w:iCs w:val="0"/>
                <w:color w:val="000000"/>
                <w:sz w:val="24"/>
                <w:szCs w:val="24"/>
                <w:u w:val="none"/>
              </w:rPr>
            </w:pPr>
          </w:p>
        </w:tc>
      </w:tr>
      <w:tr w14:paraId="22EE5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FF727">
            <w:pPr>
              <w:jc w:val="center"/>
              <w:rPr>
                <w:rFonts w:hint="eastAsia" w:ascii="宋体" w:hAnsi="宋体" w:eastAsia="宋体" w:cs="宋体"/>
                <w:i w:val="0"/>
                <w:iCs w:val="0"/>
                <w:color w:val="000000"/>
                <w:sz w:val="24"/>
                <w:szCs w:val="24"/>
                <w:u w:val="none"/>
              </w:rPr>
            </w:pPr>
          </w:p>
        </w:tc>
        <w:tc>
          <w:tcPr>
            <w:tcW w:w="19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F0ACF">
            <w:pPr>
              <w:jc w:val="center"/>
              <w:rPr>
                <w:rFonts w:hint="eastAsia" w:ascii="宋体" w:hAnsi="宋体" w:eastAsia="宋体" w:cs="宋体"/>
                <w:i w:val="0"/>
                <w:iCs w:val="0"/>
                <w:color w:val="000000"/>
                <w:sz w:val="24"/>
                <w:szCs w:val="24"/>
                <w:u w:val="none"/>
              </w:rPr>
            </w:pPr>
          </w:p>
        </w:tc>
        <w:tc>
          <w:tcPr>
            <w:tcW w:w="699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AED9C8D">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5.额定制热量（W)：≥10000</w:t>
            </w:r>
          </w:p>
        </w:tc>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174D3">
            <w:pPr>
              <w:jc w:val="center"/>
              <w:rPr>
                <w:rFonts w:hint="eastAsia" w:ascii="宋体" w:hAnsi="宋体" w:eastAsia="宋体" w:cs="宋体"/>
                <w:i w:val="0"/>
                <w:iCs w:val="0"/>
                <w:color w:val="000000"/>
                <w:sz w:val="24"/>
                <w:szCs w:val="24"/>
                <w:u w:val="none"/>
              </w:rPr>
            </w:pPr>
          </w:p>
        </w:tc>
      </w:tr>
      <w:tr w14:paraId="05FA0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29B83">
            <w:pPr>
              <w:jc w:val="center"/>
              <w:rPr>
                <w:rFonts w:hint="eastAsia" w:ascii="宋体" w:hAnsi="宋体" w:eastAsia="宋体" w:cs="宋体"/>
                <w:i w:val="0"/>
                <w:iCs w:val="0"/>
                <w:color w:val="000000"/>
                <w:sz w:val="24"/>
                <w:szCs w:val="24"/>
                <w:u w:val="none"/>
              </w:rPr>
            </w:pPr>
          </w:p>
        </w:tc>
        <w:tc>
          <w:tcPr>
            <w:tcW w:w="19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3EB50">
            <w:pPr>
              <w:jc w:val="center"/>
              <w:rPr>
                <w:rFonts w:hint="eastAsia" w:ascii="宋体" w:hAnsi="宋体" w:eastAsia="宋体" w:cs="宋体"/>
                <w:i w:val="0"/>
                <w:iCs w:val="0"/>
                <w:color w:val="000000"/>
                <w:sz w:val="24"/>
                <w:szCs w:val="24"/>
                <w:u w:val="none"/>
              </w:rPr>
            </w:pPr>
          </w:p>
        </w:tc>
        <w:tc>
          <w:tcPr>
            <w:tcW w:w="699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BF2EF1E">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6.额定制冷输入功率（W)：≤1945</w:t>
            </w:r>
          </w:p>
        </w:tc>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3D023">
            <w:pPr>
              <w:jc w:val="center"/>
              <w:rPr>
                <w:rFonts w:hint="eastAsia" w:ascii="宋体" w:hAnsi="宋体" w:eastAsia="宋体" w:cs="宋体"/>
                <w:i w:val="0"/>
                <w:iCs w:val="0"/>
                <w:color w:val="000000"/>
                <w:sz w:val="24"/>
                <w:szCs w:val="24"/>
                <w:u w:val="none"/>
              </w:rPr>
            </w:pPr>
          </w:p>
        </w:tc>
      </w:tr>
      <w:tr w14:paraId="13009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EB298">
            <w:pPr>
              <w:jc w:val="center"/>
              <w:rPr>
                <w:rFonts w:hint="eastAsia" w:ascii="宋体" w:hAnsi="宋体" w:eastAsia="宋体" w:cs="宋体"/>
                <w:i w:val="0"/>
                <w:iCs w:val="0"/>
                <w:color w:val="000000"/>
                <w:sz w:val="24"/>
                <w:szCs w:val="24"/>
                <w:u w:val="none"/>
              </w:rPr>
            </w:pPr>
          </w:p>
        </w:tc>
        <w:tc>
          <w:tcPr>
            <w:tcW w:w="19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9A931">
            <w:pPr>
              <w:jc w:val="center"/>
              <w:rPr>
                <w:rFonts w:hint="eastAsia" w:ascii="宋体" w:hAnsi="宋体" w:eastAsia="宋体" w:cs="宋体"/>
                <w:i w:val="0"/>
                <w:iCs w:val="0"/>
                <w:color w:val="000000"/>
                <w:sz w:val="24"/>
                <w:szCs w:val="24"/>
                <w:u w:val="none"/>
              </w:rPr>
            </w:pPr>
          </w:p>
        </w:tc>
        <w:tc>
          <w:tcPr>
            <w:tcW w:w="699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3CD2820">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7.额定制热输入功率（W)：≤2850</w:t>
            </w:r>
          </w:p>
        </w:tc>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4133C">
            <w:pPr>
              <w:jc w:val="center"/>
              <w:rPr>
                <w:rFonts w:hint="eastAsia" w:ascii="宋体" w:hAnsi="宋体" w:eastAsia="宋体" w:cs="宋体"/>
                <w:i w:val="0"/>
                <w:iCs w:val="0"/>
                <w:color w:val="000000"/>
                <w:sz w:val="24"/>
                <w:szCs w:val="24"/>
                <w:u w:val="none"/>
              </w:rPr>
            </w:pPr>
          </w:p>
        </w:tc>
      </w:tr>
      <w:tr w14:paraId="5A4DA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1B88E">
            <w:pPr>
              <w:jc w:val="center"/>
              <w:rPr>
                <w:rFonts w:hint="eastAsia" w:ascii="宋体" w:hAnsi="宋体" w:eastAsia="宋体" w:cs="宋体"/>
                <w:i w:val="0"/>
                <w:iCs w:val="0"/>
                <w:color w:val="000000"/>
                <w:sz w:val="24"/>
                <w:szCs w:val="24"/>
                <w:u w:val="none"/>
              </w:rPr>
            </w:pPr>
          </w:p>
        </w:tc>
        <w:tc>
          <w:tcPr>
            <w:tcW w:w="19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1224F">
            <w:pPr>
              <w:jc w:val="center"/>
              <w:rPr>
                <w:rFonts w:hint="eastAsia" w:ascii="宋体" w:hAnsi="宋体" w:eastAsia="宋体" w:cs="宋体"/>
                <w:i w:val="0"/>
                <w:iCs w:val="0"/>
                <w:color w:val="000000"/>
                <w:sz w:val="24"/>
                <w:szCs w:val="24"/>
                <w:u w:val="none"/>
              </w:rPr>
            </w:pPr>
          </w:p>
        </w:tc>
        <w:tc>
          <w:tcPr>
            <w:tcW w:w="699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342EE64">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8.电辅热输入功率（W)：≤2400</w:t>
            </w:r>
          </w:p>
        </w:tc>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5B6AA">
            <w:pPr>
              <w:jc w:val="center"/>
              <w:rPr>
                <w:rFonts w:hint="eastAsia" w:ascii="宋体" w:hAnsi="宋体" w:eastAsia="宋体" w:cs="宋体"/>
                <w:i w:val="0"/>
                <w:iCs w:val="0"/>
                <w:color w:val="000000"/>
                <w:sz w:val="24"/>
                <w:szCs w:val="24"/>
                <w:u w:val="none"/>
              </w:rPr>
            </w:pPr>
          </w:p>
        </w:tc>
      </w:tr>
      <w:tr w14:paraId="134E5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6DEBB">
            <w:pPr>
              <w:jc w:val="center"/>
              <w:rPr>
                <w:rFonts w:hint="eastAsia" w:ascii="宋体" w:hAnsi="宋体" w:eastAsia="宋体" w:cs="宋体"/>
                <w:i w:val="0"/>
                <w:iCs w:val="0"/>
                <w:color w:val="000000"/>
                <w:sz w:val="24"/>
                <w:szCs w:val="24"/>
                <w:u w:val="none"/>
              </w:rPr>
            </w:pPr>
          </w:p>
        </w:tc>
        <w:tc>
          <w:tcPr>
            <w:tcW w:w="19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37B48">
            <w:pPr>
              <w:jc w:val="center"/>
              <w:rPr>
                <w:rFonts w:hint="eastAsia" w:ascii="宋体" w:hAnsi="宋体" w:eastAsia="宋体" w:cs="宋体"/>
                <w:i w:val="0"/>
                <w:iCs w:val="0"/>
                <w:color w:val="000000"/>
                <w:sz w:val="24"/>
                <w:szCs w:val="24"/>
                <w:u w:val="none"/>
              </w:rPr>
            </w:pPr>
          </w:p>
        </w:tc>
        <w:tc>
          <w:tcPr>
            <w:tcW w:w="699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1DE17A8">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9.室内噪音dB(A)(最高）：≤47</w:t>
            </w:r>
          </w:p>
        </w:tc>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D94AE">
            <w:pPr>
              <w:jc w:val="center"/>
              <w:rPr>
                <w:rFonts w:hint="eastAsia" w:ascii="宋体" w:hAnsi="宋体" w:eastAsia="宋体" w:cs="宋体"/>
                <w:i w:val="0"/>
                <w:iCs w:val="0"/>
                <w:color w:val="000000"/>
                <w:sz w:val="24"/>
                <w:szCs w:val="24"/>
                <w:u w:val="none"/>
              </w:rPr>
            </w:pPr>
          </w:p>
        </w:tc>
      </w:tr>
      <w:tr w14:paraId="2B4D0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6EC99">
            <w:pPr>
              <w:jc w:val="center"/>
              <w:rPr>
                <w:rFonts w:hint="eastAsia" w:ascii="宋体" w:hAnsi="宋体" w:eastAsia="宋体" w:cs="宋体"/>
                <w:i w:val="0"/>
                <w:iCs w:val="0"/>
                <w:color w:val="000000"/>
                <w:sz w:val="24"/>
                <w:szCs w:val="24"/>
                <w:u w:val="none"/>
              </w:rPr>
            </w:pPr>
          </w:p>
        </w:tc>
        <w:tc>
          <w:tcPr>
            <w:tcW w:w="19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E9DB1">
            <w:pPr>
              <w:jc w:val="center"/>
              <w:rPr>
                <w:rFonts w:hint="eastAsia" w:ascii="宋体" w:hAnsi="宋体" w:eastAsia="宋体" w:cs="宋体"/>
                <w:i w:val="0"/>
                <w:iCs w:val="0"/>
                <w:color w:val="000000"/>
                <w:sz w:val="24"/>
                <w:szCs w:val="24"/>
                <w:u w:val="none"/>
              </w:rPr>
            </w:pPr>
          </w:p>
        </w:tc>
        <w:tc>
          <w:tcPr>
            <w:tcW w:w="699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1201FBD">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10.室外噪音dB(A)(最高）：≤56</w:t>
            </w:r>
          </w:p>
        </w:tc>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9F55B">
            <w:pPr>
              <w:jc w:val="center"/>
              <w:rPr>
                <w:rFonts w:hint="eastAsia" w:ascii="宋体" w:hAnsi="宋体" w:eastAsia="宋体" w:cs="宋体"/>
                <w:i w:val="0"/>
                <w:iCs w:val="0"/>
                <w:color w:val="000000"/>
                <w:sz w:val="24"/>
                <w:szCs w:val="24"/>
                <w:u w:val="none"/>
              </w:rPr>
            </w:pPr>
          </w:p>
        </w:tc>
      </w:tr>
      <w:tr w14:paraId="20AAD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DAFE5">
            <w:pPr>
              <w:jc w:val="center"/>
              <w:rPr>
                <w:rFonts w:hint="eastAsia" w:ascii="宋体" w:hAnsi="宋体" w:eastAsia="宋体" w:cs="宋体"/>
                <w:i w:val="0"/>
                <w:iCs w:val="0"/>
                <w:color w:val="000000"/>
                <w:sz w:val="24"/>
                <w:szCs w:val="24"/>
                <w:u w:val="none"/>
              </w:rPr>
            </w:pPr>
          </w:p>
        </w:tc>
        <w:tc>
          <w:tcPr>
            <w:tcW w:w="19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DBE04">
            <w:pPr>
              <w:jc w:val="center"/>
              <w:rPr>
                <w:rFonts w:hint="eastAsia" w:ascii="宋体" w:hAnsi="宋体" w:eastAsia="宋体" w:cs="宋体"/>
                <w:i w:val="0"/>
                <w:iCs w:val="0"/>
                <w:color w:val="000000"/>
                <w:sz w:val="24"/>
                <w:szCs w:val="24"/>
                <w:u w:val="none"/>
              </w:rPr>
            </w:pPr>
          </w:p>
        </w:tc>
        <w:tc>
          <w:tcPr>
            <w:tcW w:w="699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BEE33A2">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11.循环风量（m3/h）：≥1550</w:t>
            </w:r>
          </w:p>
        </w:tc>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0641E">
            <w:pPr>
              <w:jc w:val="center"/>
              <w:rPr>
                <w:rFonts w:hint="eastAsia" w:ascii="宋体" w:hAnsi="宋体" w:eastAsia="宋体" w:cs="宋体"/>
                <w:i w:val="0"/>
                <w:iCs w:val="0"/>
                <w:color w:val="000000"/>
                <w:sz w:val="24"/>
                <w:szCs w:val="24"/>
                <w:u w:val="none"/>
              </w:rPr>
            </w:pPr>
          </w:p>
        </w:tc>
      </w:tr>
      <w:tr w14:paraId="16248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DEDC0">
            <w:pPr>
              <w:jc w:val="center"/>
              <w:rPr>
                <w:rFonts w:hint="eastAsia" w:ascii="宋体" w:hAnsi="宋体" w:eastAsia="宋体" w:cs="宋体"/>
                <w:i w:val="0"/>
                <w:iCs w:val="0"/>
                <w:color w:val="000000"/>
                <w:sz w:val="24"/>
                <w:szCs w:val="24"/>
                <w:u w:val="none"/>
              </w:rPr>
            </w:pPr>
          </w:p>
        </w:tc>
        <w:tc>
          <w:tcPr>
            <w:tcW w:w="19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6DBEB">
            <w:pPr>
              <w:jc w:val="center"/>
              <w:rPr>
                <w:rFonts w:hint="eastAsia" w:ascii="宋体" w:hAnsi="宋体" w:eastAsia="宋体" w:cs="宋体"/>
                <w:i w:val="0"/>
                <w:iCs w:val="0"/>
                <w:color w:val="000000"/>
                <w:sz w:val="24"/>
                <w:szCs w:val="24"/>
                <w:u w:val="none"/>
              </w:rPr>
            </w:pPr>
          </w:p>
        </w:tc>
        <w:tc>
          <w:tcPr>
            <w:tcW w:w="699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7D2DC03">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12.符合国家标准要求的室外机组支架</w:t>
            </w:r>
          </w:p>
        </w:tc>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03F01">
            <w:pPr>
              <w:jc w:val="center"/>
              <w:rPr>
                <w:rFonts w:hint="eastAsia" w:ascii="宋体" w:hAnsi="宋体" w:eastAsia="宋体" w:cs="宋体"/>
                <w:i w:val="0"/>
                <w:iCs w:val="0"/>
                <w:color w:val="000000"/>
                <w:sz w:val="24"/>
                <w:szCs w:val="24"/>
                <w:u w:val="none"/>
              </w:rPr>
            </w:pPr>
          </w:p>
        </w:tc>
      </w:tr>
      <w:tr w14:paraId="4A745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88D38">
            <w:pPr>
              <w:jc w:val="center"/>
              <w:rPr>
                <w:rFonts w:hint="eastAsia" w:ascii="宋体" w:hAnsi="宋体" w:eastAsia="宋体" w:cs="宋体"/>
                <w:i w:val="0"/>
                <w:iCs w:val="0"/>
                <w:color w:val="000000"/>
                <w:sz w:val="24"/>
                <w:szCs w:val="24"/>
                <w:u w:val="none"/>
              </w:rPr>
            </w:pPr>
          </w:p>
        </w:tc>
        <w:tc>
          <w:tcPr>
            <w:tcW w:w="19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F8F02">
            <w:pPr>
              <w:jc w:val="center"/>
              <w:rPr>
                <w:rFonts w:hint="eastAsia" w:ascii="宋体" w:hAnsi="宋体" w:eastAsia="宋体" w:cs="宋体"/>
                <w:i w:val="0"/>
                <w:iCs w:val="0"/>
                <w:color w:val="000000"/>
                <w:sz w:val="24"/>
                <w:szCs w:val="24"/>
                <w:u w:val="none"/>
              </w:rPr>
            </w:pPr>
          </w:p>
        </w:tc>
        <w:tc>
          <w:tcPr>
            <w:tcW w:w="699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E3955D4">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13.包含辅材（加长管、支架、断路器、打孔安装等全部费用）</w:t>
            </w:r>
          </w:p>
        </w:tc>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817B5">
            <w:pPr>
              <w:jc w:val="center"/>
              <w:rPr>
                <w:rFonts w:hint="eastAsia" w:ascii="宋体" w:hAnsi="宋体" w:eastAsia="宋体" w:cs="宋体"/>
                <w:i w:val="0"/>
                <w:iCs w:val="0"/>
                <w:color w:val="000000"/>
                <w:sz w:val="24"/>
                <w:szCs w:val="24"/>
                <w:u w:val="none"/>
              </w:rPr>
            </w:pPr>
          </w:p>
        </w:tc>
      </w:tr>
      <w:tr w14:paraId="1B7B3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463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96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590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教室空调线路改造</w:t>
            </w:r>
          </w:p>
        </w:tc>
        <w:tc>
          <w:tcPr>
            <w:tcW w:w="699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87C42A2">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总配电箱3个（设置在每栋教学楼西楼梯间，里面各配置一个总空开）每楼层设置一个楼层分配电箱</w:t>
            </w:r>
          </w:p>
        </w:tc>
        <w:tc>
          <w:tcPr>
            <w:tcW w:w="10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9EB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7F84F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D6DF8">
            <w:pPr>
              <w:jc w:val="center"/>
              <w:rPr>
                <w:rFonts w:hint="eastAsia" w:ascii="宋体" w:hAnsi="宋体" w:eastAsia="宋体" w:cs="宋体"/>
                <w:i w:val="0"/>
                <w:iCs w:val="0"/>
                <w:color w:val="000000"/>
                <w:sz w:val="24"/>
                <w:szCs w:val="24"/>
                <w:u w:val="none"/>
              </w:rPr>
            </w:pPr>
          </w:p>
        </w:tc>
        <w:tc>
          <w:tcPr>
            <w:tcW w:w="19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86E7B">
            <w:pPr>
              <w:jc w:val="center"/>
              <w:rPr>
                <w:rFonts w:hint="eastAsia" w:ascii="宋体" w:hAnsi="宋体" w:eastAsia="宋体" w:cs="宋体"/>
                <w:i w:val="0"/>
                <w:iCs w:val="0"/>
                <w:color w:val="000000"/>
                <w:sz w:val="24"/>
                <w:szCs w:val="24"/>
                <w:u w:val="none"/>
              </w:rPr>
            </w:pPr>
          </w:p>
        </w:tc>
        <w:tc>
          <w:tcPr>
            <w:tcW w:w="699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FAB8123">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4*120平方毫米国标铜电缆三根，总长510米</w:t>
            </w:r>
          </w:p>
        </w:tc>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24C8C">
            <w:pPr>
              <w:jc w:val="center"/>
              <w:rPr>
                <w:rFonts w:hint="eastAsia" w:ascii="宋体" w:hAnsi="宋体" w:eastAsia="宋体" w:cs="宋体"/>
                <w:i w:val="0"/>
                <w:iCs w:val="0"/>
                <w:color w:val="000000"/>
                <w:sz w:val="24"/>
                <w:szCs w:val="24"/>
                <w:u w:val="none"/>
              </w:rPr>
            </w:pPr>
          </w:p>
        </w:tc>
      </w:tr>
      <w:tr w14:paraId="7BB21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34C52">
            <w:pPr>
              <w:jc w:val="center"/>
              <w:rPr>
                <w:rFonts w:hint="eastAsia" w:ascii="宋体" w:hAnsi="宋体" w:eastAsia="宋体" w:cs="宋体"/>
                <w:i w:val="0"/>
                <w:iCs w:val="0"/>
                <w:color w:val="000000"/>
                <w:sz w:val="24"/>
                <w:szCs w:val="24"/>
                <w:u w:val="none"/>
              </w:rPr>
            </w:pPr>
          </w:p>
        </w:tc>
        <w:tc>
          <w:tcPr>
            <w:tcW w:w="19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62B3A">
            <w:pPr>
              <w:jc w:val="center"/>
              <w:rPr>
                <w:rFonts w:hint="eastAsia" w:ascii="宋体" w:hAnsi="宋体" w:eastAsia="宋体" w:cs="宋体"/>
                <w:i w:val="0"/>
                <w:iCs w:val="0"/>
                <w:color w:val="000000"/>
                <w:sz w:val="24"/>
                <w:szCs w:val="24"/>
                <w:u w:val="none"/>
              </w:rPr>
            </w:pPr>
          </w:p>
        </w:tc>
        <w:tc>
          <w:tcPr>
            <w:tcW w:w="699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E16DCCC">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每间教室安装1个空调断路器及盒子，共计119个</w:t>
            </w:r>
          </w:p>
        </w:tc>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442C2">
            <w:pPr>
              <w:jc w:val="center"/>
              <w:rPr>
                <w:rFonts w:hint="eastAsia" w:ascii="宋体" w:hAnsi="宋体" w:eastAsia="宋体" w:cs="宋体"/>
                <w:i w:val="0"/>
                <w:iCs w:val="0"/>
                <w:color w:val="000000"/>
                <w:sz w:val="24"/>
                <w:szCs w:val="24"/>
                <w:u w:val="none"/>
              </w:rPr>
            </w:pPr>
          </w:p>
        </w:tc>
      </w:tr>
      <w:tr w14:paraId="7C32B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62292">
            <w:pPr>
              <w:jc w:val="center"/>
              <w:rPr>
                <w:rFonts w:hint="eastAsia" w:ascii="宋体" w:hAnsi="宋体" w:eastAsia="宋体" w:cs="宋体"/>
                <w:i w:val="0"/>
                <w:iCs w:val="0"/>
                <w:color w:val="000000"/>
                <w:sz w:val="24"/>
                <w:szCs w:val="24"/>
                <w:u w:val="none"/>
              </w:rPr>
            </w:pPr>
          </w:p>
        </w:tc>
        <w:tc>
          <w:tcPr>
            <w:tcW w:w="19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1A57A">
            <w:pPr>
              <w:jc w:val="center"/>
              <w:rPr>
                <w:rFonts w:hint="eastAsia" w:ascii="宋体" w:hAnsi="宋体" w:eastAsia="宋体" w:cs="宋体"/>
                <w:i w:val="0"/>
                <w:iCs w:val="0"/>
                <w:color w:val="000000"/>
                <w:sz w:val="24"/>
                <w:szCs w:val="24"/>
                <w:u w:val="none"/>
              </w:rPr>
            </w:pPr>
          </w:p>
        </w:tc>
        <w:tc>
          <w:tcPr>
            <w:tcW w:w="699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124B714">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桥架安装1350米型号：镀锌150*100*1.2；72米型号：镀锌200*100</w:t>
            </w:r>
          </w:p>
        </w:tc>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B0FAB">
            <w:pPr>
              <w:jc w:val="center"/>
              <w:rPr>
                <w:rFonts w:hint="eastAsia" w:ascii="宋体" w:hAnsi="宋体" w:eastAsia="宋体" w:cs="宋体"/>
                <w:i w:val="0"/>
                <w:iCs w:val="0"/>
                <w:color w:val="000000"/>
                <w:sz w:val="24"/>
                <w:szCs w:val="24"/>
                <w:u w:val="none"/>
              </w:rPr>
            </w:pPr>
          </w:p>
        </w:tc>
      </w:tr>
      <w:tr w14:paraId="203F4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6B4D6">
            <w:pPr>
              <w:jc w:val="center"/>
              <w:rPr>
                <w:rFonts w:hint="eastAsia" w:ascii="宋体" w:hAnsi="宋体" w:eastAsia="宋体" w:cs="宋体"/>
                <w:i w:val="0"/>
                <w:iCs w:val="0"/>
                <w:color w:val="000000"/>
                <w:sz w:val="24"/>
                <w:szCs w:val="24"/>
                <w:u w:val="none"/>
              </w:rPr>
            </w:pPr>
          </w:p>
        </w:tc>
        <w:tc>
          <w:tcPr>
            <w:tcW w:w="19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E5645">
            <w:pPr>
              <w:jc w:val="center"/>
              <w:rPr>
                <w:rFonts w:hint="eastAsia" w:ascii="宋体" w:hAnsi="宋体" w:eastAsia="宋体" w:cs="宋体"/>
                <w:i w:val="0"/>
                <w:iCs w:val="0"/>
                <w:color w:val="000000"/>
                <w:sz w:val="24"/>
                <w:szCs w:val="24"/>
                <w:u w:val="none"/>
              </w:rPr>
            </w:pPr>
          </w:p>
        </w:tc>
        <w:tc>
          <w:tcPr>
            <w:tcW w:w="699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491A66A">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就近热镀锌扁铁接地线400*4mm+2500*50*5mm</w:t>
            </w:r>
          </w:p>
        </w:tc>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4C063">
            <w:pPr>
              <w:jc w:val="center"/>
              <w:rPr>
                <w:rFonts w:hint="eastAsia" w:ascii="宋体" w:hAnsi="宋体" w:eastAsia="宋体" w:cs="宋体"/>
                <w:i w:val="0"/>
                <w:iCs w:val="0"/>
                <w:color w:val="000000"/>
                <w:sz w:val="24"/>
                <w:szCs w:val="24"/>
                <w:u w:val="none"/>
              </w:rPr>
            </w:pPr>
          </w:p>
        </w:tc>
      </w:tr>
      <w:tr w14:paraId="7A2AD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E797F">
            <w:pPr>
              <w:jc w:val="center"/>
              <w:rPr>
                <w:rFonts w:hint="eastAsia" w:ascii="宋体" w:hAnsi="宋体" w:eastAsia="宋体" w:cs="宋体"/>
                <w:i w:val="0"/>
                <w:iCs w:val="0"/>
                <w:color w:val="000000"/>
                <w:sz w:val="24"/>
                <w:szCs w:val="24"/>
                <w:u w:val="none"/>
              </w:rPr>
            </w:pPr>
          </w:p>
        </w:tc>
        <w:tc>
          <w:tcPr>
            <w:tcW w:w="19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E1F08">
            <w:pPr>
              <w:jc w:val="center"/>
              <w:rPr>
                <w:rFonts w:hint="eastAsia" w:ascii="宋体" w:hAnsi="宋体" w:eastAsia="宋体" w:cs="宋体"/>
                <w:i w:val="0"/>
                <w:iCs w:val="0"/>
                <w:color w:val="000000"/>
                <w:sz w:val="24"/>
                <w:szCs w:val="24"/>
                <w:u w:val="none"/>
              </w:rPr>
            </w:pPr>
          </w:p>
        </w:tc>
        <w:tc>
          <w:tcPr>
            <w:tcW w:w="699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E4AC838">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挖沟、混凝土回填、线缆穿管98米</w:t>
            </w:r>
          </w:p>
        </w:tc>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F6A28">
            <w:pPr>
              <w:jc w:val="center"/>
              <w:rPr>
                <w:rFonts w:hint="eastAsia" w:ascii="宋体" w:hAnsi="宋体" w:eastAsia="宋体" w:cs="宋体"/>
                <w:i w:val="0"/>
                <w:iCs w:val="0"/>
                <w:color w:val="000000"/>
                <w:sz w:val="24"/>
                <w:szCs w:val="24"/>
                <w:u w:val="none"/>
              </w:rPr>
            </w:pPr>
          </w:p>
        </w:tc>
      </w:tr>
      <w:tr w14:paraId="0981E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B8E42">
            <w:pPr>
              <w:jc w:val="center"/>
              <w:rPr>
                <w:rFonts w:hint="eastAsia" w:ascii="宋体" w:hAnsi="宋体" w:eastAsia="宋体" w:cs="宋体"/>
                <w:i w:val="0"/>
                <w:iCs w:val="0"/>
                <w:color w:val="000000"/>
                <w:sz w:val="24"/>
                <w:szCs w:val="24"/>
                <w:u w:val="none"/>
              </w:rPr>
            </w:pPr>
          </w:p>
        </w:tc>
        <w:tc>
          <w:tcPr>
            <w:tcW w:w="19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E4194">
            <w:pPr>
              <w:jc w:val="center"/>
              <w:rPr>
                <w:rFonts w:hint="eastAsia" w:ascii="宋体" w:hAnsi="宋体" w:eastAsia="宋体" w:cs="宋体"/>
                <w:i w:val="0"/>
                <w:iCs w:val="0"/>
                <w:color w:val="000000"/>
                <w:sz w:val="24"/>
                <w:szCs w:val="24"/>
                <w:u w:val="none"/>
              </w:rPr>
            </w:pPr>
          </w:p>
        </w:tc>
        <w:tc>
          <w:tcPr>
            <w:tcW w:w="699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002DC90">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4平方国标铜线14000米，4*35+1*16平方国标铜线210米</w:t>
            </w:r>
          </w:p>
        </w:tc>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DEE09">
            <w:pPr>
              <w:jc w:val="center"/>
              <w:rPr>
                <w:rFonts w:hint="eastAsia" w:ascii="宋体" w:hAnsi="宋体" w:eastAsia="宋体" w:cs="宋体"/>
                <w:i w:val="0"/>
                <w:iCs w:val="0"/>
                <w:color w:val="000000"/>
                <w:sz w:val="24"/>
                <w:szCs w:val="24"/>
                <w:u w:val="none"/>
              </w:rPr>
            </w:pPr>
          </w:p>
        </w:tc>
      </w:tr>
      <w:tr w14:paraId="449FA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1740B">
            <w:pPr>
              <w:jc w:val="center"/>
              <w:rPr>
                <w:rFonts w:hint="eastAsia" w:ascii="宋体" w:hAnsi="宋体" w:eastAsia="宋体" w:cs="宋体"/>
                <w:i w:val="0"/>
                <w:iCs w:val="0"/>
                <w:color w:val="000000"/>
                <w:sz w:val="24"/>
                <w:szCs w:val="24"/>
                <w:u w:val="none"/>
              </w:rPr>
            </w:pPr>
          </w:p>
        </w:tc>
        <w:tc>
          <w:tcPr>
            <w:tcW w:w="19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56EF6">
            <w:pPr>
              <w:jc w:val="center"/>
              <w:rPr>
                <w:rFonts w:hint="eastAsia" w:ascii="宋体" w:hAnsi="宋体" w:eastAsia="宋体" w:cs="宋体"/>
                <w:i w:val="0"/>
                <w:iCs w:val="0"/>
                <w:color w:val="000000"/>
                <w:sz w:val="24"/>
                <w:szCs w:val="24"/>
                <w:u w:val="none"/>
              </w:rPr>
            </w:pPr>
          </w:p>
        </w:tc>
        <w:tc>
          <w:tcPr>
            <w:tcW w:w="699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F418911">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注明：包含钢绞线、线卡、五金件、打孔、人工、材料费、卸车费、二次搬运、保险、税金等与工程相关联的一切费用</w:t>
            </w:r>
          </w:p>
        </w:tc>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104F8">
            <w:pPr>
              <w:jc w:val="center"/>
              <w:rPr>
                <w:rFonts w:hint="eastAsia" w:ascii="宋体" w:hAnsi="宋体" w:eastAsia="宋体" w:cs="宋体"/>
                <w:i w:val="0"/>
                <w:iCs w:val="0"/>
                <w:color w:val="000000"/>
                <w:sz w:val="24"/>
                <w:szCs w:val="24"/>
                <w:u w:val="none"/>
              </w:rPr>
            </w:pPr>
          </w:p>
        </w:tc>
      </w:tr>
    </w:tbl>
    <w:p w14:paraId="10B60714">
      <w:pPr>
        <w:pStyle w:val="6"/>
        <w:jc w:val="center"/>
        <w:rPr>
          <w:rFonts w:hint="eastAsia" w:ascii="宋体" w:hAnsi="宋体" w:eastAsia="宋体" w:cs="宋体"/>
          <w:sz w:val="24"/>
          <w:szCs w:val="24"/>
          <w:lang w:eastAsia="zh-CN"/>
        </w:rPr>
      </w:pPr>
    </w:p>
    <w:p w14:paraId="662DD113">
      <w:pPr>
        <w:pStyle w:val="6"/>
        <w:jc w:val="center"/>
        <w:rPr>
          <w:rFonts w:hint="eastAsia" w:ascii="宋体" w:hAnsi="宋体" w:eastAsia="宋体" w:cs="宋体"/>
          <w:sz w:val="24"/>
          <w:szCs w:val="24"/>
          <w:lang w:eastAsia="zh-CN"/>
        </w:rPr>
      </w:pPr>
    </w:p>
    <w:p w14:paraId="1348FACB">
      <w:pPr>
        <w:pStyle w:val="6"/>
        <w:jc w:val="center"/>
        <w:rPr>
          <w:rFonts w:hint="eastAsia" w:ascii="宋体" w:hAnsi="宋体" w:eastAsia="宋体" w:cs="宋体"/>
          <w:sz w:val="24"/>
          <w:szCs w:val="24"/>
          <w:lang w:eastAsia="zh-CN"/>
        </w:rPr>
      </w:pPr>
    </w:p>
    <w:p w14:paraId="4E65E6D3">
      <w:pPr>
        <w:pStyle w:val="6"/>
        <w:jc w:val="center"/>
        <w:rPr>
          <w:rFonts w:hint="eastAsia" w:ascii="宋体" w:hAnsi="宋体" w:eastAsia="宋体" w:cs="宋体"/>
          <w:sz w:val="24"/>
          <w:szCs w:val="24"/>
          <w:lang w:eastAsia="zh-CN"/>
        </w:rPr>
      </w:pPr>
    </w:p>
    <w:p w14:paraId="70E08AC2">
      <w:pPr>
        <w:pStyle w:val="6"/>
        <w:jc w:val="center"/>
        <w:rPr>
          <w:rFonts w:hint="eastAsia" w:ascii="宋体" w:hAnsi="宋体" w:eastAsia="宋体" w:cs="宋体"/>
          <w:sz w:val="24"/>
          <w:szCs w:val="24"/>
          <w:lang w:eastAsia="zh-CN"/>
        </w:rPr>
      </w:pPr>
    </w:p>
    <w:p w14:paraId="01EC0E3E">
      <w:pPr>
        <w:pStyle w:val="6"/>
        <w:jc w:val="center"/>
        <w:rPr>
          <w:rFonts w:hint="eastAsia" w:ascii="宋体" w:hAnsi="宋体" w:eastAsia="宋体" w:cs="宋体"/>
          <w:sz w:val="24"/>
          <w:szCs w:val="24"/>
          <w:lang w:eastAsia="zh-CN"/>
        </w:rPr>
      </w:pPr>
    </w:p>
    <w:p w14:paraId="541AF9B4">
      <w:pPr>
        <w:pStyle w:val="6"/>
        <w:jc w:val="center"/>
        <w:rPr>
          <w:rFonts w:hint="eastAsia" w:ascii="宋体" w:hAnsi="宋体" w:eastAsia="宋体" w:cs="宋体"/>
          <w:sz w:val="24"/>
          <w:szCs w:val="24"/>
          <w:lang w:eastAsia="zh-CN"/>
        </w:rPr>
      </w:pPr>
    </w:p>
    <w:p w14:paraId="5FC838DE">
      <w:pPr>
        <w:pStyle w:val="6"/>
        <w:jc w:val="center"/>
        <w:rPr>
          <w:rFonts w:hint="eastAsia" w:ascii="宋体" w:hAnsi="宋体" w:eastAsia="宋体" w:cs="宋体"/>
          <w:sz w:val="24"/>
          <w:szCs w:val="24"/>
          <w:lang w:eastAsia="zh-CN"/>
        </w:rPr>
      </w:pPr>
    </w:p>
    <w:p w14:paraId="2AED4894">
      <w:pPr>
        <w:pStyle w:val="8"/>
        <w:rPr>
          <w:rFonts w:hint="eastAsia" w:ascii="宋体" w:hAnsi="宋体" w:eastAsia="宋体" w:cs="宋体"/>
          <w:sz w:val="24"/>
          <w:szCs w:val="24"/>
          <w:lang w:eastAsia="zh-CN"/>
        </w:rPr>
      </w:pPr>
    </w:p>
    <w:p w14:paraId="38791E10">
      <w:pPr>
        <w:pStyle w:val="2"/>
        <w:rPr>
          <w:rFonts w:hint="eastAsia" w:ascii="宋体" w:hAnsi="宋体" w:eastAsia="宋体" w:cs="宋体"/>
          <w:sz w:val="24"/>
          <w:szCs w:val="24"/>
          <w:lang w:eastAsia="zh-CN"/>
        </w:rPr>
      </w:pPr>
    </w:p>
    <w:p w14:paraId="7B47FBA3">
      <w:pPr>
        <w:pStyle w:val="2"/>
        <w:rPr>
          <w:rFonts w:hint="eastAsia" w:ascii="宋体" w:hAnsi="宋体" w:eastAsia="宋体" w:cs="宋体"/>
          <w:sz w:val="24"/>
          <w:szCs w:val="24"/>
          <w:lang w:eastAsia="zh-CN"/>
        </w:rPr>
      </w:pPr>
    </w:p>
    <w:p w14:paraId="31D48164">
      <w:pPr>
        <w:pStyle w:val="2"/>
        <w:rPr>
          <w:rFonts w:hint="eastAsia" w:ascii="宋体" w:hAnsi="宋体" w:eastAsia="宋体" w:cs="宋体"/>
          <w:sz w:val="24"/>
          <w:szCs w:val="24"/>
          <w:lang w:eastAsia="zh-CN"/>
        </w:rPr>
      </w:pPr>
    </w:p>
    <w:p w14:paraId="0081586D">
      <w:pPr>
        <w:pStyle w:val="2"/>
        <w:rPr>
          <w:rFonts w:hint="eastAsia" w:ascii="宋体" w:hAnsi="宋体" w:eastAsia="宋体" w:cs="宋体"/>
          <w:sz w:val="24"/>
          <w:szCs w:val="24"/>
          <w:lang w:eastAsia="zh-CN"/>
        </w:rPr>
      </w:pPr>
    </w:p>
    <w:p w14:paraId="2B66290D">
      <w:pPr>
        <w:pStyle w:val="2"/>
        <w:rPr>
          <w:rFonts w:hint="eastAsia" w:ascii="宋体" w:hAnsi="宋体" w:eastAsia="宋体" w:cs="宋体"/>
          <w:sz w:val="24"/>
          <w:szCs w:val="24"/>
          <w:lang w:eastAsia="zh-CN"/>
        </w:rPr>
      </w:pPr>
    </w:p>
    <w:p w14:paraId="5C772B93">
      <w:pPr>
        <w:pStyle w:val="2"/>
        <w:rPr>
          <w:rFonts w:hint="eastAsia" w:ascii="宋体" w:hAnsi="宋体" w:eastAsia="宋体" w:cs="宋体"/>
          <w:sz w:val="24"/>
          <w:szCs w:val="24"/>
          <w:lang w:eastAsia="zh-CN"/>
        </w:rPr>
      </w:pPr>
    </w:p>
    <w:p w14:paraId="5F501553">
      <w:pPr>
        <w:pStyle w:val="2"/>
        <w:rPr>
          <w:rFonts w:hint="eastAsia" w:ascii="宋体" w:hAnsi="宋体" w:eastAsia="宋体" w:cs="宋体"/>
          <w:sz w:val="24"/>
          <w:szCs w:val="24"/>
          <w:lang w:eastAsia="zh-CN"/>
        </w:rPr>
      </w:pPr>
    </w:p>
    <w:p w14:paraId="197CC16B">
      <w:pPr>
        <w:pStyle w:val="2"/>
        <w:rPr>
          <w:rFonts w:hint="eastAsia" w:ascii="宋体" w:hAnsi="宋体" w:eastAsia="宋体" w:cs="宋体"/>
          <w:sz w:val="24"/>
          <w:szCs w:val="24"/>
          <w:lang w:eastAsia="zh-CN"/>
        </w:rPr>
      </w:pPr>
    </w:p>
    <w:p w14:paraId="231B096A">
      <w:pPr>
        <w:pStyle w:val="2"/>
        <w:rPr>
          <w:rFonts w:hint="eastAsia" w:ascii="宋体" w:hAnsi="宋体" w:eastAsia="宋体" w:cs="宋体"/>
          <w:sz w:val="24"/>
          <w:szCs w:val="24"/>
          <w:lang w:eastAsia="zh-CN"/>
        </w:rPr>
      </w:pPr>
    </w:p>
    <w:p w14:paraId="49EE19A9">
      <w:pPr>
        <w:pStyle w:val="6"/>
        <w:jc w:val="center"/>
        <w:rPr>
          <w:rFonts w:hint="eastAsia" w:ascii="宋体" w:hAnsi="宋体" w:eastAsia="宋体" w:cs="宋体"/>
          <w:sz w:val="24"/>
          <w:szCs w:val="24"/>
          <w:lang w:eastAsia="zh-CN"/>
        </w:rPr>
      </w:pPr>
    </w:p>
    <w:p w14:paraId="2F5B9138">
      <w:pPr>
        <w:pStyle w:val="6"/>
        <w:jc w:val="center"/>
        <w:rPr>
          <w:rFonts w:hint="eastAsia" w:ascii="宋体" w:hAnsi="宋体" w:eastAsia="宋体" w:cs="宋体"/>
          <w:sz w:val="24"/>
          <w:szCs w:val="24"/>
          <w:lang w:eastAsia="zh-CN"/>
        </w:rPr>
      </w:pPr>
    </w:p>
    <w:p w14:paraId="0592073D">
      <w:pPr>
        <w:pStyle w:val="6"/>
        <w:jc w:val="center"/>
        <w:rPr>
          <w:rFonts w:hint="eastAsia" w:ascii="宋体" w:hAnsi="宋体" w:eastAsia="宋体" w:cs="宋体"/>
          <w:sz w:val="24"/>
          <w:szCs w:val="24"/>
          <w:lang w:eastAsia="zh-CN"/>
        </w:rPr>
      </w:pPr>
    </w:p>
    <w:p w14:paraId="3F3898C6">
      <w:pPr>
        <w:pStyle w:val="6"/>
        <w:jc w:val="center"/>
        <w:rPr>
          <w:rFonts w:hint="eastAsia" w:ascii="宋体" w:hAnsi="宋体" w:eastAsia="宋体" w:cs="宋体"/>
          <w:sz w:val="24"/>
          <w:szCs w:val="24"/>
          <w:lang w:eastAsia="zh-CN"/>
        </w:rPr>
      </w:pPr>
    </w:p>
    <w:p w14:paraId="352B3BAB">
      <w:pPr>
        <w:pStyle w:val="8"/>
        <w:rPr>
          <w:rFonts w:hint="eastAsia"/>
          <w:lang w:eastAsia="zh-CN"/>
        </w:rPr>
      </w:pPr>
    </w:p>
    <w:p w14:paraId="7492DCEE">
      <w:pPr>
        <w:pStyle w:val="6"/>
        <w:jc w:val="center"/>
        <w:rPr>
          <w:rFonts w:hint="eastAsia" w:ascii="宋体" w:hAnsi="宋体" w:eastAsia="宋体" w:cs="宋体"/>
          <w:sz w:val="32"/>
          <w:szCs w:val="32"/>
          <w:lang w:eastAsia="zh-CN"/>
        </w:rPr>
      </w:pPr>
      <w:r>
        <w:rPr>
          <w:rFonts w:hint="eastAsia" w:ascii="宋体" w:hAnsi="宋体" w:eastAsia="宋体" w:cs="宋体"/>
          <w:sz w:val="32"/>
          <w:szCs w:val="32"/>
          <w:lang w:eastAsia="zh-CN"/>
        </w:rPr>
        <w:t>二标段</w:t>
      </w:r>
    </w:p>
    <w:tbl>
      <w:tblPr>
        <w:tblStyle w:val="4"/>
        <w:tblW w:w="1112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0"/>
        <w:gridCol w:w="699"/>
        <w:gridCol w:w="1105"/>
        <w:gridCol w:w="7180"/>
        <w:gridCol w:w="743"/>
        <w:gridCol w:w="671"/>
      </w:tblGrid>
      <w:tr w14:paraId="19E24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73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66DA46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699" w:type="dxa"/>
            <w:tcBorders>
              <w:top w:val="single" w:color="000000" w:sz="8" w:space="0"/>
              <w:left w:val="nil"/>
              <w:bottom w:val="single" w:color="000000" w:sz="8" w:space="0"/>
              <w:right w:val="single" w:color="000000" w:sz="8" w:space="0"/>
            </w:tcBorders>
            <w:shd w:val="clear" w:color="auto" w:fill="auto"/>
            <w:vAlign w:val="center"/>
          </w:tcPr>
          <w:p w14:paraId="1F0501F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要求</w:t>
            </w:r>
          </w:p>
        </w:tc>
        <w:tc>
          <w:tcPr>
            <w:tcW w:w="1105" w:type="dxa"/>
            <w:tcBorders>
              <w:top w:val="single" w:color="000000" w:sz="8" w:space="0"/>
              <w:left w:val="nil"/>
              <w:bottom w:val="single" w:color="000000" w:sz="8" w:space="0"/>
              <w:right w:val="single" w:color="000000" w:sz="8" w:space="0"/>
            </w:tcBorders>
            <w:shd w:val="clear" w:color="auto" w:fill="auto"/>
            <w:vAlign w:val="center"/>
          </w:tcPr>
          <w:p w14:paraId="329D4DE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分项名称</w:t>
            </w:r>
          </w:p>
        </w:tc>
        <w:tc>
          <w:tcPr>
            <w:tcW w:w="7180" w:type="dxa"/>
            <w:tcBorders>
              <w:top w:val="single" w:color="000000" w:sz="8" w:space="0"/>
              <w:left w:val="nil"/>
              <w:bottom w:val="single" w:color="000000" w:sz="8" w:space="0"/>
              <w:right w:val="single" w:color="000000" w:sz="8" w:space="0"/>
            </w:tcBorders>
            <w:shd w:val="clear" w:color="auto" w:fill="auto"/>
            <w:vAlign w:val="center"/>
          </w:tcPr>
          <w:p w14:paraId="4E2BD27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配置参数</w:t>
            </w:r>
          </w:p>
        </w:tc>
        <w:tc>
          <w:tcPr>
            <w:tcW w:w="743" w:type="dxa"/>
            <w:tcBorders>
              <w:top w:val="single" w:color="000000" w:sz="8" w:space="0"/>
              <w:left w:val="nil"/>
              <w:bottom w:val="single" w:color="000000" w:sz="8" w:space="0"/>
              <w:right w:val="single" w:color="000000" w:sz="8" w:space="0"/>
            </w:tcBorders>
            <w:shd w:val="clear" w:color="auto" w:fill="auto"/>
            <w:vAlign w:val="center"/>
          </w:tcPr>
          <w:p w14:paraId="1CC6C8E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671" w:type="dxa"/>
            <w:tcBorders>
              <w:top w:val="single" w:color="000000" w:sz="8" w:space="0"/>
              <w:left w:val="nil"/>
              <w:bottom w:val="single" w:color="000000" w:sz="8" w:space="0"/>
              <w:right w:val="single" w:color="000000" w:sz="8" w:space="0"/>
            </w:tcBorders>
            <w:shd w:val="clear" w:color="auto" w:fill="auto"/>
            <w:vAlign w:val="center"/>
          </w:tcPr>
          <w:p w14:paraId="71B2D1E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r>
      <w:tr w14:paraId="3A16D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restart"/>
            <w:tcBorders>
              <w:top w:val="nil"/>
              <w:left w:val="single" w:color="000000" w:sz="8" w:space="0"/>
              <w:bottom w:val="single" w:color="000000" w:sz="8" w:space="0"/>
              <w:right w:val="single" w:color="000000" w:sz="8" w:space="0"/>
            </w:tcBorders>
            <w:shd w:val="clear" w:color="auto" w:fill="auto"/>
            <w:vAlign w:val="center"/>
          </w:tcPr>
          <w:p w14:paraId="04303D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699" w:type="dxa"/>
            <w:vMerge w:val="restart"/>
            <w:tcBorders>
              <w:top w:val="nil"/>
              <w:left w:val="single" w:color="000000" w:sz="8" w:space="0"/>
              <w:bottom w:val="single" w:color="000000" w:sz="8" w:space="0"/>
              <w:right w:val="single" w:color="000000" w:sz="8" w:space="0"/>
            </w:tcBorders>
            <w:shd w:val="clear" w:color="auto" w:fill="auto"/>
            <w:vAlign w:val="center"/>
          </w:tcPr>
          <w:p w14:paraId="74C95DA3">
            <w:pPr>
              <w:keepNext w:val="0"/>
              <w:keepLines w:val="0"/>
              <w:widowControl/>
              <w:suppressLineNumbers w:val="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auto"/>
                <w:kern w:val="0"/>
                <w:sz w:val="24"/>
                <w:szCs w:val="24"/>
                <w:u w:val="none"/>
                <w:lang w:val="en-US" w:eastAsia="zh-CN" w:bidi="ar"/>
              </w:rPr>
              <w:t>非组装机</w:t>
            </w:r>
          </w:p>
        </w:tc>
        <w:tc>
          <w:tcPr>
            <w:tcW w:w="1105" w:type="dxa"/>
            <w:vMerge w:val="restart"/>
            <w:tcBorders>
              <w:top w:val="nil"/>
              <w:left w:val="single" w:color="000000" w:sz="8" w:space="0"/>
              <w:bottom w:val="single" w:color="000000" w:sz="8" w:space="0"/>
              <w:right w:val="single" w:color="000000" w:sz="8" w:space="0"/>
            </w:tcBorders>
            <w:shd w:val="clear" w:color="auto" w:fill="auto"/>
            <w:vAlign w:val="center"/>
          </w:tcPr>
          <w:p w14:paraId="4B2E65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学生机</w:t>
            </w:r>
          </w:p>
        </w:tc>
        <w:tc>
          <w:tcPr>
            <w:tcW w:w="7180" w:type="dxa"/>
            <w:vMerge w:val="restart"/>
            <w:tcBorders>
              <w:top w:val="nil"/>
              <w:left w:val="single" w:color="000000" w:sz="8" w:space="0"/>
              <w:bottom w:val="single" w:color="000000" w:sz="8" w:space="0"/>
              <w:right w:val="single" w:color="000000" w:sz="8" w:space="0"/>
            </w:tcBorders>
            <w:shd w:val="clear" w:color="auto" w:fill="auto"/>
            <w:vAlign w:val="top"/>
          </w:tcPr>
          <w:p w14:paraId="333FCC7F">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 处理器 性能不低于6核心12线程、基础频率约2.5GHz、最大睿频约4.4GHz、缓存容量约18MB的桌面级处理器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 内存 16GB 四代内存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 存储 不小于1TB的M.2固态硬盘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 网络 集成千兆自适应有线网卡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 显卡 性能不低于4G显存、支持DirectX 12的入门级独立显卡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 声卡 集成5.1声道音频输出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 显示器 不小于23.8英寸WLED屏，分辨率不低于2560×1440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 机箱电源 标准MATX立式机箱，电源额定功率不低于400W</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 输入外设 防水抗菌键盘、抗菌鼠标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 服务保障 三年免费质保，第二自然日上门服务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 配套软件 Windows 11系统、教学实践类软件、电子教室客户端、系统还原软件客户端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随机软件：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1、系统软件Windows11、学生实习必备教学、实践软件</w:t>
            </w:r>
          </w:p>
        </w:tc>
        <w:tc>
          <w:tcPr>
            <w:tcW w:w="743" w:type="dxa"/>
            <w:vMerge w:val="restart"/>
            <w:tcBorders>
              <w:top w:val="nil"/>
              <w:left w:val="single" w:color="000000" w:sz="8" w:space="0"/>
              <w:bottom w:val="single" w:color="000000" w:sz="8" w:space="0"/>
              <w:right w:val="single" w:color="000000" w:sz="8" w:space="0"/>
            </w:tcBorders>
            <w:shd w:val="clear" w:color="auto" w:fill="auto"/>
            <w:vAlign w:val="center"/>
          </w:tcPr>
          <w:p w14:paraId="7160ED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671" w:type="dxa"/>
            <w:vMerge w:val="restart"/>
            <w:tcBorders>
              <w:top w:val="nil"/>
              <w:left w:val="single" w:color="000000" w:sz="8" w:space="0"/>
              <w:bottom w:val="single" w:color="000000" w:sz="8" w:space="0"/>
              <w:right w:val="single" w:color="000000" w:sz="8" w:space="0"/>
            </w:tcBorders>
            <w:shd w:val="clear" w:color="auto" w:fill="auto"/>
            <w:vAlign w:val="center"/>
          </w:tcPr>
          <w:p w14:paraId="369884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147</w:t>
            </w:r>
          </w:p>
        </w:tc>
      </w:tr>
      <w:tr w14:paraId="0BAAE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nil"/>
              <w:left w:val="single" w:color="000000" w:sz="8" w:space="0"/>
              <w:bottom w:val="single" w:color="000000" w:sz="8" w:space="0"/>
              <w:right w:val="single" w:color="000000" w:sz="8" w:space="0"/>
            </w:tcBorders>
            <w:shd w:val="clear" w:color="auto" w:fill="auto"/>
            <w:vAlign w:val="center"/>
          </w:tcPr>
          <w:p w14:paraId="2CAC7902">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0E959B4F">
            <w:pPr>
              <w:jc w:val="center"/>
              <w:rPr>
                <w:rFonts w:hint="eastAsia" w:ascii="宋体" w:hAnsi="宋体" w:eastAsia="宋体" w:cs="宋体"/>
                <w:i w:val="0"/>
                <w:iCs w:val="0"/>
                <w:color w:val="FF0000"/>
                <w:sz w:val="24"/>
                <w:szCs w:val="24"/>
                <w:u w:val="none"/>
              </w:rPr>
            </w:pPr>
          </w:p>
        </w:tc>
        <w:tc>
          <w:tcPr>
            <w:tcW w:w="1105" w:type="dxa"/>
            <w:vMerge w:val="continue"/>
            <w:tcBorders>
              <w:top w:val="nil"/>
              <w:left w:val="single" w:color="000000" w:sz="8" w:space="0"/>
              <w:bottom w:val="single" w:color="000000" w:sz="8" w:space="0"/>
              <w:right w:val="single" w:color="000000" w:sz="8" w:space="0"/>
            </w:tcBorders>
            <w:shd w:val="clear" w:color="auto" w:fill="auto"/>
            <w:vAlign w:val="center"/>
          </w:tcPr>
          <w:p w14:paraId="27533F69">
            <w:pPr>
              <w:jc w:val="center"/>
              <w:rPr>
                <w:rFonts w:hint="eastAsia" w:ascii="宋体" w:hAnsi="宋体" w:eastAsia="宋体" w:cs="宋体"/>
                <w:i w:val="0"/>
                <w:iCs w:val="0"/>
                <w:color w:val="000000"/>
                <w:sz w:val="24"/>
                <w:szCs w:val="24"/>
                <w:u w:val="none"/>
              </w:rPr>
            </w:pPr>
          </w:p>
        </w:tc>
        <w:tc>
          <w:tcPr>
            <w:tcW w:w="7180" w:type="dxa"/>
            <w:vMerge w:val="continue"/>
            <w:tcBorders>
              <w:top w:val="nil"/>
              <w:left w:val="single" w:color="000000" w:sz="8" w:space="0"/>
              <w:bottom w:val="single" w:color="000000" w:sz="8" w:space="0"/>
              <w:right w:val="single" w:color="000000" w:sz="8" w:space="0"/>
            </w:tcBorders>
            <w:shd w:val="clear" w:color="auto" w:fill="auto"/>
            <w:vAlign w:val="top"/>
          </w:tcPr>
          <w:p w14:paraId="1A14B4A2">
            <w:pPr>
              <w:jc w:val="left"/>
              <w:rPr>
                <w:rFonts w:hint="eastAsia" w:ascii="宋体" w:hAnsi="宋体" w:eastAsia="宋体" w:cs="宋体"/>
                <w:i w:val="0"/>
                <w:iCs w:val="0"/>
                <w:color w:val="000000"/>
                <w:sz w:val="24"/>
                <w:szCs w:val="24"/>
                <w:u w:val="none"/>
              </w:rPr>
            </w:pPr>
          </w:p>
        </w:tc>
        <w:tc>
          <w:tcPr>
            <w:tcW w:w="743" w:type="dxa"/>
            <w:vMerge w:val="continue"/>
            <w:tcBorders>
              <w:top w:val="nil"/>
              <w:left w:val="single" w:color="000000" w:sz="8" w:space="0"/>
              <w:bottom w:val="single" w:color="000000" w:sz="8" w:space="0"/>
              <w:right w:val="single" w:color="000000" w:sz="8" w:space="0"/>
            </w:tcBorders>
            <w:shd w:val="clear" w:color="auto" w:fill="auto"/>
            <w:vAlign w:val="center"/>
          </w:tcPr>
          <w:p w14:paraId="60A3BDDA">
            <w:pPr>
              <w:jc w:val="center"/>
              <w:rPr>
                <w:rFonts w:hint="eastAsia" w:ascii="宋体" w:hAnsi="宋体" w:eastAsia="宋体" w:cs="宋体"/>
                <w:i w:val="0"/>
                <w:iCs w:val="0"/>
                <w:color w:val="000000"/>
                <w:sz w:val="24"/>
                <w:szCs w:val="24"/>
                <w:u w:val="none"/>
              </w:rPr>
            </w:pPr>
          </w:p>
        </w:tc>
        <w:tc>
          <w:tcPr>
            <w:tcW w:w="671" w:type="dxa"/>
            <w:vMerge w:val="continue"/>
            <w:tcBorders>
              <w:top w:val="nil"/>
              <w:left w:val="single" w:color="000000" w:sz="8" w:space="0"/>
              <w:bottom w:val="single" w:color="000000" w:sz="8" w:space="0"/>
              <w:right w:val="single" w:color="000000" w:sz="8" w:space="0"/>
            </w:tcBorders>
            <w:shd w:val="clear" w:color="auto" w:fill="auto"/>
            <w:vAlign w:val="center"/>
          </w:tcPr>
          <w:p w14:paraId="356E0ED6">
            <w:pPr>
              <w:jc w:val="center"/>
              <w:rPr>
                <w:rFonts w:hint="eastAsia" w:ascii="宋体" w:hAnsi="宋体" w:eastAsia="宋体" w:cs="宋体"/>
                <w:i w:val="0"/>
                <w:iCs w:val="0"/>
                <w:color w:val="000000"/>
                <w:sz w:val="24"/>
                <w:szCs w:val="24"/>
                <w:u w:val="none"/>
              </w:rPr>
            </w:pPr>
          </w:p>
        </w:tc>
      </w:tr>
      <w:tr w14:paraId="77152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nil"/>
              <w:left w:val="single" w:color="000000" w:sz="8" w:space="0"/>
              <w:bottom w:val="single" w:color="000000" w:sz="8" w:space="0"/>
              <w:right w:val="single" w:color="000000" w:sz="8" w:space="0"/>
            </w:tcBorders>
            <w:shd w:val="clear" w:color="auto" w:fill="auto"/>
            <w:vAlign w:val="center"/>
          </w:tcPr>
          <w:p w14:paraId="7FD2773C">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59E5C3BE">
            <w:pPr>
              <w:jc w:val="center"/>
              <w:rPr>
                <w:rFonts w:hint="eastAsia" w:ascii="宋体" w:hAnsi="宋体" w:eastAsia="宋体" w:cs="宋体"/>
                <w:i w:val="0"/>
                <w:iCs w:val="0"/>
                <w:color w:val="FF0000"/>
                <w:sz w:val="24"/>
                <w:szCs w:val="24"/>
                <w:u w:val="none"/>
              </w:rPr>
            </w:pPr>
          </w:p>
        </w:tc>
        <w:tc>
          <w:tcPr>
            <w:tcW w:w="1105" w:type="dxa"/>
            <w:vMerge w:val="continue"/>
            <w:tcBorders>
              <w:top w:val="nil"/>
              <w:left w:val="single" w:color="000000" w:sz="8" w:space="0"/>
              <w:bottom w:val="single" w:color="000000" w:sz="8" w:space="0"/>
              <w:right w:val="single" w:color="000000" w:sz="8" w:space="0"/>
            </w:tcBorders>
            <w:shd w:val="clear" w:color="auto" w:fill="auto"/>
            <w:vAlign w:val="center"/>
          </w:tcPr>
          <w:p w14:paraId="2369C69A">
            <w:pPr>
              <w:jc w:val="center"/>
              <w:rPr>
                <w:rFonts w:hint="eastAsia" w:ascii="宋体" w:hAnsi="宋体" w:eastAsia="宋体" w:cs="宋体"/>
                <w:i w:val="0"/>
                <w:iCs w:val="0"/>
                <w:color w:val="000000"/>
                <w:sz w:val="24"/>
                <w:szCs w:val="24"/>
                <w:u w:val="none"/>
              </w:rPr>
            </w:pPr>
          </w:p>
        </w:tc>
        <w:tc>
          <w:tcPr>
            <w:tcW w:w="7180" w:type="dxa"/>
            <w:vMerge w:val="continue"/>
            <w:tcBorders>
              <w:top w:val="nil"/>
              <w:left w:val="single" w:color="000000" w:sz="8" w:space="0"/>
              <w:bottom w:val="single" w:color="000000" w:sz="8" w:space="0"/>
              <w:right w:val="single" w:color="000000" w:sz="8" w:space="0"/>
            </w:tcBorders>
            <w:shd w:val="clear" w:color="auto" w:fill="auto"/>
            <w:vAlign w:val="top"/>
          </w:tcPr>
          <w:p w14:paraId="17026BF0">
            <w:pPr>
              <w:jc w:val="left"/>
              <w:rPr>
                <w:rFonts w:hint="eastAsia" w:ascii="宋体" w:hAnsi="宋体" w:eastAsia="宋体" w:cs="宋体"/>
                <w:i w:val="0"/>
                <w:iCs w:val="0"/>
                <w:color w:val="000000"/>
                <w:sz w:val="24"/>
                <w:szCs w:val="24"/>
                <w:u w:val="none"/>
              </w:rPr>
            </w:pPr>
          </w:p>
        </w:tc>
        <w:tc>
          <w:tcPr>
            <w:tcW w:w="743" w:type="dxa"/>
            <w:vMerge w:val="continue"/>
            <w:tcBorders>
              <w:top w:val="nil"/>
              <w:left w:val="single" w:color="000000" w:sz="8" w:space="0"/>
              <w:bottom w:val="single" w:color="000000" w:sz="8" w:space="0"/>
              <w:right w:val="single" w:color="000000" w:sz="8" w:space="0"/>
            </w:tcBorders>
            <w:shd w:val="clear" w:color="auto" w:fill="auto"/>
            <w:vAlign w:val="center"/>
          </w:tcPr>
          <w:p w14:paraId="5308ACC5">
            <w:pPr>
              <w:jc w:val="center"/>
              <w:rPr>
                <w:rFonts w:hint="eastAsia" w:ascii="宋体" w:hAnsi="宋体" w:eastAsia="宋体" w:cs="宋体"/>
                <w:i w:val="0"/>
                <w:iCs w:val="0"/>
                <w:color w:val="000000"/>
                <w:sz w:val="24"/>
                <w:szCs w:val="24"/>
                <w:u w:val="none"/>
              </w:rPr>
            </w:pPr>
          </w:p>
        </w:tc>
        <w:tc>
          <w:tcPr>
            <w:tcW w:w="671" w:type="dxa"/>
            <w:vMerge w:val="continue"/>
            <w:tcBorders>
              <w:top w:val="nil"/>
              <w:left w:val="single" w:color="000000" w:sz="8" w:space="0"/>
              <w:bottom w:val="single" w:color="000000" w:sz="8" w:space="0"/>
              <w:right w:val="single" w:color="000000" w:sz="8" w:space="0"/>
            </w:tcBorders>
            <w:shd w:val="clear" w:color="auto" w:fill="auto"/>
            <w:vAlign w:val="center"/>
          </w:tcPr>
          <w:p w14:paraId="182F0604">
            <w:pPr>
              <w:jc w:val="center"/>
              <w:rPr>
                <w:rFonts w:hint="eastAsia" w:ascii="宋体" w:hAnsi="宋体" w:eastAsia="宋体" w:cs="宋体"/>
                <w:i w:val="0"/>
                <w:iCs w:val="0"/>
                <w:color w:val="000000"/>
                <w:sz w:val="24"/>
                <w:szCs w:val="24"/>
                <w:u w:val="none"/>
              </w:rPr>
            </w:pPr>
          </w:p>
        </w:tc>
      </w:tr>
      <w:tr w14:paraId="1BDD8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nil"/>
              <w:left w:val="single" w:color="000000" w:sz="8" w:space="0"/>
              <w:bottom w:val="single" w:color="000000" w:sz="8" w:space="0"/>
              <w:right w:val="single" w:color="000000" w:sz="8" w:space="0"/>
            </w:tcBorders>
            <w:shd w:val="clear" w:color="auto" w:fill="auto"/>
            <w:vAlign w:val="center"/>
          </w:tcPr>
          <w:p w14:paraId="7EFE6ADC">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467E5F07">
            <w:pPr>
              <w:jc w:val="center"/>
              <w:rPr>
                <w:rFonts w:hint="eastAsia" w:ascii="宋体" w:hAnsi="宋体" w:eastAsia="宋体" w:cs="宋体"/>
                <w:i w:val="0"/>
                <w:iCs w:val="0"/>
                <w:color w:val="FF0000"/>
                <w:sz w:val="24"/>
                <w:szCs w:val="24"/>
                <w:u w:val="none"/>
              </w:rPr>
            </w:pPr>
          </w:p>
        </w:tc>
        <w:tc>
          <w:tcPr>
            <w:tcW w:w="1105" w:type="dxa"/>
            <w:vMerge w:val="continue"/>
            <w:tcBorders>
              <w:top w:val="nil"/>
              <w:left w:val="single" w:color="000000" w:sz="8" w:space="0"/>
              <w:bottom w:val="single" w:color="000000" w:sz="8" w:space="0"/>
              <w:right w:val="single" w:color="000000" w:sz="8" w:space="0"/>
            </w:tcBorders>
            <w:shd w:val="clear" w:color="auto" w:fill="auto"/>
            <w:vAlign w:val="center"/>
          </w:tcPr>
          <w:p w14:paraId="14CFD988">
            <w:pPr>
              <w:jc w:val="center"/>
              <w:rPr>
                <w:rFonts w:hint="eastAsia" w:ascii="宋体" w:hAnsi="宋体" w:eastAsia="宋体" w:cs="宋体"/>
                <w:i w:val="0"/>
                <w:iCs w:val="0"/>
                <w:color w:val="000000"/>
                <w:sz w:val="24"/>
                <w:szCs w:val="24"/>
                <w:u w:val="none"/>
              </w:rPr>
            </w:pPr>
          </w:p>
        </w:tc>
        <w:tc>
          <w:tcPr>
            <w:tcW w:w="7180" w:type="dxa"/>
            <w:vMerge w:val="continue"/>
            <w:tcBorders>
              <w:top w:val="nil"/>
              <w:left w:val="single" w:color="000000" w:sz="8" w:space="0"/>
              <w:bottom w:val="single" w:color="000000" w:sz="8" w:space="0"/>
              <w:right w:val="single" w:color="000000" w:sz="8" w:space="0"/>
            </w:tcBorders>
            <w:shd w:val="clear" w:color="auto" w:fill="auto"/>
            <w:vAlign w:val="top"/>
          </w:tcPr>
          <w:p w14:paraId="02D85AC5">
            <w:pPr>
              <w:jc w:val="left"/>
              <w:rPr>
                <w:rFonts w:hint="eastAsia" w:ascii="宋体" w:hAnsi="宋体" w:eastAsia="宋体" w:cs="宋体"/>
                <w:i w:val="0"/>
                <w:iCs w:val="0"/>
                <w:color w:val="000000"/>
                <w:sz w:val="24"/>
                <w:szCs w:val="24"/>
                <w:u w:val="none"/>
              </w:rPr>
            </w:pPr>
          </w:p>
        </w:tc>
        <w:tc>
          <w:tcPr>
            <w:tcW w:w="743" w:type="dxa"/>
            <w:vMerge w:val="continue"/>
            <w:tcBorders>
              <w:top w:val="nil"/>
              <w:left w:val="single" w:color="000000" w:sz="8" w:space="0"/>
              <w:bottom w:val="single" w:color="000000" w:sz="8" w:space="0"/>
              <w:right w:val="single" w:color="000000" w:sz="8" w:space="0"/>
            </w:tcBorders>
            <w:shd w:val="clear" w:color="auto" w:fill="auto"/>
            <w:vAlign w:val="center"/>
          </w:tcPr>
          <w:p w14:paraId="0CE8561F">
            <w:pPr>
              <w:jc w:val="center"/>
              <w:rPr>
                <w:rFonts w:hint="eastAsia" w:ascii="宋体" w:hAnsi="宋体" w:eastAsia="宋体" w:cs="宋体"/>
                <w:i w:val="0"/>
                <w:iCs w:val="0"/>
                <w:color w:val="000000"/>
                <w:sz w:val="24"/>
                <w:szCs w:val="24"/>
                <w:u w:val="none"/>
              </w:rPr>
            </w:pPr>
          </w:p>
        </w:tc>
        <w:tc>
          <w:tcPr>
            <w:tcW w:w="671" w:type="dxa"/>
            <w:vMerge w:val="continue"/>
            <w:tcBorders>
              <w:top w:val="nil"/>
              <w:left w:val="single" w:color="000000" w:sz="8" w:space="0"/>
              <w:bottom w:val="single" w:color="000000" w:sz="8" w:space="0"/>
              <w:right w:val="single" w:color="000000" w:sz="8" w:space="0"/>
            </w:tcBorders>
            <w:shd w:val="clear" w:color="auto" w:fill="auto"/>
            <w:vAlign w:val="center"/>
          </w:tcPr>
          <w:p w14:paraId="397A95C4">
            <w:pPr>
              <w:jc w:val="center"/>
              <w:rPr>
                <w:rFonts w:hint="eastAsia" w:ascii="宋体" w:hAnsi="宋体" w:eastAsia="宋体" w:cs="宋体"/>
                <w:i w:val="0"/>
                <w:iCs w:val="0"/>
                <w:color w:val="000000"/>
                <w:sz w:val="24"/>
                <w:szCs w:val="24"/>
                <w:u w:val="none"/>
              </w:rPr>
            </w:pPr>
          </w:p>
        </w:tc>
      </w:tr>
      <w:tr w14:paraId="14F18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nil"/>
              <w:left w:val="single" w:color="000000" w:sz="8" w:space="0"/>
              <w:bottom w:val="single" w:color="000000" w:sz="8" w:space="0"/>
              <w:right w:val="single" w:color="000000" w:sz="8" w:space="0"/>
            </w:tcBorders>
            <w:shd w:val="clear" w:color="auto" w:fill="auto"/>
            <w:vAlign w:val="center"/>
          </w:tcPr>
          <w:p w14:paraId="62A6B177">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2EA759A6">
            <w:pPr>
              <w:jc w:val="center"/>
              <w:rPr>
                <w:rFonts w:hint="eastAsia" w:ascii="宋体" w:hAnsi="宋体" w:eastAsia="宋体" w:cs="宋体"/>
                <w:i w:val="0"/>
                <w:iCs w:val="0"/>
                <w:color w:val="FF0000"/>
                <w:sz w:val="24"/>
                <w:szCs w:val="24"/>
                <w:u w:val="none"/>
              </w:rPr>
            </w:pPr>
          </w:p>
        </w:tc>
        <w:tc>
          <w:tcPr>
            <w:tcW w:w="1105" w:type="dxa"/>
            <w:vMerge w:val="continue"/>
            <w:tcBorders>
              <w:top w:val="nil"/>
              <w:left w:val="single" w:color="000000" w:sz="8" w:space="0"/>
              <w:bottom w:val="single" w:color="000000" w:sz="8" w:space="0"/>
              <w:right w:val="single" w:color="000000" w:sz="8" w:space="0"/>
            </w:tcBorders>
            <w:shd w:val="clear" w:color="auto" w:fill="auto"/>
            <w:vAlign w:val="center"/>
          </w:tcPr>
          <w:p w14:paraId="134CCDF2">
            <w:pPr>
              <w:jc w:val="center"/>
              <w:rPr>
                <w:rFonts w:hint="eastAsia" w:ascii="宋体" w:hAnsi="宋体" w:eastAsia="宋体" w:cs="宋体"/>
                <w:i w:val="0"/>
                <w:iCs w:val="0"/>
                <w:color w:val="000000"/>
                <w:sz w:val="24"/>
                <w:szCs w:val="24"/>
                <w:u w:val="none"/>
              </w:rPr>
            </w:pPr>
          </w:p>
        </w:tc>
        <w:tc>
          <w:tcPr>
            <w:tcW w:w="7180" w:type="dxa"/>
            <w:vMerge w:val="continue"/>
            <w:tcBorders>
              <w:top w:val="nil"/>
              <w:left w:val="single" w:color="000000" w:sz="8" w:space="0"/>
              <w:bottom w:val="single" w:color="000000" w:sz="8" w:space="0"/>
              <w:right w:val="single" w:color="000000" w:sz="8" w:space="0"/>
            </w:tcBorders>
            <w:shd w:val="clear" w:color="auto" w:fill="auto"/>
            <w:vAlign w:val="top"/>
          </w:tcPr>
          <w:p w14:paraId="64F8CBAB">
            <w:pPr>
              <w:jc w:val="left"/>
              <w:rPr>
                <w:rFonts w:hint="eastAsia" w:ascii="宋体" w:hAnsi="宋体" w:eastAsia="宋体" w:cs="宋体"/>
                <w:i w:val="0"/>
                <w:iCs w:val="0"/>
                <w:color w:val="000000"/>
                <w:sz w:val="24"/>
                <w:szCs w:val="24"/>
                <w:u w:val="none"/>
              </w:rPr>
            </w:pPr>
          </w:p>
        </w:tc>
        <w:tc>
          <w:tcPr>
            <w:tcW w:w="743" w:type="dxa"/>
            <w:vMerge w:val="continue"/>
            <w:tcBorders>
              <w:top w:val="nil"/>
              <w:left w:val="single" w:color="000000" w:sz="8" w:space="0"/>
              <w:bottom w:val="single" w:color="000000" w:sz="8" w:space="0"/>
              <w:right w:val="single" w:color="000000" w:sz="8" w:space="0"/>
            </w:tcBorders>
            <w:shd w:val="clear" w:color="auto" w:fill="auto"/>
            <w:vAlign w:val="center"/>
          </w:tcPr>
          <w:p w14:paraId="10232723">
            <w:pPr>
              <w:jc w:val="center"/>
              <w:rPr>
                <w:rFonts w:hint="eastAsia" w:ascii="宋体" w:hAnsi="宋体" w:eastAsia="宋体" w:cs="宋体"/>
                <w:i w:val="0"/>
                <w:iCs w:val="0"/>
                <w:color w:val="000000"/>
                <w:sz w:val="24"/>
                <w:szCs w:val="24"/>
                <w:u w:val="none"/>
              </w:rPr>
            </w:pPr>
          </w:p>
        </w:tc>
        <w:tc>
          <w:tcPr>
            <w:tcW w:w="671" w:type="dxa"/>
            <w:vMerge w:val="continue"/>
            <w:tcBorders>
              <w:top w:val="nil"/>
              <w:left w:val="single" w:color="000000" w:sz="8" w:space="0"/>
              <w:bottom w:val="single" w:color="000000" w:sz="8" w:space="0"/>
              <w:right w:val="single" w:color="000000" w:sz="8" w:space="0"/>
            </w:tcBorders>
            <w:shd w:val="clear" w:color="auto" w:fill="auto"/>
            <w:vAlign w:val="center"/>
          </w:tcPr>
          <w:p w14:paraId="572F3F85">
            <w:pPr>
              <w:jc w:val="center"/>
              <w:rPr>
                <w:rFonts w:hint="eastAsia" w:ascii="宋体" w:hAnsi="宋体" w:eastAsia="宋体" w:cs="宋体"/>
                <w:i w:val="0"/>
                <w:iCs w:val="0"/>
                <w:color w:val="000000"/>
                <w:sz w:val="24"/>
                <w:szCs w:val="24"/>
                <w:u w:val="none"/>
              </w:rPr>
            </w:pPr>
          </w:p>
        </w:tc>
      </w:tr>
      <w:tr w14:paraId="36322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nil"/>
              <w:left w:val="single" w:color="000000" w:sz="8" w:space="0"/>
              <w:bottom w:val="single" w:color="000000" w:sz="8" w:space="0"/>
              <w:right w:val="single" w:color="000000" w:sz="8" w:space="0"/>
            </w:tcBorders>
            <w:shd w:val="clear" w:color="auto" w:fill="auto"/>
            <w:vAlign w:val="center"/>
          </w:tcPr>
          <w:p w14:paraId="743D6B5C">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21CA1950">
            <w:pPr>
              <w:jc w:val="center"/>
              <w:rPr>
                <w:rFonts w:hint="eastAsia" w:ascii="宋体" w:hAnsi="宋体" w:eastAsia="宋体" w:cs="宋体"/>
                <w:i w:val="0"/>
                <w:iCs w:val="0"/>
                <w:color w:val="FF0000"/>
                <w:sz w:val="24"/>
                <w:szCs w:val="24"/>
                <w:u w:val="none"/>
              </w:rPr>
            </w:pPr>
          </w:p>
        </w:tc>
        <w:tc>
          <w:tcPr>
            <w:tcW w:w="1105" w:type="dxa"/>
            <w:vMerge w:val="continue"/>
            <w:tcBorders>
              <w:top w:val="nil"/>
              <w:left w:val="single" w:color="000000" w:sz="8" w:space="0"/>
              <w:bottom w:val="single" w:color="000000" w:sz="8" w:space="0"/>
              <w:right w:val="single" w:color="000000" w:sz="8" w:space="0"/>
            </w:tcBorders>
            <w:shd w:val="clear" w:color="auto" w:fill="auto"/>
            <w:vAlign w:val="center"/>
          </w:tcPr>
          <w:p w14:paraId="474F9BC5">
            <w:pPr>
              <w:jc w:val="center"/>
              <w:rPr>
                <w:rFonts w:hint="eastAsia" w:ascii="宋体" w:hAnsi="宋体" w:eastAsia="宋体" w:cs="宋体"/>
                <w:i w:val="0"/>
                <w:iCs w:val="0"/>
                <w:color w:val="000000"/>
                <w:sz w:val="24"/>
                <w:szCs w:val="24"/>
                <w:u w:val="none"/>
              </w:rPr>
            </w:pPr>
          </w:p>
        </w:tc>
        <w:tc>
          <w:tcPr>
            <w:tcW w:w="7180" w:type="dxa"/>
            <w:vMerge w:val="continue"/>
            <w:tcBorders>
              <w:top w:val="nil"/>
              <w:left w:val="single" w:color="000000" w:sz="8" w:space="0"/>
              <w:bottom w:val="single" w:color="000000" w:sz="8" w:space="0"/>
              <w:right w:val="single" w:color="000000" w:sz="8" w:space="0"/>
            </w:tcBorders>
            <w:shd w:val="clear" w:color="auto" w:fill="auto"/>
            <w:vAlign w:val="top"/>
          </w:tcPr>
          <w:p w14:paraId="78C09CAA">
            <w:pPr>
              <w:jc w:val="left"/>
              <w:rPr>
                <w:rFonts w:hint="eastAsia" w:ascii="宋体" w:hAnsi="宋体" w:eastAsia="宋体" w:cs="宋体"/>
                <w:i w:val="0"/>
                <w:iCs w:val="0"/>
                <w:color w:val="000000"/>
                <w:sz w:val="24"/>
                <w:szCs w:val="24"/>
                <w:u w:val="none"/>
              </w:rPr>
            </w:pPr>
          </w:p>
        </w:tc>
        <w:tc>
          <w:tcPr>
            <w:tcW w:w="743" w:type="dxa"/>
            <w:vMerge w:val="continue"/>
            <w:tcBorders>
              <w:top w:val="nil"/>
              <w:left w:val="single" w:color="000000" w:sz="8" w:space="0"/>
              <w:bottom w:val="single" w:color="000000" w:sz="8" w:space="0"/>
              <w:right w:val="single" w:color="000000" w:sz="8" w:space="0"/>
            </w:tcBorders>
            <w:shd w:val="clear" w:color="auto" w:fill="auto"/>
            <w:vAlign w:val="center"/>
          </w:tcPr>
          <w:p w14:paraId="06251EC9">
            <w:pPr>
              <w:jc w:val="center"/>
              <w:rPr>
                <w:rFonts w:hint="eastAsia" w:ascii="宋体" w:hAnsi="宋体" w:eastAsia="宋体" w:cs="宋体"/>
                <w:i w:val="0"/>
                <w:iCs w:val="0"/>
                <w:color w:val="000000"/>
                <w:sz w:val="24"/>
                <w:szCs w:val="24"/>
                <w:u w:val="none"/>
              </w:rPr>
            </w:pPr>
          </w:p>
        </w:tc>
        <w:tc>
          <w:tcPr>
            <w:tcW w:w="671" w:type="dxa"/>
            <w:vMerge w:val="continue"/>
            <w:tcBorders>
              <w:top w:val="nil"/>
              <w:left w:val="single" w:color="000000" w:sz="8" w:space="0"/>
              <w:bottom w:val="single" w:color="000000" w:sz="8" w:space="0"/>
              <w:right w:val="single" w:color="000000" w:sz="8" w:space="0"/>
            </w:tcBorders>
            <w:shd w:val="clear" w:color="auto" w:fill="auto"/>
            <w:vAlign w:val="center"/>
          </w:tcPr>
          <w:p w14:paraId="5233409D">
            <w:pPr>
              <w:jc w:val="center"/>
              <w:rPr>
                <w:rFonts w:hint="eastAsia" w:ascii="宋体" w:hAnsi="宋体" w:eastAsia="宋体" w:cs="宋体"/>
                <w:i w:val="0"/>
                <w:iCs w:val="0"/>
                <w:color w:val="000000"/>
                <w:sz w:val="24"/>
                <w:szCs w:val="24"/>
                <w:u w:val="none"/>
              </w:rPr>
            </w:pPr>
          </w:p>
        </w:tc>
      </w:tr>
      <w:tr w14:paraId="1B5EE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nil"/>
              <w:left w:val="single" w:color="000000" w:sz="8" w:space="0"/>
              <w:bottom w:val="single" w:color="000000" w:sz="8" w:space="0"/>
              <w:right w:val="single" w:color="000000" w:sz="8" w:space="0"/>
            </w:tcBorders>
            <w:shd w:val="clear" w:color="auto" w:fill="auto"/>
            <w:vAlign w:val="center"/>
          </w:tcPr>
          <w:p w14:paraId="2F6F4155">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327E2226">
            <w:pPr>
              <w:jc w:val="center"/>
              <w:rPr>
                <w:rFonts w:hint="eastAsia" w:ascii="宋体" w:hAnsi="宋体" w:eastAsia="宋体" w:cs="宋体"/>
                <w:i w:val="0"/>
                <w:iCs w:val="0"/>
                <w:color w:val="FF0000"/>
                <w:sz w:val="24"/>
                <w:szCs w:val="24"/>
                <w:u w:val="none"/>
              </w:rPr>
            </w:pPr>
          </w:p>
        </w:tc>
        <w:tc>
          <w:tcPr>
            <w:tcW w:w="1105" w:type="dxa"/>
            <w:vMerge w:val="continue"/>
            <w:tcBorders>
              <w:top w:val="nil"/>
              <w:left w:val="single" w:color="000000" w:sz="8" w:space="0"/>
              <w:bottom w:val="single" w:color="000000" w:sz="8" w:space="0"/>
              <w:right w:val="single" w:color="000000" w:sz="8" w:space="0"/>
            </w:tcBorders>
            <w:shd w:val="clear" w:color="auto" w:fill="auto"/>
            <w:vAlign w:val="center"/>
          </w:tcPr>
          <w:p w14:paraId="7CCAE982">
            <w:pPr>
              <w:jc w:val="center"/>
              <w:rPr>
                <w:rFonts w:hint="eastAsia" w:ascii="宋体" w:hAnsi="宋体" w:eastAsia="宋体" w:cs="宋体"/>
                <w:i w:val="0"/>
                <w:iCs w:val="0"/>
                <w:color w:val="000000"/>
                <w:sz w:val="24"/>
                <w:szCs w:val="24"/>
                <w:u w:val="none"/>
              </w:rPr>
            </w:pPr>
          </w:p>
        </w:tc>
        <w:tc>
          <w:tcPr>
            <w:tcW w:w="7180" w:type="dxa"/>
            <w:vMerge w:val="continue"/>
            <w:tcBorders>
              <w:top w:val="nil"/>
              <w:left w:val="single" w:color="000000" w:sz="8" w:space="0"/>
              <w:bottom w:val="single" w:color="000000" w:sz="8" w:space="0"/>
              <w:right w:val="single" w:color="000000" w:sz="8" w:space="0"/>
            </w:tcBorders>
            <w:shd w:val="clear" w:color="auto" w:fill="auto"/>
            <w:vAlign w:val="top"/>
          </w:tcPr>
          <w:p w14:paraId="70174DB3">
            <w:pPr>
              <w:jc w:val="left"/>
              <w:rPr>
                <w:rFonts w:hint="eastAsia" w:ascii="宋体" w:hAnsi="宋体" w:eastAsia="宋体" w:cs="宋体"/>
                <w:i w:val="0"/>
                <w:iCs w:val="0"/>
                <w:color w:val="000000"/>
                <w:sz w:val="24"/>
                <w:szCs w:val="24"/>
                <w:u w:val="none"/>
              </w:rPr>
            </w:pPr>
          </w:p>
        </w:tc>
        <w:tc>
          <w:tcPr>
            <w:tcW w:w="743" w:type="dxa"/>
            <w:vMerge w:val="continue"/>
            <w:tcBorders>
              <w:top w:val="nil"/>
              <w:left w:val="single" w:color="000000" w:sz="8" w:space="0"/>
              <w:bottom w:val="single" w:color="000000" w:sz="8" w:space="0"/>
              <w:right w:val="single" w:color="000000" w:sz="8" w:space="0"/>
            </w:tcBorders>
            <w:shd w:val="clear" w:color="auto" w:fill="auto"/>
            <w:vAlign w:val="center"/>
          </w:tcPr>
          <w:p w14:paraId="4287E688">
            <w:pPr>
              <w:jc w:val="center"/>
              <w:rPr>
                <w:rFonts w:hint="eastAsia" w:ascii="宋体" w:hAnsi="宋体" w:eastAsia="宋体" w:cs="宋体"/>
                <w:i w:val="0"/>
                <w:iCs w:val="0"/>
                <w:color w:val="000000"/>
                <w:sz w:val="24"/>
                <w:szCs w:val="24"/>
                <w:u w:val="none"/>
              </w:rPr>
            </w:pPr>
          </w:p>
        </w:tc>
        <w:tc>
          <w:tcPr>
            <w:tcW w:w="671" w:type="dxa"/>
            <w:vMerge w:val="continue"/>
            <w:tcBorders>
              <w:top w:val="nil"/>
              <w:left w:val="single" w:color="000000" w:sz="8" w:space="0"/>
              <w:bottom w:val="single" w:color="000000" w:sz="8" w:space="0"/>
              <w:right w:val="single" w:color="000000" w:sz="8" w:space="0"/>
            </w:tcBorders>
            <w:shd w:val="clear" w:color="auto" w:fill="auto"/>
            <w:vAlign w:val="center"/>
          </w:tcPr>
          <w:p w14:paraId="7F98D3C2">
            <w:pPr>
              <w:jc w:val="center"/>
              <w:rPr>
                <w:rFonts w:hint="eastAsia" w:ascii="宋体" w:hAnsi="宋体" w:eastAsia="宋体" w:cs="宋体"/>
                <w:i w:val="0"/>
                <w:iCs w:val="0"/>
                <w:color w:val="000000"/>
                <w:sz w:val="24"/>
                <w:szCs w:val="24"/>
                <w:u w:val="none"/>
              </w:rPr>
            </w:pPr>
          </w:p>
        </w:tc>
      </w:tr>
      <w:tr w14:paraId="3A06E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nil"/>
              <w:left w:val="single" w:color="000000" w:sz="8" w:space="0"/>
              <w:bottom w:val="single" w:color="000000" w:sz="8" w:space="0"/>
              <w:right w:val="single" w:color="000000" w:sz="8" w:space="0"/>
            </w:tcBorders>
            <w:shd w:val="clear" w:color="auto" w:fill="auto"/>
            <w:vAlign w:val="center"/>
          </w:tcPr>
          <w:p w14:paraId="79996654">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20B436EF">
            <w:pPr>
              <w:jc w:val="center"/>
              <w:rPr>
                <w:rFonts w:hint="eastAsia" w:ascii="宋体" w:hAnsi="宋体" w:eastAsia="宋体" w:cs="宋体"/>
                <w:i w:val="0"/>
                <w:iCs w:val="0"/>
                <w:color w:val="FF0000"/>
                <w:sz w:val="24"/>
                <w:szCs w:val="24"/>
                <w:u w:val="none"/>
              </w:rPr>
            </w:pPr>
          </w:p>
        </w:tc>
        <w:tc>
          <w:tcPr>
            <w:tcW w:w="1105" w:type="dxa"/>
            <w:vMerge w:val="continue"/>
            <w:tcBorders>
              <w:top w:val="nil"/>
              <w:left w:val="single" w:color="000000" w:sz="8" w:space="0"/>
              <w:bottom w:val="single" w:color="000000" w:sz="8" w:space="0"/>
              <w:right w:val="single" w:color="000000" w:sz="8" w:space="0"/>
            </w:tcBorders>
            <w:shd w:val="clear" w:color="auto" w:fill="auto"/>
            <w:vAlign w:val="center"/>
          </w:tcPr>
          <w:p w14:paraId="7A0F9D88">
            <w:pPr>
              <w:jc w:val="center"/>
              <w:rPr>
                <w:rFonts w:hint="eastAsia" w:ascii="宋体" w:hAnsi="宋体" w:eastAsia="宋体" w:cs="宋体"/>
                <w:i w:val="0"/>
                <w:iCs w:val="0"/>
                <w:color w:val="000000"/>
                <w:sz w:val="24"/>
                <w:szCs w:val="24"/>
                <w:u w:val="none"/>
              </w:rPr>
            </w:pPr>
          </w:p>
        </w:tc>
        <w:tc>
          <w:tcPr>
            <w:tcW w:w="7180" w:type="dxa"/>
            <w:vMerge w:val="continue"/>
            <w:tcBorders>
              <w:top w:val="nil"/>
              <w:left w:val="single" w:color="000000" w:sz="8" w:space="0"/>
              <w:bottom w:val="single" w:color="000000" w:sz="8" w:space="0"/>
              <w:right w:val="single" w:color="000000" w:sz="8" w:space="0"/>
            </w:tcBorders>
            <w:shd w:val="clear" w:color="auto" w:fill="auto"/>
            <w:vAlign w:val="top"/>
          </w:tcPr>
          <w:p w14:paraId="3F3C8493">
            <w:pPr>
              <w:jc w:val="left"/>
              <w:rPr>
                <w:rFonts w:hint="eastAsia" w:ascii="宋体" w:hAnsi="宋体" w:eastAsia="宋体" w:cs="宋体"/>
                <w:i w:val="0"/>
                <w:iCs w:val="0"/>
                <w:color w:val="000000"/>
                <w:sz w:val="24"/>
                <w:szCs w:val="24"/>
                <w:u w:val="none"/>
              </w:rPr>
            </w:pPr>
          </w:p>
        </w:tc>
        <w:tc>
          <w:tcPr>
            <w:tcW w:w="743" w:type="dxa"/>
            <w:vMerge w:val="continue"/>
            <w:tcBorders>
              <w:top w:val="nil"/>
              <w:left w:val="single" w:color="000000" w:sz="8" w:space="0"/>
              <w:bottom w:val="single" w:color="000000" w:sz="8" w:space="0"/>
              <w:right w:val="single" w:color="000000" w:sz="8" w:space="0"/>
            </w:tcBorders>
            <w:shd w:val="clear" w:color="auto" w:fill="auto"/>
            <w:vAlign w:val="center"/>
          </w:tcPr>
          <w:p w14:paraId="5E1BFB0A">
            <w:pPr>
              <w:jc w:val="center"/>
              <w:rPr>
                <w:rFonts w:hint="eastAsia" w:ascii="宋体" w:hAnsi="宋体" w:eastAsia="宋体" w:cs="宋体"/>
                <w:i w:val="0"/>
                <w:iCs w:val="0"/>
                <w:color w:val="000000"/>
                <w:sz w:val="24"/>
                <w:szCs w:val="24"/>
                <w:u w:val="none"/>
              </w:rPr>
            </w:pPr>
          </w:p>
        </w:tc>
        <w:tc>
          <w:tcPr>
            <w:tcW w:w="671" w:type="dxa"/>
            <w:vMerge w:val="continue"/>
            <w:tcBorders>
              <w:top w:val="nil"/>
              <w:left w:val="single" w:color="000000" w:sz="8" w:space="0"/>
              <w:bottom w:val="single" w:color="000000" w:sz="8" w:space="0"/>
              <w:right w:val="single" w:color="000000" w:sz="8" w:space="0"/>
            </w:tcBorders>
            <w:shd w:val="clear" w:color="auto" w:fill="auto"/>
            <w:vAlign w:val="center"/>
          </w:tcPr>
          <w:p w14:paraId="47797DC3">
            <w:pPr>
              <w:jc w:val="center"/>
              <w:rPr>
                <w:rFonts w:hint="eastAsia" w:ascii="宋体" w:hAnsi="宋体" w:eastAsia="宋体" w:cs="宋体"/>
                <w:i w:val="0"/>
                <w:iCs w:val="0"/>
                <w:color w:val="000000"/>
                <w:sz w:val="24"/>
                <w:szCs w:val="24"/>
                <w:u w:val="none"/>
              </w:rPr>
            </w:pPr>
          </w:p>
        </w:tc>
      </w:tr>
      <w:tr w14:paraId="3DEC0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nil"/>
              <w:left w:val="single" w:color="000000" w:sz="8" w:space="0"/>
              <w:bottom w:val="single" w:color="000000" w:sz="8" w:space="0"/>
              <w:right w:val="single" w:color="000000" w:sz="8" w:space="0"/>
            </w:tcBorders>
            <w:shd w:val="clear" w:color="auto" w:fill="auto"/>
            <w:vAlign w:val="center"/>
          </w:tcPr>
          <w:p w14:paraId="267C6B9C">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369D6E9E">
            <w:pPr>
              <w:jc w:val="center"/>
              <w:rPr>
                <w:rFonts w:hint="eastAsia" w:ascii="宋体" w:hAnsi="宋体" w:eastAsia="宋体" w:cs="宋体"/>
                <w:i w:val="0"/>
                <w:iCs w:val="0"/>
                <w:color w:val="FF0000"/>
                <w:sz w:val="24"/>
                <w:szCs w:val="24"/>
                <w:u w:val="none"/>
              </w:rPr>
            </w:pPr>
          </w:p>
        </w:tc>
        <w:tc>
          <w:tcPr>
            <w:tcW w:w="1105" w:type="dxa"/>
            <w:vMerge w:val="continue"/>
            <w:tcBorders>
              <w:top w:val="nil"/>
              <w:left w:val="single" w:color="000000" w:sz="8" w:space="0"/>
              <w:bottom w:val="single" w:color="000000" w:sz="8" w:space="0"/>
              <w:right w:val="single" w:color="000000" w:sz="8" w:space="0"/>
            </w:tcBorders>
            <w:shd w:val="clear" w:color="auto" w:fill="auto"/>
            <w:vAlign w:val="center"/>
          </w:tcPr>
          <w:p w14:paraId="4FB43997">
            <w:pPr>
              <w:jc w:val="center"/>
              <w:rPr>
                <w:rFonts w:hint="eastAsia" w:ascii="宋体" w:hAnsi="宋体" w:eastAsia="宋体" w:cs="宋体"/>
                <w:i w:val="0"/>
                <w:iCs w:val="0"/>
                <w:color w:val="000000"/>
                <w:sz w:val="24"/>
                <w:szCs w:val="24"/>
                <w:u w:val="none"/>
              </w:rPr>
            </w:pPr>
          </w:p>
        </w:tc>
        <w:tc>
          <w:tcPr>
            <w:tcW w:w="7180" w:type="dxa"/>
            <w:vMerge w:val="continue"/>
            <w:tcBorders>
              <w:top w:val="nil"/>
              <w:left w:val="single" w:color="000000" w:sz="8" w:space="0"/>
              <w:bottom w:val="single" w:color="000000" w:sz="8" w:space="0"/>
              <w:right w:val="single" w:color="000000" w:sz="8" w:space="0"/>
            </w:tcBorders>
            <w:shd w:val="clear" w:color="auto" w:fill="auto"/>
            <w:vAlign w:val="top"/>
          </w:tcPr>
          <w:p w14:paraId="30196014">
            <w:pPr>
              <w:jc w:val="left"/>
              <w:rPr>
                <w:rFonts w:hint="eastAsia" w:ascii="宋体" w:hAnsi="宋体" w:eastAsia="宋体" w:cs="宋体"/>
                <w:i w:val="0"/>
                <w:iCs w:val="0"/>
                <w:color w:val="000000"/>
                <w:sz w:val="24"/>
                <w:szCs w:val="24"/>
                <w:u w:val="none"/>
              </w:rPr>
            </w:pPr>
          </w:p>
        </w:tc>
        <w:tc>
          <w:tcPr>
            <w:tcW w:w="743" w:type="dxa"/>
            <w:vMerge w:val="continue"/>
            <w:tcBorders>
              <w:top w:val="nil"/>
              <w:left w:val="single" w:color="000000" w:sz="8" w:space="0"/>
              <w:bottom w:val="single" w:color="000000" w:sz="8" w:space="0"/>
              <w:right w:val="single" w:color="000000" w:sz="8" w:space="0"/>
            </w:tcBorders>
            <w:shd w:val="clear" w:color="auto" w:fill="auto"/>
            <w:vAlign w:val="center"/>
          </w:tcPr>
          <w:p w14:paraId="68EA4F1C">
            <w:pPr>
              <w:jc w:val="center"/>
              <w:rPr>
                <w:rFonts w:hint="eastAsia" w:ascii="宋体" w:hAnsi="宋体" w:eastAsia="宋体" w:cs="宋体"/>
                <w:i w:val="0"/>
                <w:iCs w:val="0"/>
                <w:color w:val="000000"/>
                <w:sz w:val="24"/>
                <w:szCs w:val="24"/>
                <w:u w:val="none"/>
              </w:rPr>
            </w:pPr>
          </w:p>
        </w:tc>
        <w:tc>
          <w:tcPr>
            <w:tcW w:w="671" w:type="dxa"/>
            <w:vMerge w:val="continue"/>
            <w:tcBorders>
              <w:top w:val="nil"/>
              <w:left w:val="single" w:color="000000" w:sz="8" w:space="0"/>
              <w:bottom w:val="single" w:color="000000" w:sz="8" w:space="0"/>
              <w:right w:val="single" w:color="000000" w:sz="8" w:space="0"/>
            </w:tcBorders>
            <w:shd w:val="clear" w:color="auto" w:fill="auto"/>
            <w:vAlign w:val="center"/>
          </w:tcPr>
          <w:p w14:paraId="1D83A728">
            <w:pPr>
              <w:jc w:val="center"/>
              <w:rPr>
                <w:rFonts w:hint="eastAsia" w:ascii="宋体" w:hAnsi="宋体" w:eastAsia="宋体" w:cs="宋体"/>
                <w:i w:val="0"/>
                <w:iCs w:val="0"/>
                <w:color w:val="000000"/>
                <w:sz w:val="24"/>
                <w:szCs w:val="24"/>
                <w:u w:val="none"/>
              </w:rPr>
            </w:pPr>
          </w:p>
        </w:tc>
      </w:tr>
      <w:tr w14:paraId="436F9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nil"/>
              <w:left w:val="single" w:color="000000" w:sz="8" w:space="0"/>
              <w:bottom w:val="single" w:color="000000" w:sz="8" w:space="0"/>
              <w:right w:val="single" w:color="000000" w:sz="8" w:space="0"/>
            </w:tcBorders>
            <w:shd w:val="clear" w:color="auto" w:fill="auto"/>
            <w:vAlign w:val="center"/>
          </w:tcPr>
          <w:p w14:paraId="7DF333DC">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7CD01835">
            <w:pPr>
              <w:jc w:val="center"/>
              <w:rPr>
                <w:rFonts w:hint="eastAsia" w:ascii="宋体" w:hAnsi="宋体" w:eastAsia="宋体" w:cs="宋体"/>
                <w:i w:val="0"/>
                <w:iCs w:val="0"/>
                <w:color w:val="FF0000"/>
                <w:sz w:val="24"/>
                <w:szCs w:val="24"/>
                <w:u w:val="none"/>
              </w:rPr>
            </w:pPr>
          </w:p>
        </w:tc>
        <w:tc>
          <w:tcPr>
            <w:tcW w:w="1105" w:type="dxa"/>
            <w:vMerge w:val="continue"/>
            <w:tcBorders>
              <w:top w:val="nil"/>
              <w:left w:val="single" w:color="000000" w:sz="8" w:space="0"/>
              <w:bottom w:val="single" w:color="000000" w:sz="8" w:space="0"/>
              <w:right w:val="single" w:color="000000" w:sz="8" w:space="0"/>
            </w:tcBorders>
            <w:shd w:val="clear" w:color="auto" w:fill="auto"/>
            <w:vAlign w:val="center"/>
          </w:tcPr>
          <w:p w14:paraId="70A05BBA">
            <w:pPr>
              <w:jc w:val="center"/>
              <w:rPr>
                <w:rFonts w:hint="eastAsia" w:ascii="宋体" w:hAnsi="宋体" w:eastAsia="宋体" w:cs="宋体"/>
                <w:i w:val="0"/>
                <w:iCs w:val="0"/>
                <w:color w:val="000000"/>
                <w:sz w:val="24"/>
                <w:szCs w:val="24"/>
                <w:u w:val="none"/>
              </w:rPr>
            </w:pPr>
          </w:p>
        </w:tc>
        <w:tc>
          <w:tcPr>
            <w:tcW w:w="7180" w:type="dxa"/>
            <w:vMerge w:val="continue"/>
            <w:tcBorders>
              <w:top w:val="nil"/>
              <w:left w:val="single" w:color="000000" w:sz="8" w:space="0"/>
              <w:bottom w:val="single" w:color="000000" w:sz="8" w:space="0"/>
              <w:right w:val="single" w:color="000000" w:sz="8" w:space="0"/>
            </w:tcBorders>
            <w:shd w:val="clear" w:color="auto" w:fill="auto"/>
            <w:vAlign w:val="top"/>
          </w:tcPr>
          <w:p w14:paraId="3E6006C3">
            <w:pPr>
              <w:jc w:val="left"/>
              <w:rPr>
                <w:rFonts w:hint="eastAsia" w:ascii="宋体" w:hAnsi="宋体" w:eastAsia="宋体" w:cs="宋体"/>
                <w:i w:val="0"/>
                <w:iCs w:val="0"/>
                <w:color w:val="000000"/>
                <w:sz w:val="24"/>
                <w:szCs w:val="24"/>
                <w:u w:val="none"/>
              </w:rPr>
            </w:pPr>
          </w:p>
        </w:tc>
        <w:tc>
          <w:tcPr>
            <w:tcW w:w="743" w:type="dxa"/>
            <w:vMerge w:val="continue"/>
            <w:tcBorders>
              <w:top w:val="nil"/>
              <w:left w:val="single" w:color="000000" w:sz="8" w:space="0"/>
              <w:bottom w:val="single" w:color="000000" w:sz="8" w:space="0"/>
              <w:right w:val="single" w:color="000000" w:sz="8" w:space="0"/>
            </w:tcBorders>
            <w:shd w:val="clear" w:color="auto" w:fill="auto"/>
            <w:vAlign w:val="center"/>
          </w:tcPr>
          <w:p w14:paraId="78C29D2F">
            <w:pPr>
              <w:jc w:val="center"/>
              <w:rPr>
                <w:rFonts w:hint="eastAsia" w:ascii="宋体" w:hAnsi="宋体" w:eastAsia="宋体" w:cs="宋体"/>
                <w:i w:val="0"/>
                <w:iCs w:val="0"/>
                <w:color w:val="000000"/>
                <w:sz w:val="24"/>
                <w:szCs w:val="24"/>
                <w:u w:val="none"/>
              </w:rPr>
            </w:pPr>
          </w:p>
        </w:tc>
        <w:tc>
          <w:tcPr>
            <w:tcW w:w="671" w:type="dxa"/>
            <w:vMerge w:val="continue"/>
            <w:tcBorders>
              <w:top w:val="nil"/>
              <w:left w:val="single" w:color="000000" w:sz="8" w:space="0"/>
              <w:bottom w:val="single" w:color="000000" w:sz="8" w:space="0"/>
              <w:right w:val="single" w:color="000000" w:sz="8" w:space="0"/>
            </w:tcBorders>
            <w:shd w:val="clear" w:color="auto" w:fill="auto"/>
            <w:vAlign w:val="center"/>
          </w:tcPr>
          <w:p w14:paraId="1F1DF63E">
            <w:pPr>
              <w:jc w:val="center"/>
              <w:rPr>
                <w:rFonts w:hint="eastAsia" w:ascii="宋体" w:hAnsi="宋体" w:eastAsia="宋体" w:cs="宋体"/>
                <w:i w:val="0"/>
                <w:iCs w:val="0"/>
                <w:color w:val="000000"/>
                <w:sz w:val="24"/>
                <w:szCs w:val="24"/>
                <w:u w:val="none"/>
              </w:rPr>
            </w:pPr>
          </w:p>
        </w:tc>
      </w:tr>
      <w:tr w14:paraId="4FC5A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30" w:type="dxa"/>
            <w:vMerge w:val="continue"/>
            <w:tcBorders>
              <w:top w:val="nil"/>
              <w:left w:val="single" w:color="000000" w:sz="8" w:space="0"/>
              <w:bottom w:val="single" w:color="000000" w:sz="8" w:space="0"/>
              <w:right w:val="single" w:color="000000" w:sz="8" w:space="0"/>
            </w:tcBorders>
            <w:shd w:val="clear" w:color="auto" w:fill="auto"/>
            <w:vAlign w:val="center"/>
          </w:tcPr>
          <w:p w14:paraId="2E13503C">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3B239C24">
            <w:pPr>
              <w:jc w:val="center"/>
              <w:rPr>
                <w:rFonts w:hint="eastAsia" w:ascii="宋体" w:hAnsi="宋体" w:eastAsia="宋体" w:cs="宋体"/>
                <w:i w:val="0"/>
                <w:iCs w:val="0"/>
                <w:color w:val="FF0000"/>
                <w:sz w:val="24"/>
                <w:szCs w:val="24"/>
                <w:u w:val="none"/>
              </w:rPr>
            </w:pPr>
          </w:p>
        </w:tc>
        <w:tc>
          <w:tcPr>
            <w:tcW w:w="1105" w:type="dxa"/>
            <w:vMerge w:val="continue"/>
            <w:tcBorders>
              <w:top w:val="nil"/>
              <w:left w:val="single" w:color="000000" w:sz="8" w:space="0"/>
              <w:bottom w:val="single" w:color="000000" w:sz="8" w:space="0"/>
              <w:right w:val="single" w:color="000000" w:sz="8" w:space="0"/>
            </w:tcBorders>
            <w:shd w:val="clear" w:color="auto" w:fill="auto"/>
            <w:vAlign w:val="center"/>
          </w:tcPr>
          <w:p w14:paraId="096D1794">
            <w:pPr>
              <w:jc w:val="center"/>
              <w:rPr>
                <w:rFonts w:hint="eastAsia" w:ascii="宋体" w:hAnsi="宋体" w:eastAsia="宋体" w:cs="宋体"/>
                <w:i w:val="0"/>
                <w:iCs w:val="0"/>
                <w:color w:val="000000"/>
                <w:sz w:val="24"/>
                <w:szCs w:val="24"/>
                <w:u w:val="none"/>
              </w:rPr>
            </w:pPr>
          </w:p>
        </w:tc>
        <w:tc>
          <w:tcPr>
            <w:tcW w:w="7180" w:type="dxa"/>
            <w:vMerge w:val="continue"/>
            <w:tcBorders>
              <w:top w:val="nil"/>
              <w:left w:val="single" w:color="000000" w:sz="8" w:space="0"/>
              <w:bottom w:val="single" w:color="000000" w:sz="8" w:space="0"/>
              <w:right w:val="single" w:color="000000" w:sz="8" w:space="0"/>
            </w:tcBorders>
            <w:shd w:val="clear" w:color="auto" w:fill="auto"/>
            <w:vAlign w:val="top"/>
          </w:tcPr>
          <w:p w14:paraId="62DDF2A4">
            <w:pPr>
              <w:jc w:val="left"/>
              <w:rPr>
                <w:rFonts w:hint="eastAsia" w:ascii="宋体" w:hAnsi="宋体" w:eastAsia="宋体" w:cs="宋体"/>
                <w:i w:val="0"/>
                <w:iCs w:val="0"/>
                <w:color w:val="000000"/>
                <w:sz w:val="24"/>
                <w:szCs w:val="24"/>
                <w:u w:val="none"/>
              </w:rPr>
            </w:pPr>
          </w:p>
        </w:tc>
        <w:tc>
          <w:tcPr>
            <w:tcW w:w="743" w:type="dxa"/>
            <w:vMerge w:val="continue"/>
            <w:tcBorders>
              <w:top w:val="nil"/>
              <w:left w:val="single" w:color="000000" w:sz="8" w:space="0"/>
              <w:bottom w:val="single" w:color="000000" w:sz="8" w:space="0"/>
              <w:right w:val="single" w:color="000000" w:sz="8" w:space="0"/>
            </w:tcBorders>
            <w:shd w:val="clear" w:color="auto" w:fill="auto"/>
            <w:vAlign w:val="center"/>
          </w:tcPr>
          <w:p w14:paraId="4876D94B">
            <w:pPr>
              <w:jc w:val="center"/>
              <w:rPr>
                <w:rFonts w:hint="eastAsia" w:ascii="宋体" w:hAnsi="宋体" w:eastAsia="宋体" w:cs="宋体"/>
                <w:i w:val="0"/>
                <w:iCs w:val="0"/>
                <w:color w:val="000000"/>
                <w:sz w:val="24"/>
                <w:szCs w:val="24"/>
                <w:u w:val="none"/>
              </w:rPr>
            </w:pPr>
          </w:p>
        </w:tc>
        <w:tc>
          <w:tcPr>
            <w:tcW w:w="671" w:type="dxa"/>
            <w:vMerge w:val="continue"/>
            <w:tcBorders>
              <w:top w:val="nil"/>
              <w:left w:val="single" w:color="000000" w:sz="8" w:space="0"/>
              <w:bottom w:val="single" w:color="000000" w:sz="8" w:space="0"/>
              <w:right w:val="single" w:color="000000" w:sz="8" w:space="0"/>
            </w:tcBorders>
            <w:shd w:val="clear" w:color="auto" w:fill="auto"/>
            <w:vAlign w:val="center"/>
          </w:tcPr>
          <w:p w14:paraId="54D039F5">
            <w:pPr>
              <w:jc w:val="center"/>
              <w:rPr>
                <w:rFonts w:hint="eastAsia" w:ascii="宋体" w:hAnsi="宋体" w:eastAsia="宋体" w:cs="宋体"/>
                <w:i w:val="0"/>
                <w:iCs w:val="0"/>
                <w:color w:val="000000"/>
                <w:sz w:val="24"/>
                <w:szCs w:val="24"/>
                <w:u w:val="none"/>
              </w:rPr>
            </w:pPr>
          </w:p>
        </w:tc>
      </w:tr>
      <w:tr w14:paraId="4F5C9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nil"/>
              <w:left w:val="single" w:color="000000" w:sz="8" w:space="0"/>
              <w:bottom w:val="single" w:color="000000" w:sz="8" w:space="0"/>
              <w:right w:val="single" w:color="000000" w:sz="8" w:space="0"/>
            </w:tcBorders>
            <w:shd w:val="clear" w:color="auto" w:fill="auto"/>
            <w:vAlign w:val="center"/>
          </w:tcPr>
          <w:p w14:paraId="3E790074">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786D7711">
            <w:pPr>
              <w:jc w:val="center"/>
              <w:rPr>
                <w:rFonts w:hint="eastAsia" w:ascii="宋体" w:hAnsi="宋体" w:eastAsia="宋体" w:cs="宋体"/>
                <w:i w:val="0"/>
                <w:iCs w:val="0"/>
                <w:color w:val="FF0000"/>
                <w:sz w:val="24"/>
                <w:szCs w:val="24"/>
                <w:u w:val="none"/>
              </w:rPr>
            </w:pPr>
          </w:p>
        </w:tc>
        <w:tc>
          <w:tcPr>
            <w:tcW w:w="1105" w:type="dxa"/>
            <w:vMerge w:val="continue"/>
            <w:tcBorders>
              <w:top w:val="nil"/>
              <w:left w:val="single" w:color="000000" w:sz="8" w:space="0"/>
              <w:bottom w:val="single" w:color="000000" w:sz="8" w:space="0"/>
              <w:right w:val="single" w:color="000000" w:sz="8" w:space="0"/>
            </w:tcBorders>
            <w:shd w:val="clear" w:color="auto" w:fill="auto"/>
            <w:vAlign w:val="center"/>
          </w:tcPr>
          <w:p w14:paraId="0E392102">
            <w:pPr>
              <w:jc w:val="center"/>
              <w:rPr>
                <w:rFonts w:hint="eastAsia" w:ascii="宋体" w:hAnsi="宋体" w:eastAsia="宋体" w:cs="宋体"/>
                <w:i w:val="0"/>
                <w:iCs w:val="0"/>
                <w:color w:val="000000"/>
                <w:sz w:val="24"/>
                <w:szCs w:val="24"/>
                <w:u w:val="none"/>
              </w:rPr>
            </w:pPr>
          </w:p>
        </w:tc>
        <w:tc>
          <w:tcPr>
            <w:tcW w:w="7180" w:type="dxa"/>
            <w:vMerge w:val="continue"/>
            <w:tcBorders>
              <w:top w:val="nil"/>
              <w:left w:val="single" w:color="000000" w:sz="8" w:space="0"/>
              <w:bottom w:val="single" w:color="000000" w:sz="8" w:space="0"/>
              <w:right w:val="single" w:color="000000" w:sz="8" w:space="0"/>
            </w:tcBorders>
            <w:shd w:val="clear" w:color="auto" w:fill="auto"/>
            <w:vAlign w:val="top"/>
          </w:tcPr>
          <w:p w14:paraId="7D24BF7B">
            <w:pPr>
              <w:jc w:val="left"/>
              <w:rPr>
                <w:rFonts w:hint="eastAsia" w:ascii="宋体" w:hAnsi="宋体" w:eastAsia="宋体" w:cs="宋体"/>
                <w:i w:val="0"/>
                <w:iCs w:val="0"/>
                <w:color w:val="000000"/>
                <w:sz w:val="24"/>
                <w:szCs w:val="24"/>
                <w:u w:val="none"/>
              </w:rPr>
            </w:pPr>
          </w:p>
        </w:tc>
        <w:tc>
          <w:tcPr>
            <w:tcW w:w="743" w:type="dxa"/>
            <w:vMerge w:val="continue"/>
            <w:tcBorders>
              <w:top w:val="nil"/>
              <w:left w:val="single" w:color="000000" w:sz="8" w:space="0"/>
              <w:bottom w:val="single" w:color="000000" w:sz="8" w:space="0"/>
              <w:right w:val="single" w:color="000000" w:sz="8" w:space="0"/>
            </w:tcBorders>
            <w:shd w:val="clear" w:color="auto" w:fill="auto"/>
            <w:vAlign w:val="center"/>
          </w:tcPr>
          <w:p w14:paraId="66D0523A">
            <w:pPr>
              <w:jc w:val="center"/>
              <w:rPr>
                <w:rFonts w:hint="eastAsia" w:ascii="宋体" w:hAnsi="宋体" w:eastAsia="宋体" w:cs="宋体"/>
                <w:i w:val="0"/>
                <w:iCs w:val="0"/>
                <w:color w:val="000000"/>
                <w:sz w:val="24"/>
                <w:szCs w:val="24"/>
                <w:u w:val="none"/>
              </w:rPr>
            </w:pPr>
          </w:p>
        </w:tc>
        <w:tc>
          <w:tcPr>
            <w:tcW w:w="671" w:type="dxa"/>
            <w:vMerge w:val="continue"/>
            <w:tcBorders>
              <w:top w:val="nil"/>
              <w:left w:val="single" w:color="000000" w:sz="8" w:space="0"/>
              <w:bottom w:val="single" w:color="000000" w:sz="8" w:space="0"/>
              <w:right w:val="single" w:color="000000" w:sz="8" w:space="0"/>
            </w:tcBorders>
            <w:shd w:val="clear" w:color="auto" w:fill="auto"/>
            <w:vAlign w:val="center"/>
          </w:tcPr>
          <w:p w14:paraId="697784DB">
            <w:pPr>
              <w:jc w:val="center"/>
              <w:rPr>
                <w:rFonts w:hint="eastAsia" w:ascii="宋体" w:hAnsi="宋体" w:eastAsia="宋体" w:cs="宋体"/>
                <w:i w:val="0"/>
                <w:iCs w:val="0"/>
                <w:color w:val="000000"/>
                <w:sz w:val="24"/>
                <w:szCs w:val="24"/>
                <w:u w:val="none"/>
              </w:rPr>
            </w:pPr>
          </w:p>
        </w:tc>
      </w:tr>
      <w:tr w14:paraId="4AA82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nil"/>
              <w:left w:val="single" w:color="000000" w:sz="8" w:space="0"/>
              <w:bottom w:val="single" w:color="000000" w:sz="8" w:space="0"/>
              <w:right w:val="single" w:color="000000" w:sz="8" w:space="0"/>
            </w:tcBorders>
            <w:shd w:val="clear" w:color="auto" w:fill="auto"/>
            <w:vAlign w:val="center"/>
          </w:tcPr>
          <w:p w14:paraId="6CD4A095">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7C7F5464">
            <w:pPr>
              <w:jc w:val="center"/>
              <w:rPr>
                <w:rFonts w:hint="eastAsia" w:ascii="宋体" w:hAnsi="宋体" w:eastAsia="宋体" w:cs="宋体"/>
                <w:i w:val="0"/>
                <w:iCs w:val="0"/>
                <w:color w:val="FF0000"/>
                <w:sz w:val="24"/>
                <w:szCs w:val="24"/>
                <w:u w:val="none"/>
              </w:rPr>
            </w:pPr>
          </w:p>
        </w:tc>
        <w:tc>
          <w:tcPr>
            <w:tcW w:w="1105" w:type="dxa"/>
            <w:vMerge w:val="continue"/>
            <w:tcBorders>
              <w:top w:val="nil"/>
              <w:left w:val="single" w:color="000000" w:sz="8" w:space="0"/>
              <w:bottom w:val="single" w:color="000000" w:sz="8" w:space="0"/>
              <w:right w:val="single" w:color="000000" w:sz="8" w:space="0"/>
            </w:tcBorders>
            <w:shd w:val="clear" w:color="auto" w:fill="auto"/>
            <w:vAlign w:val="center"/>
          </w:tcPr>
          <w:p w14:paraId="5E508656">
            <w:pPr>
              <w:jc w:val="center"/>
              <w:rPr>
                <w:rFonts w:hint="eastAsia" w:ascii="宋体" w:hAnsi="宋体" w:eastAsia="宋体" w:cs="宋体"/>
                <w:i w:val="0"/>
                <w:iCs w:val="0"/>
                <w:color w:val="000000"/>
                <w:sz w:val="24"/>
                <w:szCs w:val="24"/>
                <w:u w:val="none"/>
              </w:rPr>
            </w:pPr>
          </w:p>
        </w:tc>
        <w:tc>
          <w:tcPr>
            <w:tcW w:w="7180" w:type="dxa"/>
            <w:vMerge w:val="continue"/>
            <w:tcBorders>
              <w:top w:val="nil"/>
              <w:left w:val="single" w:color="000000" w:sz="8" w:space="0"/>
              <w:bottom w:val="single" w:color="000000" w:sz="8" w:space="0"/>
              <w:right w:val="single" w:color="000000" w:sz="8" w:space="0"/>
            </w:tcBorders>
            <w:shd w:val="clear" w:color="auto" w:fill="auto"/>
            <w:vAlign w:val="top"/>
          </w:tcPr>
          <w:p w14:paraId="573DB768">
            <w:pPr>
              <w:jc w:val="left"/>
              <w:rPr>
                <w:rFonts w:hint="eastAsia" w:ascii="宋体" w:hAnsi="宋体" w:eastAsia="宋体" w:cs="宋体"/>
                <w:i w:val="0"/>
                <w:iCs w:val="0"/>
                <w:color w:val="000000"/>
                <w:sz w:val="24"/>
                <w:szCs w:val="24"/>
                <w:u w:val="none"/>
              </w:rPr>
            </w:pPr>
          </w:p>
        </w:tc>
        <w:tc>
          <w:tcPr>
            <w:tcW w:w="743" w:type="dxa"/>
            <w:vMerge w:val="continue"/>
            <w:tcBorders>
              <w:top w:val="nil"/>
              <w:left w:val="single" w:color="000000" w:sz="8" w:space="0"/>
              <w:bottom w:val="single" w:color="000000" w:sz="8" w:space="0"/>
              <w:right w:val="single" w:color="000000" w:sz="8" w:space="0"/>
            </w:tcBorders>
            <w:shd w:val="clear" w:color="auto" w:fill="auto"/>
            <w:vAlign w:val="center"/>
          </w:tcPr>
          <w:p w14:paraId="71E34B5A">
            <w:pPr>
              <w:jc w:val="center"/>
              <w:rPr>
                <w:rFonts w:hint="eastAsia" w:ascii="宋体" w:hAnsi="宋体" w:eastAsia="宋体" w:cs="宋体"/>
                <w:i w:val="0"/>
                <w:iCs w:val="0"/>
                <w:color w:val="000000"/>
                <w:sz w:val="24"/>
                <w:szCs w:val="24"/>
                <w:u w:val="none"/>
              </w:rPr>
            </w:pPr>
          </w:p>
        </w:tc>
        <w:tc>
          <w:tcPr>
            <w:tcW w:w="671" w:type="dxa"/>
            <w:vMerge w:val="continue"/>
            <w:tcBorders>
              <w:top w:val="nil"/>
              <w:left w:val="single" w:color="000000" w:sz="8" w:space="0"/>
              <w:bottom w:val="single" w:color="000000" w:sz="8" w:space="0"/>
              <w:right w:val="single" w:color="000000" w:sz="8" w:space="0"/>
            </w:tcBorders>
            <w:shd w:val="clear" w:color="auto" w:fill="auto"/>
            <w:vAlign w:val="center"/>
          </w:tcPr>
          <w:p w14:paraId="063EA75A">
            <w:pPr>
              <w:jc w:val="center"/>
              <w:rPr>
                <w:rFonts w:hint="eastAsia" w:ascii="宋体" w:hAnsi="宋体" w:eastAsia="宋体" w:cs="宋体"/>
                <w:i w:val="0"/>
                <w:iCs w:val="0"/>
                <w:color w:val="000000"/>
                <w:sz w:val="24"/>
                <w:szCs w:val="24"/>
                <w:u w:val="none"/>
              </w:rPr>
            </w:pPr>
          </w:p>
        </w:tc>
      </w:tr>
      <w:tr w14:paraId="73EA0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nil"/>
              <w:left w:val="single" w:color="000000" w:sz="8" w:space="0"/>
              <w:bottom w:val="single" w:color="000000" w:sz="8" w:space="0"/>
              <w:right w:val="single" w:color="000000" w:sz="8" w:space="0"/>
            </w:tcBorders>
            <w:shd w:val="clear" w:color="auto" w:fill="auto"/>
            <w:vAlign w:val="center"/>
          </w:tcPr>
          <w:p w14:paraId="6963554F">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34F21B35">
            <w:pPr>
              <w:jc w:val="center"/>
              <w:rPr>
                <w:rFonts w:hint="eastAsia" w:ascii="宋体" w:hAnsi="宋体" w:eastAsia="宋体" w:cs="宋体"/>
                <w:i w:val="0"/>
                <w:iCs w:val="0"/>
                <w:color w:val="FF0000"/>
                <w:sz w:val="24"/>
                <w:szCs w:val="24"/>
                <w:u w:val="none"/>
              </w:rPr>
            </w:pPr>
          </w:p>
        </w:tc>
        <w:tc>
          <w:tcPr>
            <w:tcW w:w="1105" w:type="dxa"/>
            <w:vMerge w:val="continue"/>
            <w:tcBorders>
              <w:top w:val="nil"/>
              <w:left w:val="single" w:color="000000" w:sz="8" w:space="0"/>
              <w:bottom w:val="single" w:color="000000" w:sz="8" w:space="0"/>
              <w:right w:val="single" w:color="000000" w:sz="8" w:space="0"/>
            </w:tcBorders>
            <w:shd w:val="clear" w:color="auto" w:fill="auto"/>
            <w:vAlign w:val="center"/>
          </w:tcPr>
          <w:p w14:paraId="5DE2A78F">
            <w:pPr>
              <w:jc w:val="center"/>
              <w:rPr>
                <w:rFonts w:hint="eastAsia" w:ascii="宋体" w:hAnsi="宋体" w:eastAsia="宋体" w:cs="宋体"/>
                <w:i w:val="0"/>
                <w:iCs w:val="0"/>
                <w:color w:val="000000"/>
                <w:sz w:val="24"/>
                <w:szCs w:val="24"/>
                <w:u w:val="none"/>
              </w:rPr>
            </w:pPr>
          </w:p>
        </w:tc>
        <w:tc>
          <w:tcPr>
            <w:tcW w:w="7180" w:type="dxa"/>
            <w:vMerge w:val="continue"/>
            <w:tcBorders>
              <w:top w:val="nil"/>
              <w:left w:val="single" w:color="000000" w:sz="8" w:space="0"/>
              <w:bottom w:val="single" w:color="000000" w:sz="8" w:space="0"/>
              <w:right w:val="single" w:color="000000" w:sz="8" w:space="0"/>
            </w:tcBorders>
            <w:shd w:val="clear" w:color="auto" w:fill="auto"/>
            <w:vAlign w:val="top"/>
          </w:tcPr>
          <w:p w14:paraId="57152742">
            <w:pPr>
              <w:jc w:val="left"/>
              <w:rPr>
                <w:rFonts w:hint="eastAsia" w:ascii="宋体" w:hAnsi="宋体" w:eastAsia="宋体" w:cs="宋体"/>
                <w:i w:val="0"/>
                <w:iCs w:val="0"/>
                <w:color w:val="000000"/>
                <w:sz w:val="24"/>
                <w:szCs w:val="24"/>
                <w:u w:val="none"/>
              </w:rPr>
            </w:pPr>
          </w:p>
        </w:tc>
        <w:tc>
          <w:tcPr>
            <w:tcW w:w="743" w:type="dxa"/>
            <w:vMerge w:val="continue"/>
            <w:tcBorders>
              <w:top w:val="nil"/>
              <w:left w:val="single" w:color="000000" w:sz="8" w:space="0"/>
              <w:bottom w:val="single" w:color="000000" w:sz="8" w:space="0"/>
              <w:right w:val="single" w:color="000000" w:sz="8" w:space="0"/>
            </w:tcBorders>
            <w:shd w:val="clear" w:color="auto" w:fill="auto"/>
            <w:vAlign w:val="center"/>
          </w:tcPr>
          <w:p w14:paraId="59E446CF">
            <w:pPr>
              <w:jc w:val="center"/>
              <w:rPr>
                <w:rFonts w:hint="eastAsia" w:ascii="宋体" w:hAnsi="宋体" w:eastAsia="宋体" w:cs="宋体"/>
                <w:i w:val="0"/>
                <w:iCs w:val="0"/>
                <w:color w:val="000000"/>
                <w:sz w:val="24"/>
                <w:szCs w:val="24"/>
                <w:u w:val="none"/>
              </w:rPr>
            </w:pPr>
          </w:p>
        </w:tc>
        <w:tc>
          <w:tcPr>
            <w:tcW w:w="671" w:type="dxa"/>
            <w:vMerge w:val="continue"/>
            <w:tcBorders>
              <w:top w:val="nil"/>
              <w:left w:val="single" w:color="000000" w:sz="8" w:space="0"/>
              <w:bottom w:val="single" w:color="000000" w:sz="8" w:space="0"/>
              <w:right w:val="single" w:color="000000" w:sz="8" w:space="0"/>
            </w:tcBorders>
            <w:shd w:val="clear" w:color="auto" w:fill="auto"/>
            <w:vAlign w:val="center"/>
          </w:tcPr>
          <w:p w14:paraId="0A887A1A">
            <w:pPr>
              <w:jc w:val="center"/>
              <w:rPr>
                <w:rFonts w:hint="eastAsia" w:ascii="宋体" w:hAnsi="宋体" w:eastAsia="宋体" w:cs="宋体"/>
                <w:i w:val="0"/>
                <w:iCs w:val="0"/>
                <w:color w:val="000000"/>
                <w:sz w:val="24"/>
                <w:szCs w:val="24"/>
                <w:u w:val="none"/>
              </w:rPr>
            </w:pPr>
          </w:p>
        </w:tc>
      </w:tr>
      <w:tr w14:paraId="42989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nil"/>
              <w:left w:val="single" w:color="000000" w:sz="8" w:space="0"/>
              <w:bottom w:val="single" w:color="000000" w:sz="8" w:space="0"/>
              <w:right w:val="single" w:color="000000" w:sz="8" w:space="0"/>
            </w:tcBorders>
            <w:shd w:val="clear" w:color="auto" w:fill="auto"/>
            <w:vAlign w:val="center"/>
          </w:tcPr>
          <w:p w14:paraId="39162510">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3E3D7D6E">
            <w:pPr>
              <w:jc w:val="center"/>
              <w:rPr>
                <w:rFonts w:hint="eastAsia" w:ascii="宋体" w:hAnsi="宋体" w:eastAsia="宋体" w:cs="宋体"/>
                <w:i w:val="0"/>
                <w:iCs w:val="0"/>
                <w:color w:val="FF0000"/>
                <w:sz w:val="24"/>
                <w:szCs w:val="24"/>
                <w:u w:val="none"/>
              </w:rPr>
            </w:pPr>
          </w:p>
        </w:tc>
        <w:tc>
          <w:tcPr>
            <w:tcW w:w="1105" w:type="dxa"/>
            <w:vMerge w:val="continue"/>
            <w:tcBorders>
              <w:top w:val="nil"/>
              <w:left w:val="single" w:color="000000" w:sz="8" w:space="0"/>
              <w:bottom w:val="single" w:color="000000" w:sz="8" w:space="0"/>
              <w:right w:val="single" w:color="000000" w:sz="8" w:space="0"/>
            </w:tcBorders>
            <w:shd w:val="clear" w:color="auto" w:fill="auto"/>
            <w:vAlign w:val="center"/>
          </w:tcPr>
          <w:p w14:paraId="03487F95">
            <w:pPr>
              <w:jc w:val="center"/>
              <w:rPr>
                <w:rFonts w:hint="eastAsia" w:ascii="宋体" w:hAnsi="宋体" w:eastAsia="宋体" w:cs="宋体"/>
                <w:i w:val="0"/>
                <w:iCs w:val="0"/>
                <w:color w:val="000000"/>
                <w:sz w:val="24"/>
                <w:szCs w:val="24"/>
                <w:u w:val="none"/>
              </w:rPr>
            </w:pPr>
          </w:p>
        </w:tc>
        <w:tc>
          <w:tcPr>
            <w:tcW w:w="7180" w:type="dxa"/>
            <w:vMerge w:val="continue"/>
            <w:tcBorders>
              <w:top w:val="nil"/>
              <w:left w:val="single" w:color="000000" w:sz="8" w:space="0"/>
              <w:bottom w:val="single" w:color="000000" w:sz="8" w:space="0"/>
              <w:right w:val="single" w:color="000000" w:sz="8" w:space="0"/>
            </w:tcBorders>
            <w:shd w:val="clear" w:color="auto" w:fill="auto"/>
            <w:vAlign w:val="top"/>
          </w:tcPr>
          <w:p w14:paraId="76333E0D">
            <w:pPr>
              <w:jc w:val="left"/>
              <w:rPr>
                <w:rFonts w:hint="eastAsia" w:ascii="宋体" w:hAnsi="宋体" w:eastAsia="宋体" w:cs="宋体"/>
                <w:i w:val="0"/>
                <w:iCs w:val="0"/>
                <w:color w:val="000000"/>
                <w:sz w:val="24"/>
                <w:szCs w:val="24"/>
                <w:u w:val="none"/>
              </w:rPr>
            </w:pPr>
          </w:p>
        </w:tc>
        <w:tc>
          <w:tcPr>
            <w:tcW w:w="743" w:type="dxa"/>
            <w:vMerge w:val="continue"/>
            <w:tcBorders>
              <w:top w:val="nil"/>
              <w:left w:val="single" w:color="000000" w:sz="8" w:space="0"/>
              <w:bottom w:val="single" w:color="000000" w:sz="8" w:space="0"/>
              <w:right w:val="single" w:color="000000" w:sz="8" w:space="0"/>
            </w:tcBorders>
            <w:shd w:val="clear" w:color="auto" w:fill="auto"/>
            <w:vAlign w:val="center"/>
          </w:tcPr>
          <w:p w14:paraId="1F71A0F5">
            <w:pPr>
              <w:jc w:val="center"/>
              <w:rPr>
                <w:rFonts w:hint="eastAsia" w:ascii="宋体" w:hAnsi="宋体" w:eastAsia="宋体" w:cs="宋体"/>
                <w:i w:val="0"/>
                <w:iCs w:val="0"/>
                <w:color w:val="000000"/>
                <w:sz w:val="24"/>
                <w:szCs w:val="24"/>
                <w:u w:val="none"/>
              </w:rPr>
            </w:pPr>
          </w:p>
        </w:tc>
        <w:tc>
          <w:tcPr>
            <w:tcW w:w="671" w:type="dxa"/>
            <w:vMerge w:val="continue"/>
            <w:tcBorders>
              <w:top w:val="nil"/>
              <w:left w:val="single" w:color="000000" w:sz="8" w:space="0"/>
              <w:bottom w:val="single" w:color="000000" w:sz="8" w:space="0"/>
              <w:right w:val="single" w:color="000000" w:sz="8" w:space="0"/>
            </w:tcBorders>
            <w:shd w:val="clear" w:color="auto" w:fill="auto"/>
            <w:vAlign w:val="center"/>
          </w:tcPr>
          <w:p w14:paraId="42177E32">
            <w:pPr>
              <w:jc w:val="center"/>
              <w:rPr>
                <w:rFonts w:hint="eastAsia" w:ascii="宋体" w:hAnsi="宋体" w:eastAsia="宋体" w:cs="宋体"/>
                <w:i w:val="0"/>
                <w:iCs w:val="0"/>
                <w:color w:val="000000"/>
                <w:sz w:val="24"/>
                <w:szCs w:val="24"/>
                <w:u w:val="none"/>
              </w:rPr>
            </w:pPr>
          </w:p>
        </w:tc>
      </w:tr>
      <w:tr w14:paraId="72801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30" w:type="dxa"/>
            <w:vMerge w:val="continue"/>
            <w:tcBorders>
              <w:top w:val="nil"/>
              <w:left w:val="single" w:color="000000" w:sz="8" w:space="0"/>
              <w:bottom w:val="single" w:color="000000" w:sz="8" w:space="0"/>
              <w:right w:val="single" w:color="000000" w:sz="8" w:space="0"/>
            </w:tcBorders>
            <w:shd w:val="clear" w:color="auto" w:fill="auto"/>
            <w:vAlign w:val="center"/>
          </w:tcPr>
          <w:p w14:paraId="251E9270">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293B38E5">
            <w:pPr>
              <w:jc w:val="center"/>
              <w:rPr>
                <w:rFonts w:hint="eastAsia" w:ascii="宋体" w:hAnsi="宋体" w:eastAsia="宋体" w:cs="宋体"/>
                <w:i w:val="0"/>
                <w:iCs w:val="0"/>
                <w:color w:val="FF0000"/>
                <w:sz w:val="24"/>
                <w:szCs w:val="24"/>
                <w:u w:val="none"/>
              </w:rPr>
            </w:pPr>
          </w:p>
        </w:tc>
        <w:tc>
          <w:tcPr>
            <w:tcW w:w="1105" w:type="dxa"/>
            <w:vMerge w:val="continue"/>
            <w:tcBorders>
              <w:top w:val="nil"/>
              <w:left w:val="single" w:color="000000" w:sz="8" w:space="0"/>
              <w:bottom w:val="single" w:color="000000" w:sz="8" w:space="0"/>
              <w:right w:val="single" w:color="000000" w:sz="8" w:space="0"/>
            </w:tcBorders>
            <w:shd w:val="clear" w:color="auto" w:fill="auto"/>
            <w:vAlign w:val="center"/>
          </w:tcPr>
          <w:p w14:paraId="2B673E99">
            <w:pPr>
              <w:jc w:val="center"/>
              <w:rPr>
                <w:rFonts w:hint="eastAsia" w:ascii="宋体" w:hAnsi="宋体" w:eastAsia="宋体" w:cs="宋体"/>
                <w:i w:val="0"/>
                <w:iCs w:val="0"/>
                <w:color w:val="000000"/>
                <w:sz w:val="24"/>
                <w:szCs w:val="24"/>
                <w:u w:val="none"/>
              </w:rPr>
            </w:pPr>
          </w:p>
        </w:tc>
        <w:tc>
          <w:tcPr>
            <w:tcW w:w="7180" w:type="dxa"/>
            <w:vMerge w:val="continue"/>
            <w:tcBorders>
              <w:top w:val="nil"/>
              <w:left w:val="single" w:color="000000" w:sz="8" w:space="0"/>
              <w:bottom w:val="single" w:color="000000" w:sz="8" w:space="0"/>
              <w:right w:val="single" w:color="000000" w:sz="8" w:space="0"/>
            </w:tcBorders>
            <w:shd w:val="clear" w:color="auto" w:fill="auto"/>
            <w:vAlign w:val="top"/>
          </w:tcPr>
          <w:p w14:paraId="282E130E">
            <w:pPr>
              <w:jc w:val="left"/>
              <w:rPr>
                <w:rFonts w:hint="eastAsia" w:ascii="宋体" w:hAnsi="宋体" w:eastAsia="宋体" w:cs="宋体"/>
                <w:i w:val="0"/>
                <w:iCs w:val="0"/>
                <w:color w:val="000000"/>
                <w:sz w:val="24"/>
                <w:szCs w:val="24"/>
                <w:u w:val="none"/>
              </w:rPr>
            </w:pPr>
          </w:p>
        </w:tc>
        <w:tc>
          <w:tcPr>
            <w:tcW w:w="743" w:type="dxa"/>
            <w:vMerge w:val="continue"/>
            <w:tcBorders>
              <w:top w:val="nil"/>
              <w:left w:val="single" w:color="000000" w:sz="8" w:space="0"/>
              <w:bottom w:val="single" w:color="000000" w:sz="8" w:space="0"/>
              <w:right w:val="single" w:color="000000" w:sz="8" w:space="0"/>
            </w:tcBorders>
            <w:shd w:val="clear" w:color="auto" w:fill="auto"/>
            <w:vAlign w:val="center"/>
          </w:tcPr>
          <w:p w14:paraId="41F9986B">
            <w:pPr>
              <w:jc w:val="center"/>
              <w:rPr>
                <w:rFonts w:hint="eastAsia" w:ascii="宋体" w:hAnsi="宋体" w:eastAsia="宋体" w:cs="宋体"/>
                <w:i w:val="0"/>
                <w:iCs w:val="0"/>
                <w:color w:val="000000"/>
                <w:sz w:val="24"/>
                <w:szCs w:val="24"/>
                <w:u w:val="none"/>
              </w:rPr>
            </w:pPr>
          </w:p>
        </w:tc>
        <w:tc>
          <w:tcPr>
            <w:tcW w:w="671" w:type="dxa"/>
            <w:vMerge w:val="continue"/>
            <w:tcBorders>
              <w:top w:val="nil"/>
              <w:left w:val="single" w:color="000000" w:sz="8" w:space="0"/>
              <w:bottom w:val="single" w:color="000000" w:sz="8" w:space="0"/>
              <w:right w:val="single" w:color="000000" w:sz="8" w:space="0"/>
            </w:tcBorders>
            <w:shd w:val="clear" w:color="auto" w:fill="auto"/>
            <w:vAlign w:val="center"/>
          </w:tcPr>
          <w:p w14:paraId="66CDA880">
            <w:pPr>
              <w:jc w:val="center"/>
              <w:rPr>
                <w:rFonts w:hint="eastAsia" w:ascii="宋体" w:hAnsi="宋体" w:eastAsia="宋体" w:cs="宋体"/>
                <w:i w:val="0"/>
                <w:iCs w:val="0"/>
                <w:color w:val="000000"/>
                <w:sz w:val="24"/>
                <w:szCs w:val="24"/>
                <w:u w:val="none"/>
              </w:rPr>
            </w:pPr>
          </w:p>
        </w:tc>
      </w:tr>
      <w:tr w14:paraId="619DE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nil"/>
              <w:left w:val="single" w:color="000000" w:sz="8" w:space="0"/>
              <w:bottom w:val="single" w:color="000000" w:sz="8" w:space="0"/>
              <w:right w:val="single" w:color="000000" w:sz="8" w:space="0"/>
            </w:tcBorders>
            <w:shd w:val="clear" w:color="auto" w:fill="auto"/>
            <w:vAlign w:val="center"/>
          </w:tcPr>
          <w:p w14:paraId="44BB1896">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1AE80F75">
            <w:pPr>
              <w:jc w:val="center"/>
              <w:rPr>
                <w:rFonts w:hint="eastAsia" w:ascii="宋体" w:hAnsi="宋体" w:eastAsia="宋体" w:cs="宋体"/>
                <w:i w:val="0"/>
                <w:iCs w:val="0"/>
                <w:color w:val="FF0000"/>
                <w:sz w:val="24"/>
                <w:szCs w:val="24"/>
                <w:u w:val="none"/>
              </w:rPr>
            </w:pPr>
          </w:p>
        </w:tc>
        <w:tc>
          <w:tcPr>
            <w:tcW w:w="1105" w:type="dxa"/>
            <w:vMerge w:val="continue"/>
            <w:tcBorders>
              <w:top w:val="nil"/>
              <w:left w:val="single" w:color="000000" w:sz="8" w:space="0"/>
              <w:bottom w:val="single" w:color="000000" w:sz="8" w:space="0"/>
              <w:right w:val="single" w:color="000000" w:sz="8" w:space="0"/>
            </w:tcBorders>
            <w:shd w:val="clear" w:color="auto" w:fill="auto"/>
            <w:vAlign w:val="center"/>
          </w:tcPr>
          <w:p w14:paraId="6813A0D1">
            <w:pPr>
              <w:jc w:val="center"/>
              <w:rPr>
                <w:rFonts w:hint="eastAsia" w:ascii="宋体" w:hAnsi="宋体" w:eastAsia="宋体" w:cs="宋体"/>
                <w:i w:val="0"/>
                <w:iCs w:val="0"/>
                <w:color w:val="000000"/>
                <w:sz w:val="24"/>
                <w:szCs w:val="24"/>
                <w:u w:val="none"/>
              </w:rPr>
            </w:pPr>
          </w:p>
        </w:tc>
        <w:tc>
          <w:tcPr>
            <w:tcW w:w="7180" w:type="dxa"/>
            <w:vMerge w:val="continue"/>
            <w:tcBorders>
              <w:top w:val="nil"/>
              <w:left w:val="single" w:color="000000" w:sz="8" w:space="0"/>
              <w:bottom w:val="single" w:color="000000" w:sz="8" w:space="0"/>
              <w:right w:val="single" w:color="000000" w:sz="8" w:space="0"/>
            </w:tcBorders>
            <w:shd w:val="clear" w:color="auto" w:fill="auto"/>
            <w:vAlign w:val="top"/>
          </w:tcPr>
          <w:p w14:paraId="5840D056">
            <w:pPr>
              <w:jc w:val="left"/>
              <w:rPr>
                <w:rFonts w:hint="eastAsia" w:ascii="宋体" w:hAnsi="宋体" w:eastAsia="宋体" w:cs="宋体"/>
                <w:i w:val="0"/>
                <w:iCs w:val="0"/>
                <w:color w:val="000000"/>
                <w:sz w:val="24"/>
                <w:szCs w:val="24"/>
                <w:u w:val="none"/>
              </w:rPr>
            </w:pPr>
          </w:p>
        </w:tc>
        <w:tc>
          <w:tcPr>
            <w:tcW w:w="743" w:type="dxa"/>
            <w:vMerge w:val="continue"/>
            <w:tcBorders>
              <w:top w:val="nil"/>
              <w:left w:val="single" w:color="000000" w:sz="8" w:space="0"/>
              <w:bottom w:val="single" w:color="000000" w:sz="8" w:space="0"/>
              <w:right w:val="single" w:color="000000" w:sz="8" w:space="0"/>
            </w:tcBorders>
            <w:shd w:val="clear" w:color="auto" w:fill="auto"/>
            <w:vAlign w:val="center"/>
          </w:tcPr>
          <w:p w14:paraId="2F1EC167">
            <w:pPr>
              <w:jc w:val="center"/>
              <w:rPr>
                <w:rFonts w:hint="eastAsia" w:ascii="宋体" w:hAnsi="宋体" w:eastAsia="宋体" w:cs="宋体"/>
                <w:i w:val="0"/>
                <w:iCs w:val="0"/>
                <w:color w:val="000000"/>
                <w:sz w:val="24"/>
                <w:szCs w:val="24"/>
                <w:u w:val="none"/>
              </w:rPr>
            </w:pPr>
          </w:p>
        </w:tc>
        <w:tc>
          <w:tcPr>
            <w:tcW w:w="671" w:type="dxa"/>
            <w:vMerge w:val="continue"/>
            <w:tcBorders>
              <w:top w:val="nil"/>
              <w:left w:val="single" w:color="000000" w:sz="8" w:space="0"/>
              <w:bottom w:val="single" w:color="000000" w:sz="8" w:space="0"/>
              <w:right w:val="single" w:color="000000" w:sz="8" w:space="0"/>
            </w:tcBorders>
            <w:shd w:val="clear" w:color="auto" w:fill="auto"/>
            <w:vAlign w:val="center"/>
          </w:tcPr>
          <w:p w14:paraId="1784FE49">
            <w:pPr>
              <w:jc w:val="center"/>
              <w:rPr>
                <w:rFonts w:hint="eastAsia" w:ascii="宋体" w:hAnsi="宋体" w:eastAsia="宋体" w:cs="宋体"/>
                <w:i w:val="0"/>
                <w:iCs w:val="0"/>
                <w:color w:val="000000"/>
                <w:sz w:val="24"/>
                <w:szCs w:val="24"/>
                <w:u w:val="none"/>
              </w:rPr>
            </w:pPr>
          </w:p>
        </w:tc>
      </w:tr>
      <w:tr w14:paraId="651C3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30"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46F596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2C5B73F9">
            <w:pPr>
              <w:jc w:val="center"/>
              <w:rPr>
                <w:rFonts w:hint="eastAsia" w:ascii="宋体" w:hAnsi="宋体" w:eastAsia="宋体" w:cs="宋体"/>
                <w:i w:val="0"/>
                <w:iCs w:val="0"/>
                <w:color w:val="FF0000"/>
                <w:sz w:val="24"/>
                <w:szCs w:val="24"/>
                <w:u w:val="none"/>
              </w:rPr>
            </w:pPr>
          </w:p>
        </w:tc>
        <w:tc>
          <w:tcPr>
            <w:tcW w:w="110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2EE5BE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教师机</w:t>
            </w:r>
          </w:p>
        </w:tc>
        <w:tc>
          <w:tcPr>
            <w:tcW w:w="7180" w:type="dxa"/>
            <w:vMerge w:val="restart"/>
            <w:tcBorders>
              <w:top w:val="single" w:color="000000" w:sz="8" w:space="0"/>
              <w:left w:val="single" w:color="000000" w:sz="8" w:space="0"/>
              <w:bottom w:val="single" w:color="000000" w:sz="8" w:space="0"/>
              <w:right w:val="single" w:color="000000" w:sz="8" w:space="0"/>
            </w:tcBorders>
            <w:shd w:val="clear" w:color="auto" w:fill="auto"/>
            <w:vAlign w:val="top"/>
          </w:tcPr>
          <w:p w14:paraId="030623BB">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 处理器 性能不低于6核心12线程、基础频率约2.5GHz、最大睿频约4.7GHz、缓存容量约20MB的桌面级处理器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 内存 32GB 四代内存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 存储 不小于1TB的M.2固态硬盘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 网络 集成千兆自适应有线网卡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 显卡 性能不低于8G显存、支持DirectX 12的独立显卡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 声卡 集成5.1声道音频输出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 显示器 不小于23.8英寸WLED屏，分辨率不低于2560×1440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 机箱电源 标准MATX立式机箱，电源额定功率不低于400W</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 输入外设 防水抗菌键盘、抗菌鼠标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 服务保障 硬件三年免费质保，第二自然日上门服务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 配套软件 Windows 11系统、教学实践类软件、电子教室教师端、系统还原软件教师端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随机软件：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1、系统软件Windows11、学生实习必备教学、实践软件</w:t>
            </w:r>
          </w:p>
        </w:tc>
        <w:tc>
          <w:tcPr>
            <w:tcW w:w="743"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1AE7EB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671"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1D9920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14:paraId="68DC9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8BC5AC1">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039C2A06">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CDD60E8">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6FAFF37F">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B3981BB">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5506398">
            <w:pPr>
              <w:jc w:val="center"/>
              <w:rPr>
                <w:rFonts w:hint="eastAsia" w:ascii="宋体" w:hAnsi="宋体" w:eastAsia="宋体" w:cs="宋体"/>
                <w:i w:val="0"/>
                <w:iCs w:val="0"/>
                <w:color w:val="000000"/>
                <w:sz w:val="24"/>
                <w:szCs w:val="24"/>
                <w:u w:val="none"/>
              </w:rPr>
            </w:pPr>
          </w:p>
        </w:tc>
      </w:tr>
      <w:tr w14:paraId="2A6B4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DF2DFC7">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2F53D290">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91E9913">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697D36BE">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8F4764D">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C1944AC">
            <w:pPr>
              <w:jc w:val="center"/>
              <w:rPr>
                <w:rFonts w:hint="eastAsia" w:ascii="宋体" w:hAnsi="宋体" w:eastAsia="宋体" w:cs="宋体"/>
                <w:i w:val="0"/>
                <w:iCs w:val="0"/>
                <w:color w:val="000000"/>
                <w:sz w:val="24"/>
                <w:szCs w:val="24"/>
                <w:u w:val="none"/>
              </w:rPr>
            </w:pPr>
          </w:p>
        </w:tc>
      </w:tr>
      <w:tr w14:paraId="177BC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5428CCF">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3E451AF6">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19B014A">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2F4E946E">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822E42E">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0B2D061">
            <w:pPr>
              <w:jc w:val="center"/>
              <w:rPr>
                <w:rFonts w:hint="eastAsia" w:ascii="宋体" w:hAnsi="宋体" w:eastAsia="宋体" w:cs="宋体"/>
                <w:i w:val="0"/>
                <w:iCs w:val="0"/>
                <w:color w:val="000000"/>
                <w:sz w:val="24"/>
                <w:szCs w:val="24"/>
                <w:u w:val="none"/>
              </w:rPr>
            </w:pPr>
          </w:p>
        </w:tc>
      </w:tr>
      <w:tr w14:paraId="5125D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7DD8D9B">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137ABC05">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D6F604C">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3A54A745">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497E21E">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2E175C5">
            <w:pPr>
              <w:jc w:val="center"/>
              <w:rPr>
                <w:rFonts w:hint="eastAsia" w:ascii="宋体" w:hAnsi="宋体" w:eastAsia="宋体" w:cs="宋体"/>
                <w:i w:val="0"/>
                <w:iCs w:val="0"/>
                <w:color w:val="000000"/>
                <w:sz w:val="24"/>
                <w:szCs w:val="24"/>
                <w:u w:val="none"/>
              </w:rPr>
            </w:pPr>
          </w:p>
        </w:tc>
      </w:tr>
      <w:tr w14:paraId="5E13A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19EA9B7">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603EAA57">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CC1DBE5">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533BB43F">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DFECC17">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D2C1D8D">
            <w:pPr>
              <w:jc w:val="center"/>
              <w:rPr>
                <w:rFonts w:hint="eastAsia" w:ascii="宋体" w:hAnsi="宋体" w:eastAsia="宋体" w:cs="宋体"/>
                <w:i w:val="0"/>
                <w:iCs w:val="0"/>
                <w:color w:val="000000"/>
                <w:sz w:val="24"/>
                <w:szCs w:val="24"/>
                <w:u w:val="none"/>
              </w:rPr>
            </w:pPr>
          </w:p>
        </w:tc>
      </w:tr>
      <w:tr w14:paraId="25A31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5A11D4A">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4A417669">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900CDF4">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2FE1E010">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3C068D4">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EF33F75">
            <w:pPr>
              <w:jc w:val="center"/>
              <w:rPr>
                <w:rFonts w:hint="eastAsia" w:ascii="宋体" w:hAnsi="宋体" w:eastAsia="宋体" w:cs="宋体"/>
                <w:i w:val="0"/>
                <w:iCs w:val="0"/>
                <w:color w:val="000000"/>
                <w:sz w:val="24"/>
                <w:szCs w:val="24"/>
                <w:u w:val="none"/>
              </w:rPr>
            </w:pPr>
          </w:p>
        </w:tc>
      </w:tr>
      <w:tr w14:paraId="5771C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B09A3AA">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66258777">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CF288EE">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71CC9B43">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7E489D8">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6AE7E5D">
            <w:pPr>
              <w:jc w:val="center"/>
              <w:rPr>
                <w:rFonts w:hint="eastAsia" w:ascii="宋体" w:hAnsi="宋体" w:eastAsia="宋体" w:cs="宋体"/>
                <w:i w:val="0"/>
                <w:iCs w:val="0"/>
                <w:color w:val="000000"/>
                <w:sz w:val="24"/>
                <w:szCs w:val="24"/>
                <w:u w:val="none"/>
              </w:rPr>
            </w:pPr>
          </w:p>
        </w:tc>
      </w:tr>
      <w:tr w14:paraId="754F3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6D7531B">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02580900">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0F74EC3">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2DAF1F9B">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7744C80">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E85E9BE">
            <w:pPr>
              <w:jc w:val="center"/>
              <w:rPr>
                <w:rFonts w:hint="eastAsia" w:ascii="宋体" w:hAnsi="宋体" w:eastAsia="宋体" w:cs="宋体"/>
                <w:i w:val="0"/>
                <w:iCs w:val="0"/>
                <w:color w:val="000000"/>
                <w:sz w:val="24"/>
                <w:szCs w:val="24"/>
                <w:u w:val="none"/>
              </w:rPr>
            </w:pPr>
          </w:p>
        </w:tc>
      </w:tr>
      <w:tr w14:paraId="0D6E1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F8B9FEB">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328ACC5A">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ED8DD4E">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47BB3B01">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0FD5925">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2094D55">
            <w:pPr>
              <w:jc w:val="center"/>
              <w:rPr>
                <w:rFonts w:hint="eastAsia" w:ascii="宋体" w:hAnsi="宋体" w:eastAsia="宋体" w:cs="宋体"/>
                <w:i w:val="0"/>
                <w:iCs w:val="0"/>
                <w:color w:val="000000"/>
                <w:sz w:val="24"/>
                <w:szCs w:val="24"/>
                <w:u w:val="none"/>
              </w:rPr>
            </w:pPr>
          </w:p>
        </w:tc>
      </w:tr>
      <w:tr w14:paraId="5B6E4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1539BB6">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5B215F3F">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1472B0D">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6F66E17C">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011B765">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D37E180">
            <w:pPr>
              <w:jc w:val="center"/>
              <w:rPr>
                <w:rFonts w:hint="eastAsia" w:ascii="宋体" w:hAnsi="宋体" w:eastAsia="宋体" w:cs="宋体"/>
                <w:i w:val="0"/>
                <w:iCs w:val="0"/>
                <w:color w:val="000000"/>
                <w:sz w:val="24"/>
                <w:szCs w:val="24"/>
                <w:u w:val="none"/>
              </w:rPr>
            </w:pPr>
          </w:p>
        </w:tc>
      </w:tr>
      <w:tr w14:paraId="004FA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50B43C2">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427BE4A9">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1AB4B74">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7AD582DF">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3831168">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9361C1B">
            <w:pPr>
              <w:jc w:val="center"/>
              <w:rPr>
                <w:rFonts w:hint="eastAsia" w:ascii="宋体" w:hAnsi="宋体" w:eastAsia="宋体" w:cs="宋体"/>
                <w:i w:val="0"/>
                <w:iCs w:val="0"/>
                <w:color w:val="000000"/>
                <w:sz w:val="24"/>
                <w:szCs w:val="24"/>
                <w:u w:val="none"/>
              </w:rPr>
            </w:pPr>
          </w:p>
        </w:tc>
      </w:tr>
      <w:tr w14:paraId="057FD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986D567">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0B60A82B">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A03ABF2">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7B3FE964">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E4129E6">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5F63B36">
            <w:pPr>
              <w:jc w:val="center"/>
              <w:rPr>
                <w:rFonts w:hint="eastAsia" w:ascii="宋体" w:hAnsi="宋体" w:eastAsia="宋体" w:cs="宋体"/>
                <w:i w:val="0"/>
                <w:iCs w:val="0"/>
                <w:color w:val="000000"/>
                <w:sz w:val="24"/>
                <w:szCs w:val="24"/>
                <w:u w:val="none"/>
              </w:rPr>
            </w:pPr>
          </w:p>
        </w:tc>
      </w:tr>
      <w:tr w14:paraId="0BC45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7C4FA18">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183D1AA6">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1A11380">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1EE9850C">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E0E39ED">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B24989F">
            <w:pPr>
              <w:jc w:val="center"/>
              <w:rPr>
                <w:rFonts w:hint="eastAsia" w:ascii="宋体" w:hAnsi="宋体" w:eastAsia="宋体" w:cs="宋体"/>
                <w:i w:val="0"/>
                <w:iCs w:val="0"/>
                <w:color w:val="000000"/>
                <w:sz w:val="24"/>
                <w:szCs w:val="24"/>
                <w:u w:val="none"/>
              </w:rPr>
            </w:pPr>
          </w:p>
        </w:tc>
      </w:tr>
      <w:tr w14:paraId="12143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CD6E778">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0F311FF2">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945CD6C">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785F3F69">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0C73326">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DB03FE1">
            <w:pPr>
              <w:jc w:val="center"/>
              <w:rPr>
                <w:rFonts w:hint="eastAsia" w:ascii="宋体" w:hAnsi="宋体" w:eastAsia="宋体" w:cs="宋体"/>
                <w:i w:val="0"/>
                <w:iCs w:val="0"/>
                <w:color w:val="000000"/>
                <w:sz w:val="24"/>
                <w:szCs w:val="24"/>
                <w:u w:val="none"/>
              </w:rPr>
            </w:pPr>
          </w:p>
        </w:tc>
      </w:tr>
      <w:tr w14:paraId="28E55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29B88D8">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091544C5">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7D56214">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7971595B">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9FF46BF">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56DA8CF">
            <w:pPr>
              <w:jc w:val="center"/>
              <w:rPr>
                <w:rFonts w:hint="eastAsia" w:ascii="宋体" w:hAnsi="宋体" w:eastAsia="宋体" w:cs="宋体"/>
                <w:i w:val="0"/>
                <w:iCs w:val="0"/>
                <w:color w:val="000000"/>
                <w:sz w:val="24"/>
                <w:szCs w:val="24"/>
                <w:u w:val="none"/>
              </w:rPr>
            </w:pPr>
          </w:p>
        </w:tc>
      </w:tr>
      <w:tr w14:paraId="59D3B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DCDA666">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7CCAF745">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74C1955">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43DD7F85">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47246DB">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C60D213">
            <w:pPr>
              <w:jc w:val="center"/>
              <w:rPr>
                <w:rFonts w:hint="eastAsia" w:ascii="宋体" w:hAnsi="宋体" w:eastAsia="宋体" w:cs="宋体"/>
                <w:i w:val="0"/>
                <w:iCs w:val="0"/>
                <w:color w:val="000000"/>
                <w:sz w:val="24"/>
                <w:szCs w:val="24"/>
                <w:u w:val="none"/>
              </w:rPr>
            </w:pPr>
          </w:p>
        </w:tc>
      </w:tr>
      <w:tr w14:paraId="7DD76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68CF6F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6EEE019B">
            <w:pPr>
              <w:jc w:val="center"/>
              <w:rPr>
                <w:rFonts w:hint="eastAsia" w:ascii="宋体" w:hAnsi="宋体" w:eastAsia="宋体" w:cs="宋体"/>
                <w:i w:val="0"/>
                <w:iCs w:val="0"/>
                <w:color w:val="FF0000"/>
                <w:sz w:val="24"/>
                <w:szCs w:val="24"/>
                <w:u w:val="none"/>
              </w:rPr>
            </w:pPr>
          </w:p>
        </w:tc>
        <w:tc>
          <w:tcPr>
            <w:tcW w:w="110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4A48BD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高配计算机</w:t>
            </w:r>
          </w:p>
        </w:tc>
        <w:tc>
          <w:tcPr>
            <w:tcW w:w="7180" w:type="dxa"/>
            <w:vMerge w:val="restart"/>
            <w:tcBorders>
              <w:top w:val="single" w:color="000000" w:sz="8" w:space="0"/>
              <w:left w:val="single" w:color="000000" w:sz="8" w:space="0"/>
              <w:bottom w:val="single" w:color="000000" w:sz="8" w:space="0"/>
              <w:right w:val="single" w:color="000000" w:sz="8" w:space="0"/>
            </w:tcBorders>
            <w:shd w:val="clear" w:color="auto" w:fill="auto"/>
            <w:vAlign w:val="top"/>
          </w:tcPr>
          <w:p w14:paraId="5AE69B69">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 处理器 性能不低于8核心16线程、基础频率约2.5GHz、最大睿频约5.0GHz、缓存容量约24MB的桌面级处理器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 内存 32GB 3600MHz四代内存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 存储 不小于1TB的M.2固态硬盘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 网络 集成千兆自适应有线网卡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 显卡 性能不低于16G显存、支持DirectX 12，独立显卡，流程运行视频制作渲染软件。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 声卡 集成7.1声道音频输出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 显示器 不小于23.8英寸WLED屏，分辨率不低于2560×1440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 机箱电源 标准MATX立式机箱，电源额定功率不低于600W</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 输入外设 防水抗菌键盘、抗菌鼠标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 服务保障 硬件三年免费质保，第二自然日上门服务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 配套软件 Windows 11系统、教学实践类软件、电子教室教师端、系统还原软件教师端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随机软件：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系统软件Windows11、学生实习必备教学、实践软件</w:t>
            </w:r>
          </w:p>
        </w:tc>
        <w:tc>
          <w:tcPr>
            <w:tcW w:w="743"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337A74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671"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1B386F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r>
      <w:tr w14:paraId="49EE8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2E6A8D2">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13A66655">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062F953">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003349C2">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07804A8">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7B80D62">
            <w:pPr>
              <w:jc w:val="center"/>
              <w:rPr>
                <w:rFonts w:hint="eastAsia" w:ascii="宋体" w:hAnsi="宋体" w:eastAsia="宋体" w:cs="宋体"/>
                <w:i w:val="0"/>
                <w:iCs w:val="0"/>
                <w:color w:val="000000"/>
                <w:sz w:val="24"/>
                <w:szCs w:val="24"/>
                <w:u w:val="none"/>
              </w:rPr>
            </w:pPr>
          </w:p>
        </w:tc>
      </w:tr>
      <w:tr w14:paraId="684D2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C05CD1D">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22A53C1F">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99DC898">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6378130C">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68EAA68">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1D790F0">
            <w:pPr>
              <w:jc w:val="center"/>
              <w:rPr>
                <w:rFonts w:hint="eastAsia" w:ascii="宋体" w:hAnsi="宋体" w:eastAsia="宋体" w:cs="宋体"/>
                <w:i w:val="0"/>
                <w:iCs w:val="0"/>
                <w:color w:val="000000"/>
                <w:sz w:val="24"/>
                <w:szCs w:val="24"/>
                <w:u w:val="none"/>
              </w:rPr>
            </w:pPr>
          </w:p>
        </w:tc>
      </w:tr>
      <w:tr w14:paraId="76CF9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9136B98">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118851E5">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0FBABC6">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4927EB39">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46F2C78">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2596776">
            <w:pPr>
              <w:jc w:val="center"/>
              <w:rPr>
                <w:rFonts w:hint="eastAsia" w:ascii="宋体" w:hAnsi="宋体" w:eastAsia="宋体" w:cs="宋体"/>
                <w:i w:val="0"/>
                <w:iCs w:val="0"/>
                <w:color w:val="000000"/>
                <w:sz w:val="24"/>
                <w:szCs w:val="24"/>
                <w:u w:val="none"/>
              </w:rPr>
            </w:pPr>
          </w:p>
        </w:tc>
      </w:tr>
      <w:tr w14:paraId="508B0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2D9CAB6">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1EE9FA5E">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6EC2ADC">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02EDE190">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501FC0C">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4C9E436">
            <w:pPr>
              <w:jc w:val="center"/>
              <w:rPr>
                <w:rFonts w:hint="eastAsia" w:ascii="宋体" w:hAnsi="宋体" w:eastAsia="宋体" w:cs="宋体"/>
                <w:i w:val="0"/>
                <w:iCs w:val="0"/>
                <w:color w:val="000000"/>
                <w:sz w:val="24"/>
                <w:szCs w:val="24"/>
                <w:u w:val="none"/>
              </w:rPr>
            </w:pPr>
          </w:p>
        </w:tc>
      </w:tr>
      <w:tr w14:paraId="7FE38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B7EA7CA">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0805EEFA">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C984E44">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063D40AB">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0AEC790">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E709367">
            <w:pPr>
              <w:jc w:val="center"/>
              <w:rPr>
                <w:rFonts w:hint="eastAsia" w:ascii="宋体" w:hAnsi="宋体" w:eastAsia="宋体" w:cs="宋体"/>
                <w:i w:val="0"/>
                <w:iCs w:val="0"/>
                <w:color w:val="000000"/>
                <w:sz w:val="24"/>
                <w:szCs w:val="24"/>
                <w:u w:val="none"/>
              </w:rPr>
            </w:pPr>
          </w:p>
        </w:tc>
      </w:tr>
      <w:tr w14:paraId="69D21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85CBA85">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0CFB752E">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20EAF76">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1152CB34">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D49E337">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67DD7DF">
            <w:pPr>
              <w:jc w:val="center"/>
              <w:rPr>
                <w:rFonts w:hint="eastAsia" w:ascii="宋体" w:hAnsi="宋体" w:eastAsia="宋体" w:cs="宋体"/>
                <w:i w:val="0"/>
                <w:iCs w:val="0"/>
                <w:color w:val="000000"/>
                <w:sz w:val="24"/>
                <w:szCs w:val="24"/>
                <w:u w:val="none"/>
              </w:rPr>
            </w:pPr>
          </w:p>
        </w:tc>
      </w:tr>
      <w:tr w14:paraId="03F27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98F288E">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3960F0D5">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175B087">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237F187E">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AE4CC0A">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38C0DA0">
            <w:pPr>
              <w:jc w:val="center"/>
              <w:rPr>
                <w:rFonts w:hint="eastAsia" w:ascii="宋体" w:hAnsi="宋体" w:eastAsia="宋体" w:cs="宋体"/>
                <w:i w:val="0"/>
                <w:iCs w:val="0"/>
                <w:color w:val="000000"/>
                <w:sz w:val="24"/>
                <w:szCs w:val="24"/>
                <w:u w:val="none"/>
              </w:rPr>
            </w:pPr>
          </w:p>
        </w:tc>
      </w:tr>
      <w:tr w14:paraId="0836B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7C4DE53">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538D5C64">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C40D2A1">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6A24BBC6">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9BD1B61">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B8C5F71">
            <w:pPr>
              <w:jc w:val="center"/>
              <w:rPr>
                <w:rFonts w:hint="eastAsia" w:ascii="宋体" w:hAnsi="宋体" w:eastAsia="宋体" w:cs="宋体"/>
                <w:i w:val="0"/>
                <w:iCs w:val="0"/>
                <w:color w:val="000000"/>
                <w:sz w:val="24"/>
                <w:szCs w:val="24"/>
                <w:u w:val="none"/>
              </w:rPr>
            </w:pPr>
          </w:p>
        </w:tc>
      </w:tr>
      <w:tr w14:paraId="790EC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B8E78E1">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3903862F">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B033820">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1E1A25E1">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3262D6E">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1B7934E">
            <w:pPr>
              <w:jc w:val="center"/>
              <w:rPr>
                <w:rFonts w:hint="eastAsia" w:ascii="宋体" w:hAnsi="宋体" w:eastAsia="宋体" w:cs="宋体"/>
                <w:i w:val="0"/>
                <w:iCs w:val="0"/>
                <w:color w:val="000000"/>
                <w:sz w:val="24"/>
                <w:szCs w:val="24"/>
                <w:u w:val="none"/>
              </w:rPr>
            </w:pPr>
          </w:p>
        </w:tc>
      </w:tr>
      <w:tr w14:paraId="757F8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E5FEC44">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2F45C9A0">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B8412CC">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09684E90">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32D325A">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78DB3D7">
            <w:pPr>
              <w:jc w:val="center"/>
              <w:rPr>
                <w:rFonts w:hint="eastAsia" w:ascii="宋体" w:hAnsi="宋体" w:eastAsia="宋体" w:cs="宋体"/>
                <w:i w:val="0"/>
                <w:iCs w:val="0"/>
                <w:color w:val="000000"/>
                <w:sz w:val="24"/>
                <w:szCs w:val="24"/>
                <w:u w:val="none"/>
              </w:rPr>
            </w:pPr>
          </w:p>
        </w:tc>
      </w:tr>
      <w:tr w14:paraId="6AF6C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01BB644">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481D6926">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35F1678">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0EE3D53D">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AD5C41F">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5E9139A">
            <w:pPr>
              <w:jc w:val="center"/>
              <w:rPr>
                <w:rFonts w:hint="eastAsia" w:ascii="宋体" w:hAnsi="宋体" w:eastAsia="宋体" w:cs="宋体"/>
                <w:i w:val="0"/>
                <w:iCs w:val="0"/>
                <w:color w:val="000000"/>
                <w:sz w:val="24"/>
                <w:szCs w:val="24"/>
                <w:u w:val="none"/>
              </w:rPr>
            </w:pPr>
          </w:p>
        </w:tc>
      </w:tr>
      <w:tr w14:paraId="7141D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D5C3EA4">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127A1BCF">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B0C460C">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0A0D9515">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83CF023">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BB9CDE2">
            <w:pPr>
              <w:jc w:val="center"/>
              <w:rPr>
                <w:rFonts w:hint="eastAsia" w:ascii="宋体" w:hAnsi="宋体" w:eastAsia="宋体" w:cs="宋体"/>
                <w:i w:val="0"/>
                <w:iCs w:val="0"/>
                <w:color w:val="000000"/>
                <w:sz w:val="24"/>
                <w:szCs w:val="24"/>
                <w:u w:val="none"/>
              </w:rPr>
            </w:pPr>
          </w:p>
        </w:tc>
      </w:tr>
      <w:tr w14:paraId="18489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450D0C6">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494BC8D9">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106D2F3">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75750E9D">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DA18D62">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2444C60">
            <w:pPr>
              <w:jc w:val="center"/>
              <w:rPr>
                <w:rFonts w:hint="eastAsia" w:ascii="宋体" w:hAnsi="宋体" w:eastAsia="宋体" w:cs="宋体"/>
                <w:i w:val="0"/>
                <w:iCs w:val="0"/>
                <w:color w:val="000000"/>
                <w:sz w:val="24"/>
                <w:szCs w:val="24"/>
                <w:u w:val="none"/>
              </w:rPr>
            </w:pPr>
          </w:p>
        </w:tc>
      </w:tr>
      <w:tr w14:paraId="62398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042189C">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7A4A9A9B">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EB1B224">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2ACDA885">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AE41C4F">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CC8934E">
            <w:pPr>
              <w:jc w:val="center"/>
              <w:rPr>
                <w:rFonts w:hint="eastAsia" w:ascii="宋体" w:hAnsi="宋体" w:eastAsia="宋体" w:cs="宋体"/>
                <w:i w:val="0"/>
                <w:iCs w:val="0"/>
                <w:color w:val="000000"/>
                <w:sz w:val="24"/>
                <w:szCs w:val="24"/>
                <w:u w:val="none"/>
              </w:rPr>
            </w:pPr>
          </w:p>
        </w:tc>
      </w:tr>
      <w:tr w14:paraId="31C2F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6155565">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15E56DAB">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B7CBB78">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6D538206">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3143478">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559A64C">
            <w:pPr>
              <w:jc w:val="center"/>
              <w:rPr>
                <w:rFonts w:hint="eastAsia" w:ascii="宋体" w:hAnsi="宋体" w:eastAsia="宋体" w:cs="宋体"/>
                <w:i w:val="0"/>
                <w:iCs w:val="0"/>
                <w:color w:val="000000"/>
                <w:sz w:val="24"/>
                <w:szCs w:val="24"/>
                <w:u w:val="none"/>
              </w:rPr>
            </w:pPr>
          </w:p>
        </w:tc>
      </w:tr>
      <w:tr w14:paraId="5CB7E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DE7E733">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659ECD34">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278EA2C">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2DF91F6F">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DC51CCF">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64FB656">
            <w:pPr>
              <w:jc w:val="center"/>
              <w:rPr>
                <w:rFonts w:hint="eastAsia" w:ascii="宋体" w:hAnsi="宋体" w:eastAsia="宋体" w:cs="宋体"/>
                <w:i w:val="0"/>
                <w:iCs w:val="0"/>
                <w:color w:val="000000"/>
                <w:sz w:val="24"/>
                <w:szCs w:val="24"/>
                <w:u w:val="none"/>
              </w:rPr>
            </w:pPr>
          </w:p>
        </w:tc>
      </w:tr>
      <w:tr w14:paraId="03AD0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7" w:hRule="atLeast"/>
          <w:jc w:val="center"/>
        </w:trPr>
        <w:tc>
          <w:tcPr>
            <w:tcW w:w="73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22E5E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3B4A04BA">
            <w:pPr>
              <w:jc w:val="center"/>
              <w:rPr>
                <w:rFonts w:hint="eastAsia" w:ascii="宋体" w:hAnsi="宋体" w:eastAsia="宋体" w:cs="宋体"/>
                <w:i w:val="0"/>
                <w:iCs w:val="0"/>
                <w:color w:val="FF0000"/>
                <w:sz w:val="24"/>
                <w:szCs w:val="24"/>
                <w:u w:val="none"/>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C3B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还原系统</w:t>
            </w:r>
          </w:p>
        </w:tc>
        <w:tc>
          <w:tcPr>
            <w:tcW w:w="7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5A5F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配备系统还原功能，支持一键还原、设备重启自动还原</w:t>
            </w:r>
          </w:p>
        </w:tc>
        <w:tc>
          <w:tcPr>
            <w:tcW w:w="743" w:type="dxa"/>
            <w:tcBorders>
              <w:top w:val="single" w:color="000000" w:sz="8" w:space="0"/>
              <w:left w:val="nil"/>
              <w:bottom w:val="single" w:color="000000" w:sz="8" w:space="0"/>
              <w:right w:val="single" w:color="000000" w:sz="8" w:space="0"/>
            </w:tcBorders>
            <w:shd w:val="clear" w:color="auto" w:fill="auto"/>
            <w:vAlign w:val="center"/>
          </w:tcPr>
          <w:p w14:paraId="441F72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点</w:t>
            </w:r>
          </w:p>
        </w:tc>
        <w:tc>
          <w:tcPr>
            <w:tcW w:w="67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38FD3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147</w:t>
            </w:r>
          </w:p>
        </w:tc>
      </w:tr>
      <w:tr w14:paraId="4881A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8" w:hRule="atLeast"/>
          <w:jc w:val="center"/>
        </w:trPr>
        <w:tc>
          <w:tcPr>
            <w:tcW w:w="7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21C50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688D9C14">
            <w:pPr>
              <w:jc w:val="center"/>
              <w:rPr>
                <w:rFonts w:hint="eastAsia" w:ascii="宋体" w:hAnsi="宋体" w:eastAsia="宋体" w:cs="宋体"/>
                <w:i w:val="0"/>
                <w:iCs w:val="0"/>
                <w:color w:val="FF0000"/>
                <w:sz w:val="24"/>
                <w:szCs w:val="24"/>
                <w:u w:val="none"/>
              </w:rPr>
            </w:pPr>
          </w:p>
        </w:tc>
        <w:tc>
          <w:tcPr>
            <w:tcW w:w="1105" w:type="dxa"/>
            <w:tcBorders>
              <w:top w:val="nil"/>
              <w:left w:val="single" w:color="000000" w:sz="8" w:space="0"/>
              <w:bottom w:val="single" w:color="000000" w:sz="8" w:space="0"/>
              <w:right w:val="nil"/>
            </w:tcBorders>
            <w:shd w:val="clear" w:color="auto" w:fill="auto"/>
            <w:noWrap/>
            <w:vAlign w:val="center"/>
          </w:tcPr>
          <w:p w14:paraId="02295BB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多媒体网络教学软件</w:t>
            </w:r>
          </w:p>
        </w:tc>
        <w:tc>
          <w:tcPr>
            <w:tcW w:w="7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FE5F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核心功能 具备多媒体电子教室完整功能，支持多媒体控制、教学全流程操作</w:t>
            </w:r>
          </w:p>
        </w:tc>
        <w:tc>
          <w:tcPr>
            <w:tcW w:w="743" w:type="dxa"/>
            <w:tcBorders>
              <w:top w:val="single" w:color="000000" w:sz="8" w:space="0"/>
              <w:left w:val="nil"/>
              <w:bottom w:val="single" w:color="000000" w:sz="8" w:space="0"/>
              <w:right w:val="single" w:color="000000" w:sz="8" w:space="0"/>
            </w:tcBorders>
            <w:shd w:val="clear" w:color="auto" w:fill="auto"/>
            <w:noWrap/>
            <w:vAlign w:val="center"/>
          </w:tcPr>
          <w:p w14:paraId="0B5F31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67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26391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14:paraId="5D643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30"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6B6BC9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1D90BD1B">
            <w:pPr>
              <w:jc w:val="center"/>
              <w:rPr>
                <w:rFonts w:hint="eastAsia" w:ascii="宋体" w:hAnsi="宋体" w:eastAsia="宋体" w:cs="宋体"/>
                <w:i w:val="0"/>
                <w:iCs w:val="0"/>
                <w:color w:val="FF0000"/>
                <w:sz w:val="24"/>
                <w:szCs w:val="24"/>
                <w:u w:val="none"/>
              </w:rPr>
            </w:pPr>
          </w:p>
        </w:tc>
        <w:tc>
          <w:tcPr>
            <w:tcW w:w="110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112C2A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学生桌</w:t>
            </w:r>
          </w:p>
        </w:tc>
        <w:tc>
          <w:tcPr>
            <w:tcW w:w="7180" w:type="dxa"/>
            <w:vMerge w:val="restart"/>
            <w:tcBorders>
              <w:top w:val="nil"/>
              <w:left w:val="single" w:color="000000" w:sz="8" w:space="0"/>
              <w:bottom w:val="single" w:color="000000" w:sz="8" w:space="0"/>
              <w:right w:val="single" w:color="000000" w:sz="8" w:space="0"/>
            </w:tcBorders>
            <w:shd w:val="clear" w:color="auto" w:fill="auto"/>
            <w:vAlign w:val="top"/>
          </w:tcPr>
          <w:p w14:paraId="5DD889F1">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1、规格尺寸≥700*600*750mm，根据实际场地定制，桌面颜色要求：暖白色；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2、钢架结构。板材：微粒密度板，经过防虫、防磨的化学处理；PVC封边条；</w:t>
            </w:r>
          </w:p>
        </w:tc>
        <w:tc>
          <w:tcPr>
            <w:tcW w:w="743"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187407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c>
          <w:tcPr>
            <w:tcW w:w="671"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1BD220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180</w:t>
            </w:r>
          </w:p>
        </w:tc>
      </w:tr>
      <w:tr w14:paraId="65DA5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F96F3B3">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6AE36C02">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4004790">
            <w:pPr>
              <w:jc w:val="center"/>
              <w:rPr>
                <w:rFonts w:hint="eastAsia" w:ascii="宋体" w:hAnsi="宋体" w:eastAsia="宋体" w:cs="宋体"/>
                <w:i w:val="0"/>
                <w:iCs w:val="0"/>
                <w:color w:val="000000"/>
                <w:sz w:val="24"/>
                <w:szCs w:val="24"/>
                <w:u w:val="none"/>
              </w:rPr>
            </w:pPr>
          </w:p>
        </w:tc>
        <w:tc>
          <w:tcPr>
            <w:tcW w:w="7180" w:type="dxa"/>
            <w:vMerge w:val="continue"/>
            <w:tcBorders>
              <w:top w:val="nil"/>
              <w:left w:val="single" w:color="000000" w:sz="8" w:space="0"/>
              <w:bottom w:val="single" w:color="000000" w:sz="8" w:space="0"/>
              <w:right w:val="single" w:color="000000" w:sz="8" w:space="0"/>
            </w:tcBorders>
            <w:shd w:val="clear" w:color="auto" w:fill="auto"/>
            <w:vAlign w:val="top"/>
          </w:tcPr>
          <w:p w14:paraId="5BAFA44C">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1EEB0F9">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EF1011D">
            <w:pPr>
              <w:jc w:val="center"/>
              <w:rPr>
                <w:rFonts w:hint="eastAsia" w:ascii="宋体" w:hAnsi="宋体" w:eastAsia="宋体" w:cs="宋体"/>
                <w:i w:val="0"/>
                <w:iCs w:val="0"/>
                <w:color w:val="000000"/>
                <w:sz w:val="24"/>
                <w:szCs w:val="24"/>
                <w:u w:val="none"/>
              </w:rPr>
            </w:pPr>
          </w:p>
        </w:tc>
      </w:tr>
      <w:tr w14:paraId="0B3B3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1DC2473">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15876775">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BC30DD9">
            <w:pPr>
              <w:jc w:val="center"/>
              <w:rPr>
                <w:rFonts w:hint="eastAsia" w:ascii="宋体" w:hAnsi="宋体" w:eastAsia="宋体" w:cs="宋体"/>
                <w:i w:val="0"/>
                <w:iCs w:val="0"/>
                <w:color w:val="000000"/>
                <w:sz w:val="24"/>
                <w:szCs w:val="24"/>
                <w:u w:val="none"/>
              </w:rPr>
            </w:pPr>
          </w:p>
        </w:tc>
        <w:tc>
          <w:tcPr>
            <w:tcW w:w="7180" w:type="dxa"/>
            <w:vMerge w:val="continue"/>
            <w:tcBorders>
              <w:top w:val="nil"/>
              <w:left w:val="single" w:color="000000" w:sz="8" w:space="0"/>
              <w:bottom w:val="single" w:color="000000" w:sz="8" w:space="0"/>
              <w:right w:val="single" w:color="000000" w:sz="8" w:space="0"/>
            </w:tcBorders>
            <w:shd w:val="clear" w:color="auto" w:fill="auto"/>
            <w:vAlign w:val="top"/>
          </w:tcPr>
          <w:p w14:paraId="2AC5E8C9">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D8EA059">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4A45CCE">
            <w:pPr>
              <w:jc w:val="center"/>
              <w:rPr>
                <w:rFonts w:hint="eastAsia" w:ascii="宋体" w:hAnsi="宋体" w:eastAsia="宋体" w:cs="宋体"/>
                <w:i w:val="0"/>
                <w:iCs w:val="0"/>
                <w:color w:val="000000"/>
                <w:sz w:val="24"/>
                <w:szCs w:val="24"/>
                <w:u w:val="none"/>
              </w:rPr>
            </w:pPr>
          </w:p>
        </w:tc>
      </w:tr>
      <w:tr w14:paraId="5A9D1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EEC4F18">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7C97203F">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2E492D6">
            <w:pPr>
              <w:jc w:val="center"/>
              <w:rPr>
                <w:rFonts w:hint="eastAsia" w:ascii="宋体" w:hAnsi="宋体" w:eastAsia="宋体" w:cs="宋体"/>
                <w:i w:val="0"/>
                <w:iCs w:val="0"/>
                <w:color w:val="000000"/>
                <w:sz w:val="24"/>
                <w:szCs w:val="24"/>
                <w:u w:val="none"/>
              </w:rPr>
            </w:pPr>
          </w:p>
        </w:tc>
        <w:tc>
          <w:tcPr>
            <w:tcW w:w="7180" w:type="dxa"/>
            <w:vMerge w:val="continue"/>
            <w:tcBorders>
              <w:top w:val="nil"/>
              <w:left w:val="single" w:color="000000" w:sz="8" w:space="0"/>
              <w:bottom w:val="single" w:color="000000" w:sz="8" w:space="0"/>
              <w:right w:val="single" w:color="000000" w:sz="8" w:space="0"/>
            </w:tcBorders>
            <w:shd w:val="clear" w:color="auto" w:fill="auto"/>
            <w:vAlign w:val="top"/>
          </w:tcPr>
          <w:p w14:paraId="1108D4C8">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41EA07A">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6D727AE">
            <w:pPr>
              <w:jc w:val="center"/>
              <w:rPr>
                <w:rFonts w:hint="eastAsia" w:ascii="宋体" w:hAnsi="宋体" w:eastAsia="宋体" w:cs="宋体"/>
                <w:i w:val="0"/>
                <w:iCs w:val="0"/>
                <w:color w:val="000000"/>
                <w:sz w:val="24"/>
                <w:szCs w:val="24"/>
                <w:u w:val="none"/>
              </w:rPr>
            </w:pPr>
          </w:p>
        </w:tc>
      </w:tr>
      <w:tr w14:paraId="62E36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9EBC00A">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45E522FB">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8602A0D">
            <w:pPr>
              <w:jc w:val="center"/>
              <w:rPr>
                <w:rFonts w:hint="eastAsia" w:ascii="宋体" w:hAnsi="宋体" w:eastAsia="宋体" w:cs="宋体"/>
                <w:i w:val="0"/>
                <w:iCs w:val="0"/>
                <w:color w:val="000000"/>
                <w:sz w:val="24"/>
                <w:szCs w:val="24"/>
                <w:u w:val="none"/>
              </w:rPr>
            </w:pPr>
          </w:p>
        </w:tc>
        <w:tc>
          <w:tcPr>
            <w:tcW w:w="7180" w:type="dxa"/>
            <w:vMerge w:val="continue"/>
            <w:tcBorders>
              <w:top w:val="nil"/>
              <w:left w:val="single" w:color="000000" w:sz="8" w:space="0"/>
              <w:bottom w:val="single" w:color="000000" w:sz="8" w:space="0"/>
              <w:right w:val="single" w:color="000000" w:sz="8" w:space="0"/>
            </w:tcBorders>
            <w:shd w:val="clear" w:color="auto" w:fill="auto"/>
            <w:vAlign w:val="top"/>
          </w:tcPr>
          <w:p w14:paraId="1974BE43">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1262F12">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79C1DFA">
            <w:pPr>
              <w:jc w:val="center"/>
              <w:rPr>
                <w:rFonts w:hint="eastAsia" w:ascii="宋体" w:hAnsi="宋体" w:eastAsia="宋体" w:cs="宋体"/>
                <w:i w:val="0"/>
                <w:iCs w:val="0"/>
                <w:color w:val="000000"/>
                <w:sz w:val="24"/>
                <w:szCs w:val="24"/>
                <w:u w:val="none"/>
              </w:rPr>
            </w:pPr>
          </w:p>
        </w:tc>
      </w:tr>
      <w:tr w14:paraId="760FA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97A53E3">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45BF85CB">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D7A11ED">
            <w:pPr>
              <w:jc w:val="center"/>
              <w:rPr>
                <w:rFonts w:hint="eastAsia" w:ascii="宋体" w:hAnsi="宋体" w:eastAsia="宋体" w:cs="宋体"/>
                <w:i w:val="0"/>
                <w:iCs w:val="0"/>
                <w:color w:val="000000"/>
                <w:sz w:val="24"/>
                <w:szCs w:val="24"/>
                <w:u w:val="none"/>
              </w:rPr>
            </w:pPr>
          </w:p>
        </w:tc>
        <w:tc>
          <w:tcPr>
            <w:tcW w:w="7180" w:type="dxa"/>
            <w:vMerge w:val="continue"/>
            <w:tcBorders>
              <w:top w:val="nil"/>
              <w:left w:val="single" w:color="000000" w:sz="8" w:space="0"/>
              <w:bottom w:val="single" w:color="000000" w:sz="8" w:space="0"/>
              <w:right w:val="single" w:color="000000" w:sz="8" w:space="0"/>
            </w:tcBorders>
            <w:shd w:val="clear" w:color="auto" w:fill="auto"/>
            <w:vAlign w:val="top"/>
          </w:tcPr>
          <w:p w14:paraId="7010FA7F">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836C29E">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1DCD816">
            <w:pPr>
              <w:jc w:val="center"/>
              <w:rPr>
                <w:rFonts w:hint="eastAsia" w:ascii="宋体" w:hAnsi="宋体" w:eastAsia="宋体" w:cs="宋体"/>
                <w:i w:val="0"/>
                <w:iCs w:val="0"/>
                <w:color w:val="000000"/>
                <w:sz w:val="24"/>
                <w:szCs w:val="24"/>
                <w:u w:val="none"/>
              </w:rPr>
            </w:pPr>
          </w:p>
        </w:tc>
      </w:tr>
      <w:tr w14:paraId="3F351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469C027">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606C7D8C">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11E8FDE">
            <w:pPr>
              <w:jc w:val="center"/>
              <w:rPr>
                <w:rFonts w:hint="eastAsia" w:ascii="宋体" w:hAnsi="宋体" w:eastAsia="宋体" w:cs="宋体"/>
                <w:i w:val="0"/>
                <w:iCs w:val="0"/>
                <w:color w:val="000000"/>
                <w:sz w:val="24"/>
                <w:szCs w:val="24"/>
                <w:u w:val="none"/>
              </w:rPr>
            </w:pPr>
          </w:p>
        </w:tc>
        <w:tc>
          <w:tcPr>
            <w:tcW w:w="7180" w:type="dxa"/>
            <w:vMerge w:val="continue"/>
            <w:tcBorders>
              <w:top w:val="nil"/>
              <w:left w:val="single" w:color="000000" w:sz="8" w:space="0"/>
              <w:bottom w:val="single" w:color="000000" w:sz="8" w:space="0"/>
              <w:right w:val="single" w:color="000000" w:sz="8" w:space="0"/>
            </w:tcBorders>
            <w:shd w:val="clear" w:color="auto" w:fill="auto"/>
            <w:vAlign w:val="top"/>
          </w:tcPr>
          <w:p w14:paraId="246DC50F">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32D9BFA">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7761133">
            <w:pPr>
              <w:jc w:val="center"/>
              <w:rPr>
                <w:rFonts w:hint="eastAsia" w:ascii="宋体" w:hAnsi="宋体" w:eastAsia="宋体" w:cs="宋体"/>
                <w:i w:val="0"/>
                <w:iCs w:val="0"/>
                <w:color w:val="000000"/>
                <w:sz w:val="24"/>
                <w:szCs w:val="24"/>
                <w:u w:val="none"/>
              </w:rPr>
            </w:pPr>
          </w:p>
        </w:tc>
      </w:tr>
      <w:tr w14:paraId="16C2A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C076EA8">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0AB0E9E9">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206297A">
            <w:pPr>
              <w:jc w:val="center"/>
              <w:rPr>
                <w:rFonts w:hint="eastAsia" w:ascii="宋体" w:hAnsi="宋体" w:eastAsia="宋体" w:cs="宋体"/>
                <w:i w:val="0"/>
                <w:iCs w:val="0"/>
                <w:color w:val="000000"/>
                <w:sz w:val="24"/>
                <w:szCs w:val="24"/>
                <w:u w:val="none"/>
              </w:rPr>
            </w:pPr>
          </w:p>
        </w:tc>
        <w:tc>
          <w:tcPr>
            <w:tcW w:w="7180" w:type="dxa"/>
            <w:vMerge w:val="continue"/>
            <w:tcBorders>
              <w:top w:val="nil"/>
              <w:left w:val="single" w:color="000000" w:sz="8" w:space="0"/>
              <w:bottom w:val="single" w:color="000000" w:sz="8" w:space="0"/>
              <w:right w:val="single" w:color="000000" w:sz="8" w:space="0"/>
            </w:tcBorders>
            <w:shd w:val="clear" w:color="auto" w:fill="auto"/>
            <w:vAlign w:val="top"/>
          </w:tcPr>
          <w:p w14:paraId="1A742233">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EC9C126">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AD3CB9E">
            <w:pPr>
              <w:jc w:val="center"/>
              <w:rPr>
                <w:rFonts w:hint="eastAsia" w:ascii="宋体" w:hAnsi="宋体" w:eastAsia="宋体" w:cs="宋体"/>
                <w:i w:val="0"/>
                <w:iCs w:val="0"/>
                <w:color w:val="000000"/>
                <w:sz w:val="24"/>
                <w:szCs w:val="24"/>
                <w:u w:val="none"/>
              </w:rPr>
            </w:pPr>
          </w:p>
        </w:tc>
      </w:tr>
      <w:tr w14:paraId="76DEB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0F3A157">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29E2BCC7">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DA9A7A7">
            <w:pPr>
              <w:jc w:val="center"/>
              <w:rPr>
                <w:rFonts w:hint="eastAsia" w:ascii="宋体" w:hAnsi="宋体" w:eastAsia="宋体" w:cs="宋体"/>
                <w:i w:val="0"/>
                <w:iCs w:val="0"/>
                <w:color w:val="000000"/>
                <w:sz w:val="24"/>
                <w:szCs w:val="24"/>
                <w:u w:val="none"/>
              </w:rPr>
            </w:pPr>
          </w:p>
        </w:tc>
        <w:tc>
          <w:tcPr>
            <w:tcW w:w="7180" w:type="dxa"/>
            <w:vMerge w:val="continue"/>
            <w:tcBorders>
              <w:top w:val="nil"/>
              <w:left w:val="single" w:color="000000" w:sz="8" w:space="0"/>
              <w:bottom w:val="single" w:color="000000" w:sz="8" w:space="0"/>
              <w:right w:val="single" w:color="000000" w:sz="8" w:space="0"/>
            </w:tcBorders>
            <w:shd w:val="clear" w:color="auto" w:fill="auto"/>
            <w:vAlign w:val="top"/>
          </w:tcPr>
          <w:p w14:paraId="7574D492">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141DCB2">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8FE6C26">
            <w:pPr>
              <w:jc w:val="center"/>
              <w:rPr>
                <w:rFonts w:hint="eastAsia" w:ascii="宋体" w:hAnsi="宋体" w:eastAsia="宋体" w:cs="宋体"/>
                <w:i w:val="0"/>
                <w:iCs w:val="0"/>
                <w:color w:val="000000"/>
                <w:sz w:val="24"/>
                <w:szCs w:val="24"/>
                <w:u w:val="none"/>
              </w:rPr>
            </w:pPr>
          </w:p>
        </w:tc>
      </w:tr>
      <w:tr w14:paraId="1D070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5E37F47">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3F3ED0B3">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691B6E0">
            <w:pPr>
              <w:jc w:val="center"/>
              <w:rPr>
                <w:rFonts w:hint="eastAsia" w:ascii="宋体" w:hAnsi="宋体" w:eastAsia="宋体" w:cs="宋体"/>
                <w:i w:val="0"/>
                <w:iCs w:val="0"/>
                <w:color w:val="000000"/>
                <w:sz w:val="24"/>
                <w:szCs w:val="24"/>
                <w:u w:val="none"/>
              </w:rPr>
            </w:pPr>
          </w:p>
        </w:tc>
        <w:tc>
          <w:tcPr>
            <w:tcW w:w="7180" w:type="dxa"/>
            <w:vMerge w:val="continue"/>
            <w:tcBorders>
              <w:top w:val="nil"/>
              <w:left w:val="single" w:color="000000" w:sz="8" w:space="0"/>
              <w:bottom w:val="single" w:color="000000" w:sz="8" w:space="0"/>
              <w:right w:val="single" w:color="000000" w:sz="8" w:space="0"/>
            </w:tcBorders>
            <w:shd w:val="clear" w:color="auto" w:fill="auto"/>
            <w:vAlign w:val="top"/>
          </w:tcPr>
          <w:p w14:paraId="4CAAB96C">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2B2A422">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A10558E">
            <w:pPr>
              <w:jc w:val="center"/>
              <w:rPr>
                <w:rFonts w:hint="eastAsia" w:ascii="宋体" w:hAnsi="宋体" w:eastAsia="宋体" w:cs="宋体"/>
                <w:i w:val="0"/>
                <w:iCs w:val="0"/>
                <w:color w:val="000000"/>
                <w:sz w:val="24"/>
                <w:szCs w:val="24"/>
                <w:u w:val="none"/>
              </w:rPr>
            </w:pPr>
          </w:p>
        </w:tc>
      </w:tr>
      <w:tr w14:paraId="7EF0E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0" w:hRule="atLeast"/>
          <w:jc w:val="center"/>
        </w:trPr>
        <w:tc>
          <w:tcPr>
            <w:tcW w:w="73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CA5FE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578C870D">
            <w:pPr>
              <w:jc w:val="center"/>
              <w:rPr>
                <w:rFonts w:hint="eastAsia" w:ascii="宋体" w:hAnsi="宋体" w:eastAsia="宋体" w:cs="宋体"/>
                <w:i w:val="0"/>
                <w:iCs w:val="0"/>
                <w:color w:val="FF0000"/>
                <w:sz w:val="24"/>
                <w:szCs w:val="24"/>
                <w:u w:val="none"/>
              </w:rPr>
            </w:pPr>
          </w:p>
        </w:tc>
        <w:tc>
          <w:tcPr>
            <w:tcW w:w="110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6ADFE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学生方凳</w:t>
            </w:r>
          </w:p>
        </w:tc>
        <w:tc>
          <w:tcPr>
            <w:tcW w:w="7180" w:type="dxa"/>
            <w:tcBorders>
              <w:top w:val="single" w:color="000000" w:sz="8" w:space="0"/>
              <w:left w:val="single" w:color="000000" w:sz="8" w:space="0"/>
              <w:bottom w:val="single" w:color="000000" w:sz="8" w:space="0"/>
              <w:right w:val="single" w:color="000000" w:sz="8" w:space="0"/>
            </w:tcBorders>
            <w:shd w:val="clear" w:color="auto" w:fill="auto"/>
            <w:vAlign w:val="top"/>
          </w:tcPr>
          <w:p w14:paraId="746231E1">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凳子要求：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配套钢架方凳1个；规格尺寸≥340*240*450mm,与桌面同色；</w:t>
            </w:r>
          </w:p>
        </w:tc>
        <w:tc>
          <w:tcPr>
            <w:tcW w:w="74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D9EB5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7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15930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180</w:t>
            </w:r>
          </w:p>
        </w:tc>
      </w:tr>
      <w:tr w14:paraId="350F5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29EC44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4DD621E0">
            <w:pPr>
              <w:jc w:val="center"/>
              <w:rPr>
                <w:rFonts w:hint="eastAsia" w:ascii="宋体" w:hAnsi="宋体" w:eastAsia="宋体" w:cs="宋体"/>
                <w:i w:val="0"/>
                <w:iCs w:val="0"/>
                <w:color w:val="FF0000"/>
                <w:sz w:val="24"/>
                <w:szCs w:val="24"/>
                <w:u w:val="none"/>
              </w:rPr>
            </w:pPr>
          </w:p>
        </w:tc>
        <w:tc>
          <w:tcPr>
            <w:tcW w:w="110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31D975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交换机</w:t>
            </w:r>
          </w:p>
        </w:tc>
        <w:tc>
          <w:tcPr>
            <w:tcW w:w="7180" w:type="dxa"/>
            <w:vMerge w:val="restart"/>
            <w:tcBorders>
              <w:top w:val="single" w:color="000000" w:sz="8" w:space="0"/>
              <w:left w:val="single" w:color="000000" w:sz="8" w:space="0"/>
              <w:bottom w:val="single" w:color="000000" w:sz="8" w:space="0"/>
              <w:right w:val="single" w:color="000000" w:sz="8" w:space="0"/>
            </w:tcBorders>
            <w:shd w:val="clear" w:color="auto" w:fill="auto"/>
            <w:vAlign w:val="top"/>
          </w:tcPr>
          <w:p w14:paraId="3B9069A2">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企业级千兆交换机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网络标准：IEEE 802.3 、EEE 802.3 i、IEEE 802.3u、IEEE 802.3ab、IEEE 802.3x</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端口：24个10/100/1000M自适应RJ45端口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性能：所有端口均具备线速转发能力、支持端口自动翻转（Auto MDI/MDIX）功能、提供标准交换、VLAN隔离和网络克隆三种工作模式，适应不同网络环境、支持通过拨动开关切换交换机工作模式、支持IEEE 802.3x全双工流控和Backpressure半双工流控。</w:t>
            </w:r>
          </w:p>
        </w:tc>
        <w:tc>
          <w:tcPr>
            <w:tcW w:w="743"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4AF432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671"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0DC944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r>
      <w:tr w14:paraId="5781D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F9AB56F">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76C11C1D">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28165D8">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0B50B5DD">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B1EF895">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FCE3037">
            <w:pPr>
              <w:jc w:val="center"/>
              <w:rPr>
                <w:rFonts w:hint="eastAsia" w:ascii="宋体" w:hAnsi="宋体" w:eastAsia="宋体" w:cs="宋体"/>
                <w:i w:val="0"/>
                <w:iCs w:val="0"/>
                <w:color w:val="000000"/>
                <w:sz w:val="24"/>
                <w:szCs w:val="24"/>
                <w:u w:val="none"/>
              </w:rPr>
            </w:pPr>
          </w:p>
        </w:tc>
      </w:tr>
      <w:tr w14:paraId="48EC8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FE07824">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041C87A1">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2A29D28">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311FEF15">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D89E8F4">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19E31B6">
            <w:pPr>
              <w:jc w:val="center"/>
              <w:rPr>
                <w:rFonts w:hint="eastAsia" w:ascii="宋体" w:hAnsi="宋体" w:eastAsia="宋体" w:cs="宋体"/>
                <w:i w:val="0"/>
                <w:iCs w:val="0"/>
                <w:color w:val="000000"/>
                <w:sz w:val="24"/>
                <w:szCs w:val="24"/>
                <w:u w:val="none"/>
              </w:rPr>
            </w:pPr>
          </w:p>
        </w:tc>
      </w:tr>
      <w:tr w14:paraId="5C501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EBB67FD">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1A39B792">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CC5896A">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5F78EFD4">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07ED662">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C4F30FC">
            <w:pPr>
              <w:jc w:val="center"/>
              <w:rPr>
                <w:rFonts w:hint="eastAsia" w:ascii="宋体" w:hAnsi="宋体" w:eastAsia="宋体" w:cs="宋体"/>
                <w:i w:val="0"/>
                <w:iCs w:val="0"/>
                <w:color w:val="000000"/>
                <w:sz w:val="24"/>
                <w:szCs w:val="24"/>
                <w:u w:val="none"/>
              </w:rPr>
            </w:pPr>
          </w:p>
        </w:tc>
      </w:tr>
      <w:tr w14:paraId="4EC59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BCE956D">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3A66ED77">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1EBAAF2">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66F2F66A">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51F6A8D">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9F61D01">
            <w:pPr>
              <w:jc w:val="center"/>
              <w:rPr>
                <w:rFonts w:hint="eastAsia" w:ascii="宋体" w:hAnsi="宋体" w:eastAsia="宋体" w:cs="宋体"/>
                <w:i w:val="0"/>
                <w:iCs w:val="0"/>
                <w:color w:val="000000"/>
                <w:sz w:val="24"/>
                <w:szCs w:val="24"/>
                <w:u w:val="none"/>
              </w:rPr>
            </w:pPr>
          </w:p>
        </w:tc>
      </w:tr>
      <w:tr w14:paraId="0D2EA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5A8FCC5">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5EADD7FE">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438A01A">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3DFDB332">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F294CB8">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F1889D9">
            <w:pPr>
              <w:jc w:val="center"/>
              <w:rPr>
                <w:rFonts w:hint="eastAsia" w:ascii="宋体" w:hAnsi="宋体" w:eastAsia="宋体" w:cs="宋体"/>
                <w:i w:val="0"/>
                <w:iCs w:val="0"/>
                <w:color w:val="000000"/>
                <w:sz w:val="24"/>
                <w:szCs w:val="24"/>
                <w:u w:val="none"/>
              </w:rPr>
            </w:pPr>
          </w:p>
        </w:tc>
      </w:tr>
      <w:tr w14:paraId="27C00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65381E7">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5C4BAB1B">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E8311F4">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16A63545">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ACA2B34">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DD26D9B">
            <w:pPr>
              <w:jc w:val="center"/>
              <w:rPr>
                <w:rFonts w:hint="eastAsia" w:ascii="宋体" w:hAnsi="宋体" w:eastAsia="宋体" w:cs="宋体"/>
                <w:i w:val="0"/>
                <w:iCs w:val="0"/>
                <w:color w:val="000000"/>
                <w:sz w:val="24"/>
                <w:szCs w:val="24"/>
                <w:u w:val="none"/>
              </w:rPr>
            </w:pPr>
          </w:p>
        </w:tc>
      </w:tr>
      <w:tr w14:paraId="20828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21DF3C0">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144417C4">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3531B1F">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166E249B">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89C5B9D">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59E54DC">
            <w:pPr>
              <w:jc w:val="center"/>
              <w:rPr>
                <w:rFonts w:hint="eastAsia" w:ascii="宋体" w:hAnsi="宋体" w:eastAsia="宋体" w:cs="宋体"/>
                <w:i w:val="0"/>
                <w:iCs w:val="0"/>
                <w:color w:val="000000"/>
                <w:sz w:val="24"/>
                <w:szCs w:val="24"/>
                <w:u w:val="none"/>
              </w:rPr>
            </w:pPr>
          </w:p>
        </w:tc>
      </w:tr>
      <w:tr w14:paraId="7C12D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857473B">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239BD788">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B8E7236">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6E950905">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B660F54">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62F9120">
            <w:pPr>
              <w:jc w:val="center"/>
              <w:rPr>
                <w:rFonts w:hint="eastAsia" w:ascii="宋体" w:hAnsi="宋体" w:eastAsia="宋体" w:cs="宋体"/>
                <w:i w:val="0"/>
                <w:iCs w:val="0"/>
                <w:color w:val="000000"/>
                <w:sz w:val="24"/>
                <w:szCs w:val="24"/>
                <w:u w:val="none"/>
              </w:rPr>
            </w:pPr>
          </w:p>
        </w:tc>
      </w:tr>
      <w:tr w14:paraId="0E11B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54047C2">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20AED410">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26DC1EE">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6811E23E">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2EEB59D">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7B0907E">
            <w:pPr>
              <w:jc w:val="center"/>
              <w:rPr>
                <w:rFonts w:hint="eastAsia" w:ascii="宋体" w:hAnsi="宋体" w:eastAsia="宋体" w:cs="宋体"/>
                <w:i w:val="0"/>
                <w:iCs w:val="0"/>
                <w:color w:val="000000"/>
                <w:sz w:val="24"/>
                <w:szCs w:val="24"/>
                <w:u w:val="none"/>
              </w:rPr>
            </w:pPr>
          </w:p>
        </w:tc>
      </w:tr>
      <w:tr w14:paraId="3C19A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789386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2F7DDB5B">
            <w:pPr>
              <w:jc w:val="center"/>
              <w:rPr>
                <w:rFonts w:hint="eastAsia" w:ascii="宋体" w:hAnsi="宋体" w:eastAsia="宋体" w:cs="宋体"/>
                <w:i w:val="0"/>
                <w:iCs w:val="0"/>
                <w:color w:val="FF0000"/>
                <w:sz w:val="24"/>
                <w:szCs w:val="24"/>
                <w:u w:val="none"/>
              </w:rPr>
            </w:pPr>
          </w:p>
        </w:tc>
        <w:tc>
          <w:tcPr>
            <w:tcW w:w="110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1E93FB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网络机柜</w:t>
            </w:r>
          </w:p>
        </w:tc>
        <w:tc>
          <w:tcPr>
            <w:tcW w:w="7180" w:type="dxa"/>
            <w:vMerge w:val="restart"/>
            <w:tcBorders>
              <w:top w:val="single" w:color="000000" w:sz="8" w:space="0"/>
              <w:left w:val="single" w:color="000000" w:sz="8" w:space="0"/>
              <w:bottom w:val="single" w:color="000000" w:sz="8" w:space="0"/>
              <w:right w:val="single" w:color="000000" w:sz="8" w:space="0"/>
            </w:tcBorders>
            <w:shd w:val="clear" w:color="auto" w:fill="auto"/>
            <w:vAlign w:val="top"/>
          </w:tcPr>
          <w:p w14:paraId="15278FD3">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尺寸：</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高度：≥600mm宽度：≥550mm深度：≥400mm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材质结构：</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主体材质：SPCC 冷轧钢板（主体 1.2mm，立柱 1.5mm）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柜门：前钢化玻璃门（透光率≥90%）、后全网孔门（通风率≥70%），均带门锁</w:t>
            </w:r>
          </w:p>
        </w:tc>
        <w:tc>
          <w:tcPr>
            <w:tcW w:w="743"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44C6B1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671"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28D214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14:paraId="1566C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D93097B">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7C5607C6">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95C7D95">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43AA09CD">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14E7945">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9E81293">
            <w:pPr>
              <w:jc w:val="center"/>
              <w:rPr>
                <w:rFonts w:hint="eastAsia" w:ascii="宋体" w:hAnsi="宋体" w:eastAsia="宋体" w:cs="宋体"/>
                <w:i w:val="0"/>
                <w:iCs w:val="0"/>
                <w:color w:val="000000"/>
                <w:sz w:val="24"/>
                <w:szCs w:val="24"/>
                <w:u w:val="none"/>
              </w:rPr>
            </w:pPr>
          </w:p>
        </w:tc>
      </w:tr>
      <w:tr w14:paraId="3B09D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96CA5EA">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49F5DA9B">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972E7E0">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1B841935">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2825B61">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CB3D7A0">
            <w:pPr>
              <w:jc w:val="center"/>
              <w:rPr>
                <w:rFonts w:hint="eastAsia" w:ascii="宋体" w:hAnsi="宋体" w:eastAsia="宋体" w:cs="宋体"/>
                <w:i w:val="0"/>
                <w:iCs w:val="0"/>
                <w:color w:val="000000"/>
                <w:sz w:val="24"/>
                <w:szCs w:val="24"/>
                <w:u w:val="none"/>
              </w:rPr>
            </w:pPr>
          </w:p>
        </w:tc>
      </w:tr>
      <w:tr w14:paraId="29E29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A74F372">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2DA129C7">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D5EF590">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38B2499F">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96996DE">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7BB25FC">
            <w:pPr>
              <w:jc w:val="center"/>
              <w:rPr>
                <w:rFonts w:hint="eastAsia" w:ascii="宋体" w:hAnsi="宋体" w:eastAsia="宋体" w:cs="宋体"/>
                <w:i w:val="0"/>
                <w:iCs w:val="0"/>
                <w:color w:val="000000"/>
                <w:sz w:val="24"/>
                <w:szCs w:val="24"/>
                <w:u w:val="none"/>
              </w:rPr>
            </w:pPr>
          </w:p>
        </w:tc>
      </w:tr>
      <w:tr w14:paraId="108FD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jc w:val="center"/>
        </w:trPr>
        <w:tc>
          <w:tcPr>
            <w:tcW w:w="73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0FC2C55">
            <w:pPr>
              <w:jc w:val="center"/>
              <w:rPr>
                <w:rFonts w:hint="eastAsia" w:ascii="宋体" w:hAnsi="宋体" w:eastAsia="宋体" w:cs="宋体"/>
                <w:i w:val="0"/>
                <w:iCs w:val="0"/>
                <w:color w:val="000000"/>
                <w:sz w:val="24"/>
                <w:szCs w:val="24"/>
                <w:u w:val="none"/>
              </w:rPr>
            </w:pP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3EA5B583">
            <w:pPr>
              <w:jc w:val="center"/>
              <w:rPr>
                <w:rFonts w:hint="eastAsia" w:ascii="宋体" w:hAnsi="宋体" w:eastAsia="宋体" w:cs="宋体"/>
                <w:i w:val="0"/>
                <w:iCs w:val="0"/>
                <w:color w:val="FF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1C39A1C">
            <w:pPr>
              <w:jc w:val="center"/>
              <w:rPr>
                <w:rFonts w:hint="eastAsia" w:ascii="宋体" w:hAnsi="宋体" w:eastAsia="宋体" w:cs="宋体"/>
                <w:i w:val="0"/>
                <w:iCs w:val="0"/>
                <w:color w:val="000000"/>
                <w:sz w:val="24"/>
                <w:szCs w:val="24"/>
                <w:u w:val="none"/>
              </w:rPr>
            </w:pPr>
          </w:p>
        </w:tc>
        <w:tc>
          <w:tcPr>
            <w:tcW w:w="7180"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5AC71C00">
            <w:pPr>
              <w:jc w:val="left"/>
              <w:rPr>
                <w:rFonts w:hint="eastAsia" w:ascii="宋体" w:hAnsi="宋体" w:eastAsia="宋体" w:cs="宋体"/>
                <w:i w:val="0"/>
                <w:iCs w:val="0"/>
                <w:color w:val="000000"/>
                <w:sz w:val="24"/>
                <w:szCs w:val="24"/>
                <w:u w:val="none"/>
              </w:rPr>
            </w:pPr>
          </w:p>
        </w:tc>
        <w:tc>
          <w:tcPr>
            <w:tcW w:w="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8D47246">
            <w:pPr>
              <w:jc w:val="center"/>
              <w:rPr>
                <w:rFonts w:hint="eastAsia" w:ascii="宋体" w:hAnsi="宋体" w:eastAsia="宋体" w:cs="宋体"/>
                <w:i w:val="0"/>
                <w:iCs w:val="0"/>
                <w:color w:val="000000"/>
                <w:sz w:val="24"/>
                <w:szCs w:val="24"/>
                <w:u w:val="none"/>
              </w:rPr>
            </w:pPr>
          </w:p>
        </w:tc>
        <w:tc>
          <w:tcPr>
            <w:tcW w:w="67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D2F2FC2">
            <w:pPr>
              <w:jc w:val="center"/>
              <w:rPr>
                <w:rFonts w:hint="eastAsia" w:ascii="宋体" w:hAnsi="宋体" w:eastAsia="宋体" w:cs="宋体"/>
                <w:i w:val="0"/>
                <w:iCs w:val="0"/>
                <w:color w:val="000000"/>
                <w:sz w:val="24"/>
                <w:szCs w:val="24"/>
                <w:u w:val="none"/>
              </w:rPr>
            </w:pPr>
          </w:p>
        </w:tc>
      </w:tr>
      <w:tr w14:paraId="678CF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20" w:hRule="atLeast"/>
          <w:jc w:val="center"/>
        </w:trPr>
        <w:tc>
          <w:tcPr>
            <w:tcW w:w="73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AD960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3A31F3A3">
            <w:pPr>
              <w:jc w:val="center"/>
              <w:rPr>
                <w:rFonts w:hint="eastAsia" w:ascii="宋体" w:hAnsi="宋体" w:eastAsia="宋体" w:cs="宋体"/>
                <w:i w:val="0"/>
                <w:iCs w:val="0"/>
                <w:color w:val="FF0000"/>
                <w:sz w:val="24"/>
                <w:szCs w:val="24"/>
                <w:u w:val="none"/>
              </w:rPr>
            </w:pPr>
          </w:p>
        </w:tc>
        <w:tc>
          <w:tcPr>
            <w:tcW w:w="110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9BA28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耳机</w:t>
            </w:r>
          </w:p>
        </w:tc>
        <w:tc>
          <w:tcPr>
            <w:tcW w:w="7180" w:type="dxa"/>
            <w:tcBorders>
              <w:top w:val="single" w:color="000000" w:sz="8" w:space="0"/>
              <w:left w:val="single" w:color="000000" w:sz="8" w:space="0"/>
              <w:bottom w:val="single" w:color="000000" w:sz="8" w:space="0"/>
              <w:right w:val="single" w:color="000000" w:sz="8" w:space="0"/>
            </w:tcBorders>
            <w:shd w:val="clear" w:color="auto" w:fill="auto"/>
            <w:vAlign w:val="top"/>
          </w:tcPr>
          <w:p w14:paraId="3B156C17">
            <w:pPr>
              <w:keepNext w:val="0"/>
              <w:keepLines w:val="0"/>
              <w:widowControl/>
              <w:numPr>
                <w:ilvl w:val="0"/>
                <w:numId w:val="1"/>
              </w:numPr>
              <w:suppressLineNumbers w:val="0"/>
              <w:jc w:val="left"/>
              <w:textAlignment w:val="top"/>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产品类型：头戴式有线耳机（带麦克风）</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 佩戴方式：头戴式、轻量化设计，适合学生长时间佩戴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 连接方式：3.5mm 双插头（耳机+麦克风），兼容台式电脑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 线材：防缠绕、抗拉扯，耐弯折，不易断裂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5. 外观：简约大方，颜色统一，耐脏易清洁                         </w:t>
            </w:r>
          </w:p>
          <w:p w14:paraId="6B49DA2D">
            <w:pPr>
              <w:keepNext w:val="0"/>
              <w:keepLines w:val="0"/>
              <w:widowControl/>
              <w:numPr>
                <w:ilvl w:val="0"/>
                <w:numId w:val="0"/>
              </w:numPr>
              <w:suppressLineNumbers w:val="0"/>
              <w:ind w:firstLine="240" w:firstLineChars="10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头梁：可调节伸缩，坚固耐用，不易断裂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耳罩：柔软透气皮质/海绵，隔音舒适，易擦拭消毒</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抗拉设计：线材加粗，接口加固，防学生暴力拉扯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声学参数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 驱动单元：40mm 高保真动圈单元</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 频响范围：20Hz–20kHz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 阻抗：32Ω，适配电脑直推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 灵敏度：≥105dB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 音质：人声清晰，底噪小，适合语音教学、网课、考试</w:t>
            </w:r>
          </w:p>
        </w:tc>
        <w:tc>
          <w:tcPr>
            <w:tcW w:w="74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67115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7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964E2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180</w:t>
            </w:r>
          </w:p>
        </w:tc>
      </w:tr>
      <w:tr w14:paraId="02728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69" w:hRule="atLeast"/>
          <w:jc w:val="center"/>
        </w:trPr>
        <w:tc>
          <w:tcPr>
            <w:tcW w:w="73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75C3D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699" w:type="dxa"/>
            <w:vMerge w:val="continue"/>
            <w:tcBorders>
              <w:top w:val="nil"/>
              <w:left w:val="single" w:color="000000" w:sz="8" w:space="0"/>
              <w:bottom w:val="single" w:color="000000" w:sz="8" w:space="0"/>
              <w:right w:val="single" w:color="000000" w:sz="8" w:space="0"/>
            </w:tcBorders>
            <w:shd w:val="clear" w:color="auto" w:fill="auto"/>
            <w:vAlign w:val="center"/>
          </w:tcPr>
          <w:p w14:paraId="5B53B558">
            <w:pPr>
              <w:jc w:val="center"/>
              <w:rPr>
                <w:rFonts w:hint="eastAsia" w:ascii="宋体" w:hAnsi="宋体" w:eastAsia="宋体" w:cs="宋体"/>
                <w:i w:val="0"/>
                <w:iCs w:val="0"/>
                <w:color w:val="FF0000"/>
                <w:sz w:val="24"/>
                <w:szCs w:val="24"/>
                <w:u w:val="none"/>
              </w:rPr>
            </w:pPr>
          </w:p>
        </w:tc>
        <w:tc>
          <w:tcPr>
            <w:tcW w:w="110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C89DC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系统集成</w:t>
            </w:r>
          </w:p>
        </w:tc>
        <w:tc>
          <w:tcPr>
            <w:tcW w:w="718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6370D7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据实际场地定制包全屋刷环保漆（约160平米）、全屋(约370平米)设备强弱电布线。布线含各种连接器及信号线、视频线、网线（超5类双绞）、水晶头、电源线（4平方铜线）、插排（采购新国标移动式延长线插座，需通过3C认证，符合GB 2099.7-2015标准；具备过载保护、防触电保护门，阻燃外壳，10A/3×1.0mm²线缆，线长满足使用需求，质量等同于一线品牌安全标准。6孔或8孔排插100个）、PVC线槽、不锈钢线槽（1.5mm）</w:t>
            </w:r>
          </w:p>
          <w:p w14:paraId="5FC0EFBE">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等；网线、电源线在墙面全部采用PVC走线槽，地面走不锈钢或弧形铝合金地槽。做水晶头；保证安全可靠、绝缘美观。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网线采用：千兆网线(1061004CSL)，电源线和电源插板要求使用符合安全标准产品，施工垃圾要及时清运。</w:t>
            </w:r>
          </w:p>
        </w:tc>
        <w:tc>
          <w:tcPr>
            <w:tcW w:w="74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EAE3C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批</w:t>
            </w:r>
          </w:p>
        </w:tc>
        <w:tc>
          <w:tcPr>
            <w:tcW w:w="67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264EB3E">
            <w:pPr>
              <w:jc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1</w:t>
            </w:r>
          </w:p>
        </w:tc>
      </w:tr>
      <w:tr w14:paraId="197E4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94" w:hRule="atLeast"/>
          <w:jc w:val="center"/>
        </w:trPr>
        <w:tc>
          <w:tcPr>
            <w:tcW w:w="730" w:type="dxa"/>
            <w:tcBorders>
              <w:top w:val="nil"/>
              <w:left w:val="nil"/>
              <w:bottom w:val="nil"/>
              <w:right w:val="nil"/>
            </w:tcBorders>
            <w:shd w:val="clear" w:color="auto" w:fill="auto"/>
            <w:noWrap/>
            <w:vAlign w:val="center"/>
          </w:tcPr>
          <w:p w14:paraId="1A5018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699" w:type="dxa"/>
            <w:tcBorders>
              <w:top w:val="nil"/>
              <w:left w:val="nil"/>
              <w:bottom w:val="nil"/>
              <w:right w:val="nil"/>
            </w:tcBorders>
            <w:shd w:val="clear" w:color="auto" w:fill="auto"/>
            <w:noWrap/>
            <w:vAlign w:val="center"/>
          </w:tcPr>
          <w:p w14:paraId="6B241C1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商务要求：</w:t>
            </w:r>
          </w:p>
        </w:tc>
        <w:tc>
          <w:tcPr>
            <w:tcW w:w="9699" w:type="dxa"/>
            <w:gridSpan w:val="4"/>
            <w:tcBorders>
              <w:top w:val="nil"/>
              <w:left w:val="nil"/>
              <w:bottom w:val="nil"/>
              <w:right w:val="nil"/>
            </w:tcBorders>
            <w:shd w:val="clear" w:color="auto" w:fill="auto"/>
            <w:vAlign w:val="center"/>
          </w:tcPr>
          <w:p w14:paraId="667DBB5D">
            <w:pP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商务要求：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 设备交付与资料</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所有硬件设备（含计算机、网络设备、辅助设备等）交付时，须随附出厂合格证、产品说明书、保修卡、驱动程序、技术文档等完整资料，确保设备可追溯、可维护。</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 安装调试与验收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供应商负责完成机房整体布线、设备上架、系统安装、网络配置及软件部署，出具《安装调试报告》；配合采购方按技术参数逐项进行测试验证，验收合格后方可交付。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 软件部署与适配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完成所有学生实习专用软件的批量安装、授权激活与兼容性测试，确保软件与机房硬件、操作系统及教学管理平台匹配无误；提供软件安装介质、授权文件及部署手册。</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 培训服务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为机房管理员提供不少于20课时的运维培训，内容含系统维护、故障排查、软件更新、安全管理等。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为授课教师提供不少于10课时的专项技术培训，内容含实习软件操作、教学应用、实训设计等。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为学生提供不少于30课时的现场操作培训，保障实习教学顺利开展。</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 技术支持与售后</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提供7×24小时远程技术支持，4小时内响应故障诉求，24小时内到场解决问题；提供至少3年免费质保与软件版本升级服务，质保期内免费更换故障硬件。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 承诺函要求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供应商须就本条款全部内容出具加盖公章的承诺函，明确服务范围、响应时效及违约责任。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二、教师技术指导服务条款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 专项技术培训</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针对授课教师开展实习软件操作与教学应用专项培训，内容包括：软件核心功能、实训流程设计、典型教学案例、常见问题排查等；培训形式为现场实操+案例讲解+答疑互动，确保每位教师能独立完成课堂教学与实训指导。</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 教学资源支持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提供完整的教师指导手册、学生实训手册、操作视频教程、实训项目库等教学资源，辅助教师备课与课堂教学；协助教师开发适配课程标准与技能竞赛要求的实训项目及考核方案。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 现场驻场指导</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在首次开课/实训期间，安排技术工程师现场驻场指导不少于3天，协助解决课堂突发问题，保障教学秩序稳定；针对技能竞赛需求，提供不少于30天的竞赛辅导与技术支持，包括实训方案优化、难点突破、模拟演练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 长期技术咨询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建立专属技术对接群，为教师提供终身免费技术咨询服务，随时解答软件使用、教学应用等方面的疑问；定期推送软件更新说明与教学应用技巧，帮助教师持续提升教学能力。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三、核心承诺条款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供应商承诺：完成学生机房建设及实习软件部署，按要求提供设备资料、安装调试报告、培训记录；为授课教师提供专项技术指导服务，含软件操作培训、教学资源支持、现场驻场指导及不少于30天的竞赛辅导，并出具加盖公章的承诺函。</w:t>
            </w:r>
          </w:p>
        </w:tc>
      </w:tr>
    </w:tbl>
    <w:p w14:paraId="606352EA">
      <w:pPr>
        <w:pStyle w:val="6"/>
        <w:jc w:val="center"/>
        <w:rPr>
          <w:rFonts w:hint="eastAsia" w:ascii="宋体" w:hAnsi="宋体" w:eastAsia="宋体" w:cs="宋体"/>
          <w:sz w:val="24"/>
          <w:szCs w:val="24"/>
          <w:lang w:eastAsia="zh-CN"/>
        </w:rPr>
      </w:pPr>
    </w:p>
    <w:p w14:paraId="274F68C7">
      <w:pPr>
        <w:pStyle w:val="6"/>
        <w:jc w:val="center"/>
        <w:rPr>
          <w:rFonts w:hint="eastAsia" w:ascii="宋体" w:hAnsi="宋体" w:eastAsia="宋体" w:cs="宋体"/>
          <w:sz w:val="24"/>
          <w:szCs w:val="24"/>
          <w:lang w:eastAsia="zh-CN"/>
        </w:rPr>
      </w:pPr>
    </w:p>
    <w:p w14:paraId="21FA2CFE">
      <w:pPr>
        <w:pStyle w:val="6"/>
        <w:jc w:val="center"/>
        <w:rPr>
          <w:rFonts w:hint="eastAsia" w:ascii="宋体" w:hAnsi="宋体" w:eastAsia="宋体" w:cs="宋体"/>
          <w:sz w:val="32"/>
          <w:szCs w:val="32"/>
          <w:lang w:eastAsia="zh-CN"/>
        </w:rPr>
      </w:pPr>
      <w:r>
        <w:rPr>
          <w:rFonts w:hint="eastAsia" w:ascii="宋体" w:hAnsi="宋体" w:eastAsia="宋体" w:cs="宋体"/>
          <w:sz w:val="32"/>
          <w:szCs w:val="32"/>
          <w:lang w:eastAsia="zh-CN"/>
        </w:rPr>
        <w:t>三标段</w:t>
      </w:r>
    </w:p>
    <w:p w14:paraId="28B30F62">
      <w:pPr>
        <w:pStyle w:val="6"/>
        <w:rPr>
          <w:rFonts w:hint="eastAsia" w:ascii="宋体" w:hAnsi="宋体" w:eastAsia="宋体" w:cs="宋体"/>
          <w:sz w:val="24"/>
          <w:szCs w:val="24"/>
          <w:lang w:eastAsia="zh-CN"/>
        </w:rPr>
      </w:pPr>
    </w:p>
    <w:p w14:paraId="4EDF8ADA">
      <w:pPr>
        <w:rPr>
          <w:rFonts w:hint="eastAsia" w:ascii="宋体" w:hAnsi="宋体" w:eastAsia="宋体" w:cs="宋体"/>
          <w:sz w:val="24"/>
          <w:szCs w:val="24"/>
        </w:rPr>
      </w:pPr>
    </w:p>
    <w:tbl>
      <w:tblPr>
        <w:tblStyle w:val="4"/>
        <w:tblW w:w="11052" w:type="dxa"/>
        <w:jc w:val="center"/>
        <w:tblLayout w:type="fixed"/>
        <w:tblCellMar>
          <w:top w:w="0" w:type="dxa"/>
          <w:left w:w="108" w:type="dxa"/>
          <w:bottom w:w="0" w:type="dxa"/>
          <w:right w:w="108" w:type="dxa"/>
        </w:tblCellMar>
      </w:tblPr>
      <w:tblGrid>
        <w:gridCol w:w="538"/>
        <w:gridCol w:w="877"/>
        <w:gridCol w:w="538"/>
        <w:gridCol w:w="651"/>
        <w:gridCol w:w="8448"/>
      </w:tblGrid>
      <w:tr w14:paraId="00172677">
        <w:tblPrEx>
          <w:tblCellMar>
            <w:top w:w="0" w:type="dxa"/>
            <w:left w:w="108" w:type="dxa"/>
            <w:bottom w:w="0" w:type="dxa"/>
            <w:right w:w="108" w:type="dxa"/>
          </w:tblCellMar>
        </w:tblPrEx>
        <w:trPr>
          <w:trHeight w:val="801"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397B8">
            <w:pPr>
              <w:widowControl/>
              <w:jc w:val="center"/>
              <w:textAlignment w:val="center"/>
              <w:rPr>
                <w:rFonts w:ascii="新宋体" w:hAnsi="新宋体" w:eastAsia="新宋体" w:cs="新宋体"/>
                <w:color w:val="000000"/>
                <w:sz w:val="22"/>
                <w:szCs w:val="22"/>
              </w:rPr>
            </w:pPr>
            <w:bookmarkStart w:id="0" w:name="_GoBack"/>
            <w:r>
              <w:rPr>
                <w:rFonts w:hint="eastAsia" w:ascii="新宋体" w:hAnsi="新宋体" w:eastAsia="新宋体" w:cs="新宋体"/>
                <w:color w:val="000000"/>
                <w:kern w:val="0"/>
                <w:sz w:val="22"/>
                <w:szCs w:val="22"/>
                <w:lang w:bidi="ar"/>
              </w:rPr>
              <w:t>序号</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4DCB7">
            <w:pPr>
              <w:widowControl/>
              <w:jc w:val="left"/>
              <w:textAlignment w:val="center"/>
              <w:rPr>
                <w:rFonts w:ascii="新宋体" w:hAnsi="新宋体" w:eastAsia="新宋体" w:cs="新宋体"/>
                <w:color w:val="000000"/>
                <w:sz w:val="22"/>
                <w:szCs w:val="22"/>
              </w:rPr>
            </w:pPr>
            <w:r>
              <w:rPr>
                <w:rFonts w:hint="eastAsia" w:ascii="新宋体" w:hAnsi="新宋体" w:eastAsia="新宋体" w:cs="新宋体"/>
                <w:color w:val="000000"/>
                <w:kern w:val="0"/>
                <w:sz w:val="22"/>
                <w:szCs w:val="22"/>
                <w:lang w:bidi="ar"/>
              </w:rPr>
              <w:t>名称</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C7099">
            <w:pPr>
              <w:widowControl/>
              <w:jc w:val="center"/>
              <w:textAlignment w:val="center"/>
              <w:rPr>
                <w:rFonts w:ascii="新宋体" w:hAnsi="新宋体" w:eastAsia="新宋体" w:cs="新宋体"/>
                <w:color w:val="000000"/>
                <w:sz w:val="22"/>
                <w:szCs w:val="22"/>
              </w:rPr>
            </w:pPr>
            <w:r>
              <w:rPr>
                <w:rFonts w:hint="eastAsia" w:ascii="新宋体" w:hAnsi="新宋体" w:eastAsia="新宋体" w:cs="新宋体"/>
                <w:color w:val="000000"/>
                <w:kern w:val="0"/>
                <w:sz w:val="22"/>
                <w:szCs w:val="22"/>
                <w:lang w:bidi="ar"/>
              </w:rPr>
              <w:t>数量</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7E31B">
            <w:pPr>
              <w:widowControl/>
              <w:jc w:val="center"/>
              <w:textAlignment w:val="center"/>
              <w:rPr>
                <w:rFonts w:ascii="新宋体" w:hAnsi="新宋体" w:eastAsia="新宋体" w:cs="新宋体"/>
                <w:color w:val="000000"/>
                <w:sz w:val="22"/>
                <w:szCs w:val="22"/>
              </w:rPr>
            </w:pPr>
            <w:r>
              <w:rPr>
                <w:rFonts w:hint="eastAsia" w:ascii="新宋体" w:hAnsi="新宋体" w:eastAsia="新宋体" w:cs="新宋体"/>
                <w:color w:val="000000"/>
                <w:kern w:val="0"/>
                <w:sz w:val="22"/>
                <w:szCs w:val="22"/>
                <w:lang w:bidi="ar"/>
              </w:rPr>
              <w:t>规格</w:t>
            </w:r>
          </w:p>
        </w:tc>
        <w:tc>
          <w:tcPr>
            <w:tcW w:w="8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ACE37">
            <w:pPr>
              <w:widowControl/>
              <w:jc w:val="center"/>
              <w:textAlignment w:val="center"/>
              <w:rPr>
                <w:rFonts w:ascii="新宋体" w:hAnsi="新宋体" w:eastAsia="新宋体" w:cs="新宋体"/>
                <w:color w:val="000000"/>
                <w:kern w:val="0"/>
                <w:sz w:val="22"/>
                <w:szCs w:val="22"/>
                <w:lang w:bidi="ar"/>
              </w:rPr>
            </w:pPr>
            <w:r>
              <w:rPr>
                <w:rFonts w:hint="eastAsia" w:ascii="新宋体" w:hAnsi="新宋体" w:eastAsia="新宋体" w:cs="新宋体"/>
                <w:color w:val="000000"/>
                <w:kern w:val="0"/>
                <w:sz w:val="22"/>
                <w:szCs w:val="22"/>
                <w:lang w:bidi="ar"/>
              </w:rPr>
              <w:t>技术参数</w:t>
            </w:r>
          </w:p>
        </w:tc>
      </w:tr>
      <w:tr w14:paraId="1CB1EDA4">
        <w:tblPrEx>
          <w:tblCellMar>
            <w:top w:w="0" w:type="dxa"/>
            <w:left w:w="108" w:type="dxa"/>
            <w:bottom w:w="0" w:type="dxa"/>
            <w:right w:w="108" w:type="dxa"/>
          </w:tblCellMar>
        </w:tblPrEx>
        <w:trPr>
          <w:trHeight w:val="346"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3EB88">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1</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9832A">
            <w:pPr>
              <w:widowControl/>
              <w:jc w:val="left"/>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动力电池装调测试竞赛平台</w:t>
            </w:r>
          </w:p>
        </w:tc>
        <w:tc>
          <w:tcPr>
            <w:tcW w:w="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130A5">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1</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BA29F">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套</w:t>
            </w:r>
          </w:p>
        </w:tc>
        <w:tc>
          <w:tcPr>
            <w:tcW w:w="8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325F3">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一、产品要求</w:t>
            </w:r>
          </w:p>
          <w:p w14:paraId="62C8B050">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动力电池装调测试竞赛平台采用磷酸铁锂动力电池、车规级动力电池管理系统及相关零部件，可完成动力电池分拣、分容、性能识别、模组装配及系统诊断测试等技能训练。</w:t>
            </w:r>
          </w:p>
          <w:p w14:paraId="1AB8E20B">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二、功能要求</w:t>
            </w:r>
          </w:p>
          <w:p w14:paraId="7F8C6727">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1.平台布置动力电池包模块、配电箱模块、负载模块、控制模块、充电模块、故障设置与诊断模块、智能教学系统、人员训练行为监测系统。</w:t>
            </w:r>
          </w:p>
          <w:p w14:paraId="5780FB9F">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2.动力电池包模块分为四个电池模组，每个模组由6节20AH方形磷酸铁锂动力电池串联成组组成，采用四块螺栓紧固的防呆设计PCB及扁平纯铜排安装连接，可满足动力电池拆卸安装的技能训练。</w:t>
            </w:r>
          </w:p>
          <w:p w14:paraId="606CFAF3">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3.配置车规级带互锁高压维修开关，可完成维修开关的装配及电路接线训练。</w:t>
            </w:r>
          </w:p>
          <w:p w14:paraId="69E3A1ED">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4.配电箱模块安装车规级分布式电池管理系统、高压接插件及低压连接器，内部安装放电接触器、预充接触器、慢充接触器、预充电阻、预充电容等，可完成电路布线接线技能训练。</w:t>
            </w:r>
          </w:p>
          <w:p w14:paraId="4FC6598E">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5.负载模块安装多个功率电阻，可模拟车辆加减速过程中电流的变换，可实现四个等级放电电流状态；可完成监测不同放电状态下每个单体电池电压、温度、电池包放电电流、电池包放电电压等参数变化的技能训练。</w:t>
            </w:r>
          </w:p>
          <w:p w14:paraId="28754755">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6.充电模块采用新能源汽车充电系统控制原理搭建，可监测充电状态下每个单体电池电压、温度、电池包充电电流、电池包充电电压等参数变化，完成充电系统原理以及单体电池充电特性的实训教学。</w:t>
            </w:r>
          </w:p>
          <w:p w14:paraId="40B4E213">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7.故障设置与诊断模块可设置断路、虚接、错接故障，可检测线路电信号的变化完成诊断训练。</w:t>
            </w:r>
          </w:p>
          <w:p w14:paraId="6A0D7677">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8.智能教学系统可实现电池数据调试功能，调试数据信息包含：总压过高、单体过高、放电高温、充电高温、压差过大、放电过流、soc过低、总压过低、单体过低、放电低温、充电低温、温差过大、充电过流、绝缘过低等数据，每条数据分三个告警等级，可进行编辑修改；</w:t>
            </w:r>
          </w:p>
          <w:p w14:paraId="637A2A88">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9.智能教学系统可动态显示动力电池管理系统相关数据流，包含：系统电压、系统总电流、系统SOC、系统运行状态、充电枪连接状态、充电状态、充电枪充电模式和状态、绝缘正阻值、绝缘负阻值、CC电阻值、电池温差、CP占空比、高压互锁状态、与整车通讯状态、充电机通讯状态、交流充电枪座温度等信息。</w:t>
            </w:r>
          </w:p>
          <w:p w14:paraId="6A7FB390">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10.智能教学系统可对单个电池电压进行数值设置，也可同时对多个电池电压进行数值设置。</w:t>
            </w:r>
          </w:p>
          <w:p w14:paraId="489D3DED">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11.智能教学系统可对单个电池温度采集点进行数值设置，也可同时对多个电池温度采集点进行数值设置。</w:t>
            </w:r>
          </w:p>
          <w:p w14:paraId="0744B318">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12.智能教学系统可进行充电和放电控制，放电时可显示放电电流，剩余放电时间等信息；充电时显示充电枪连接状态，CC、CP，充电电流，充电剩余时间等信息。</w:t>
            </w:r>
          </w:p>
          <w:p w14:paraId="0B776C32">
            <w:pPr>
              <w:widowControl/>
              <w:jc w:val="left"/>
              <w:textAlignment w:val="center"/>
              <w:rPr>
                <w:rFonts w:hint="default" w:ascii="新宋体" w:hAnsi="新宋体" w:eastAsia="新宋体" w:cs="新宋体"/>
                <w:color w:val="auto"/>
                <w:kern w:val="0"/>
                <w:sz w:val="22"/>
                <w:szCs w:val="22"/>
                <w:lang w:val="en-US" w:eastAsia="zh-CN" w:bidi="ar"/>
              </w:rPr>
            </w:pPr>
            <w:r>
              <w:rPr>
                <w:rFonts w:hint="eastAsia" w:ascii="新宋体" w:hAnsi="新宋体" w:eastAsia="新宋体" w:cs="新宋体"/>
                <w:color w:val="auto"/>
                <w:kern w:val="0"/>
                <w:sz w:val="22"/>
                <w:szCs w:val="22"/>
                <w:lang w:bidi="ar"/>
              </w:rPr>
              <w:t>13.人员训练行为监测系统配置智能摄像头，具备多个自由度调节视角，启动后可实时监测人员的训练行为。</w:t>
            </w:r>
            <w:r>
              <w:rPr>
                <w:rFonts w:hint="eastAsia" w:ascii="新宋体" w:hAnsi="新宋体" w:eastAsia="新宋体" w:cs="新宋体"/>
                <w:color w:val="auto"/>
                <w:kern w:val="0"/>
                <w:sz w:val="22"/>
                <w:szCs w:val="22"/>
                <w:lang w:val="en-US" w:eastAsia="zh-CN" w:bidi="ar"/>
              </w:rPr>
              <w:t>厂家出具证明文件，且在有效期内。</w:t>
            </w:r>
          </w:p>
        </w:tc>
      </w:tr>
      <w:tr w14:paraId="3D21055C">
        <w:tblPrEx>
          <w:tblCellMar>
            <w:top w:w="0" w:type="dxa"/>
            <w:left w:w="108" w:type="dxa"/>
            <w:bottom w:w="0" w:type="dxa"/>
            <w:right w:w="108" w:type="dxa"/>
          </w:tblCellMar>
        </w:tblPrEx>
        <w:trPr>
          <w:trHeight w:val="319"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E134E">
            <w:pPr>
              <w:widowControl/>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2</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AFBFD">
            <w:pPr>
              <w:widowControl/>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高压安全智能实训台</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47DDE">
            <w:pPr>
              <w:widowControl/>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1</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7447B">
            <w:pPr>
              <w:widowControl/>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套</w:t>
            </w:r>
          </w:p>
        </w:tc>
        <w:tc>
          <w:tcPr>
            <w:tcW w:w="8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FD051">
            <w:pPr>
              <w:widowControl/>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一、产品要求</w:t>
            </w:r>
          </w:p>
          <w:p w14:paraId="767288F0">
            <w:pPr>
              <w:widowControl/>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1.台架模拟实车动力电池、配电箱、空调压缩机、空调PTC等模块，采用48V交流电机，模拟实现纯电动汽车放电逻辑过程。</w:t>
            </w:r>
          </w:p>
          <w:p w14:paraId="7B45564C">
            <w:pPr>
              <w:widowControl/>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2.采用车用高压线束，连接各高压模块，高压插接头具有互锁端子，可练习不同高压插接件插拔。</w:t>
            </w:r>
          </w:p>
          <w:p w14:paraId="4FAC3CF5">
            <w:pPr>
              <w:widowControl/>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3.进行高压插拔时，必须按照先断开低压部分，断开MSD开关，然后断开动力电池模块连接线束，最后断开其他各模块高压线束，否则系统报警，规范学生高压下电与上电步骤。</w:t>
            </w:r>
          </w:p>
          <w:p w14:paraId="7781E709">
            <w:pPr>
              <w:widowControl/>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4.敲击模拟动力电池包，模拟实现实车碰撞下高压电。</w:t>
            </w:r>
          </w:p>
          <w:p w14:paraId="48C102D3">
            <w:pPr>
              <w:widowControl/>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5.系统高压上电成功，可选择D档或R档，系统对外放电，电机驱动车轮正转或反转。</w:t>
            </w:r>
          </w:p>
          <w:p w14:paraId="4F5EC24A">
            <w:pPr>
              <w:widowControl/>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6.实训台可与控制模块数据传输，实现信号传输与控制。</w:t>
            </w:r>
          </w:p>
          <w:p w14:paraId="7051405E">
            <w:pPr>
              <w:widowControl/>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7.为保障学员安全，车轮配置防护罩</w:t>
            </w:r>
          </w:p>
          <w:p w14:paraId="2D7F43CA">
            <w:pPr>
              <w:widowControl/>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8.台架装有万向脚轮，脚轮带锁止机构；台架采用专用工作台，面板平铺，显示模块≥43寸。</w:t>
            </w:r>
          </w:p>
          <w:p w14:paraId="4FDEFCE5">
            <w:pPr>
              <w:widowControl/>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9.配套实训项目指导书，完整讲述实训台工作原理、实训科目、故障设置及清除等要点。</w:t>
            </w:r>
          </w:p>
          <w:p w14:paraId="40509189">
            <w:pPr>
              <w:widowControl/>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10.实训台可真实呈现新能源汽车高压线路组成结构，配套智能教学系统中高压上下电原理图，可完整呈现电动汽车高压系统布局。</w:t>
            </w:r>
          </w:p>
          <w:p w14:paraId="759A296A">
            <w:pPr>
              <w:widowControl/>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11.可完整演示车辆放电过程，实现驱动电机（前进、倒退），可通过轻踩油门实现电机整个加速过程。</w:t>
            </w:r>
          </w:p>
          <w:p w14:paraId="73810491">
            <w:pPr>
              <w:widowControl/>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12.具有完整的碰撞保护功能，通过对模拟电池包的碰撞及敲击，可实现紧急高压断电，并触发异常告警。</w:t>
            </w:r>
          </w:p>
          <w:p w14:paraId="03DD87A7">
            <w:pPr>
              <w:widowControl/>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13.具有高压系统的自诊断功能，实训台可通过高压互锁等系统组成完成整个高压系统的回路检测。</w:t>
            </w:r>
          </w:p>
          <w:p w14:paraId="7A5365D7">
            <w:pPr>
              <w:widowControl/>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14.可通过实训台完成车辆高压互锁回路在新能源整车中作用的教学与实训。</w:t>
            </w:r>
          </w:p>
          <w:p w14:paraId="5154EABE">
            <w:pPr>
              <w:widowControl/>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15.可通过实训台完成新能源汽车高压插接件插拔练习，让学生对新能源插接件结构及双重锁止机构有个明确的认识。</w:t>
            </w:r>
          </w:p>
          <w:p w14:paraId="06CC7C45">
            <w:pPr>
              <w:widowControl/>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16.车辆安全下电标准流程的练习。</w:t>
            </w:r>
          </w:p>
        </w:tc>
      </w:tr>
      <w:tr w14:paraId="308B702F">
        <w:tblPrEx>
          <w:tblCellMar>
            <w:top w:w="0" w:type="dxa"/>
            <w:left w:w="108" w:type="dxa"/>
            <w:bottom w:w="0" w:type="dxa"/>
            <w:right w:w="108" w:type="dxa"/>
          </w:tblCellMar>
        </w:tblPrEx>
        <w:trPr>
          <w:trHeight w:val="319"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503FD">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3</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47F23">
            <w:pPr>
              <w:widowControl/>
              <w:jc w:val="left"/>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高压安全智能实训台智能教学系统</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29955">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1</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8D305">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套</w:t>
            </w:r>
          </w:p>
        </w:tc>
        <w:tc>
          <w:tcPr>
            <w:tcW w:w="8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539CA">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一、高压安全智能实训台智能教学系统</w:t>
            </w:r>
          </w:p>
          <w:p w14:paraId="24E59408">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高压安全智能实训台智能教学系统内置可视化课程资源，实现新能源汽车高压安全交互式教学。</w:t>
            </w:r>
          </w:p>
          <w:p w14:paraId="5A2E954F">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1.高压安全智能实训台智能教学系统分为工作原理，资源库，实训中心，操作规范，用途说明等五大模块。</w:t>
            </w:r>
          </w:p>
          <w:p w14:paraId="08CF6224">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2.工作原理模块内置：</w:t>
            </w:r>
          </w:p>
          <w:p w14:paraId="6FE779B1">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①撞击保护原理动画；</w:t>
            </w:r>
          </w:p>
          <w:p w14:paraId="49F83E81">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②高压台架互锁控制原理图动画。</w:t>
            </w:r>
          </w:p>
          <w:p w14:paraId="7F4F7B62">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3.平台配置计算模块，配置≥四核处理器、≥8G内存、≥120G固态硬盘。</w:t>
            </w:r>
          </w:p>
          <w:p w14:paraId="621D0C13">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4.资源库可根据学生和教师不同教学需求播放可视化资源或查看文本资源。数据与信息资源通过43寸高清多媒体端动态显示。</w:t>
            </w:r>
          </w:p>
          <w:p w14:paraId="78E1D611">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5.视频播放技术采用高清播放平台，视频播放支持swf、MP4等多种格式，视频播放时可以全屏或暂停。</w:t>
            </w:r>
          </w:p>
          <w:p w14:paraId="60F6FC87">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6.文本资源支持word、excel、PDF、PPT等多种格式，文本资源支持离线查看。</w:t>
            </w:r>
          </w:p>
          <w:p w14:paraId="0AC45090">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7.教学系统具有资源上传与删除功能，通过资源上传功能，教师可以自主上传视频类资源和文本资源等，或者删除自主上传的课程资源</w:t>
            </w:r>
          </w:p>
          <w:p w14:paraId="0CFFDC75">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8.实训中心模块包含高压上下电，碰撞保护，互锁保护电气动态原理图。规范操作模块配有高压插接件认知等相关操作视频，学生可通过视频学习，加深对知识点理解及实训中的排除故障能力。</w:t>
            </w:r>
          </w:p>
          <w:p w14:paraId="549BF74A">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9.配套实训指导视频不低于5个。</w:t>
            </w:r>
          </w:p>
          <w:p w14:paraId="0552DB47">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二、教学资源平台</w:t>
            </w:r>
          </w:p>
          <w:p w14:paraId="50176524">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1.教学资源平台教师端具有资源库、测评中心、教学中心、管理中心、个人中心、师生互动等功能。</w:t>
            </w:r>
          </w:p>
          <w:p w14:paraId="64C87B3C">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2.资源库：具有资源浏览和资源上传等功能。</w:t>
            </w:r>
          </w:p>
          <w:p w14:paraId="330DAE19">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资源浏览：可查看模块资源内容</w:t>
            </w:r>
          </w:p>
          <w:p w14:paraId="6DF6D1A5">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根据新能源汽车机电维修工岗位需要的知识点、技能点，以视频形式呈现。文件格式需采用MOV、AVI、MPEG、WMV、MP4等常用格式，视频类素材中的音频与视频图像有良好的同步。</w:t>
            </w:r>
          </w:p>
          <w:p w14:paraId="7AFD1D79">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资源库需涵盖50个视频资源，提供截图。</w:t>
            </w:r>
          </w:p>
          <w:p w14:paraId="79ED7646">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3.测评中心</w:t>
            </w:r>
          </w:p>
          <w:p w14:paraId="61A4B246">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测评中心具有题目管理、试卷管理、考试管理、学生成长分析、成绩分析等功能。提供截图。</w:t>
            </w:r>
          </w:p>
          <w:p w14:paraId="104577DE">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4.管理中心：具有审核中心、账号管理、题库管理、班级管理、发布系统公告、资源库管理等功能。提供截图。</w:t>
            </w:r>
          </w:p>
          <w:p w14:paraId="50DAE51B">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5.个人中心：具有个人资料、我的试卷、上传学生名单、消息中心、收藏夹、浏览记录、上传记录、下载记录等功能。提供截图。</w:t>
            </w:r>
          </w:p>
          <w:p w14:paraId="165F56CB">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三、新能源汽车结构原理与检测3D虚拟仿真软件</w:t>
            </w:r>
          </w:p>
          <w:p w14:paraId="1D3C45CC">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软件包含空调系统，点击空调系统，包含结构原理、虚拟诊断，点击虚拟诊断，包含演示、实训、考核功能；</w:t>
            </w:r>
          </w:p>
          <w:p w14:paraId="12E21A13">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四、配套新能源汽车技能训练工作站教学资源</w:t>
            </w:r>
          </w:p>
          <w:p w14:paraId="3BF6301B">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新能源汽车技能训练工作站教学资源包含但不限于100个实训微课及配套100个实训指导书、100个实训工单、100个设备及工具清单、50张图片资源。</w:t>
            </w:r>
            <w:r>
              <w:rPr>
                <w:rFonts w:hint="eastAsia" w:ascii="新宋体" w:hAnsi="新宋体" w:eastAsia="新宋体" w:cs="新宋体"/>
                <w:color w:val="auto"/>
                <w:kern w:val="0"/>
                <w:sz w:val="22"/>
                <w:szCs w:val="22"/>
                <w:lang w:val="en-US" w:eastAsia="zh-CN" w:bidi="ar"/>
              </w:rPr>
              <w:t>厂家出具证明文件，且在有效期内。</w:t>
            </w:r>
          </w:p>
          <w:p w14:paraId="63494C96">
            <w:pPr>
              <w:widowControl/>
              <w:jc w:val="left"/>
              <w:textAlignment w:val="center"/>
              <w:rPr>
                <w:rFonts w:ascii="新宋体" w:hAnsi="新宋体" w:eastAsia="新宋体" w:cs="新宋体"/>
                <w:color w:val="auto"/>
                <w:kern w:val="0"/>
                <w:sz w:val="22"/>
                <w:szCs w:val="22"/>
                <w:lang w:bidi="ar"/>
              </w:rPr>
            </w:pPr>
          </w:p>
        </w:tc>
      </w:tr>
      <w:tr w14:paraId="789A5FEB">
        <w:tblPrEx>
          <w:tblCellMar>
            <w:top w:w="0" w:type="dxa"/>
            <w:left w:w="108" w:type="dxa"/>
            <w:bottom w:w="0" w:type="dxa"/>
            <w:right w:w="108" w:type="dxa"/>
          </w:tblCellMar>
        </w:tblPrEx>
        <w:trPr>
          <w:trHeight w:val="90"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4366B">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4</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EA675">
            <w:pPr>
              <w:widowControl/>
              <w:jc w:val="left"/>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智能驾驶应用开发平台</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6D5F0">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1</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91D6D">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台</w:t>
            </w:r>
          </w:p>
        </w:tc>
        <w:tc>
          <w:tcPr>
            <w:tcW w:w="8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42C8A">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一、产品要求</w:t>
            </w:r>
          </w:p>
          <w:p w14:paraId="6657D4B0">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智能驾驶应用开发平台需基于智能驾驶计算平台应用研发培训认证而设计，由感知、决策、执行三大模块组成，具备实车级演示教学实训功能。在镂空设计的车体上，激光雷达、单目摄像头、毫米波雷达构成了感知模块， 智能驾驶计算平台及转接盒形成了决策模块，一体化底盘、电池和驱动系统、底盘支架组成了执行机构。</w:t>
            </w:r>
          </w:p>
          <w:p w14:paraId="254703C7">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二、配置要求</w:t>
            </w:r>
          </w:p>
          <w:p w14:paraId="49B59493">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产品主体尺寸≥2200*1300*1350mm，采用镂空设计，在流线型车架上搭载≥96线激光雷达，GLSM接口单目摄像头，毫米波雷达，提供一体化底盘、电池和驱动系统、底盘支架。</w:t>
            </w:r>
          </w:p>
          <w:p w14:paraId="5DC434E6">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1.感知模块</w:t>
            </w:r>
          </w:p>
          <w:p w14:paraId="52F35EB0">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感知模块由≥96线激光雷达，GLSM接口单目摄像头，毫米波雷达组成。</w:t>
            </w:r>
          </w:p>
          <w:p w14:paraId="48B0752E">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 xml:space="preserve">CPU 采用汽车级芯片； </w:t>
            </w:r>
          </w:p>
          <w:p w14:paraId="584C148F">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 xml:space="preserve">兼容8 — 32V DC电源系统； </w:t>
            </w:r>
          </w:p>
          <w:p w14:paraId="500546F8">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 xml:space="preserve">完备的 I/O 端口资源及相应的硬件底层驱动（AI，DI，PWM，SPI，HSD，LSD）； </w:t>
            </w:r>
          </w:p>
          <w:p w14:paraId="6D2CD84A">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具有 Bootloader，可使用INCA升级应用程序</w:t>
            </w:r>
          </w:p>
          <w:p w14:paraId="300F8921">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2.决策模块需采用国产智能驾驶计算平台</w:t>
            </w:r>
          </w:p>
          <w:p w14:paraId="42E12223">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（1）硬件技术规格</w:t>
            </w:r>
          </w:p>
          <w:p w14:paraId="0E8BA91E">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① AI算力：≥96TOPS</w:t>
            </w:r>
          </w:p>
          <w:p w14:paraId="3D399BE8">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② CPU算力:≥120K DMIPS</w:t>
            </w:r>
          </w:p>
          <w:p w14:paraId="5421F7C2">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③ 存储：≥64GB</w:t>
            </w:r>
          </w:p>
          <w:p w14:paraId="6029E86B">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④ 内存：≥12GB</w:t>
            </w:r>
          </w:p>
          <w:p w14:paraId="422DB1B2">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（2）对外功能接口：</w:t>
            </w:r>
          </w:p>
          <w:p w14:paraId="3F335368">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电源输入：提供DC(Direct Current)电源输入。</w:t>
            </w:r>
          </w:p>
          <w:p w14:paraId="0ECD4D23">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（投标文件需内置技术规格文档的截图以及智能驾驶控制器实物图片）</w:t>
            </w:r>
          </w:p>
          <w:p w14:paraId="4F72EA17">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3.执行模块</w:t>
            </w:r>
          </w:p>
          <w:p w14:paraId="3B4F4B6A">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执行模块由一体化底盘、电池和驱动系统、底盘支架组成。</w:t>
            </w:r>
          </w:p>
          <w:p w14:paraId="7FA9ABF9">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三、智能驾驶开发工具软件</w:t>
            </w:r>
          </w:p>
          <w:p w14:paraId="03B08A0A">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智能驾驶开发工具提供安全可信，高效便捷，灵活开放的应用开发端到端工具集，通过部署AutoSAR应用配置工具、集成开发环境工具、可视化仿真调测工具、检测标定诊断工具，构建移动数据中心智能驾驶开发平台的软件开发生态，要能灵活快速的开发出针对不同应用场景的满足AUTOSAR规范的智能驾驶应用。</w:t>
            </w:r>
          </w:p>
          <w:p w14:paraId="7A65D39A">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1.MMC AP应用配置工具</w:t>
            </w:r>
          </w:p>
          <w:p w14:paraId="58CCA457">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MMC AP应用配置工具需基于智能驾驶计算平台的Manifest配置工具，需遵循开放式的汽车电子系统架构规范，对软件进行了服务化设计和抽象化设计，并对抽象后的参数进行配置，输出arxml格式文件，可用于智能驾驶计算平台软件、智能驾驶功能软件以及应用软件的配置。</w:t>
            </w:r>
          </w:p>
          <w:p w14:paraId="73017C48">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2.MDS集成开发环境工具</w:t>
            </w:r>
          </w:p>
          <w:p w14:paraId="14727EEB">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MDS集成开发环境工具需提供代码自动生成、编译构建、运行调试、性能分析、内存检查和覆盖率报告等功能。MDS需支持以程序为中心的快速迭代开发模式。</w:t>
            </w:r>
          </w:p>
          <w:p w14:paraId="2686AAB0">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3.AI集成开发工具</w:t>
            </w:r>
          </w:p>
          <w:p w14:paraId="5EDBCF90">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AI集成开发工具需是AI算子开发和AI模型管理工具，需支持把基于TensorFlow、Caffe等框架生成的神经网络模型转换为可以在MDC智能驾驶平台上执行的网络模型。AI集成开发工具需支持AI仿真和AI性能分析功能。</w:t>
            </w:r>
          </w:p>
          <w:p w14:paraId="06537418">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4.MViz可视化仿真调测工具</w:t>
            </w:r>
          </w:p>
          <w:p w14:paraId="349F19C2">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MViz可视化仿真调测工具需将应用发送的数据进行转换后发布至可视化工具插件上进行图形化显示，需支持显示H.265压缩的视频数据，需支持在视频数据上叠加AI算法输出的检测框、支持显示车辆状态、道路信息等。</w:t>
            </w:r>
          </w:p>
          <w:p w14:paraId="1E833641">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5.MCD检测标定诊断工具</w:t>
            </w:r>
          </w:p>
          <w:p w14:paraId="36C2F36A">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MCD检测标定诊断工具需是基于UDS统一诊断服务协议开发的上位机检测诊断工具，主要功能需为可视化显示并管理MDC平台的设备状态信息、软件拓扑信息、录制或回放的event消息和故障诊断信息，以便提升开发或维护人员调测和问题定位的效率。</w:t>
            </w:r>
          </w:p>
          <w:p w14:paraId="26E7F06E">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四、配套ADSFI自动驾驶服务框架</w:t>
            </w:r>
          </w:p>
          <w:p w14:paraId="3100363E">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ADSFI对外提供各种自动驾驶领域常用的应用框架，其中应用框架覆盖感知类的框架，融合类的框架，规划控制类框架，定位类的框架，场景分析管理类框架。</w:t>
            </w:r>
          </w:p>
          <w:p w14:paraId="73547DCB">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1.数据接收与处理2.数据通信与消息传输3.统一的传感器接口</w:t>
            </w:r>
          </w:p>
          <w:p w14:paraId="79B498E3">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4.功能模块接口定义5.感知类模块支持6.融合类模块支持</w:t>
            </w:r>
          </w:p>
          <w:p w14:paraId="110C56D2">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7.定位与导航模块支持8.规划与控制模块支持9.场景分析与场景管理模块支持</w:t>
            </w:r>
          </w:p>
          <w:p w14:paraId="35214678">
            <w:pPr>
              <w:widowControl/>
              <w:jc w:val="left"/>
              <w:textAlignment w:val="center"/>
              <w:rPr>
                <w:rFonts w:ascii="新宋体" w:hAnsi="新宋体" w:eastAsia="新宋体" w:cs="新宋体"/>
                <w:color w:val="auto"/>
                <w:kern w:val="0"/>
                <w:sz w:val="22"/>
                <w:szCs w:val="22"/>
                <w:lang w:bidi="ar"/>
              </w:rPr>
            </w:pPr>
          </w:p>
        </w:tc>
      </w:tr>
      <w:tr w14:paraId="5AE46FF5">
        <w:tblPrEx>
          <w:tblCellMar>
            <w:top w:w="0" w:type="dxa"/>
            <w:left w:w="108" w:type="dxa"/>
            <w:bottom w:w="0" w:type="dxa"/>
            <w:right w:w="108" w:type="dxa"/>
          </w:tblCellMar>
        </w:tblPrEx>
        <w:trPr>
          <w:trHeight w:val="90"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25250">
            <w:pPr>
              <w:widowControl/>
              <w:jc w:val="center"/>
              <w:textAlignment w:val="center"/>
              <w:rPr>
                <w:rFonts w:hint="eastAsia" w:ascii="新宋体" w:hAnsi="新宋体" w:eastAsia="新宋体" w:cs="新宋体"/>
                <w:color w:val="auto"/>
                <w:kern w:val="0"/>
                <w:sz w:val="22"/>
                <w:szCs w:val="22"/>
                <w:lang w:bidi="ar"/>
              </w:rPr>
            </w:pPr>
          </w:p>
          <w:p w14:paraId="43631C3B">
            <w:pPr>
              <w:widowControl/>
              <w:jc w:val="center"/>
              <w:textAlignment w:val="center"/>
              <w:rPr>
                <w:rFonts w:hint="eastAsia" w:ascii="新宋体" w:hAnsi="新宋体" w:eastAsia="新宋体" w:cs="新宋体"/>
                <w:color w:val="auto"/>
                <w:kern w:val="0"/>
                <w:sz w:val="22"/>
                <w:szCs w:val="22"/>
                <w:lang w:bidi="ar"/>
              </w:rPr>
            </w:pPr>
          </w:p>
          <w:p w14:paraId="1BF82E40">
            <w:pPr>
              <w:widowControl/>
              <w:jc w:val="center"/>
              <w:textAlignment w:val="center"/>
              <w:rPr>
                <w:rFonts w:hint="eastAsia" w:ascii="新宋体" w:hAnsi="新宋体" w:eastAsia="新宋体" w:cs="新宋体"/>
                <w:color w:val="auto"/>
                <w:kern w:val="0"/>
                <w:sz w:val="22"/>
                <w:szCs w:val="22"/>
                <w:lang w:bidi="ar"/>
              </w:rPr>
            </w:pPr>
          </w:p>
          <w:p w14:paraId="2E930826">
            <w:pPr>
              <w:widowControl/>
              <w:jc w:val="center"/>
              <w:textAlignment w:val="center"/>
              <w:rPr>
                <w:rFonts w:hint="eastAsia" w:ascii="新宋体" w:hAnsi="新宋体" w:eastAsia="新宋体" w:cs="新宋体"/>
                <w:color w:val="auto"/>
                <w:kern w:val="0"/>
                <w:sz w:val="22"/>
                <w:szCs w:val="22"/>
                <w:lang w:bidi="ar"/>
              </w:rPr>
            </w:pPr>
          </w:p>
          <w:p w14:paraId="529E708F">
            <w:pPr>
              <w:widowControl/>
              <w:jc w:val="center"/>
              <w:textAlignment w:val="center"/>
              <w:rPr>
                <w:rFonts w:hint="eastAsia" w:ascii="新宋体" w:hAnsi="新宋体" w:eastAsia="新宋体" w:cs="新宋体"/>
                <w:color w:val="auto"/>
                <w:kern w:val="0"/>
                <w:sz w:val="22"/>
                <w:szCs w:val="22"/>
                <w:lang w:bidi="ar"/>
              </w:rPr>
            </w:pPr>
          </w:p>
          <w:p w14:paraId="5D795CA8">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5</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3B30B">
            <w:pPr>
              <w:widowControl/>
              <w:jc w:val="left"/>
              <w:textAlignment w:val="center"/>
              <w:rPr>
                <w:rFonts w:hint="eastAsia" w:ascii="新宋体" w:hAnsi="新宋体" w:eastAsia="新宋体" w:cs="新宋体"/>
                <w:color w:val="auto"/>
                <w:kern w:val="0"/>
                <w:sz w:val="22"/>
                <w:szCs w:val="22"/>
                <w:lang w:bidi="ar"/>
              </w:rPr>
            </w:pPr>
          </w:p>
          <w:p w14:paraId="3BB1569C">
            <w:pPr>
              <w:widowControl/>
              <w:jc w:val="left"/>
              <w:textAlignment w:val="center"/>
              <w:rPr>
                <w:rFonts w:hint="eastAsia" w:ascii="新宋体" w:hAnsi="新宋体" w:eastAsia="新宋体" w:cs="新宋体"/>
                <w:color w:val="auto"/>
                <w:kern w:val="0"/>
                <w:sz w:val="22"/>
                <w:szCs w:val="22"/>
                <w:lang w:bidi="ar"/>
              </w:rPr>
            </w:pPr>
          </w:p>
          <w:p w14:paraId="70A2EC5F">
            <w:pPr>
              <w:widowControl/>
              <w:jc w:val="left"/>
              <w:textAlignment w:val="center"/>
              <w:rPr>
                <w:rFonts w:hint="eastAsia" w:ascii="新宋体" w:hAnsi="新宋体" w:eastAsia="新宋体" w:cs="新宋体"/>
                <w:color w:val="auto"/>
                <w:kern w:val="0"/>
                <w:sz w:val="22"/>
                <w:szCs w:val="22"/>
                <w:lang w:bidi="ar"/>
              </w:rPr>
            </w:pPr>
          </w:p>
          <w:p w14:paraId="1A15DF17">
            <w:pPr>
              <w:widowControl/>
              <w:jc w:val="left"/>
              <w:textAlignment w:val="center"/>
              <w:rPr>
                <w:rFonts w:hint="eastAsia" w:ascii="新宋体" w:hAnsi="新宋体" w:eastAsia="新宋体" w:cs="新宋体"/>
                <w:color w:val="auto"/>
                <w:kern w:val="0"/>
                <w:sz w:val="22"/>
                <w:szCs w:val="22"/>
                <w:lang w:bidi="ar"/>
              </w:rPr>
            </w:pPr>
          </w:p>
          <w:p w14:paraId="690D8AAB">
            <w:pPr>
              <w:widowControl/>
              <w:jc w:val="left"/>
              <w:textAlignment w:val="center"/>
              <w:rPr>
                <w:rFonts w:hint="eastAsia" w:ascii="新宋体" w:hAnsi="新宋体" w:eastAsia="新宋体" w:cs="新宋体"/>
                <w:color w:val="auto"/>
                <w:kern w:val="0"/>
                <w:sz w:val="22"/>
                <w:szCs w:val="22"/>
                <w:lang w:bidi="ar"/>
              </w:rPr>
            </w:pPr>
          </w:p>
          <w:p w14:paraId="57902630">
            <w:pPr>
              <w:widowControl/>
              <w:jc w:val="left"/>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电池包封测与检测诊断实训台（含电池管理系统上位机软件）</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CD985">
            <w:pPr>
              <w:widowControl/>
              <w:jc w:val="center"/>
              <w:textAlignment w:val="center"/>
              <w:rPr>
                <w:rFonts w:hint="eastAsia" w:ascii="新宋体" w:hAnsi="新宋体" w:eastAsia="新宋体" w:cs="新宋体"/>
                <w:color w:val="auto"/>
                <w:kern w:val="0"/>
                <w:sz w:val="22"/>
                <w:szCs w:val="22"/>
                <w:lang w:bidi="ar"/>
              </w:rPr>
            </w:pPr>
          </w:p>
          <w:p w14:paraId="18FA2544">
            <w:pPr>
              <w:widowControl/>
              <w:jc w:val="center"/>
              <w:textAlignment w:val="center"/>
              <w:rPr>
                <w:rFonts w:hint="eastAsia" w:ascii="新宋体" w:hAnsi="新宋体" w:eastAsia="新宋体" w:cs="新宋体"/>
                <w:color w:val="auto"/>
                <w:kern w:val="0"/>
                <w:sz w:val="22"/>
                <w:szCs w:val="22"/>
                <w:lang w:bidi="ar"/>
              </w:rPr>
            </w:pPr>
          </w:p>
          <w:p w14:paraId="1FA6B7C2">
            <w:pPr>
              <w:widowControl/>
              <w:jc w:val="center"/>
              <w:textAlignment w:val="center"/>
              <w:rPr>
                <w:rFonts w:hint="eastAsia" w:ascii="新宋体" w:hAnsi="新宋体" w:eastAsia="新宋体" w:cs="新宋体"/>
                <w:color w:val="auto"/>
                <w:kern w:val="0"/>
                <w:sz w:val="22"/>
                <w:szCs w:val="22"/>
                <w:lang w:bidi="ar"/>
              </w:rPr>
            </w:pPr>
          </w:p>
          <w:p w14:paraId="3AE443BA">
            <w:pPr>
              <w:widowControl/>
              <w:jc w:val="center"/>
              <w:textAlignment w:val="center"/>
              <w:rPr>
                <w:rFonts w:hint="eastAsia" w:ascii="新宋体" w:hAnsi="新宋体" w:eastAsia="新宋体" w:cs="新宋体"/>
                <w:color w:val="auto"/>
                <w:kern w:val="0"/>
                <w:sz w:val="22"/>
                <w:szCs w:val="22"/>
                <w:lang w:bidi="ar"/>
              </w:rPr>
            </w:pPr>
          </w:p>
          <w:p w14:paraId="58DBA114">
            <w:pPr>
              <w:widowControl/>
              <w:jc w:val="center"/>
              <w:textAlignment w:val="center"/>
              <w:rPr>
                <w:rFonts w:hint="eastAsia" w:ascii="新宋体" w:hAnsi="新宋体" w:eastAsia="新宋体" w:cs="新宋体"/>
                <w:color w:val="auto"/>
                <w:kern w:val="0"/>
                <w:sz w:val="22"/>
                <w:szCs w:val="22"/>
                <w:lang w:bidi="ar"/>
              </w:rPr>
            </w:pPr>
          </w:p>
          <w:p w14:paraId="0884C536">
            <w:pPr>
              <w:widowControl/>
              <w:jc w:val="center"/>
              <w:textAlignment w:val="center"/>
              <w:rPr>
                <w:rFonts w:hint="eastAsia" w:ascii="新宋体" w:hAnsi="新宋体" w:eastAsia="新宋体" w:cs="新宋体"/>
                <w:color w:val="auto"/>
                <w:kern w:val="0"/>
                <w:sz w:val="22"/>
                <w:szCs w:val="22"/>
                <w:lang w:bidi="ar"/>
              </w:rPr>
            </w:pPr>
          </w:p>
          <w:p w14:paraId="477595E5">
            <w:pPr>
              <w:widowControl/>
              <w:jc w:val="center"/>
              <w:textAlignment w:val="center"/>
              <w:rPr>
                <w:rFonts w:hint="eastAsia" w:ascii="新宋体" w:hAnsi="新宋体" w:eastAsia="新宋体" w:cs="新宋体"/>
                <w:color w:val="auto"/>
                <w:kern w:val="0"/>
                <w:sz w:val="22"/>
                <w:szCs w:val="22"/>
                <w:lang w:bidi="ar"/>
              </w:rPr>
            </w:pPr>
          </w:p>
          <w:p w14:paraId="0BEC94B3">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1</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DEFF8">
            <w:pPr>
              <w:widowControl/>
              <w:jc w:val="center"/>
              <w:textAlignment w:val="center"/>
              <w:rPr>
                <w:rFonts w:hint="eastAsia" w:ascii="新宋体" w:hAnsi="新宋体" w:eastAsia="新宋体" w:cs="新宋体"/>
                <w:color w:val="auto"/>
                <w:kern w:val="0"/>
                <w:sz w:val="22"/>
                <w:szCs w:val="22"/>
                <w:lang w:bidi="ar"/>
              </w:rPr>
            </w:pPr>
          </w:p>
          <w:p w14:paraId="1EBA9CC1">
            <w:pPr>
              <w:widowControl/>
              <w:jc w:val="center"/>
              <w:textAlignment w:val="center"/>
              <w:rPr>
                <w:rFonts w:hint="eastAsia" w:ascii="新宋体" w:hAnsi="新宋体" w:eastAsia="新宋体" w:cs="新宋体"/>
                <w:color w:val="auto"/>
                <w:kern w:val="0"/>
                <w:sz w:val="22"/>
                <w:szCs w:val="22"/>
                <w:lang w:bidi="ar"/>
              </w:rPr>
            </w:pPr>
          </w:p>
          <w:p w14:paraId="323D9111">
            <w:pPr>
              <w:widowControl/>
              <w:jc w:val="center"/>
              <w:textAlignment w:val="center"/>
              <w:rPr>
                <w:rFonts w:hint="eastAsia" w:ascii="新宋体" w:hAnsi="新宋体" w:eastAsia="新宋体" w:cs="新宋体"/>
                <w:color w:val="auto"/>
                <w:kern w:val="0"/>
                <w:sz w:val="22"/>
                <w:szCs w:val="22"/>
                <w:lang w:bidi="ar"/>
              </w:rPr>
            </w:pPr>
          </w:p>
          <w:p w14:paraId="546E7D52">
            <w:pPr>
              <w:widowControl/>
              <w:jc w:val="center"/>
              <w:textAlignment w:val="center"/>
              <w:rPr>
                <w:rFonts w:hint="eastAsia" w:ascii="新宋体" w:hAnsi="新宋体" w:eastAsia="新宋体" w:cs="新宋体"/>
                <w:color w:val="auto"/>
                <w:kern w:val="0"/>
                <w:sz w:val="22"/>
                <w:szCs w:val="22"/>
                <w:lang w:bidi="ar"/>
              </w:rPr>
            </w:pPr>
          </w:p>
          <w:p w14:paraId="7DF161CB">
            <w:pPr>
              <w:widowControl/>
              <w:jc w:val="center"/>
              <w:textAlignment w:val="center"/>
              <w:rPr>
                <w:rFonts w:hint="eastAsia" w:ascii="新宋体" w:hAnsi="新宋体" w:eastAsia="新宋体" w:cs="新宋体"/>
                <w:color w:val="auto"/>
                <w:kern w:val="0"/>
                <w:sz w:val="22"/>
                <w:szCs w:val="22"/>
                <w:lang w:bidi="ar"/>
              </w:rPr>
            </w:pPr>
          </w:p>
          <w:p w14:paraId="4D7FA44F">
            <w:pPr>
              <w:widowControl/>
              <w:jc w:val="center"/>
              <w:textAlignment w:val="center"/>
              <w:rPr>
                <w:rFonts w:hint="eastAsia" w:ascii="新宋体" w:hAnsi="新宋体" w:eastAsia="新宋体" w:cs="新宋体"/>
                <w:color w:val="auto"/>
                <w:kern w:val="0"/>
                <w:sz w:val="22"/>
                <w:szCs w:val="22"/>
                <w:lang w:bidi="ar"/>
              </w:rPr>
            </w:pPr>
          </w:p>
          <w:p w14:paraId="4FCB85C7">
            <w:pPr>
              <w:widowControl/>
              <w:jc w:val="center"/>
              <w:textAlignment w:val="center"/>
              <w:rPr>
                <w:rFonts w:hint="eastAsia" w:ascii="新宋体" w:hAnsi="新宋体" w:eastAsia="新宋体" w:cs="新宋体"/>
                <w:color w:val="auto"/>
                <w:kern w:val="0"/>
                <w:sz w:val="22"/>
                <w:szCs w:val="22"/>
                <w:lang w:bidi="ar"/>
              </w:rPr>
            </w:pPr>
          </w:p>
          <w:p w14:paraId="40A98940">
            <w:pPr>
              <w:widowControl/>
              <w:jc w:val="center"/>
              <w:textAlignment w:val="center"/>
              <w:rPr>
                <w:rFonts w:hint="eastAsia" w:ascii="新宋体" w:hAnsi="新宋体" w:eastAsia="新宋体" w:cs="新宋体"/>
                <w:color w:val="auto"/>
                <w:kern w:val="0"/>
                <w:sz w:val="22"/>
                <w:szCs w:val="22"/>
                <w:lang w:bidi="ar"/>
              </w:rPr>
            </w:pPr>
          </w:p>
          <w:p w14:paraId="5272A416">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套</w:t>
            </w:r>
          </w:p>
        </w:tc>
        <w:tc>
          <w:tcPr>
            <w:tcW w:w="8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829D1">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一、产品要求</w:t>
            </w:r>
          </w:p>
          <w:p w14:paraId="07062AF0">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电池包封测与检测诊断实训台需可完成电池系统安装与调试任务，可以考查选手技术资料合理运用、仪器设备规范使用、高压安全防护、电池管理系统缺陷检查与修复、充放电测试设备使用等能力要求。可以与“驱动系统装调与检测技术平台”相连，真实演示电动车整车的实际充放电过程及电池管理系统的工作原理。</w:t>
            </w:r>
          </w:p>
          <w:p w14:paraId="1F32A68D">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二、技术参数</w:t>
            </w:r>
          </w:p>
          <w:p w14:paraId="07BE9B37">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需由实训台、原车电池包、充配电总成、上位机系统、触摸一体机电脑、车规级分布式电池管理系统组成。</w:t>
            </w:r>
          </w:p>
          <w:p w14:paraId="5179EA0D">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四、电池管理系统上位机软件</w:t>
            </w:r>
          </w:p>
          <w:p w14:paraId="76CA6368">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界面图形化动态显示动力电池组总电压、均温、单体电池电压、单体电池最高电压、单体电池最低电压、单体电池温度、单体电池最高温度、单体电池最低温度、电流、SOC等数据信息。同时软件与下位机实时通讯和监控，将下位机的异常故障上报故障问题以及数据流信息，可以通过提示的故障以及展示数据流信息进行判断故障原因和位置，从而排除故障，正常运行；</w:t>
            </w:r>
          </w:p>
          <w:p w14:paraId="019F89D1">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数据流展示界面可查看的数据包含</w:t>
            </w:r>
          </w:p>
          <w:p w14:paraId="4F99C174">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①属性：系统电压、系统总电流、系统SOC、系统运行状态、充电枪连接状态、充电状态、充电枪充电模式和状态、绝缘正阻值、绝缘负阻值、CC电阻值、电池温差、CP占空比、高压互锁状态、与整车通讯状态、充电机通讯状态、交流充电枪座温度、电池容量（投标文件提供截图证明）</w:t>
            </w:r>
          </w:p>
          <w:p w14:paraId="011A8E3E">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配套动力电池系统装调与检测3D虚拟仿真软件</w:t>
            </w:r>
          </w:p>
          <w:p w14:paraId="62A0D258">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1.总体要求</w:t>
            </w:r>
          </w:p>
          <w:p w14:paraId="178AAAEE">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需使用3D虚拟仿真技术，按照新能源汽车动力电池工作站1:1建模开发，具有3D结构展示及虚拟实训组装功能，动态展示动力电池质量检测，以及在组装平台上完成动力电池PAKC组装，便于学习与交流动力电池的检测与装调方式。</w:t>
            </w:r>
          </w:p>
          <w:p w14:paraId="68D1DD8F">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2.软件界面需求</w:t>
            </w:r>
          </w:p>
          <w:p w14:paraId="16D993F5">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（1）首页界面，需包含教师端和学生端，需输入密码进行登录；</w:t>
            </w:r>
          </w:p>
          <w:p w14:paraId="6D0D5059">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（2）教师端登录进入系统，包含输入姓名、添加、考试成绩、设置时间等功能，并显示当前设备的IP地址。</w:t>
            </w:r>
          </w:p>
          <w:p w14:paraId="19174E8A">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（3）学生端登录时可输入教师端的IP地址，考试成绩可以传输到教师端显示。</w:t>
            </w:r>
          </w:p>
          <w:p w14:paraId="09B9C9A4">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（4）学生端登录进入系统，可选择练习、考核模式。</w:t>
            </w:r>
          </w:p>
          <w:p w14:paraId="73BF7EF5">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（5）3D虚拟仿真场景需涵盖虚拟实训室文化墙、安全隔栏、动力电池组装平台、绝缘工作台、电池内阻测试仪、绝缘测试仪、万用表、方形电池、线束等3D模型。</w:t>
            </w:r>
          </w:p>
          <w:p w14:paraId="6E27CC89">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（6）3D虚拟仿真场景可操作功能键需包含拆装区、电池放置区、配件放置区、工具放置区，点击后快速转换到该区域的最佳视角；</w:t>
            </w:r>
          </w:p>
          <w:p w14:paraId="3483D9E2">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（7）3D虚拟仿真场景应有最佳视角功能，可转换到当前步骤的最佳视角，可快速实现任务操作；</w:t>
            </w:r>
          </w:p>
          <w:p w14:paraId="7CEE5520">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（8）3D虚拟仿真场景应有装配图功能，可展示动力电池系统的彩色装配图。</w:t>
            </w:r>
          </w:p>
          <w:p w14:paraId="74C3638A">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（9）3D虚拟仿真场景需可实现任意放大、缩小和360度旋转。</w:t>
            </w:r>
          </w:p>
          <w:p w14:paraId="24F8CD95">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为保障动力电池系统装调与检测3D虚拟仿真软件的知识产权及合法权益，</w:t>
            </w:r>
            <w:r>
              <w:rPr>
                <w:rFonts w:hint="eastAsia" w:ascii="新宋体" w:hAnsi="新宋体" w:eastAsia="新宋体" w:cs="新宋体"/>
                <w:color w:val="auto"/>
                <w:kern w:val="0"/>
                <w:sz w:val="22"/>
                <w:szCs w:val="22"/>
                <w:lang w:val="en-US" w:eastAsia="zh-CN" w:bidi="ar"/>
              </w:rPr>
              <w:t>厂家出具证明文件，且在有效期内。</w:t>
            </w:r>
          </w:p>
          <w:p w14:paraId="29770C9B">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需网联接入人工智能大模型，配套充配电三合一高压系统3D软件</w:t>
            </w:r>
            <w:r>
              <w:rPr>
                <w:rFonts w:hint="eastAsia" w:ascii="新宋体" w:hAnsi="新宋体" w:eastAsia="新宋体" w:cs="新宋体"/>
                <w:color w:val="auto"/>
                <w:kern w:val="0"/>
                <w:sz w:val="22"/>
                <w:szCs w:val="22"/>
                <w:lang w:eastAsia="zh-CN" w:bidi="ar"/>
              </w:rPr>
              <w:t>。</w:t>
            </w:r>
          </w:p>
        </w:tc>
      </w:tr>
      <w:tr w14:paraId="546AC022">
        <w:tblPrEx>
          <w:tblCellMar>
            <w:top w:w="0" w:type="dxa"/>
            <w:left w:w="108" w:type="dxa"/>
            <w:bottom w:w="0" w:type="dxa"/>
            <w:right w:w="108" w:type="dxa"/>
          </w:tblCellMar>
        </w:tblPrEx>
        <w:trPr>
          <w:trHeight w:val="319"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02490">
            <w:pPr>
              <w:widowControl/>
              <w:jc w:val="center"/>
              <w:textAlignment w:val="center"/>
              <w:rPr>
                <w:rFonts w:hint="eastAsia" w:ascii="新宋体" w:hAnsi="新宋体" w:eastAsia="新宋体" w:cs="新宋体"/>
                <w:color w:val="auto"/>
                <w:kern w:val="0"/>
                <w:sz w:val="22"/>
                <w:szCs w:val="22"/>
                <w:lang w:bidi="ar"/>
              </w:rPr>
            </w:pPr>
          </w:p>
          <w:p w14:paraId="3E3D8AC2">
            <w:pPr>
              <w:widowControl/>
              <w:jc w:val="center"/>
              <w:textAlignment w:val="center"/>
              <w:rPr>
                <w:rFonts w:hint="eastAsia" w:ascii="新宋体" w:hAnsi="新宋体" w:eastAsia="新宋体" w:cs="新宋体"/>
                <w:color w:val="auto"/>
                <w:kern w:val="0"/>
                <w:sz w:val="22"/>
                <w:szCs w:val="22"/>
                <w:lang w:bidi="ar"/>
              </w:rPr>
            </w:pPr>
          </w:p>
          <w:p w14:paraId="7FF0DC0B">
            <w:pPr>
              <w:widowControl/>
              <w:jc w:val="center"/>
              <w:textAlignment w:val="center"/>
              <w:rPr>
                <w:rFonts w:hint="eastAsia" w:ascii="新宋体" w:hAnsi="新宋体" w:eastAsia="新宋体" w:cs="新宋体"/>
                <w:color w:val="auto"/>
                <w:kern w:val="0"/>
                <w:sz w:val="22"/>
                <w:szCs w:val="22"/>
                <w:lang w:bidi="ar"/>
              </w:rPr>
            </w:pPr>
          </w:p>
          <w:p w14:paraId="1C7D43C8">
            <w:pPr>
              <w:widowControl/>
              <w:jc w:val="center"/>
              <w:textAlignment w:val="center"/>
              <w:rPr>
                <w:rFonts w:hint="eastAsia" w:ascii="新宋体" w:hAnsi="新宋体" w:eastAsia="新宋体" w:cs="新宋体"/>
                <w:color w:val="auto"/>
                <w:kern w:val="0"/>
                <w:sz w:val="22"/>
                <w:szCs w:val="22"/>
                <w:lang w:bidi="ar"/>
              </w:rPr>
            </w:pPr>
          </w:p>
          <w:p w14:paraId="7BE2D0FD">
            <w:pPr>
              <w:widowControl/>
              <w:jc w:val="center"/>
              <w:textAlignment w:val="center"/>
              <w:rPr>
                <w:rFonts w:hint="eastAsia" w:ascii="新宋体" w:hAnsi="新宋体" w:eastAsia="新宋体" w:cs="新宋体"/>
                <w:color w:val="auto"/>
                <w:kern w:val="0"/>
                <w:sz w:val="22"/>
                <w:szCs w:val="22"/>
                <w:lang w:bidi="ar"/>
              </w:rPr>
            </w:pPr>
          </w:p>
          <w:p w14:paraId="5072E2DB">
            <w:pPr>
              <w:widowControl/>
              <w:jc w:val="center"/>
              <w:textAlignment w:val="center"/>
              <w:rPr>
                <w:rFonts w:hint="eastAsia" w:ascii="新宋体" w:hAnsi="新宋体" w:eastAsia="新宋体" w:cs="新宋体"/>
                <w:color w:val="auto"/>
                <w:kern w:val="0"/>
                <w:sz w:val="22"/>
                <w:szCs w:val="22"/>
                <w:lang w:bidi="ar"/>
              </w:rPr>
            </w:pPr>
          </w:p>
          <w:p w14:paraId="02D8B2BF">
            <w:pPr>
              <w:widowControl/>
              <w:jc w:val="center"/>
              <w:textAlignment w:val="center"/>
              <w:rPr>
                <w:rFonts w:hint="eastAsia" w:ascii="新宋体" w:hAnsi="新宋体" w:eastAsia="新宋体" w:cs="新宋体"/>
                <w:color w:val="auto"/>
                <w:kern w:val="0"/>
                <w:sz w:val="22"/>
                <w:szCs w:val="22"/>
                <w:lang w:bidi="ar"/>
              </w:rPr>
            </w:pPr>
          </w:p>
          <w:p w14:paraId="56633599">
            <w:pPr>
              <w:widowControl/>
              <w:jc w:val="center"/>
              <w:textAlignment w:val="center"/>
              <w:rPr>
                <w:rFonts w:hint="eastAsia" w:ascii="新宋体" w:hAnsi="新宋体" w:eastAsia="新宋体" w:cs="新宋体"/>
                <w:color w:val="auto"/>
                <w:kern w:val="0"/>
                <w:sz w:val="22"/>
                <w:szCs w:val="22"/>
                <w:lang w:bidi="ar"/>
              </w:rPr>
            </w:pPr>
          </w:p>
          <w:p w14:paraId="3B7C9780">
            <w:pPr>
              <w:widowControl/>
              <w:jc w:val="center"/>
              <w:textAlignment w:val="center"/>
              <w:rPr>
                <w:rFonts w:hint="eastAsia" w:ascii="新宋体" w:hAnsi="新宋体" w:eastAsia="新宋体" w:cs="新宋体"/>
                <w:color w:val="auto"/>
                <w:kern w:val="0"/>
                <w:sz w:val="22"/>
                <w:szCs w:val="22"/>
                <w:lang w:bidi="ar"/>
              </w:rPr>
            </w:pPr>
          </w:p>
          <w:p w14:paraId="54A6D3C7">
            <w:pPr>
              <w:widowControl/>
              <w:jc w:val="center"/>
              <w:textAlignment w:val="center"/>
              <w:rPr>
                <w:rFonts w:hint="eastAsia" w:ascii="新宋体" w:hAnsi="新宋体" w:eastAsia="新宋体" w:cs="新宋体"/>
                <w:color w:val="auto"/>
                <w:kern w:val="0"/>
                <w:sz w:val="22"/>
                <w:szCs w:val="22"/>
                <w:lang w:bidi="ar"/>
              </w:rPr>
            </w:pPr>
          </w:p>
          <w:p w14:paraId="2AAF23F5">
            <w:pPr>
              <w:widowControl/>
              <w:jc w:val="center"/>
              <w:textAlignment w:val="center"/>
              <w:rPr>
                <w:rFonts w:hint="eastAsia" w:ascii="新宋体" w:hAnsi="新宋体" w:eastAsia="新宋体" w:cs="新宋体"/>
                <w:color w:val="auto"/>
                <w:kern w:val="0"/>
                <w:sz w:val="22"/>
                <w:szCs w:val="22"/>
                <w:lang w:bidi="ar"/>
              </w:rPr>
            </w:pPr>
          </w:p>
          <w:p w14:paraId="3036907A">
            <w:pPr>
              <w:widowControl/>
              <w:jc w:val="center"/>
              <w:textAlignment w:val="center"/>
              <w:rPr>
                <w:rFonts w:hint="eastAsia" w:ascii="新宋体" w:hAnsi="新宋体" w:eastAsia="新宋体" w:cs="新宋体"/>
                <w:color w:val="auto"/>
                <w:kern w:val="0"/>
                <w:sz w:val="22"/>
                <w:szCs w:val="22"/>
                <w:lang w:bidi="ar"/>
              </w:rPr>
            </w:pPr>
          </w:p>
          <w:p w14:paraId="0B5BA6C7">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6</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8F84E">
            <w:pPr>
              <w:widowControl/>
              <w:jc w:val="left"/>
              <w:textAlignment w:val="center"/>
              <w:rPr>
                <w:rFonts w:hint="eastAsia" w:ascii="新宋体" w:hAnsi="新宋体" w:eastAsia="新宋体" w:cs="新宋体"/>
                <w:color w:val="auto"/>
                <w:kern w:val="0"/>
                <w:sz w:val="22"/>
                <w:szCs w:val="22"/>
                <w:lang w:bidi="ar"/>
              </w:rPr>
            </w:pPr>
          </w:p>
          <w:p w14:paraId="0BA89E38">
            <w:pPr>
              <w:widowControl/>
              <w:jc w:val="left"/>
              <w:textAlignment w:val="center"/>
              <w:rPr>
                <w:rFonts w:hint="eastAsia" w:ascii="新宋体" w:hAnsi="新宋体" w:eastAsia="新宋体" w:cs="新宋体"/>
                <w:color w:val="auto"/>
                <w:kern w:val="0"/>
                <w:sz w:val="22"/>
                <w:szCs w:val="22"/>
                <w:lang w:bidi="ar"/>
              </w:rPr>
            </w:pPr>
          </w:p>
          <w:p w14:paraId="507FC14A">
            <w:pPr>
              <w:widowControl/>
              <w:jc w:val="left"/>
              <w:textAlignment w:val="center"/>
              <w:rPr>
                <w:rFonts w:hint="eastAsia" w:ascii="新宋体" w:hAnsi="新宋体" w:eastAsia="新宋体" w:cs="新宋体"/>
                <w:color w:val="auto"/>
                <w:kern w:val="0"/>
                <w:sz w:val="22"/>
                <w:szCs w:val="22"/>
                <w:lang w:bidi="ar"/>
              </w:rPr>
            </w:pPr>
          </w:p>
          <w:p w14:paraId="4433F154">
            <w:pPr>
              <w:widowControl/>
              <w:jc w:val="left"/>
              <w:textAlignment w:val="center"/>
              <w:rPr>
                <w:rFonts w:hint="eastAsia" w:ascii="新宋体" w:hAnsi="新宋体" w:eastAsia="新宋体" w:cs="新宋体"/>
                <w:color w:val="auto"/>
                <w:kern w:val="0"/>
                <w:sz w:val="22"/>
                <w:szCs w:val="22"/>
                <w:lang w:bidi="ar"/>
              </w:rPr>
            </w:pPr>
          </w:p>
          <w:p w14:paraId="20D76B1E">
            <w:pPr>
              <w:widowControl/>
              <w:jc w:val="left"/>
              <w:textAlignment w:val="center"/>
              <w:rPr>
                <w:rFonts w:hint="eastAsia" w:ascii="新宋体" w:hAnsi="新宋体" w:eastAsia="新宋体" w:cs="新宋体"/>
                <w:color w:val="auto"/>
                <w:kern w:val="0"/>
                <w:sz w:val="22"/>
                <w:szCs w:val="22"/>
                <w:lang w:bidi="ar"/>
              </w:rPr>
            </w:pPr>
          </w:p>
          <w:p w14:paraId="3CCDBEE3">
            <w:pPr>
              <w:widowControl/>
              <w:jc w:val="left"/>
              <w:textAlignment w:val="center"/>
              <w:rPr>
                <w:rFonts w:hint="eastAsia" w:ascii="新宋体" w:hAnsi="新宋体" w:eastAsia="新宋体" w:cs="新宋体"/>
                <w:color w:val="auto"/>
                <w:kern w:val="0"/>
                <w:sz w:val="22"/>
                <w:szCs w:val="22"/>
                <w:lang w:bidi="ar"/>
              </w:rPr>
            </w:pPr>
          </w:p>
          <w:p w14:paraId="40524E82">
            <w:pPr>
              <w:widowControl/>
              <w:jc w:val="left"/>
              <w:textAlignment w:val="center"/>
              <w:rPr>
                <w:rFonts w:hint="eastAsia" w:ascii="新宋体" w:hAnsi="新宋体" w:eastAsia="新宋体" w:cs="新宋体"/>
                <w:color w:val="auto"/>
                <w:kern w:val="0"/>
                <w:sz w:val="22"/>
                <w:szCs w:val="22"/>
                <w:lang w:bidi="ar"/>
              </w:rPr>
            </w:pPr>
          </w:p>
          <w:p w14:paraId="2D153BA5">
            <w:pPr>
              <w:widowControl/>
              <w:jc w:val="left"/>
              <w:textAlignment w:val="center"/>
              <w:rPr>
                <w:rFonts w:hint="eastAsia" w:ascii="新宋体" w:hAnsi="新宋体" w:eastAsia="新宋体" w:cs="新宋体"/>
                <w:color w:val="auto"/>
                <w:kern w:val="0"/>
                <w:sz w:val="22"/>
                <w:szCs w:val="22"/>
                <w:lang w:bidi="ar"/>
              </w:rPr>
            </w:pPr>
          </w:p>
          <w:p w14:paraId="40A0A3DB">
            <w:pPr>
              <w:widowControl/>
              <w:jc w:val="left"/>
              <w:textAlignment w:val="center"/>
              <w:rPr>
                <w:rFonts w:hint="eastAsia" w:ascii="新宋体" w:hAnsi="新宋体" w:eastAsia="新宋体" w:cs="新宋体"/>
                <w:color w:val="auto"/>
                <w:kern w:val="0"/>
                <w:sz w:val="22"/>
                <w:szCs w:val="22"/>
                <w:lang w:bidi="ar"/>
              </w:rPr>
            </w:pPr>
          </w:p>
          <w:p w14:paraId="321735F0">
            <w:pPr>
              <w:widowControl/>
              <w:jc w:val="left"/>
              <w:textAlignment w:val="center"/>
              <w:rPr>
                <w:rFonts w:hint="eastAsia" w:ascii="新宋体" w:hAnsi="新宋体" w:eastAsia="新宋体" w:cs="新宋体"/>
                <w:color w:val="auto"/>
                <w:kern w:val="0"/>
                <w:sz w:val="22"/>
                <w:szCs w:val="22"/>
                <w:lang w:bidi="ar"/>
              </w:rPr>
            </w:pPr>
          </w:p>
          <w:p w14:paraId="13123995">
            <w:pPr>
              <w:widowControl/>
              <w:jc w:val="left"/>
              <w:textAlignment w:val="center"/>
              <w:rPr>
                <w:rFonts w:hint="eastAsia" w:ascii="新宋体" w:hAnsi="新宋体" w:eastAsia="新宋体" w:cs="新宋体"/>
                <w:color w:val="auto"/>
                <w:kern w:val="0"/>
                <w:sz w:val="22"/>
                <w:szCs w:val="22"/>
                <w:lang w:bidi="ar"/>
              </w:rPr>
            </w:pPr>
          </w:p>
          <w:p w14:paraId="2459C372">
            <w:pPr>
              <w:widowControl/>
              <w:jc w:val="left"/>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驱动控制系统装调与检测测试平台</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C6D4C">
            <w:pPr>
              <w:widowControl/>
              <w:jc w:val="center"/>
              <w:textAlignment w:val="center"/>
              <w:rPr>
                <w:rFonts w:hint="eastAsia" w:ascii="新宋体" w:hAnsi="新宋体" w:eastAsia="新宋体" w:cs="新宋体"/>
                <w:color w:val="auto"/>
                <w:kern w:val="0"/>
                <w:sz w:val="22"/>
                <w:szCs w:val="22"/>
                <w:lang w:bidi="ar"/>
              </w:rPr>
            </w:pPr>
          </w:p>
          <w:p w14:paraId="5905323D">
            <w:pPr>
              <w:widowControl/>
              <w:jc w:val="center"/>
              <w:textAlignment w:val="center"/>
              <w:rPr>
                <w:rFonts w:hint="eastAsia" w:ascii="新宋体" w:hAnsi="新宋体" w:eastAsia="新宋体" w:cs="新宋体"/>
                <w:color w:val="auto"/>
                <w:kern w:val="0"/>
                <w:sz w:val="22"/>
                <w:szCs w:val="22"/>
                <w:lang w:bidi="ar"/>
              </w:rPr>
            </w:pPr>
          </w:p>
          <w:p w14:paraId="33E8C875">
            <w:pPr>
              <w:widowControl/>
              <w:jc w:val="center"/>
              <w:textAlignment w:val="center"/>
              <w:rPr>
                <w:rFonts w:hint="eastAsia" w:ascii="新宋体" w:hAnsi="新宋体" w:eastAsia="新宋体" w:cs="新宋体"/>
                <w:color w:val="auto"/>
                <w:kern w:val="0"/>
                <w:sz w:val="22"/>
                <w:szCs w:val="22"/>
                <w:lang w:bidi="ar"/>
              </w:rPr>
            </w:pPr>
          </w:p>
          <w:p w14:paraId="19F79AE5">
            <w:pPr>
              <w:widowControl/>
              <w:jc w:val="center"/>
              <w:textAlignment w:val="center"/>
              <w:rPr>
                <w:rFonts w:hint="eastAsia" w:ascii="新宋体" w:hAnsi="新宋体" w:eastAsia="新宋体" w:cs="新宋体"/>
                <w:color w:val="auto"/>
                <w:kern w:val="0"/>
                <w:sz w:val="22"/>
                <w:szCs w:val="22"/>
                <w:lang w:bidi="ar"/>
              </w:rPr>
            </w:pPr>
          </w:p>
          <w:p w14:paraId="018FD9B7">
            <w:pPr>
              <w:widowControl/>
              <w:jc w:val="center"/>
              <w:textAlignment w:val="center"/>
              <w:rPr>
                <w:rFonts w:hint="eastAsia" w:ascii="新宋体" w:hAnsi="新宋体" w:eastAsia="新宋体" w:cs="新宋体"/>
                <w:color w:val="auto"/>
                <w:kern w:val="0"/>
                <w:sz w:val="22"/>
                <w:szCs w:val="22"/>
                <w:lang w:bidi="ar"/>
              </w:rPr>
            </w:pPr>
          </w:p>
          <w:p w14:paraId="12C90CBE">
            <w:pPr>
              <w:widowControl/>
              <w:jc w:val="center"/>
              <w:textAlignment w:val="center"/>
              <w:rPr>
                <w:rFonts w:hint="eastAsia" w:ascii="新宋体" w:hAnsi="新宋体" w:eastAsia="新宋体" w:cs="新宋体"/>
                <w:color w:val="auto"/>
                <w:kern w:val="0"/>
                <w:sz w:val="22"/>
                <w:szCs w:val="22"/>
                <w:lang w:bidi="ar"/>
              </w:rPr>
            </w:pPr>
          </w:p>
          <w:p w14:paraId="0B4466BA">
            <w:pPr>
              <w:widowControl/>
              <w:jc w:val="center"/>
              <w:textAlignment w:val="center"/>
              <w:rPr>
                <w:rFonts w:hint="eastAsia" w:ascii="新宋体" w:hAnsi="新宋体" w:eastAsia="新宋体" w:cs="新宋体"/>
                <w:color w:val="auto"/>
                <w:kern w:val="0"/>
                <w:sz w:val="22"/>
                <w:szCs w:val="22"/>
                <w:lang w:bidi="ar"/>
              </w:rPr>
            </w:pPr>
          </w:p>
          <w:p w14:paraId="5B92D2DB">
            <w:pPr>
              <w:widowControl/>
              <w:jc w:val="center"/>
              <w:textAlignment w:val="center"/>
              <w:rPr>
                <w:rFonts w:hint="eastAsia" w:ascii="新宋体" w:hAnsi="新宋体" w:eastAsia="新宋体" w:cs="新宋体"/>
                <w:color w:val="auto"/>
                <w:kern w:val="0"/>
                <w:sz w:val="22"/>
                <w:szCs w:val="22"/>
                <w:lang w:bidi="ar"/>
              </w:rPr>
            </w:pPr>
          </w:p>
          <w:p w14:paraId="704CE529">
            <w:pPr>
              <w:widowControl/>
              <w:jc w:val="center"/>
              <w:textAlignment w:val="center"/>
              <w:rPr>
                <w:rFonts w:hint="eastAsia" w:ascii="新宋体" w:hAnsi="新宋体" w:eastAsia="新宋体" w:cs="新宋体"/>
                <w:color w:val="auto"/>
                <w:kern w:val="0"/>
                <w:sz w:val="22"/>
                <w:szCs w:val="22"/>
                <w:lang w:bidi="ar"/>
              </w:rPr>
            </w:pPr>
          </w:p>
          <w:p w14:paraId="0A1E3A99">
            <w:pPr>
              <w:widowControl/>
              <w:jc w:val="center"/>
              <w:textAlignment w:val="center"/>
              <w:rPr>
                <w:rFonts w:hint="eastAsia" w:ascii="新宋体" w:hAnsi="新宋体" w:eastAsia="新宋体" w:cs="新宋体"/>
                <w:color w:val="auto"/>
                <w:kern w:val="0"/>
                <w:sz w:val="22"/>
                <w:szCs w:val="22"/>
                <w:lang w:bidi="ar"/>
              </w:rPr>
            </w:pPr>
          </w:p>
          <w:p w14:paraId="6F7B49F8">
            <w:pPr>
              <w:widowControl/>
              <w:jc w:val="center"/>
              <w:textAlignment w:val="center"/>
              <w:rPr>
                <w:rFonts w:hint="eastAsia" w:ascii="新宋体" w:hAnsi="新宋体" w:eastAsia="新宋体" w:cs="新宋体"/>
                <w:color w:val="auto"/>
                <w:kern w:val="0"/>
                <w:sz w:val="22"/>
                <w:szCs w:val="22"/>
                <w:lang w:bidi="ar"/>
              </w:rPr>
            </w:pPr>
          </w:p>
          <w:p w14:paraId="18D00F89">
            <w:pPr>
              <w:widowControl/>
              <w:jc w:val="center"/>
              <w:textAlignment w:val="center"/>
              <w:rPr>
                <w:rFonts w:hint="eastAsia" w:ascii="新宋体" w:hAnsi="新宋体" w:eastAsia="新宋体" w:cs="新宋体"/>
                <w:color w:val="auto"/>
                <w:kern w:val="0"/>
                <w:sz w:val="22"/>
                <w:szCs w:val="22"/>
                <w:lang w:bidi="ar"/>
              </w:rPr>
            </w:pPr>
          </w:p>
          <w:p w14:paraId="25210FAB">
            <w:pPr>
              <w:widowControl/>
              <w:jc w:val="center"/>
              <w:textAlignment w:val="center"/>
              <w:rPr>
                <w:rFonts w:hint="eastAsia" w:ascii="新宋体" w:hAnsi="新宋体" w:eastAsia="新宋体" w:cs="新宋体"/>
                <w:color w:val="auto"/>
                <w:kern w:val="0"/>
                <w:sz w:val="22"/>
                <w:szCs w:val="22"/>
                <w:lang w:bidi="ar"/>
              </w:rPr>
            </w:pPr>
          </w:p>
          <w:p w14:paraId="09A12F0E">
            <w:pPr>
              <w:widowControl/>
              <w:jc w:val="center"/>
              <w:textAlignment w:val="center"/>
              <w:rPr>
                <w:rFonts w:hint="eastAsia" w:ascii="新宋体" w:hAnsi="新宋体" w:eastAsia="新宋体" w:cs="新宋体"/>
                <w:color w:val="auto"/>
                <w:kern w:val="0"/>
                <w:sz w:val="22"/>
                <w:szCs w:val="22"/>
                <w:lang w:bidi="ar"/>
              </w:rPr>
            </w:pPr>
          </w:p>
          <w:p w14:paraId="5A65935B">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1</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5138C">
            <w:pPr>
              <w:widowControl/>
              <w:jc w:val="center"/>
              <w:textAlignment w:val="center"/>
              <w:rPr>
                <w:rFonts w:hint="eastAsia" w:ascii="新宋体" w:hAnsi="新宋体" w:eastAsia="新宋体" w:cs="新宋体"/>
                <w:color w:val="auto"/>
                <w:kern w:val="0"/>
                <w:sz w:val="22"/>
                <w:szCs w:val="22"/>
                <w:lang w:bidi="ar"/>
              </w:rPr>
            </w:pPr>
          </w:p>
          <w:p w14:paraId="1A60BB94">
            <w:pPr>
              <w:widowControl/>
              <w:jc w:val="center"/>
              <w:textAlignment w:val="center"/>
              <w:rPr>
                <w:rFonts w:hint="eastAsia" w:ascii="新宋体" w:hAnsi="新宋体" w:eastAsia="新宋体" w:cs="新宋体"/>
                <w:color w:val="auto"/>
                <w:kern w:val="0"/>
                <w:sz w:val="22"/>
                <w:szCs w:val="22"/>
                <w:lang w:bidi="ar"/>
              </w:rPr>
            </w:pPr>
          </w:p>
          <w:p w14:paraId="0BB44EF2">
            <w:pPr>
              <w:widowControl/>
              <w:jc w:val="center"/>
              <w:textAlignment w:val="center"/>
              <w:rPr>
                <w:rFonts w:hint="eastAsia" w:ascii="新宋体" w:hAnsi="新宋体" w:eastAsia="新宋体" w:cs="新宋体"/>
                <w:color w:val="auto"/>
                <w:kern w:val="0"/>
                <w:sz w:val="22"/>
                <w:szCs w:val="22"/>
                <w:lang w:bidi="ar"/>
              </w:rPr>
            </w:pPr>
          </w:p>
          <w:p w14:paraId="25211415">
            <w:pPr>
              <w:widowControl/>
              <w:jc w:val="center"/>
              <w:textAlignment w:val="center"/>
              <w:rPr>
                <w:rFonts w:hint="eastAsia" w:ascii="新宋体" w:hAnsi="新宋体" w:eastAsia="新宋体" w:cs="新宋体"/>
                <w:color w:val="auto"/>
                <w:kern w:val="0"/>
                <w:sz w:val="22"/>
                <w:szCs w:val="22"/>
                <w:lang w:bidi="ar"/>
              </w:rPr>
            </w:pPr>
          </w:p>
          <w:p w14:paraId="14B91B01">
            <w:pPr>
              <w:widowControl/>
              <w:jc w:val="center"/>
              <w:textAlignment w:val="center"/>
              <w:rPr>
                <w:rFonts w:hint="eastAsia" w:ascii="新宋体" w:hAnsi="新宋体" w:eastAsia="新宋体" w:cs="新宋体"/>
                <w:color w:val="auto"/>
                <w:kern w:val="0"/>
                <w:sz w:val="22"/>
                <w:szCs w:val="22"/>
                <w:lang w:bidi="ar"/>
              </w:rPr>
            </w:pPr>
          </w:p>
          <w:p w14:paraId="563C490C">
            <w:pPr>
              <w:widowControl/>
              <w:jc w:val="center"/>
              <w:textAlignment w:val="center"/>
              <w:rPr>
                <w:rFonts w:hint="eastAsia" w:ascii="新宋体" w:hAnsi="新宋体" w:eastAsia="新宋体" w:cs="新宋体"/>
                <w:color w:val="auto"/>
                <w:kern w:val="0"/>
                <w:sz w:val="22"/>
                <w:szCs w:val="22"/>
                <w:lang w:bidi="ar"/>
              </w:rPr>
            </w:pPr>
          </w:p>
          <w:p w14:paraId="14879802">
            <w:pPr>
              <w:widowControl/>
              <w:jc w:val="center"/>
              <w:textAlignment w:val="center"/>
              <w:rPr>
                <w:rFonts w:hint="eastAsia" w:ascii="新宋体" w:hAnsi="新宋体" w:eastAsia="新宋体" w:cs="新宋体"/>
                <w:color w:val="auto"/>
                <w:kern w:val="0"/>
                <w:sz w:val="22"/>
                <w:szCs w:val="22"/>
                <w:lang w:bidi="ar"/>
              </w:rPr>
            </w:pPr>
          </w:p>
          <w:p w14:paraId="46C64598">
            <w:pPr>
              <w:widowControl/>
              <w:jc w:val="center"/>
              <w:textAlignment w:val="center"/>
              <w:rPr>
                <w:rFonts w:hint="eastAsia" w:ascii="新宋体" w:hAnsi="新宋体" w:eastAsia="新宋体" w:cs="新宋体"/>
                <w:color w:val="auto"/>
                <w:kern w:val="0"/>
                <w:sz w:val="22"/>
                <w:szCs w:val="22"/>
                <w:lang w:bidi="ar"/>
              </w:rPr>
            </w:pPr>
          </w:p>
          <w:p w14:paraId="01BF0D98">
            <w:pPr>
              <w:widowControl/>
              <w:jc w:val="center"/>
              <w:textAlignment w:val="center"/>
              <w:rPr>
                <w:rFonts w:hint="eastAsia" w:ascii="新宋体" w:hAnsi="新宋体" w:eastAsia="新宋体" w:cs="新宋体"/>
                <w:color w:val="auto"/>
                <w:kern w:val="0"/>
                <w:sz w:val="22"/>
                <w:szCs w:val="22"/>
                <w:lang w:bidi="ar"/>
              </w:rPr>
            </w:pPr>
          </w:p>
          <w:p w14:paraId="33937FCD">
            <w:pPr>
              <w:widowControl/>
              <w:jc w:val="center"/>
              <w:textAlignment w:val="center"/>
              <w:rPr>
                <w:rFonts w:hint="eastAsia" w:ascii="新宋体" w:hAnsi="新宋体" w:eastAsia="新宋体" w:cs="新宋体"/>
                <w:color w:val="auto"/>
                <w:kern w:val="0"/>
                <w:sz w:val="22"/>
                <w:szCs w:val="22"/>
                <w:lang w:bidi="ar"/>
              </w:rPr>
            </w:pPr>
          </w:p>
          <w:p w14:paraId="020237CD">
            <w:pPr>
              <w:widowControl/>
              <w:jc w:val="center"/>
              <w:textAlignment w:val="center"/>
              <w:rPr>
                <w:rFonts w:hint="eastAsia" w:ascii="新宋体" w:hAnsi="新宋体" w:eastAsia="新宋体" w:cs="新宋体"/>
                <w:color w:val="auto"/>
                <w:kern w:val="0"/>
                <w:sz w:val="22"/>
                <w:szCs w:val="22"/>
                <w:lang w:bidi="ar"/>
              </w:rPr>
            </w:pPr>
          </w:p>
          <w:p w14:paraId="66B77A12">
            <w:pPr>
              <w:widowControl/>
              <w:jc w:val="center"/>
              <w:textAlignment w:val="center"/>
              <w:rPr>
                <w:rFonts w:hint="eastAsia" w:ascii="新宋体" w:hAnsi="新宋体" w:eastAsia="新宋体" w:cs="新宋体"/>
                <w:color w:val="auto"/>
                <w:kern w:val="0"/>
                <w:sz w:val="22"/>
                <w:szCs w:val="22"/>
                <w:lang w:bidi="ar"/>
              </w:rPr>
            </w:pPr>
          </w:p>
          <w:p w14:paraId="32A940DA">
            <w:pPr>
              <w:widowControl/>
              <w:jc w:val="center"/>
              <w:textAlignment w:val="center"/>
              <w:rPr>
                <w:rFonts w:hint="eastAsia" w:ascii="新宋体" w:hAnsi="新宋体" w:eastAsia="新宋体" w:cs="新宋体"/>
                <w:color w:val="auto"/>
                <w:kern w:val="0"/>
                <w:sz w:val="22"/>
                <w:szCs w:val="22"/>
                <w:lang w:bidi="ar"/>
              </w:rPr>
            </w:pPr>
          </w:p>
          <w:p w14:paraId="07382525">
            <w:pPr>
              <w:widowControl/>
              <w:jc w:val="center"/>
              <w:textAlignment w:val="center"/>
              <w:rPr>
                <w:rFonts w:hint="eastAsia" w:ascii="新宋体" w:hAnsi="新宋体" w:eastAsia="新宋体" w:cs="新宋体"/>
                <w:color w:val="auto"/>
                <w:kern w:val="0"/>
                <w:sz w:val="22"/>
                <w:szCs w:val="22"/>
                <w:lang w:bidi="ar"/>
              </w:rPr>
            </w:pPr>
          </w:p>
          <w:p w14:paraId="1B39983F">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套</w:t>
            </w:r>
          </w:p>
        </w:tc>
        <w:tc>
          <w:tcPr>
            <w:tcW w:w="8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5B1DF">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一、整体要求：</w:t>
            </w:r>
          </w:p>
          <w:p w14:paraId="560DE2E5">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驱动系统装调与检测技术平台要求可完成驱动系统装调与检测任务，要求能考查学生技术资料合理运用、仪器设备规范使用、高压安全防护、驱动系统总成拆装、驱动系统故障诊断与排除等能力。</w:t>
            </w:r>
          </w:p>
          <w:p w14:paraId="234CD176">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二、功能要求：</w:t>
            </w:r>
          </w:p>
          <w:p w14:paraId="54362CC3">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产品要求由动力总成拆装实训平台、信息采集检测箱、驱动能量供给平台、三相高压连接线缆、低压通信连接线缆、智能教学系统等部件组成。</w:t>
            </w:r>
          </w:p>
          <w:p w14:paraId="100E5B3A">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1.动力总成拆装实训平台要求：</w:t>
            </w:r>
          </w:p>
          <w:p w14:paraId="79506AE3">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（1）电动机类型：三相永磁交流同步电机，电动机最大扭矩：≥180N.m, 最大功率：≥80kW。</w:t>
            </w:r>
          </w:p>
          <w:p w14:paraId="2C972317">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（2）变速器：单挡固定齿比变速器。</w:t>
            </w:r>
          </w:p>
          <w:p w14:paraId="041CB08B">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（3）桌面承重面板：≥2cm厚度木板，耐腐蚀，承重能力强。</w:t>
            </w:r>
          </w:p>
          <w:p w14:paraId="16E524A6">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（4）桌面平铺：≥5mm厚度绝缘垫。</w:t>
            </w:r>
          </w:p>
          <w:p w14:paraId="30599D39">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（5）电机正常运行时，要求可借助示波器测量三相电的相位与旋变传感器的信号。</w:t>
            </w:r>
          </w:p>
          <w:p w14:paraId="480F3414">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（6）平台要求提供电动机与变速箱分离丝杆机构以及变速箱360°任意翻转功能。</w:t>
            </w:r>
          </w:p>
          <w:p w14:paraId="0A76361B">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（7）平台要求上下双层结构梁支撑，承重大梁：≥80*40mm的U型型材制作而成。</w:t>
            </w:r>
          </w:p>
          <w:p w14:paraId="30965515">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（8）平台材料：钢质；有效载荷≥1吨。</w:t>
            </w:r>
          </w:p>
          <w:p w14:paraId="0025070F">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（9）平台配置变速箱齿轮、轴承、油封、卡簧等拆卸部件放置钣金一套。</w:t>
            </w:r>
          </w:p>
          <w:p w14:paraId="0B5B0B7C">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2.信息采集检测箱要求：</w:t>
            </w:r>
          </w:p>
          <w:p w14:paraId="63B9509C">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（1）箱体表面要求喷涂高附着力磨砂黑色烤漆。</w:t>
            </w:r>
          </w:p>
          <w:p w14:paraId="42A67DBF">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（2）信息采集检测箱要求装有电机低压控制信号输入及输出插头，插头采用新能源原车低压信号插头。</w:t>
            </w:r>
          </w:p>
          <w:p w14:paraId="1A266723">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（3）信息采集检测箱要求装有电机三相电源输入线缆插座，可通过配套电机三相线缆完成驱动能量供给平台与信息采集检测箱之间的高压线路装配与连接。</w:t>
            </w:r>
          </w:p>
          <w:p w14:paraId="11C222E8">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（4）信息采集检测箱要求装有低压通讯线缆插座，可通过配套低压通信线束完成驱动能量供给平台与信息采集检测箱之间的低压线路装配与连接。</w:t>
            </w:r>
          </w:p>
          <w:p w14:paraId="234A479B">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（5）要求可借助万用表完成定子绕组相间电压信号检测。</w:t>
            </w:r>
          </w:p>
          <w:p w14:paraId="3DD25B12">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（6）设备要求配套电机三相电压信号、电机旋变信号检测点，可借助示波器等设备对该信号波形进行诊断与分析，设备初始状态旋变信号波形可清晰读取。</w:t>
            </w:r>
          </w:p>
          <w:p w14:paraId="24EAECFA">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（7）检测面板材质：亚克力，表面经特殊工艺喷涂底漆处理；装配要求具有保护功能的检测端子，检测端子名称要求采用白色字体丝印。</w:t>
            </w:r>
          </w:p>
          <w:p w14:paraId="54195B2C">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（8）要求可设置电机旋变信号及电机温度信号故障，通过协议读取故障码，从而判断故障部位，通过检测排除故障。</w:t>
            </w:r>
          </w:p>
          <w:p w14:paraId="0DE24F21">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3.驱动能量供给平台要求：</w:t>
            </w:r>
          </w:p>
          <w:p w14:paraId="12EAD283">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（1）驱动能量供给平台显示模块：≥24寸触摸液晶，平台结构：冷轧钢板，经过脱脂、酸洗、防锈磷化、纯水清洗、静电喷涂等工艺流程。</w:t>
            </w:r>
          </w:p>
          <w:p w14:paraId="1D7DB885">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（2）电机控制器：车规级，设备通电后，能动态展示电机正反转、加速与减速状态。</w:t>
            </w:r>
          </w:p>
          <w:p w14:paraId="609046FF">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（3）平台接口：电机三相线接口、电机旋变传感器接口及地线接口，可连接智能信息采集检测箱为电机供电。</w:t>
            </w:r>
          </w:p>
          <w:p w14:paraId="65B1C00D">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（4）技术平台要求提供外接端口，可与电池包封测与检测诊断实训台联动。</w:t>
            </w:r>
          </w:p>
          <w:p w14:paraId="6415A2FD">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4.驱动能量供给平台搭配智能教学系统要求：</w:t>
            </w:r>
          </w:p>
          <w:p w14:paraId="366F47DD">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智能教学系统要求提供理论和实训两大模块：</w:t>
            </w:r>
          </w:p>
          <w:p w14:paraId="418C0F11">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三、纯电动车驱动电机AR实训系统</w:t>
            </w:r>
          </w:p>
          <w:p w14:paraId="15888C3B">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（一）产品要求</w:t>
            </w:r>
          </w:p>
          <w:p w14:paraId="667DDF0E">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1.纯电动车驱动电机AR实训系统在虚拟现实环境下，动态展示驱动电机内部运行状态，包含驱动电机虚拟拆装模块，便于驱动电机的原理学习，培养拆装能力。</w:t>
            </w:r>
          </w:p>
          <w:p w14:paraId="535CA894">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2.AR实训系统，有教师端和学生端两个登录入口。</w:t>
            </w:r>
          </w:p>
          <w:p w14:paraId="6A5F9844">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3.教师端至少包含：添加、姓名、拆卸得分、装配得分、删除、时间设置等功能。（投标文件内置教师端画面截图证明，至少包含：添加、姓名、拆卸得分、装配得分、删除、时间设置）</w:t>
            </w:r>
          </w:p>
          <w:p w14:paraId="095835C5">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4.学生端需包含但不限于有原理和拆装两大功能。</w:t>
            </w:r>
          </w:p>
          <w:p w14:paraId="4966041E">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4.1原理功能</w:t>
            </w:r>
          </w:p>
          <w:p w14:paraId="3BDC1380">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1）在原理功能中，可以实现旋转任意角度观察电机模型、放大缩小电机模型。（投标文件内置旋转3个角度的电机模型及放大缩小电机模型截图证明）</w:t>
            </w:r>
          </w:p>
          <w:p w14:paraId="11CC7CA2">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2）在原理功能中，应通过下一步功能按钮，完整讲述电机工作原理，核心部件应高亮显示，并在界面有文字讲解。</w:t>
            </w:r>
          </w:p>
          <w:p w14:paraId="06863024">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4.2拆装功能</w:t>
            </w:r>
          </w:p>
          <w:p w14:paraId="3A466910">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1）包含演示、练习、考核等功能。</w:t>
            </w:r>
          </w:p>
          <w:p w14:paraId="5A101928">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（二）技术要求</w:t>
            </w:r>
          </w:p>
          <w:p w14:paraId="6E0DE248">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1.采用先进计算机虚拟技术，模拟纯电动车驱动电机拆装操作过程。</w:t>
            </w:r>
          </w:p>
          <w:p w14:paraId="78703EEF">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2.演示模式系统有提示拆卸方法，无需选择工具系统自动选择，并带有步骤音频解说，尽可能快的让学生了解整体拆卸流程，以便进入下一阶段的训练。</w:t>
            </w:r>
          </w:p>
          <w:p w14:paraId="760F0A0D">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3.练习模式系统有提示拆卸方法，但需要自己手动选取工具，步骤需求的工具以及需要拆装的位置都会高亮显示，方便学员记忆拆装必要的步骤与工具，让学员尽快掌握拆装方法。</w:t>
            </w:r>
          </w:p>
          <w:p w14:paraId="3BC40EEE">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4.考核模块没有提示，没有任何高亮，学员可以自由操作，操作完系统会进行评分。</w:t>
            </w:r>
          </w:p>
          <w:p w14:paraId="4E34CE4D">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5.虚拟的拆装场景，包含拆装区，工具车，工作台等。拆装区场景采用 3D 实时渲染技术，可实现场景内 360 度旋转，可实时通过鼠标与场景进行交互操作。</w:t>
            </w:r>
          </w:p>
          <w:p w14:paraId="32CD1EEF">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6.根据标准拆装流程进行操作，包括零部件拆卸与安装、工具选择与使用等。</w:t>
            </w:r>
          </w:p>
          <w:p w14:paraId="37E86375">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四、新能源汽车电机虚拟测量仿真软件</w:t>
            </w:r>
          </w:p>
          <w:p w14:paraId="3B090880">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1.登录软件界面，包含：信号采集和波形显示、晶体管通断控制电机转动、电机启动与旋转、转子转速测量实验。</w:t>
            </w:r>
          </w:p>
          <w:p w14:paraId="6AFFC244">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2.点击：信号采集和波形显示，打开信号发生器：电压范围可选择0-10V,频率范围可选择0-5MHZ，波形可选择正弦波、三角波、矩形波。点击示波器电源按钮，可显示当前信号的波形状态。</w:t>
            </w:r>
          </w:p>
          <w:p w14:paraId="6B7BC6B4">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3.点击：晶体管通断控制电机转动，打开信号发生器，可通过改变信号发生器的电压、频率、波形，显示电机不同的运行状态。</w:t>
            </w:r>
          </w:p>
          <w:p w14:paraId="1873E000">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4.点击：电机启动与旋转，将高压电池断电实验卡、逆变器实验卡和电机实验卡插入虚拟测量界面，连接各个系统的低压线束，点击“测试实验设置”，通过拖拽油门踏板可实现电机启动和加速。</w:t>
            </w:r>
          </w:p>
          <w:p w14:paraId="3E216E8C">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5.点击：转子转速测量实验，里面包含同步电机和异步电机两种电机。</w:t>
            </w:r>
          </w:p>
          <w:p w14:paraId="0DE8F496">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五、纯电动汽车驱动系统装调与检测技术平台实训项目不低于8个。</w:t>
            </w:r>
          </w:p>
          <w:p w14:paraId="73852F2A">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六、产品规格：</w:t>
            </w:r>
          </w:p>
          <w:p w14:paraId="47AEA279">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外形尺寸(长×宽×高)：≥1900mm*910mm*680mm</w:t>
            </w:r>
          </w:p>
        </w:tc>
      </w:tr>
      <w:tr w14:paraId="6A779B8E">
        <w:tblPrEx>
          <w:tblCellMar>
            <w:top w:w="0" w:type="dxa"/>
            <w:left w:w="108" w:type="dxa"/>
            <w:bottom w:w="0" w:type="dxa"/>
            <w:right w:w="108" w:type="dxa"/>
          </w:tblCellMar>
        </w:tblPrEx>
        <w:trPr>
          <w:trHeight w:val="319"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380AE">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7</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59918">
            <w:pPr>
              <w:widowControl/>
              <w:jc w:val="left"/>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驱动总成装配检测竞赛平台</w:t>
            </w:r>
          </w:p>
        </w:tc>
        <w:tc>
          <w:tcPr>
            <w:tcW w:w="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E9661">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1</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0AF68">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套</w:t>
            </w:r>
          </w:p>
        </w:tc>
        <w:tc>
          <w:tcPr>
            <w:tcW w:w="8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3A01F">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一、产品要求：</w:t>
            </w:r>
          </w:p>
          <w:p w14:paraId="7069D265">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驱动总成装配检测竞赛平台采用原车驱动电机、变速箱、电机控制器及相关零部件，可完成驱动总成的拆卸、安装、验证、测量、故障诊断排除等技能训练。</w:t>
            </w:r>
          </w:p>
          <w:p w14:paraId="45C09BCC">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二、功能要求：</w:t>
            </w:r>
          </w:p>
          <w:p w14:paraId="40AEBE68">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1.平台主要由驱动总成、拆装平台、驱动控制模块、智能教学系统、故障设置与诊断模块、人员训练行为监测系统等组成。</w:t>
            </w:r>
          </w:p>
          <w:p w14:paraId="24D84BB0">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2.平台配置驱动电机与变速箱分离丝杆机构及变速箱360°翻转机构，可安全高效完成驱动总成各零部件的拆卸、安装、测量等训练。</w:t>
            </w:r>
          </w:p>
          <w:p w14:paraId="38A724D5">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3.平台配置变速箱齿轮、轴承、油封、卡簧等拆卸部件放置专用工装。</w:t>
            </w:r>
          </w:p>
          <w:p w14:paraId="1F6F3ED4">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4.智能教学系统可图形化实时显示电机转速、控制器母线电压、控制器母线电流、UVW相电压、电机控制器系统状态、电机运行模式、电机旋变零点位置、电机温度以及控制器温度。</w:t>
            </w:r>
          </w:p>
          <w:p w14:paraId="1FB88661">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5.智能教学系统可控制电机的工作状态，包含正转、反转、上电、下电、启动、停止、加速和减速。</w:t>
            </w:r>
          </w:p>
          <w:p w14:paraId="5A03C2D4">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6.故障设置与诊断模块可设置电机旋变信号及电机温度信号故障，通过协议读取故障码，从而判断故障部位，通过检测排除故障。</w:t>
            </w:r>
          </w:p>
          <w:p w14:paraId="1177CF52">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7.故障设置与诊断模块可借助万用表完成定子绕组相间电压信号检测。</w:t>
            </w:r>
          </w:p>
          <w:p w14:paraId="1C29C4DF">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8.故障设置与诊断模块具备电机三相电压信号、电机旋变信号检测点，可借助示波器等仪表对该信号波形进行诊断与分析，设备初始状态旋变信号波形可清晰读取。</w:t>
            </w:r>
          </w:p>
          <w:p w14:paraId="5FBE69FE">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9.人员训练行为监测系统配置智能摄像头，具备多个自由度调节视角，启动后可实时监测人员的训练行为。</w:t>
            </w:r>
            <w:r>
              <w:rPr>
                <w:rFonts w:hint="eastAsia" w:ascii="新宋体" w:hAnsi="新宋体" w:eastAsia="新宋体" w:cs="新宋体"/>
                <w:color w:val="auto"/>
                <w:kern w:val="0"/>
                <w:sz w:val="22"/>
                <w:szCs w:val="22"/>
                <w:lang w:val="en-US" w:eastAsia="zh-CN" w:bidi="ar"/>
              </w:rPr>
              <w:t>厂家出具证明文件，且在有效期内。</w:t>
            </w:r>
          </w:p>
        </w:tc>
      </w:tr>
      <w:tr w14:paraId="2A880165">
        <w:tblPrEx>
          <w:tblCellMar>
            <w:top w:w="0" w:type="dxa"/>
            <w:left w:w="108" w:type="dxa"/>
            <w:bottom w:w="0" w:type="dxa"/>
            <w:right w:w="108" w:type="dxa"/>
          </w:tblCellMar>
        </w:tblPrEx>
        <w:trPr>
          <w:trHeight w:val="327"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9810A">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8</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0AD3E">
            <w:pPr>
              <w:widowControl/>
              <w:jc w:val="left"/>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充电设备装配与调试智能实训台</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26945">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1</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DA2B2">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套</w:t>
            </w:r>
          </w:p>
        </w:tc>
        <w:tc>
          <w:tcPr>
            <w:tcW w:w="8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97301">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一、产品要求</w:t>
            </w:r>
          </w:p>
          <w:p w14:paraId="6BA28E36">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1.平台结合充电桩生产厂家生产工艺流程研制，真实再现充电桩真实生产、调试与安装等工艺流程。</w:t>
            </w:r>
          </w:p>
          <w:p w14:paraId="62DEF0C0">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 xml:space="preserve">2.实训台采用柜式结构，可进行反复拆装，所有配件可进行快速定位，组装，操作简单，高效便捷。 </w:t>
            </w:r>
          </w:p>
          <w:p w14:paraId="5918DDE1">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3.充电设备组装完成后，充电枪通过国标交流充电口与迷你负载互联，通电后可进行充电参数设置与验证。</w:t>
            </w:r>
          </w:p>
          <w:p w14:paraId="23D903AB">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4.实训台有完善的安全保护功能，具有过压保护、欠压保护、过载保护、短路保护、接地保护、过温保护 、低温保护、防雷保护、急停保护、漏电保护等；</w:t>
            </w:r>
          </w:p>
          <w:p w14:paraId="55A93488">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5.采用行业龙头企业连接线缆制作，性能优良，安全可靠。</w:t>
            </w:r>
          </w:p>
          <w:p w14:paraId="35B9CD0F">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6.配套详细的电路原理图，方便学生进行实训与故障检修。</w:t>
            </w:r>
          </w:p>
          <w:p w14:paraId="5341991E">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7.实训台采用箱体柜式设计，充电桩部件集成于箱体内部，为多部件集成一体台。</w:t>
            </w:r>
          </w:p>
          <w:p w14:paraId="173CED6E">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二、产品功能</w:t>
            </w:r>
          </w:p>
          <w:p w14:paraId="218FD730">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充电连接器寿命：≥10000次</w:t>
            </w:r>
          </w:p>
          <w:p w14:paraId="5F4C9996">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输入电压：AC220V±20%</w:t>
            </w:r>
          </w:p>
          <w:p w14:paraId="54048D46">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输出电压：AC220V±20%</w:t>
            </w:r>
          </w:p>
          <w:p w14:paraId="2D87429E">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频率:50±3 Hz</w:t>
            </w:r>
          </w:p>
          <w:p w14:paraId="56609459">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最大输出电流:≥32A</w:t>
            </w:r>
          </w:p>
          <w:p w14:paraId="54653CC4">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线缆长度：≥3米</w:t>
            </w:r>
          </w:p>
          <w:p w14:paraId="6CE7E2A6">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运营后台通讯 : 以太网/2/3/4G</w:t>
            </w:r>
          </w:p>
          <w:p w14:paraId="2A4CF0D0">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充电接口:七芯充电枪</w:t>
            </w:r>
          </w:p>
          <w:p w14:paraId="78FC1755">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计量精度:≤1级</w:t>
            </w:r>
          </w:p>
          <w:p w14:paraId="7B28BAAD">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防护等级:≥IP55</w:t>
            </w:r>
          </w:p>
          <w:p w14:paraId="3C39FE5F">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运行温度:－25℃~＋50℃</w:t>
            </w:r>
          </w:p>
          <w:p w14:paraId="2BA1E07C">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工作湿度:5%~95%无凝霜</w:t>
            </w:r>
          </w:p>
          <w:p w14:paraId="2F2256AD">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海拔高度:≤2000m</w:t>
            </w:r>
          </w:p>
          <w:p w14:paraId="079EFF9C">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冷却方式：强迫风冷</w:t>
            </w:r>
          </w:p>
          <w:p w14:paraId="07AE61F0">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充电模式：自动充满/定电量/定金额/定时间</w:t>
            </w:r>
          </w:p>
          <w:p w14:paraId="61441907">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启动方式：刷卡启动</w:t>
            </w:r>
          </w:p>
          <w:p w14:paraId="4820B9FC">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三、可完成的实训项目不低于10个</w:t>
            </w:r>
          </w:p>
        </w:tc>
      </w:tr>
      <w:tr w14:paraId="3AE74377">
        <w:tblPrEx>
          <w:tblCellMar>
            <w:top w:w="0" w:type="dxa"/>
            <w:left w:w="108" w:type="dxa"/>
            <w:bottom w:w="0" w:type="dxa"/>
            <w:right w:w="108" w:type="dxa"/>
          </w:tblCellMar>
        </w:tblPrEx>
        <w:trPr>
          <w:trHeight w:val="327"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E66BE">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9</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B1056">
            <w:pPr>
              <w:widowControl/>
              <w:jc w:val="left"/>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交直流数字钳形表</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703D4">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4</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FD1EB">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套</w:t>
            </w:r>
          </w:p>
        </w:tc>
        <w:tc>
          <w:tcPr>
            <w:tcW w:w="8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31DCA">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支持自动量程、占空比、NCV测试、二极管测试、通断蜂鸣、数据保持、手电筒、背光，钳口最大尺寸48mm</w:t>
            </w:r>
          </w:p>
        </w:tc>
      </w:tr>
      <w:tr w14:paraId="7FBA769F">
        <w:tblPrEx>
          <w:tblCellMar>
            <w:top w:w="0" w:type="dxa"/>
            <w:left w:w="108" w:type="dxa"/>
            <w:bottom w:w="0" w:type="dxa"/>
            <w:right w:w="108" w:type="dxa"/>
          </w:tblCellMar>
        </w:tblPrEx>
        <w:trPr>
          <w:trHeight w:val="319"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03288">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10</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A2F01">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混动整车实训车辆</w:t>
            </w:r>
          </w:p>
        </w:tc>
        <w:tc>
          <w:tcPr>
            <w:tcW w:w="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F6A14">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1</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4217C">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辆</w:t>
            </w:r>
          </w:p>
        </w:tc>
        <w:tc>
          <w:tcPr>
            <w:tcW w:w="8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39C6E">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1.尺寸参数：长≥ 4830mm、宽≥ 1900mm、高≥ 1495mm，</w:t>
            </w:r>
          </w:p>
          <w:p w14:paraId="5EC2C8EC">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2.轴距 ≥2790mm，</w:t>
            </w:r>
          </w:p>
          <w:p w14:paraId="057BB4F8">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3.距前/后均≥1620mm，</w:t>
            </w:r>
          </w:p>
          <w:p w14:paraId="4FEC575B">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4.最小转弯半径≥5.6m</w:t>
            </w:r>
          </w:p>
          <w:p w14:paraId="58CE65DE">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5.油箱容积≥65L。</w:t>
            </w:r>
          </w:p>
          <w:p w14:paraId="082608CF">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动力系统：</w:t>
            </w:r>
          </w:p>
          <w:p w14:paraId="71511A20">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1.搭载插混专用≥1.5L</w:t>
            </w:r>
          </w:p>
          <w:p w14:paraId="0C843535">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2.发动机最大功率≥74kW，</w:t>
            </w:r>
          </w:p>
          <w:p w14:paraId="06A671F9">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3.最大扭矩≥126N・m，</w:t>
            </w:r>
          </w:p>
          <w:p w14:paraId="2F43EDD0">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4.电机型式为永磁同步电机，最大功率≥120kW，最大扭矩≥210N・m，匹配电子无级变速箱。</w:t>
            </w:r>
          </w:p>
          <w:p w14:paraId="1E430971">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配备汽车故障分析仪：</w:t>
            </w:r>
          </w:p>
          <w:p w14:paraId="0E8ADF05">
            <w:pPr>
              <w:widowControl/>
              <w:jc w:val="left"/>
              <w:textAlignment w:val="center"/>
              <w:rPr>
                <w:rFonts w:ascii="宋体" w:eastAsia="宋体" w:cs="宋体"/>
                <w:color w:val="auto"/>
                <w:kern w:val="0"/>
                <w:sz w:val="22"/>
                <w:szCs w:val="22"/>
                <w:lang w:bidi="ar"/>
              </w:rPr>
            </w:pPr>
            <w:r>
              <w:rPr>
                <w:rFonts w:ascii="宋体" w:eastAsia="宋体" w:cs="宋体"/>
                <w:color w:val="auto"/>
                <w:kern w:val="0"/>
                <w:sz w:val="22"/>
                <w:szCs w:val="22"/>
                <w:lang w:bidi="ar"/>
              </w:rPr>
              <w:t>分析仪通用于汽、柴油发动机机、电动和混合动力车辆，可扩充尾气模块。具有最新技术和模块化设计的多功能系统，除MTM发动机模块外，并增加了完整的系统，可用于扩展部件测试、ECU诊断以及ESI[Ttronic]软件，且通过ESI[Ttronic]进行车辆选择；SIS故障诊断说明、ECU诊断程序与发动机分析程序可自有切换。</w:t>
            </w:r>
          </w:p>
          <w:p w14:paraId="009A6DD4">
            <w:pPr>
              <w:widowControl/>
              <w:jc w:val="left"/>
              <w:textAlignment w:val="center"/>
              <w:rPr>
                <w:rFonts w:ascii="宋体" w:eastAsia="宋体" w:cs="宋体"/>
                <w:color w:val="auto"/>
                <w:kern w:val="0"/>
                <w:sz w:val="22"/>
                <w:szCs w:val="22"/>
                <w:lang w:bidi="ar"/>
              </w:rPr>
            </w:pPr>
            <w:r>
              <w:rPr>
                <w:rFonts w:ascii="宋体" w:eastAsia="宋体" w:cs="宋体"/>
                <w:color w:val="auto"/>
                <w:kern w:val="0"/>
                <w:sz w:val="22"/>
                <w:szCs w:val="22"/>
                <w:lang w:bidi="ar"/>
              </w:rPr>
              <w:t>1</w:t>
            </w:r>
            <w:r>
              <w:rPr>
                <w:rFonts w:hint="eastAsia" w:ascii="宋体" w:eastAsia="宋体" w:cs="宋体"/>
                <w:color w:val="auto"/>
                <w:kern w:val="0"/>
                <w:sz w:val="22"/>
                <w:szCs w:val="22"/>
                <w:lang w:bidi="ar"/>
              </w:rPr>
              <w:t>.</w:t>
            </w:r>
            <w:r>
              <w:rPr>
                <w:rFonts w:ascii="宋体" w:eastAsia="宋体" w:cs="宋体"/>
                <w:color w:val="auto"/>
                <w:kern w:val="0"/>
                <w:sz w:val="22"/>
                <w:szCs w:val="22"/>
                <w:lang w:bidi="ar"/>
              </w:rPr>
              <w:t>尺寸</w:t>
            </w:r>
            <w:r>
              <w:rPr>
                <w:rFonts w:hint="eastAsia" w:ascii="宋体" w:eastAsia="宋体" w:cs="宋体"/>
                <w:color w:val="auto"/>
                <w:kern w:val="0"/>
                <w:sz w:val="22"/>
                <w:szCs w:val="22"/>
                <w:lang w:bidi="ar"/>
              </w:rPr>
              <w:t>≥</w:t>
            </w:r>
            <w:r>
              <w:rPr>
                <w:rFonts w:ascii="宋体" w:eastAsia="宋体" w:cs="宋体"/>
                <w:color w:val="auto"/>
                <w:kern w:val="0"/>
                <w:sz w:val="22"/>
                <w:szCs w:val="22"/>
                <w:lang w:bidi="ar"/>
              </w:rPr>
              <w:t>1785mm×680mm×670mm</w:t>
            </w:r>
          </w:p>
          <w:p w14:paraId="3F741B88">
            <w:pPr>
              <w:widowControl/>
              <w:jc w:val="left"/>
              <w:textAlignment w:val="center"/>
              <w:rPr>
                <w:rFonts w:ascii="宋体" w:eastAsia="宋体" w:cs="宋体"/>
                <w:color w:val="auto"/>
                <w:kern w:val="0"/>
                <w:sz w:val="22"/>
                <w:szCs w:val="22"/>
                <w:lang w:bidi="ar"/>
              </w:rPr>
            </w:pPr>
            <w:r>
              <w:rPr>
                <w:rFonts w:ascii="宋体" w:eastAsia="宋体" w:cs="宋体"/>
                <w:color w:val="auto"/>
                <w:kern w:val="0"/>
                <w:sz w:val="22"/>
                <w:szCs w:val="22"/>
                <w:lang w:bidi="ar"/>
              </w:rPr>
              <w:t>2</w:t>
            </w:r>
            <w:r>
              <w:rPr>
                <w:rFonts w:hint="eastAsia" w:ascii="宋体" w:eastAsia="宋体" w:cs="宋体"/>
                <w:color w:val="auto"/>
                <w:kern w:val="0"/>
                <w:sz w:val="22"/>
                <w:szCs w:val="22"/>
                <w:lang w:bidi="ar"/>
              </w:rPr>
              <w:t>.</w:t>
            </w:r>
            <w:r>
              <w:rPr>
                <w:rFonts w:ascii="宋体" w:eastAsia="宋体" w:cs="宋体"/>
                <w:color w:val="auto"/>
                <w:kern w:val="0"/>
                <w:sz w:val="22"/>
                <w:szCs w:val="22"/>
                <w:lang w:bidi="ar"/>
              </w:rPr>
              <w:t>重量(含传感器)：约91公斤</w:t>
            </w:r>
          </w:p>
          <w:p w14:paraId="64510F1D">
            <w:pPr>
              <w:widowControl/>
              <w:jc w:val="left"/>
              <w:textAlignment w:val="center"/>
              <w:rPr>
                <w:rFonts w:ascii="宋体" w:eastAsia="宋体" w:cs="宋体"/>
                <w:color w:val="auto"/>
                <w:kern w:val="0"/>
                <w:sz w:val="22"/>
                <w:szCs w:val="22"/>
                <w:lang w:bidi="ar"/>
              </w:rPr>
            </w:pPr>
            <w:r>
              <w:rPr>
                <w:rFonts w:hint="eastAsia" w:ascii="宋体" w:eastAsia="宋体" w:cs="宋体"/>
                <w:color w:val="auto"/>
                <w:kern w:val="0"/>
                <w:sz w:val="22"/>
                <w:szCs w:val="22"/>
                <w:lang w:bidi="ar"/>
              </w:rPr>
              <w:t>3.</w:t>
            </w:r>
            <w:r>
              <w:rPr>
                <w:rFonts w:ascii="宋体" w:eastAsia="宋体" w:cs="宋体"/>
                <w:color w:val="auto"/>
                <w:kern w:val="0"/>
                <w:sz w:val="22"/>
                <w:szCs w:val="22"/>
                <w:lang w:bidi="ar"/>
              </w:rPr>
              <w:t>输入电源：90-264VAC</w:t>
            </w:r>
          </w:p>
          <w:p w14:paraId="14BDC79F">
            <w:pPr>
              <w:widowControl/>
              <w:jc w:val="left"/>
              <w:textAlignment w:val="center"/>
              <w:rPr>
                <w:rFonts w:ascii="宋体" w:eastAsia="宋体" w:cs="宋体"/>
                <w:color w:val="auto"/>
                <w:kern w:val="0"/>
                <w:sz w:val="22"/>
                <w:szCs w:val="22"/>
                <w:lang w:bidi="ar"/>
              </w:rPr>
            </w:pPr>
            <w:r>
              <w:rPr>
                <w:rFonts w:ascii="宋体" w:eastAsia="宋体" w:cs="宋体"/>
                <w:color w:val="auto"/>
                <w:kern w:val="0"/>
                <w:sz w:val="22"/>
                <w:szCs w:val="22"/>
                <w:lang w:bidi="ar"/>
              </w:rPr>
              <w:t>4</w:t>
            </w:r>
            <w:r>
              <w:rPr>
                <w:rFonts w:hint="eastAsia" w:ascii="宋体" w:eastAsia="宋体" w:cs="宋体"/>
                <w:color w:val="auto"/>
                <w:kern w:val="0"/>
                <w:sz w:val="22"/>
                <w:szCs w:val="22"/>
                <w:lang w:bidi="ar"/>
              </w:rPr>
              <w:t>.</w:t>
            </w:r>
            <w:r>
              <w:rPr>
                <w:rFonts w:ascii="宋体" w:eastAsia="宋体" w:cs="宋体"/>
                <w:color w:val="auto"/>
                <w:kern w:val="0"/>
                <w:sz w:val="22"/>
                <w:szCs w:val="22"/>
                <w:lang w:bidi="ar"/>
              </w:rPr>
              <w:t>输入频率：47-63Hz</w:t>
            </w:r>
          </w:p>
          <w:p w14:paraId="4F9FCA72">
            <w:pPr>
              <w:widowControl/>
              <w:jc w:val="left"/>
              <w:textAlignment w:val="center"/>
              <w:rPr>
                <w:rFonts w:ascii="宋体" w:eastAsia="宋体" w:cs="宋体"/>
                <w:color w:val="auto"/>
                <w:kern w:val="0"/>
                <w:sz w:val="22"/>
                <w:szCs w:val="22"/>
                <w:lang w:bidi="ar"/>
              </w:rPr>
            </w:pPr>
            <w:r>
              <w:rPr>
                <w:rFonts w:ascii="宋体" w:eastAsia="宋体" w:cs="宋体"/>
                <w:color w:val="auto"/>
                <w:kern w:val="0"/>
                <w:sz w:val="22"/>
                <w:szCs w:val="22"/>
                <w:lang w:bidi="ar"/>
              </w:rPr>
              <w:t>5</w:t>
            </w:r>
            <w:r>
              <w:rPr>
                <w:rFonts w:hint="eastAsia" w:ascii="宋体" w:eastAsia="宋体" w:cs="宋体"/>
                <w:color w:val="auto"/>
                <w:kern w:val="0"/>
                <w:sz w:val="22"/>
                <w:szCs w:val="22"/>
                <w:lang w:bidi="ar"/>
              </w:rPr>
              <w:t>.</w:t>
            </w:r>
            <w:r>
              <w:rPr>
                <w:rFonts w:ascii="宋体" w:eastAsia="宋体" w:cs="宋体"/>
                <w:color w:val="auto"/>
                <w:kern w:val="0"/>
                <w:sz w:val="22"/>
                <w:szCs w:val="22"/>
                <w:lang w:bidi="ar"/>
              </w:rPr>
              <w:t>输出电压：15V</w:t>
            </w:r>
          </w:p>
          <w:p w14:paraId="40264D48">
            <w:pPr>
              <w:widowControl/>
              <w:jc w:val="left"/>
              <w:textAlignment w:val="center"/>
              <w:rPr>
                <w:rFonts w:ascii="宋体" w:eastAsia="宋体" w:cs="宋体"/>
                <w:color w:val="auto"/>
                <w:kern w:val="0"/>
                <w:sz w:val="22"/>
                <w:szCs w:val="22"/>
                <w:lang w:bidi="ar"/>
              </w:rPr>
            </w:pPr>
            <w:r>
              <w:rPr>
                <w:rFonts w:ascii="宋体" w:eastAsia="宋体" w:cs="宋体"/>
                <w:color w:val="auto"/>
                <w:kern w:val="0"/>
                <w:sz w:val="22"/>
                <w:szCs w:val="22"/>
                <w:lang w:bidi="ar"/>
              </w:rPr>
              <w:t>6</w:t>
            </w:r>
            <w:r>
              <w:rPr>
                <w:rFonts w:hint="eastAsia" w:ascii="宋体" w:eastAsia="宋体" w:cs="宋体"/>
                <w:color w:val="auto"/>
                <w:kern w:val="0"/>
                <w:sz w:val="22"/>
                <w:szCs w:val="22"/>
                <w:lang w:bidi="ar"/>
              </w:rPr>
              <w:t>.</w:t>
            </w:r>
            <w:r>
              <w:rPr>
                <w:rFonts w:ascii="宋体" w:eastAsia="宋体" w:cs="宋体"/>
                <w:color w:val="auto"/>
                <w:kern w:val="0"/>
                <w:sz w:val="22"/>
                <w:szCs w:val="22"/>
                <w:lang w:bidi="ar"/>
              </w:rPr>
              <w:t>操作环境温度：5° - 40 °</w:t>
            </w:r>
          </w:p>
          <w:p w14:paraId="186FA324">
            <w:pPr>
              <w:widowControl/>
              <w:jc w:val="left"/>
              <w:textAlignment w:val="center"/>
              <w:rPr>
                <w:rFonts w:ascii="宋体" w:eastAsia="宋体" w:cs="宋体"/>
                <w:color w:val="auto"/>
                <w:kern w:val="0"/>
                <w:sz w:val="22"/>
                <w:szCs w:val="22"/>
                <w:lang w:bidi="ar"/>
              </w:rPr>
            </w:pPr>
            <w:r>
              <w:rPr>
                <w:rFonts w:ascii="宋体" w:eastAsia="宋体" w:cs="宋体"/>
                <w:color w:val="auto"/>
                <w:kern w:val="0"/>
                <w:sz w:val="22"/>
                <w:szCs w:val="22"/>
                <w:lang w:bidi="ar"/>
              </w:rPr>
              <w:t>7</w:t>
            </w:r>
            <w:r>
              <w:rPr>
                <w:rFonts w:hint="eastAsia" w:ascii="宋体" w:eastAsia="宋体" w:cs="宋体"/>
                <w:color w:val="auto"/>
                <w:kern w:val="0"/>
                <w:sz w:val="22"/>
                <w:szCs w:val="22"/>
                <w:lang w:bidi="ar"/>
              </w:rPr>
              <w:t>.</w:t>
            </w:r>
            <w:r>
              <w:rPr>
                <w:rFonts w:ascii="宋体" w:eastAsia="宋体" w:cs="宋体"/>
                <w:color w:val="auto"/>
                <w:kern w:val="0"/>
                <w:sz w:val="22"/>
                <w:szCs w:val="22"/>
                <w:lang w:bidi="ar"/>
              </w:rPr>
              <w:t>CPU：Intel/AMD  1300MHz以上</w:t>
            </w:r>
          </w:p>
          <w:p w14:paraId="0DD269B5">
            <w:pPr>
              <w:widowControl/>
              <w:jc w:val="left"/>
              <w:textAlignment w:val="center"/>
              <w:rPr>
                <w:rFonts w:ascii="宋体" w:eastAsia="宋体" w:cs="宋体"/>
                <w:color w:val="auto"/>
                <w:kern w:val="0"/>
                <w:sz w:val="22"/>
                <w:szCs w:val="22"/>
                <w:lang w:bidi="ar"/>
              </w:rPr>
            </w:pPr>
            <w:r>
              <w:rPr>
                <w:rFonts w:ascii="宋体" w:eastAsia="宋体" w:cs="宋体"/>
                <w:color w:val="auto"/>
                <w:kern w:val="0"/>
                <w:sz w:val="22"/>
                <w:szCs w:val="22"/>
                <w:lang w:bidi="ar"/>
              </w:rPr>
              <w:t>8</w:t>
            </w:r>
            <w:r>
              <w:rPr>
                <w:rFonts w:hint="eastAsia" w:ascii="宋体" w:eastAsia="宋体" w:cs="宋体"/>
                <w:color w:val="auto"/>
                <w:kern w:val="0"/>
                <w:sz w:val="22"/>
                <w:szCs w:val="22"/>
                <w:lang w:bidi="ar"/>
              </w:rPr>
              <w:t>.</w:t>
            </w:r>
            <w:r>
              <w:rPr>
                <w:rFonts w:ascii="宋体" w:eastAsia="宋体" w:cs="宋体"/>
                <w:color w:val="auto"/>
                <w:kern w:val="0"/>
                <w:sz w:val="22"/>
                <w:szCs w:val="22"/>
                <w:lang w:bidi="ar"/>
              </w:rPr>
              <w:t>内存：少 256M，5个G以上硬盘</w:t>
            </w:r>
          </w:p>
          <w:p w14:paraId="5104BCF9">
            <w:pPr>
              <w:widowControl/>
              <w:jc w:val="left"/>
              <w:textAlignment w:val="center"/>
              <w:rPr>
                <w:rFonts w:ascii="宋体" w:eastAsia="宋体" w:cs="宋体"/>
                <w:color w:val="auto"/>
                <w:kern w:val="0"/>
                <w:sz w:val="22"/>
                <w:szCs w:val="22"/>
                <w:lang w:bidi="ar"/>
              </w:rPr>
            </w:pPr>
            <w:r>
              <w:rPr>
                <w:rFonts w:ascii="宋体" w:eastAsia="宋体" w:cs="宋体"/>
                <w:color w:val="auto"/>
                <w:kern w:val="0"/>
                <w:sz w:val="22"/>
                <w:szCs w:val="22"/>
                <w:lang w:bidi="ar"/>
              </w:rPr>
              <w:t>9</w:t>
            </w:r>
            <w:r>
              <w:rPr>
                <w:rFonts w:hint="eastAsia" w:ascii="宋体" w:eastAsia="宋体" w:cs="宋体"/>
                <w:color w:val="auto"/>
                <w:kern w:val="0"/>
                <w:sz w:val="22"/>
                <w:szCs w:val="22"/>
                <w:lang w:bidi="ar"/>
              </w:rPr>
              <w:t>.</w:t>
            </w:r>
            <w:r>
              <w:rPr>
                <w:rFonts w:ascii="宋体" w:eastAsia="宋体" w:cs="宋体"/>
                <w:color w:val="auto"/>
                <w:kern w:val="0"/>
                <w:sz w:val="22"/>
                <w:szCs w:val="22"/>
                <w:lang w:bidi="ar"/>
              </w:rPr>
              <w:t>驱动器：DVD</w:t>
            </w:r>
          </w:p>
          <w:p w14:paraId="6BA13535">
            <w:pPr>
              <w:widowControl/>
              <w:jc w:val="left"/>
              <w:textAlignment w:val="center"/>
              <w:rPr>
                <w:rFonts w:ascii="宋体" w:eastAsia="宋体" w:cs="宋体"/>
                <w:color w:val="auto"/>
                <w:kern w:val="0"/>
                <w:sz w:val="22"/>
                <w:szCs w:val="22"/>
                <w:lang w:bidi="ar"/>
              </w:rPr>
            </w:pPr>
            <w:r>
              <w:rPr>
                <w:rFonts w:ascii="宋体" w:eastAsia="宋体" w:cs="宋体"/>
                <w:color w:val="auto"/>
                <w:kern w:val="0"/>
                <w:sz w:val="22"/>
                <w:szCs w:val="22"/>
                <w:lang w:bidi="ar"/>
              </w:rPr>
              <w:t>10</w:t>
            </w:r>
            <w:r>
              <w:rPr>
                <w:rFonts w:hint="eastAsia" w:ascii="宋体" w:eastAsia="宋体" w:cs="宋体"/>
                <w:color w:val="auto"/>
                <w:kern w:val="0"/>
                <w:sz w:val="22"/>
                <w:szCs w:val="22"/>
                <w:lang w:bidi="ar"/>
              </w:rPr>
              <w:t>.</w:t>
            </w:r>
            <w:r>
              <w:rPr>
                <w:rFonts w:ascii="宋体" w:eastAsia="宋体" w:cs="宋体"/>
                <w:color w:val="auto"/>
                <w:kern w:val="0"/>
                <w:sz w:val="22"/>
                <w:szCs w:val="22"/>
                <w:lang w:bidi="ar"/>
              </w:rPr>
              <w:t>接口：4个USB</w:t>
            </w:r>
          </w:p>
          <w:p w14:paraId="22831024">
            <w:pPr>
              <w:widowControl/>
              <w:jc w:val="left"/>
              <w:textAlignment w:val="center"/>
              <w:rPr>
                <w:rFonts w:ascii="宋体" w:eastAsia="宋体" w:cs="宋体"/>
                <w:color w:val="auto"/>
                <w:kern w:val="0"/>
                <w:sz w:val="22"/>
                <w:szCs w:val="22"/>
                <w:lang w:bidi="ar"/>
              </w:rPr>
            </w:pPr>
            <w:r>
              <w:rPr>
                <w:rFonts w:ascii="宋体" w:eastAsia="宋体" w:cs="宋体"/>
                <w:color w:val="auto"/>
                <w:kern w:val="0"/>
                <w:sz w:val="22"/>
                <w:szCs w:val="22"/>
                <w:lang w:bidi="ar"/>
              </w:rPr>
              <w:t>11</w:t>
            </w:r>
            <w:r>
              <w:rPr>
                <w:rFonts w:hint="eastAsia" w:ascii="宋体" w:eastAsia="宋体" w:cs="宋体"/>
                <w:color w:val="auto"/>
                <w:kern w:val="0"/>
                <w:sz w:val="22"/>
                <w:szCs w:val="22"/>
                <w:lang w:bidi="ar"/>
              </w:rPr>
              <w:t>.</w:t>
            </w:r>
            <w:r>
              <w:rPr>
                <w:rFonts w:ascii="宋体" w:eastAsia="宋体" w:cs="宋体"/>
                <w:color w:val="auto"/>
                <w:kern w:val="0"/>
                <w:sz w:val="22"/>
                <w:szCs w:val="22"/>
                <w:lang w:bidi="ar"/>
              </w:rPr>
              <w:t>操作系统 ：windows2000SP3, windowsXP SP1</w:t>
            </w:r>
          </w:p>
          <w:p w14:paraId="1C568CE9">
            <w:pPr>
              <w:widowControl/>
              <w:jc w:val="left"/>
              <w:textAlignment w:val="center"/>
              <w:rPr>
                <w:rFonts w:ascii="宋体" w:eastAsia="宋体" w:cs="宋体"/>
                <w:color w:val="auto"/>
                <w:kern w:val="0"/>
                <w:sz w:val="22"/>
                <w:szCs w:val="22"/>
                <w:lang w:bidi="ar"/>
              </w:rPr>
            </w:pPr>
            <w:r>
              <w:rPr>
                <w:rFonts w:ascii="宋体" w:eastAsia="宋体" w:cs="宋体"/>
                <w:color w:val="auto"/>
                <w:kern w:val="0"/>
                <w:sz w:val="22"/>
                <w:szCs w:val="22"/>
                <w:lang w:bidi="ar"/>
              </w:rPr>
              <w:t>1</w:t>
            </w:r>
            <w:r>
              <w:rPr>
                <w:rFonts w:hint="eastAsia" w:ascii="宋体" w:eastAsia="宋体" w:cs="宋体"/>
                <w:color w:val="auto"/>
                <w:kern w:val="0"/>
                <w:sz w:val="22"/>
                <w:szCs w:val="22"/>
                <w:lang w:bidi="ar"/>
              </w:rPr>
              <w:t>2.</w:t>
            </w:r>
            <w:r>
              <w:rPr>
                <w:rFonts w:ascii="宋体" w:eastAsia="宋体" w:cs="宋体"/>
                <w:color w:val="auto"/>
                <w:kern w:val="0"/>
                <w:sz w:val="22"/>
                <w:szCs w:val="22"/>
                <w:lang w:bidi="ar"/>
              </w:rPr>
              <w:t>触发电流钳：1000A/30A</w:t>
            </w:r>
          </w:p>
          <w:p w14:paraId="38728528">
            <w:pPr>
              <w:widowControl/>
              <w:autoSpaceDE w:val="0"/>
              <w:autoSpaceDN w:val="0"/>
              <w:adjustRightInd w:val="0"/>
              <w:jc w:val="left"/>
              <w:rPr>
                <w:rFonts w:ascii="宋体" w:eastAsia="宋体" w:cs="宋体"/>
                <w:color w:val="auto"/>
                <w:kern w:val="0"/>
                <w:sz w:val="22"/>
                <w:szCs w:val="22"/>
                <w:lang w:bidi="ar"/>
              </w:rPr>
            </w:pPr>
            <w:r>
              <w:rPr>
                <w:rFonts w:hint="eastAsia" w:ascii="宋体" w:eastAsia="宋体" w:cs="宋体"/>
                <w:color w:val="auto"/>
                <w:kern w:val="0"/>
                <w:sz w:val="22"/>
                <w:szCs w:val="22"/>
                <w:lang w:bidi="ar"/>
              </w:rPr>
              <w:t>包含尾气分析仪模块需是一个品牌</w:t>
            </w:r>
            <w:r>
              <w:rPr>
                <w:rFonts w:ascii="宋体" w:eastAsia="宋体" w:cs="宋体"/>
                <w:color w:val="auto"/>
                <w:kern w:val="0"/>
                <w:sz w:val="22"/>
                <w:szCs w:val="22"/>
                <w:lang w:bidi="ar"/>
              </w:rPr>
              <w:t xml:space="preserve"> </w:t>
            </w:r>
          </w:p>
          <w:p w14:paraId="56E94B0A">
            <w:pPr>
              <w:widowControl/>
              <w:jc w:val="left"/>
              <w:textAlignment w:val="center"/>
              <w:rPr>
                <w:rFonts w:ascii="宋体" w:eastAsia="宋体" w:cs="宋体"/>
                <w:color w:val="auto"/>
                <w:kern w:val="0"/>
                <w:sz w:val="22"/>
                <w:szCs w:val="22"/>
                <w:lang w:bidi="ar"/>
              </w:rPr>
            </w:pPr>
            <w:r>
              <w:rPr>
                <w:rFonts w:hint="eastAsia" w:ascii="宋体" w:eastAsia="宋体" w:cs="宋体"/>
                <w:color w:val="auto"/>
                <w:sz w:val="22"/>
                <w:szCs w:val="22"/>
                <w:lang w:bidi="ar"/>
              </w:rPr>
              <w:t>操作系统：支持24种语言，对汽、柴油配件的诊断、部件维修说明、控制单元诊断、故障诊断、维护和车身电路图支持。</w:t>
            </w:r>
            <w:r>
              <w:rPr>
                <w:rFonts w:hint="eastAsia" w:ascii="宋体" w:eastAsia="宋体" w:cs="宋体"/>
                <w:color w:val="auto"/>
                <w:lang w:bidi="ar"/>
              </w:rPr>
              <w:t>配备该车维修手册和使用手册，</w:t>
            </w:r>
            <w:r>
              <w:rPr>
                <w:rFonts w:hint="eastAsia" w:ascii="宋体" w:eastAsia="宋体" w:cs="宋体"/>
                <w:color w:val="auto"/>
                <w:kern w:val="0"/>
                <w:sz w:val="24"/>
                <w:lang w:bidi="ar"/>
              </w:rPr>
              <w:t>终身免费升级。</w:t>
            </w:r>
          </w:p>
          <w:p w14:paraId="3F050AA1">
            <w:pPr>
              <w:widowControl/>
              <w:jc w:val="left"/>
              <w:textAlignment w:val="center"/>
              <w:rPr>
                <w:rFonts w:ascii="新宋体" w:hAnsi="新宋体" w:eastAsia="新宋体" w:cs="新宋体"/>
                <w:color w:val="auto"/>
                <w:kern w:val="0"/>
                <w:sz w:val="22"/>
                <w:szCs w:val="22"/>
                <w:lang w:bidi="ar"/>
              </w:rPr>
            </w:pPr>
          </w:p>
        </w:tc>
      </w:tr>
      <w:tr w14:paraId="0BD4056F">
        <w:tblPrEx>
          <w:tblCellMar>
            <w:top w:w="0" w:type="dxa"/>
            <w:left w:w="108" w:type="dxa"/>
            <w:bottom w:w="0" w:type="dxa"/>
            <w:right w:w="108" w:type="dxa"/>
          </w:tblCellMar>
        </w:tblPrEx>
        <w:trPr>
          <w:trHeight w:val="1782"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70A9E">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11</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1A210">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纯电动整车实训车辆</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D8E1D">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1</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196D3">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辆</w:t>
            </w:r>
          </w:p>
        </w:tc>
        <w:tc>
          <w:tcPr>
            <w:tcW w:w="8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1A027">
            <w:pPr>
              <w:widowControl/>
              <w:numPr>
                <w:ilvl w:val="0"/>
                <w:numId w:val="2"/>
              </w:numPr>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能源类型：纯电动</w:t>
            </w:r>
          </w:p>
          <w:p w14:paraId="72AFE470">
            <w:pPr>
              <w:widowControl/>
              <w:numPr>
                <w:ilvl w:val="0"/>
                <w:numId w:val="2"/>
              </w:numPr>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快充电量百分比：80</w:t>
            </w:r>
          </w:p>
          <w:p w14:paraId="44CD024C">
            <w:pPr>
              <w:widowControl/>
              <w:numPr>
                <w:ilvl w:val="0"/>
                <w:numId w:val="2"/>
              </w:numPr>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最大功率≥100KW</w:t>
            </w:r>
          </w:p>
          <w:p w14:paraId="6E1AECC6">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4.最大扭矩≥180N.m</w:t>
            </w:r>
          </w:p>
          <w:p w14:paraId="20F3F27D">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5.长*宽*高≥4752*1804*1503mm</w:t>
            </w:r>
          </w:p>
          <w:p w14:paraId="75DA69DD">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6.车身结构 ：4门5座三厢车</w:t>
            </w:r>
          </w:p>
          <w:p w14:paraId="104ADA07">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7.电动机类型：永磁同步电机</w:t>
            </w:r>
          </w:p>
          <w:p w14:paraId="252E3A79">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8.电池类型：磷酸铁锂电池</w:t>
            </w:r>
          </w:p>
          <w:p w14:paraId="335B7FCD">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9.电池电量≥46KWh</w:t>
            </w:r>
          </w:p>
          <w:p w14:paraId="65C573D2">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10.电池冷却方式：液冷</w:t>
            </w:r>
          </w:p>
          <w:p w14:paraId="51F2CDE4">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11.变速箱类型：固定齿比变速箱</w:t>
            </w:r>
          </w:p>
          <w:p w14:paraId="39E7B908">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配备汽车故障分析仪：</w:t>
            </w:r>
          </w:p>
          <w:p w14:paraId="39613CB1">
            <w:pPr>
              <w:widowControl/>
              <w:jc w:val="left"/>
              <w:textAlignment w:val="center"/>
              <w:rPr>
                <w:rFonts w:ascii="宋体" w:eastAsia="宋体" w:cs="宋体"/>
                <w:color w:val="auto"/>
                <w:kern w:val="0"/>
                <w:sz w:val="22"/>
                <w:szCs w:val="22"/>
                <w:lang w:bidi="ar"/>
              </w:rPr>
            </w:pPr>
            <w:r>
              <w:rPr>
                <w:rFonts w:ascii="宋体" w:eastAsia="宋体" w:cs="宋体"/>
                <w:color w:val="auto"/>
                <w:kern w:val="0"/>
                <w:sz w:val="22"/>
                <w:szCs w:val="22"/>
                <w:lang w:bidi="ar"/>
              </w:rPr>
              <w:t>分析仪通用于汽、柴油发动机机、电动和混合动力车辆，可扩充尾气模块。具有最新技术和模块化设计的多功能系统，除MTM发动机模块外，并增加了完整的系统，可用于扩展部件测试、ECU诊断以及ESI[Ttronic]软件，且通过ESI[Ttronic]进行车辆选择；SIS故障诊断说明、ECU诊断程序与发动机分析程序可自有切换。</w:t>
            </w:r>
          </w:p>
          <w:p w14:paraId="4EED86EC">
            <w:pPr>
              <w:widowControl/>
              <w:jc w:val="left"/>
              <w:textAlignment w:val="center"/>
              <w:rPr>
                <w:rFonts w:ascii="宋体" w:eastAsia="宋体" w:cs="宋体"/>
                <w:color w:val="auto"/>
                <w:kern w:val="0"/>
                <w:sz w:val="22"/>
                <w:szCs w:val="22"/>
                <w:lang w:bidi="ar"/>
              </w:rPr>
            </w:pPr>
            <w:r>
              <w:rPr>
                <w:rFonts w:ascii="宋体" w:eastAsia="宋体" w:cs="宋体"/>
                <w:color w:val="auto"/>
                <w:kern w:val="0"/>
                <w:sz w:val="22"/>
                <w:szCs w:val="22"/>
                <w:lang w:bidi="ar"/>
              </w:rPr>
              <w:t>1</w:t>
            </w:r>
            <w:r>
              <w:rPr>
                <w:rFonts w:hint="eastAsia" w:ascii="宋体" w:eastAsia="宋体" w:cs="宋体"/>
                <w:color w:val="auto"/>
                <w:kern w:val="0"/>
                <w:sz w:val="22"/>
                <w:szCs w:val="22"/>
                <w:lang w:bidi="ar"/>
              </w:rPr>
              <w:t>.</w:t>
            </w:r>
            <w:r>
              <w:rPr>
                <w:rFonts w:ascii="宋体" w:eastAsia="宋体" w:cs="宋体"/>
                <w:color w:val="auto"/>
                <w:kern w:val="0"/>
                <w:sz w:val="22"/>
                <w:szCs w:val="22"/>
                <w:lang w:bidi="ar"/>
              </w:rPr>
              <w:t xml:space="preserve"> 尺寸</w:t>
            </w:r>
            <w:r>
              <w:rPr>
                <w:rFonts w:hint="eastAsia" w:ascii="宋体" w:eastAsia="宋体" w:cs="宋体"/>
                <w:color w:val="auto"/>
                <w:kern w:val="0"/>
                <w:sz w:val="22"/>
                <w:szCs w:val="22"/>
                <w:lang w:bidi="ar"/>
              </w:rPr>
              <w:t>≥</w:t>
            </w:r>
            <w:r>
              <w:rPr>
                <w:rFonts w:ascii="宋体" w:eastAsia="宋体" w:cs="宋体"/>
                <w:color w:val="auto"/>
                <w:kern w:val="0"/>
                <w:sz w:val="22"/>
                <w:szCs w:val="22"/>
                <w:lang w:bidi="ar"/>
              </w:rPr>
              <w:t>1785mm×680mm×670mm</w:t>
            </w:r>
          </w:p>
          <w:p w14:paraId="6B4596EF">
            <w:pPr>
              <w:widowControl/>
              <w:jc w:val="left"/>
              <w:textAlignment w:val="center"/>
              <w:rPr>
                <w:rFonts w:ascii="宋体" w:eastAsia="宋体" w:cs="宋体"/>
                <w:color w:val="auto"/>
                <w:kern w:val="0"/>
                <w:sz w:val="22"/>
                <w:szCs w:val="22"/>
                <w:lang w:bidi="ar"/>
              </w:rPr>
            </w:pPr>
            <w:r>
              <w:rPr>
                <w:rFonts w:ascii="宋体" w:eastAsia="宋体" w:cs="宋体"/>
                <w:color w:val="auto"/>
                <w:kern w:val="0"/>
                <w:sz w:val="22"/>
                <w:szCs w:val="22"/>
                <w:lang w:bidi="ar"/>
              </w:rPr>
              <w:t>2</w:t>
            </w:r>
            <w:r>
              <w:rPr>
                <w:rFonts w:hint="eastAsia" w:ascii="宋体" w:eastAsia="宋体" w:cs="宋体"/>
                <w:color w:val="auto"/>
                <w:kern w:val="0"/>
                <w:sz w:val="22"/>
                <w:szCs w:val="22"/>
                <w:lang w:bidi="ar"/>
              </w:rPr>
              <w:t>.</w:t>
            </w:r>
            <w:r>
              <w:rPr>
                <w:rFonts w:ascii="宋体" w:eastAsia="宋体" w:cs="宋体"/>
                <w:color w:val="auto"/>
                <w:kern w:val="0"/>
                <w:sz w:val="22"/>
                <w:szCs w:val="22"/>
                <w:lang w:bidi="ar"/>
              </w:rPr>
              <w:t>重量(含传感器)：约91公斤</w:t>
            </w:r>
          </w:p>
          <w:p w14:paraId="3A825E28">
            <w:pPr>
              <w:widowControl/>
              <w:jc w:val="left"/>
              <w:textAlignment w:val="center"/>
              <w:rPr>
                <w:rFonts w:ascii="宋体" w:eastAsia="宋体" w:cs="宋体"/>
                <w:color w:val="auto"/>
                <w:kern w:val="0"/>
                <w:sz w:val="22"/>
                <w:szCs w:val="22"/>
                <w:lang w:bidi="ar"/>
              </w:rPr>
            </w:pPr>
            <w:r>
              <w:rPr>
                <w:rFonts w:ascii="宋体" w:eastAsia="宋体" w:cs="宋体"/>
                <w:color w:val="auto"/>
                <w:kern w:val="0"/>
                <w:sz w:val="22"/>
                <w:szCs w:val="22"/>
                <w:lang w:bidi="ar"/>
              </w:rPr>
              <w:t>3</w:t>
            </w:r>
            <w:r>
              <w:rPr>
                <w:rFonts w:hint="eastAsia" w:ascii="宋体" w:eastAsia="宋体" w:cs="宋体"/>
                <w:color w:val="auto"/>
                <w:kern w:val="0"/>
                <w:sz w:val="22"/>
                <w:szCs w:val="22"/>
                <w:lang w:bidi="ar"/>
              </w:rPr>
              <w:t>.</w:t>
            </w:r>
            <w:r>
              <w:rPr>
                <w:rFonts w:ascii="宋体" w:eastAsia="宋体" w:cs="宋体"/>
                <w:color w:val="auto"/>
                <w:kern w:val="0"/>
                <w:sz w:val="22"/>
                <w:szCs w:val="22"/>
                <w:lang w:bidi="ar"/>
              </w:rPr>
              <w:t xml:space="preserve"> 输入电源：90-264VAC</w:t>
            </w:r>
          </w:p>
          <w:p w14:paraId="0E75D038">
            <w:pPr>
              <w:widowControl/>
              <w:jc w:val="left"/>
              <w:textAlignment w:val="center"/>
              <w:rPr>
                <w:rFonts w:ascii="宋体" w:eastAsia="宋体" w:cs="宋体"/>
                <w:color w:val="auto"/>
                <w:kern w:val="0"/>
                <w:sz w:val="22"/>
                <w:szCs w:val="22"/>
                <w:lang w:bidi="ar"/>
              </w:rPr>
            </w:pPr>
            <w:r>
              <w:rPr>
                <w:rFonts w:ascii="宋体" w:eastAsia="宋体" w:cs="宋体"/>
                <w:color w:val="auto"/>
                <w:kern w:val="0"/>
                <w:sz w:val="22"/>
                <w:szCs w:val="22"/>
                <w:lang w:bidi="ar"/>
              </w:rPr>
              <w:t>4</w:t>
            </w:r>
            <w:r>
              <w:rPr>
                <w:rFonts w:hint="eastAsia" w:ascii="宋体" w:eastAsia="宋体" w:cs="宋体"/>
                <w:color w:val="auto"/>
                <w:kern w:val="0"/>
                <w:sz w:val="22"/>
                <w:szCs w:val="22"/>
                <w:lang w:bidi="ar"/>
              </w:rPr>
              <w:t>.</w:t>
            </w:r>
            <w:r>
              <w:rPr>
                <w:rFonts w:ascii="宋体" w:eastAsia="宋体" w:cs="宋体"/>
                <w:color w:val="auto"/>
                <w:kern w:val="0"/>
                <w:sz w:val="22"/>
                <w:szCs w:val="22"/>
                <w:lang w:bidi="ar"/>
              </w:rPr>
              <w:t xml:space="preserve"> 输入频率：47-63Hz</w:t>
            </w:r>
          </w:p>
          <w:p w14:paraId="587C5456">
            <w:pPr>
              <w:widowControl/>
              <w:jc w:val="left"/>
              <w:textAlignment w:val="center"/>
              <w:rPr>
                <w:rFonts w:ascii="宋体" w:eastAsia="宋体" w:cs="宋体"/>
                <w:color w:val="auto"/>
                <w:kern w:val="0"/>
                <w:sz w:val="22"/>
                <w:szCs w:val="22"/>
                <w:lang w:bidi="ar"/>
              </w:rPr>
            </w:pPr>
            <w:r>
              <w:rPr>
                <w:rFonts w:ascii="宋体" w:eastAsia="宋体" w:cs="宋体"/>
                <w:color w:val="auto"/>
                <w:kern w:val="0"/>
                <w:sz w:val="22"/>
                <w:szCs w:val="22"/>
                <w:lang w:bidi="ar"/>
              </w:rPr>
              <w:t>5</w:t>
            </w:r>
            <w:r>
              <w:rPr>
                <w:rFonts w:hint="eastAsia" w:ascii="宋体" w:eastAsia="宋体" w:cs="宋体"/>
                <w:color w:val="auto"/>
                <w:kern w:val="0"/>
                <w:sz w:val="22"/>
                <w:szCs w:val="22"/>
                <w:lang w:bidi="ar"/>
              </w:rPr>
              <w:t>.</w:t>
            </w:r>
            <w:r>
              <w:rPr>
                <w:rFonts w:ascii="宋体" w:eastAsia="宋体" w:cs="宋体"/>
                <w:color w:val="auto"/>
                <w:kern w:val="0"/>
                <w:sz w:val="22"/>
                <w:szCs w:val="22"/>
                <w:lang w:bidi="ar"/>
              </w:rPr>
              <w:t xml:space="preserve"> 输出电压：15V</w:t>
            </w:r>
          </w:p>
          <w:p w14:paraId="37FD59A7">
            <w:pPr>
              <w:widowControl/>
              <w:jc w:val="left"/>
              <w:textAlignment w:val="center"/>
              <w:rPr>
                <w:rFonts w:ascii="宋体" w:eastAsia="宋体" w:cs="宋体"/>
                <w:color w:val="auto"/>
                <w:kern w:val="0"/>
                <w:sz w:val="22"/>
                <w:szCs w:val="22"/>
                <w:lang w:bidi="ar"/>
              </w:rPr>
            </w:pPr>
            <w:r>
              <w:rPr>
                <w:rFonts w:ascii="宋体" w:eastAsia="宋体" w:cs="宋体"/>
                <w:color w:val="auto"/>
                <w:kern w:val="0"/>
                <w:sz w:val="22"/>
                <w:szCs w:val="22"/>
                <w:lang w:bidi="ar"/>
              </w:rPr>
              <w:t>6</w:t>
            </w:r>
            <w:r>
              <w:rPr>
                <w:rFonts w:hint="eastAsia" w:ascii="宋体" w:eastAsia="宋体" w:cs="宋体"/>
                <w:color w:val="auto"/>
                <w:kern w:val="0"/>
                <w:sz w:val="22"/>
                <w:szCs w:val="22"/>
                <w:lang w:bidi="ar"/>
              </w:rPr>
              <w:t>.</w:t>
            </w:r>
            <w:r>
              <w:rPr>
                <w:rFonts w:ascii="宋体" w:eastAsia="宋体" w:cs="宋体"/>
                <w:color w:val="auto"/>
                <w:kern w:val="0"/>
                <w:sz w:val="22"/>
                <w:szCs w:val="22"/>
                <w:lang w:bidi="ar"/>
              </w:rPr>
              <w:t xml:space="preserve"> 操作环境温度：5° - 40 °</w:t>
            </w:r>
          </w:p>
          <w:p w14:paraId="40513B96">
            <w:pPr>
              <w:widowControl/>
              <w:jc w:val="left"/>
              <w:textAlignment w:val="center"/>
              <w:rPr>
                <w:rFonts w:ascii="宋体" w:eastAsia="宋体" w:cs="宋体"/>
                <w:color w:val="auto"/>
                <w:kern w:val="0"/>
                <w:sz w:val="22"/>
                <w:szCs w:val="22"/>
                <w:lang w:bidi="ar"/>
              </w:rPr>
            </w:pPr>
            <w:r>
              <w:rPr>
                <w:rFonts w:ascii="宋体" w:eastAsia="宋体" w:cs="宋体"/>
                <w:color w:val="auto"/>
                <w:kern w:val="0"/>
                <w:sz w:val="22"/>
                <w:szCs w:val="22"/>
                <w:lang w:bidi="ar"/>
              </w:rPr>
              <w:t>7</w:t>
            </w:r>
            <w:r>
              <w:rPr>
                <w:rFonts w:hint="eastAsia" w:ascii="宋体" w:eastAsia="宋体" w:cs="宋体"/>
                <w:color w:val="auto"/>
                <w:kern w:val="0"/>
                <w:sz w:val="22"/>
                <w:szCs w:val="22"/>
                <w:lang w:bidi="ar"/>
              </w:rPr>
              <w:t>.</w:t>
            </w:r>
            <w:r>
              <w:rPr>
                <w:rFonts w:ascii="宋体" w:eastAsia="宋体" w:cs="宋体"/>
                <w:color w:val="auto"/>
                <w:kern w:val="0"/>
                <w:sz w:val="22"/>
                <w:szCs w:val="22"/>
                <w:lang w:bidi="ar"/>
              </w:rPr>
              <w:t xml:space="preserve">  CPU：Intel/AMD   1300MHz以上</w:t>
            </w:r>
          </w:p>
          <w:p w14:paraId="583BA6B2">
            <w:pPr>
              <w:widowControl/>
              <w:jc w:val="left"/>
              <w:textAlignment w:val="center"/>
              <w:rPr>
                <w:rFonts w:ascii="宋体" w:eastAsia="宋体" w:cs="宋体"/>
                <w:color w:val="auto"/>
                <w:kern w:val="0"/>
                <w:sz w:val="22"/>
                <w:szCs w:val="22"/>
                <w:lang w:bidi="ar"/>
              </w:rPr>
            </w:pPr>
            <w:r>
              <w:rPr>
                <w:rFonts w:ascii="宋体" w:eastAsia="宋体" w:cs="宋体"/>
                <w:color w:val="auto"/>
                <w:kern w:val="0"/>
                <w:sz w:val="22"/>
                <w:szCs w:val="22"/>
                <w:lang w:bidi="ar"/>
              </w:rPr>
              <w:t>8</w:t>
            </w:r>
            <w:r>
              <w:rPr>
                <w:rFonts w:hint="eastAsia" w:ascii="宋体" w:eastAsia="宋体" w:cs="宋体"/>
                <w:color w:val="auto"/>
                <w:kern w:val="0"/>
                <w:sz w:val="22"/>
                <w:szCs w:val="22"/>
                <w:lang w:bidi="ar"/>
              </w:rPr>
              <w:t>.</w:t>
            </w:r>
            <w:r>
              <w:rPr>
                <w:rFonts w:ascii="宋体" w:eastAsia="宋体" w:cs="宋体"/>
                <w:color w:val="auto"/>
                <w:kern w:val="0"/>
                <w:sz w:val="22"/>
                <w:szCs w:val="22"/>
                <w:lang w:bidi="ar"/>
              </w:rPr>
              <w:t xml:space="preserve"> 内存：少 256M，5个G以上硬盘</w:t>
            </w:r>
          </w:p>
          <w:p w14:paraId="340C8D1F">
            <w:pPr>
              <w:widowControl/>
              <w:jc w:val="left"/>
              <w:textAlignment w:val="center"/>
              <w:rPr>
                <w:rFonts w:ascii="宋体" w:eastAsia="宋体" w:cs="宋体"/>
                <w:color w:val="auto"/>
                <w:kern w:val="0"/>
                <w:sz w:val="22"/>
                <w:szCs w:val="22"/>
                <w:lang w:bidi="ar"/>
              </w:rPr>
            </w:pPr>
            <w:r>
              <w:rPr>
                <w:rFonts w:ascii="宋体" w:eastAsia="宋体" w:cs="宋体"/>
                <w:color w:val="auto"/>
                <w:kern w:val="0"/>
                <w:sz w:val="22"/>
                <w:szCs w:val="22"/>
                <w:lang w:bidi="ar"/>
              </w:rPr>
              <w:t>9</w:t>
            </w:r>
            <w:r>
              <w:rPr>
                <w:rFonts w:hint="eastAsia" w:ascii="宋体" w:eastAsia="宋体" w:cs="宋体"/>
                <w:color w:val="auto"/>
                <w:kern w:val="0"/>
                <w:sz w:val="22"/>
                <w:szCs w:val="22"/>
                <w:lang w:bidi="ar"/>
              </w:rPr>
              <w:t>.</w:t>
            </w:r>
            <w:r>
              <w:rPr>
                <w:rFonts w:ascii="宋体" w:eastAsia="宋体" w:cs="宋体"/>
                <w:color w:val="auto"/>
                <w:kern w:val="0"/>
                <w:sz w:val="22"/>
                <w:szCs w:val="22"/>
                <w:lang w:bidi="ar"/>
              </w:rPr>
              <w:t xml:space="preserve"> 驱动器：DVD</w:t>
            </w:r>
          </w:p>
          <w:p w14:paraId="514C7110">
            <w:pPr>
              <w:widowControl/>
              <w:jc w:val="left"/>
              <w:textAlignment w:val="center"/>
              <w:rPr>
                <w:rFonts w:ascii="宋体" w:eastAsia="宋体" w:cs="宋体"/>
                <w:color w:val="auto"/>
                <w:kern w:val="0"/>
                <w:sz w:val="22"/>
                <w:szCs w:val="22"/>
                <w:lang w:bidi="ar"/>
              </w:rPr>
            </w:pPr>
            <w:r>
              <w:rPr>
                <w:rFonts w:ascii="宋体" w:eastAsia="宋体" w:cs="宋体"/>
                <w:color w:val="auto"/>
                <w:kern w:val="0"/>
                <w:sz w:val="22"/>
                <w:szCs w:val="22"/>
                <w:lang w:bidi="ar"/>
              </w:rPr>
              <w:t>10</w:t>
            </w:r>
            <w:r>
              <w:rPr>
                <w:rFonts w:hint="eastAsia" w:ascii="宋体" w:eastAsia="宋体" w:cs="宋体"/>
                <w:color w:val="auto"/>
                <w:kern w:val="0"/>
                <w:sz w:val="22"/>
                <w:szCs w:val="22"/>
                <w:lang w:bidi="ar"/>
              </w:rPr>
              <w:t>.</w:t>
            </w:r>
            <w:r>
              <w:rPr>
                <w:rFonts w:ascii="宋体" w:eastAsia="宋体" w:cs="宋体"/>
                <w:color w:val="auto"/>
                <w:kern w:val="0"/>
                <w:sz w:val="22"/>
                <w:szCs w:val="22"/>
                <w:lang w:bidi="ar"/>
              </w:rPr>
              <w:t xml:space="preserve"> 接口：4个USB</w:t>
            </w:r>
          </w:p>
          <w:p w14:paraId="72F33615">
            <w:pPr>
              <w:widowControl/>
              <w:jc w:val="left"/>
              <w:textAlignment w:val="center"/>
              <w:rPr>
                <w:rFonts w:ascii="宋体" w:eastAsia="宋体" w:cs="宋体"/>
                <w:color w:val="auto"/>
                <w:kern w:val="0"/>
                <w:sz w:val="22"/>
                <w:szCs w:val="22"/>
                <w:lang w:bidi="ar"/>
              </w:rPr>
            </w:pPr>
            <w:r>
              <w:rPr>
                <w:rFonts w:ascii="宋体" w:eastAsia="宋体" w:cs="宋体"/>
                <w:color w:val="auto"/>
                <w:kern w:val="0"/>
                <w:sz w:val="22"/>
                <w:szCs w:val="22"/>
                <w:lang w:bidi="ar"/>
              </w:rPr>
              <w:t>11</w:t>
            </w:r>
            <w:r>
              <w:rPr>
                <w:rFonts w:hint="eastAsia" w:ascii="宋体" w:eastAsia="宋体" w:cs="宋体"/>
                <w:color w:val="auto"/>
                <w:kern w:val="0"/>
                <w:sz w:val="22"/>
                <w:szCs w:val="22"/>
                <w:lang w:bidi="ar"/>
              </w:rPr>
              <w:t>.</w:t>
            </w:r>
            <w:r>
              <w:rPr>
                <w:rFonts w:ascii="宋体" w:eastAsia="宋体" w:cs="宋体"/>
                <w:color w:val="auto"/>
                <w:kern w:val="0"/>
                <w:sz w:val="22"/>
                <w:szCs w:val="22"/>
                <w:lang w:bidi="ar"/>
              </w:rPr>
              <w:t>操作系统 ：windows2000SP3, windowsXP SP1</w:t>
            </w:r>
          </w:p>
          <w:p w14:paraId="2BBFF09D">
            <w:pPr>
              <w:widowControl/>
              <w:jc w:val="left"/>
              <w:textAlignment w:val="center"/>
              <w:rPr>
                <w:rFonts w:ascii="宋体" w:eastAsia="宋体" w:cs="宋体"/>
                <w:color w:val="auto"/>
                <w:kern w:val="0"/>
                <w:sz w:val="22"/>
                <w:szCs w:val="22"/>
                <w:lang w:bidi="ar"/>
              </w:rPr>
            </w:pPr>
            <w:r>
              <w:rPr>
                <w:rFonts w:ascii="宋体" w:eastAsia="宋体" w:cs="宋体"/>
                <w:color w:val="auto"/>
                <w:kern w:val="0"/>
                <w:sz w:val="22"/>
                <w:szCs w:val="22"/>
                <w:lang w:bidi="ar"/>
              </w:rPr>
              <w:t>1</w:t>
            </w:r>
            <w:r>
              <w:rPr>
                <w:rFonts w:hint="eastAsia" w:ascii="宋体" w:eastAsia="宋体" w:cs="宋体"/>
                <w:color w:val="auto"/>
                <w:kern w:val="0"/>
                <w:sz w:val="22"/>
                <w:szCs w:val="22"/>
                <w:lang w:bidi="ar"/>
              </w:rPr>
              <w:t>2.</w:t>
            </w:r>
            <w:r>
              <w:rPr>
                <w:rFonts w:ascii="宋体" w:eastAsia="宋体" w:cs="宋体"/>
                <w:color w:val="auto"/>
                <w:kern w:val="0"/>
                <w:sz w:val="22"/>
                <w:szCs w:val="22"/>
                <w:lang w:bidi="ar"/>
              </w:rPr>
              <w:t xml:space="preserve"> 触发电流钳：1000A/30A</w:t>
            </w:r>
          </w:p>
          <w:p w14:paraId="605D6192">
            <w:pPr>
              <w:pStyle w:val="3"/>
              <w:widowControl/>
              <w:spacing w:beforeAutospacing="0" w:after="150" w:afterAutospacing="0"/>
              <w:rPr>
                <w:rFonts w:eastAsia="宋体"/>
                <w:color w:val="auto"/>
                <w:sz w:val="22"/>
                <w:szCs w:val="22"/>
              </w:rPr>
            </w:pPr>
            <w:r>
              <w:rPr>
                <w:rFonts w:hint="eastAsia" w:ascii="宋体" w:eastAsia="宋体" w:cs="宋体"/>
                <w:color w:val="auto"/>
                <w:sz w:val="22"/>
                <w:szCs w:val="22"/>
                <w:lang w:bidi="ar"/>
              </w:rPr>
              <w:t>操作系统：支持24种语言，对汽、电，柴油配件的诊断、部件维修说明、控制单元诊断、故障诊断、维护和车身电路图支持。</w:t>
            </w:r>
            <w:r>
              <w:rPr>
                <w:rFonts w:hint="eastAsia" w:ascii="宋体" w:eastAsia="宋体" w:cs="宋体"/>
                <w:color w:val="auto"/>
                <w:lang w:bidi="ar"/>
              </w:rPr>
              <w:t>配备该车维修手册和使用手册，终身免费升级。</w:t>
            </w:r>
          </w:p>
        </w:tc>
      </w:tr>
      <w:tr w14:paraId="1F61FB17">
        <w:tblPrEx>
          <w:tblCellMar>
            <w:top w:w="0" w:type="dxa"/>
            <w:left w:w="108" w:type="dxa"/>
            <w:bottom w:w="0" w:type="dxa"/>
            <w:right w:w="108" w:type="dxa"/>
          </w:tblCellMar>
        </w:tblPrEx>
        <w:trPr>
          <w:trHeight w:val="327"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809D8">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12</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457E7">
            <w:pPr>
              <w:widowControl/>
              <w:jc w:val="left"/>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故障设置与检测连接平台）</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8887D">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1</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5AA08">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套</w:t>
            </w:r>
          </w:p>
        </w:tc>
        <w:tc>
          <w:tcPr>
            <w:tcW w:w="8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D6EE7">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一、产品基本要求</w:t>
            </w:r>
          </w:p>
          <w:p w14:paraId="36C204C9">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故障设置与检测连接平台配套整车操作使用。该平台可与整车进行无损连接，可对汽车电池管理系统BMS、整车控制器VCU、集成动力控制器PEU、高低压充电系统ODP、车身控制模块BCM、前单目摄像头、网关进行故障设置、检测与诊断。故障设置与检测连接平台应便于教师设故教学和学生数据测量学习。有利于提升学生的新能源汽车简单故障诊断与排除基本能力、新能源汽车常用工量具和专业检测仪器使用能力、高压上下电操作能力。</w:t>
            </w:r>
          </w:p>
          <w:p w14:paraId="11170B6E">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三、产品功能要求</w:t>
            </w:r>
          </w:p>
          <w:p w14:paraId="4DB52C02">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设备应由故障检测区、故障设置区、信息查询区、操作测量区、零部件收纳区五大功能区组成。</w:t>
            </w:r>
          </w:p>
          <w:p w14:paraId="10813D27">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设备主体应采用整体结构设计，主体外壳需采用≥1.5mm厚冷轧板，严格按钣金加工工艺操作，经酸洗、喷塑、丝印；主体框架采用钢结构焊接，表面采用防静电喷涂工艺处理，系统部件通过激光切割和数控加工结构件，配置带锁止功能的万向静音脚轮。</w:t>
            </w:r>
          </w:p>
        </w:tc>
      </w:tr>
      <w:tr w14:paraId="3D6F3243">
        <w:tblPrEx>
          <w:tblCellMar>
            <w:top w:w="0" w:type="dxa"/>
            <w:left w:w="108" w:type="dxa"/>
            <w:bottom w:w="0" w:type="dxa"/>
            <w:right w:w="108" w:type="dxa"/>
          </w:tblCellMar>
        </w:tblPrEx>
        <w:trPr>
          <w:trHeight w:val="90"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EEF93">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13</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BA8DE">
            <w:pPr>
              <w:widowControl/>
              <w:jc w:val="left"/>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新能源汽车常用工量具组套</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B7EFC">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2</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6C32B">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套</w:t>
            </w:r>
          </w:p>
        </w:tc>
        <w:tc>
          <w:tcPr>
            <w:tcW w:w="8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19B5B">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主要应用于新能源汽车的三电系统的检测和维修，含8抽屉柜形多功能工具手推车</w:t>
            </w:r>
          </w:p>
          <w:p w14:paraId="100A8B45">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6.3MM系列VDE绝缘快速脱落棘轮扳手145MM</w:t>
            </w:r>
          </w:p>
          <w:p w14:paraId="2031EEE7">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6.3MM系列VDE绝缘转向接杆75MM</w:t>
            </w:r>
          </w:p>
          <w:p w14:paraId="4E1AD28E">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6.3MM系列VDE绝缘6角套筒（7MM、8MM、10MM）</w:t>
            </w:r>
          </w:p>
          <w:p w14:paraId="176E2578">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6.3MM系列VDE绝缘六角旋具套筒（3MM、5MM、6MM、8MM）</w:t>
            </w:r>
          </w:p>
          <w:p w14:paraId="74D3F176">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6.3MM系列VDE绝缘花型旋具套筒（T20、T25.T27.T30）</w:t>
            </w:r>
          </w:p>
          <w:p w14:paraId="5FBBF8D7">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10MM系列VDE绝缘快速脱落棘轮扳手200MM</w:t>
            </w:r>
          </w:p>
          <w:p w14:paraId="412A3697">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10MM系列VDE绝缘转向接杆125MM</w:t>
            </w:r>
          </w:p>
          <w:p w14:paraId="41D8D3F6">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10MM系列VDE绝缘6角套筒（8MM、10MM、12MM、13MM、14MM、15MM）</w:t>
            </w:r>
          </w:p>
          <w:p w14:paraId="695DF618">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10MM系列VDE绝缘6角旋具套筒（4MM、5MM、6MM、8MM、10MM）</w:t>
            </w:r>
          </w:p>
          <w:p w14:paraId="1D678ED5">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10MM系列VDE绝缘花型旋具套筒（T20、T25.T27.T30、T40）</w:t>
            </w:r>
          </w:p>
          <w:p w14:paraId="38DB263C">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T系列双色柄十字绝缘螺丝批#2x100MM</w:t>
            </w:r>
          </w:p>
          <w:p w14:paraId="7E61760B">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T系列双色柄一字绝缘螺丝批5.5x125MM</w:t>
            </w:r>
          </w:p>
          <w:p w14:paraId="6AEEAB95">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直刃式VDE电缆剥线刀</w:t>
            </w:r>
          </w:p>
          <w:p w14:paraId="42333E54">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绝缘磁性捡拾器</w:t>
            </w:r>
          </w:p>
          <w:p w14:paraId="18B5B0EB">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3/8"系列VDE绝缘扭力扳手10-50N.m</w:t>
            </w:r>
          </w:p>
          <w:p w14:paraId="4DAB3969">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12.5MM系列VDE绝缘转向接杆</w:t>
            </w:r>
          </w:p>
          <w:p w14:paraId="77258EF3">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12.5MM系列VDE绝缘快速脱落棘轮扳手250MM</w:t>
            </w:r>
          </w:p>
          <w:p w14:paraId="63200596">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12.5MM系列VDE绝缘六角旋具套筒（16MM、17MM、18MM、19MM、21MM）</w:t>
            </w:r>
          </w:p>
          <w:p w14:paraId="26B12DA1">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VDE绝缘开口扳手（8MM、10MM、12MM、13MM、14MM、15MM）</w:t>
            </w:r>
          </w:p>
          <w:p w14:paraId="649D873A">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全抛光两用扳手（8MM、9MM、10MM、11MM、12MM、13MM、14MM、15MM、16MM、17MM、18MM、19MM）</w:t>
            </w:r>
          </w:p>
          <w:p w14:paraId="4457250B">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水泵钳10"；鲤鱼钳8"；省力型尖嘴钳6"；穴用曲口卡簧钳7"；VDE绝缘耐压斜嘴钳7"； 穴用直口卡簧钳7"；十字轮胎扳手；工作灯220LM；VDE绝缘安装锤；尼龙撬板；外径千分尺0-25MM；外径千分尺25-50MM；万用剥线钳6.5"；轻便型铝合金专业头灯140LM；3/8"系列专业级可调式扭力扳手5-25N·m；1/2"系列专业级可调式扭力扳手68-340N·m；数显深度尺0-300MM；A系列一字形螺丝批8x300MM；直型喉式管束钳（卡箍钳）；胎纹深度尺；钢直尺300MM；万向磁力底座60kgF；百分表0-5MM 分度0.01MM；指针式公斤扳手0-300N·m；数显式游标卡尺0-300MM；木柄刮刀；冰点折射仪；量块400mm；油管分离钳；胎压表；真有效值交直流钳形表；电压测试笔；手持式绝缘电阻测试仪；气门接头；数显高度尺0-200MM；油壶；专用油封起子；高斯计；推拉力计。</w:t>
            </w:r>
          </w:p>
          <w:p w14:paraId="352F6CB4">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配备汽车空调诊断仪：</w:t>
            </w:r>
          </w:p>
          <w:p w14:paraId="15512688">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工作温度 -20 至 +60 ˚C</w:t>
            </w:r>
          </w:p>
          <w:p w14:paraId="73636EAE">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2.高压传感器：测量范围：0 至 40 bars 分辨率：0.1 bars，</w:t>
            </w:r>
          </w:p>
          <w:p w14:paraId="0D23A11D">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3.低压传感器：测量范围：0 至 12 bars 分辨率：0.01 bars，</w:t>
            </w:r>
          </w:p>
          <w:p w14:paraId="7CE44CAF">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4.空气温度传感器：（THR 无线传感器）：测量范围：-20 至 60 ˚C分辨率：1 ˚C</w:t>
            </w:r>
          </w:p>
          <w:p w14:paraId="09244368">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5.空气湿度传感器(THR 无线传感器）:测量范围：0 至 100%,分辨率：1%屏幕TFT彩色屏</w:t>
            </w:r>
          </w:p>
          <w:p w14:paraId="4A5A8BC4">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配备制冷剂鉴别仪：</w:t>
            </w:r>
          </w:p>
          <w:p w14:paraId="54DFA4D4">
            <w:pPr>
              <w:widowControl/>
              <w:jc w:val="left"/>
              <w:textAlignment w:val="center"/>
              <w:rPr>
                <w:rFonts w:ascii="新宋体" w:hAnsi="新宋体" w:eastAsia="新宋体" w:cs="新宋体"/>
                <w:color w:val="auto"/>
                <w:kern w:val="0"/>
                <w:sz w:val="22"/>
                <w:szCs w:val="22"/>
                <w:lang w:bidi="ar"/>
              </w:rPr>
            </w:pPr>
            <w:r>
              <w:rPr>
                <w:rFonts w:ascii="新宋体" w:hAnsi="新宋体" w:eastAsia="新宋体" w:cs="新宋体"/>
                <w:color w:val="auto"/>
                <w:kern w:val="0"/>
                <w:sz w:val="22"/>
                <w:szCs w:val="22"/>
                <w:lang w:bidi="ar"/>
              </w:rPr>
              <w:t>通过非分散红外（NDIR） 技术检测制冷削R-1234yf,R-134a,R-12制冷剤的浓度，并</w:t>
            </w:r>
            <w:r>
              <w:rPr>
                <w:rFonts w:hint="eastAsia" w:ascii="新宋体" w:hAnsi="新宋体" w:eastAsia="新宋体" w:cs="新宋体"/>
                <w:color w:val="auto"/>
                <w:kern w:val="0"/>
                <w:sz w:val="22"/>
                <w:szCs w:val="22"/>
                <w:lang w:bidi="ar"/>
              </w:rPr>
              <w:t>检</w:t>
            </w:r>
            <w:r>
              <w:rPr>
                <w:rFonts w:ascii="新宋体" w:hAnsi="新宋体" w:eastAsia="新宋体" w:cs="新宋体"/>
                <w:color w:val="auto"/>
                <w:kern w:val="0"/>
                <w:sz w:val="22"/>
                <w:szCs w:val="22"/>
                <w:lang w:bidi="ar"/>
              </w:rPr>
              <w:t>测R-2</w:t>
            </w:r>
            <w:r>
              <w:rPr>
                <w:rFonts w:hint="eastAsia" w:ascii="新宋体" w:hAnsi="新宋体" w:eastAsia="新宋体" w:cs="新宋体"/>
                <w:color w:val="auto"/>
                <w:kern w:val="0"/>
                <w:sz w:val="22"/>
                <w:szCs w:val="22"/>
                <w:lang w:bidi="ar"/>
              </w:rPr>
              <w:t>2.</w:t>
            </w:r>
            <w:r>
              <w:rPr>
                <w:rFonts w:ascii="新宋体" w:hAnsi="新宋体" w:eastAsia="新宋体" w:cs="新宋体"/>
                <w:color w:val="auto"/>
                <w:kern w:val="0"/>
                <w:sz w:val="22"/>
                <w:szCs w:val="22"/>
                <w:lang w:bidi="ar"/>
              </w:rPr>
              <w:t>碳氢化合物和其他未知成分的污染物。所有</w:t>
            </w:r>
            <w:r>
              <w:rPr>
                <w:rFonts w:hint="eastAsia" w:ascii="新宋体" w:hAnsi="新宋体" w:eastAsia="新宋体" w:cs="新宋体"/>
                <w:color w:val="auto"/>
                <w:kern w:val="0"/>
                <w:sz w:val="22"/>
                <w:szCs w:val="22"/>
                <w:lang w:bidi="ar"/>
              </w:rPr>
              <w:t>必须</w:t>
            </w:r>
            <w:r>
              <w:rPr>
                <w:rFonts w:ascii="新宋体" w:hAnsi="新宋体" w:eastAsia="新宋体" w:cs="新宋体"/>
                <w:color w:val="auto"/>
                <w:kern w:val="0"/>
                <w:sz w:val="22"/>
                <w:szCs w:val="22"/>
                <w:lang w:bidi="ar"/>
              </w:rPr>
              <w:t>的硬件安装在硬壳便携式存储盒内，配置有 R-1234yf9X样软管，R-134a取样软管，内置锂离子电池。</w:t>
            </w:r>
          </w:p>
          <w:p w14:paraId="2D08A537">
            <w:pPr>
              <w:widowControl/>
              <w:jc w:val="left"/>
              <w:textAlignment w:val="center"/>
              <w:rPr>
                <w:rFonts w:ascii="新宋体" w:hAnsi="新宋体" w:eastAsia="新宋体" w:cs="新宋体"/>
                <w:color w:val="auto"/>
                <w:kern w:val="0"/>
                <w:sz w:val="22"/>
                <w:szCs w:val="22"/>
                <w:lang w:bidi="ar"/>
              </w:rPr>
            </w:pPr>
            <w:r>
              <w:rPr>
                <w:rFonts w:ascii="新宋体" w:hAnsi="新宋体" w:eastAsia="新宋体" w:cs="新宋体"/>
                <w:color w:val="auto"/>
                <w:kern w:val="0"/>
                <w:sz w:val="22"/>
                <w:szCs w:val="22"/>
                <w:lang w:bidi="ar"/>
              </w:rPr>
              <w:t>产品特点</w:t>
            </w:r>
          </w:p>
          <w:p w14:paraId="1AAF9898">
            <w:pPr>
              <w:widowControl/>
              <w:jc w:val="left"/>
              <w:textAlignment w:val="center"/>
              <w:rPr>
                <w:color w:val="auto"/>
                <w:sz w:val="20"/>
                <w:szCs w:val="22"/>
              </w:rPr>
            </w:pPr>
            <w:r>
              <w:rPr>
                <w:rFonts w:ascii="新宋体" w:hAnsi="新宋体" w:eastAsia="新宋体" w:cs="新宋体"/>
                <w:color w:val="auto"/>
                <w:kern w:val="0"/>
                <w:sz w:val="22"/>
                <w:szCs w:val="22"/>
                <w:lang w:bidi="ar"/>
              </w:rPr>
              <w:t>快速：70秒内的检测时间</w:t>
            </w:r>
          </w:p>
        </w:tc>
      </w:tr>
      <w:tr w14:paraId="5A4DD7A6">
        <w:tblPrEx>
          <w:tblCellMar>
            <w:top w:w="0" w:type="dxa"/>
            <w:left w:w="108" w:type="dxa"/>
            <w:bottom w:w="0" w:type="dxa"/>
            <w:right w:w="108" w:type="dxa"/>
          </w:tblCellMar>
        </w:tblPrEx>
        <w:trPr>
          <w:trHeight w:val="90"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AD6C8">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14</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E4B94">
            <w:pPr>
              <w:widowControl/>
              <w:jc w:val="left"/>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电驱动总成装调与检修工作平台（包含电机控制器调试软件）</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6DAF6">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1</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CEFB5">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套</w:t>
            </w:r>
          </w:p>
        </w:tc>
        <w:tc>
          <w:tcPr>
            <w:tcW w:w="8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C994D">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一、产品基本要求</w:t>
            </w:r>
          </w:p>
          <w:p w14:paraId="1F0615F3">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电驱动总成装调与检修工作平台应以新能源汽车原车驱动电机及其控制系统为核心，需同时配套电机控制器及动力电源系统、故障设置系统。在实现驱动电机与减速器拆装、驱动电机总成拆装、减速器总成拆装的同时，又可通过电控系统和直流电源实现永磁同步电机运行的状态演示，包含点火、档位、加速、制动的运行测试，同时也可通过故障设置系统对驱动控制系统进行设故、数据检测等原理教学。整体可实现新能源汽车电驱动总成装调、检修、教学、考核的功能。能够培养学生关于电驱动总成分解和装配能力、电驱动总成检查和修理能力、电驱动总成绝缘测试及气密性测试等能力。</w:t>
            </w:r>
          </w:p>
          <w:p w14:paraId="1F7EAF23">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二、产品配置要求</w:t>
            </w:r>
          </w:p>
          <w:p w14:paraId="1A9A0D4E">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电驱动总成装调与检修工作平台金属台体（单位：毫米）</w:t>
            </w:r>
          </w:p>
          <w:p w14:paraId="347DAA9D">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设备整体设计尺寸：≥1650*820*1600mm（长*宽*高）</w:t>
            </w:r>
          </w:p>
          <w:p w14:paraId="7797C7A2">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三、产品功能要求</w:t>
            </w:r>
          </w:p>
          <w:p w14:paraId="3DD6ABEA">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电驱动总成装调与检修工作平台应主要由电机装调区、故障检测区、零件收纳区、动态测试区、减速器装调区、工具收纳区六大功能区组成。</w:t>
            </w:r>
          </w:p>
        </w:tc>
      </w:tr>
      <w:tr w14:paraId="41EA1CB5">
        <w:tblPrEx>
          <w:tblCellMar>
            <w:top w:w="0" w:type="dxa"/>
            <w:left w:w="108" w:type="dxa"/>
            <w:bottom w:w="0" w:type="dxa"/>
            <w:right w:w="108" w:type="dxa"/>
          </w:tblCellMar>
        </w:tblPrEx>
        <w:trPr>
          <w:trHeight w:val="327"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665D3">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15</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C405B">
            <w:pPr>
              <w:widowControl/>
              <w:jc w:val="left"/>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人员防护套装</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D7418">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4</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54677">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套</w:t>
            </w:r>
          </w:p>
        </w:tc>
        <w:tc>
          <w:tcPr>
            <w:tcW w:w="8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FEAD2">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人员防护套装包括绝缘手套、耐磨手套、绝缘鞋、护目镜、安全帽等各1套。</w:t>
            </w:r>
          </w:p>
        </w:tc>
      </w:tr>
      <w:tr w14:paraId="2572424D">
        <w:tblPrEx>
          <w:tblCellMar>
            <w:top w:w="0" w:type="dxa"/>
            <w:left w:w="108" w:type="dxa"/>
            <w:bottom w:w="0" w:type="dxa"/>
            <w:right w:w="108" w:type="dxa"/>
          </w:tblCellMar>
        </w:tblPrEx>
        <w:trPr>
          <w:trHeight w:val="923"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A0BB0">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16</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DA66C">
            <w:pPr>
              <w:widowControl/>
              <w:jc w:val="left"/>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绝缘工具套装</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C0FEB">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1</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7FC2E">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套</w:t>
            </w:r>
          </w:p>
        </w:tc>
        <w:tc>
          <w:tcPr>
            <w:tcW w:w="8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4A4B1">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绝缘工具系列（≥88件套，配多抽屉带轮工具车）。满足中华人民共和国第一届比赛需求。</w:t>
            </w:r>
          </w:p>
        </w:tc>
      </w:tr>
      <w:tr w14:paraId="2645A61D">
        <w:tblPrEx>
          <w:tblCellMar>
            <w:top w:w="0" w:type="dxa"/>
            <w:left w:w="108" w:type="dxa"/>
            <w:bottom w:w="0" w:type="dxa"/>
            <w:right w:w="108" w:type="dxa"/>
          </w:tblCellMar>
        </w:tblPrEx>
        <w:trPr>
          <w:trHeight w:val="2797"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7AEF3">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17</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AB9F6">
            <w:pPr>
              <w:widowControl/>
              <w:jc w:val="left"/>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手持示波器</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BBD2E">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4</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C87E2">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套</w:t>
            </w:r>
          </w:p>
        </w:tc>
        <w:tc>
          <w:tcPr>
            <w:tcW w:w="8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83876">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 xml:space="preserve">双通道示波器、万用表二合一 </w:t>
            </w:r>
          </w:p>
          <w:p w14:paraId="4E9FB07B">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 xml:space="preserve">带宽：≥100MHz </w:t>
            </w:r>
          </w:p>
          <w:p w14:paraId="0D3A0179">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实时采样率：≥500MSa/s</w:t>
            </w:r>
          </w:p>
          <w:p w14:paraId="2A2D22E1">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显示模块≥3.5英寸彩色</w:t>
            </w:r>
          </w:p>
          <w:p w14:paraId="6AEB5D03">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 xml:space="preserve">波形刷新率：≥10000 wfrms/s </w:t>
            </w:r>
          </w:p>
          <w:p w14:paraId="57DE80FB">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 xml:space="preserve">高精度四位半（24000）数字万用表功能 </w:t>
            </w:r>
          </w:p>
          <w:p w14:paraId="31FA1B9D">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 xml:space="preserve">支持Type-C充电及数据传输接口 </w:t>
            </w:r>
          </w:p>
          <w:p w14:paraId="1A264DCA">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 xml:space="preserve">内置≥5200mAh可充电锂电池，持久续航 </w:t>
            </w:r>
          </w:p>
          <w:p w14:paraId="69501ABC">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支持SCPI通信功能，可二次开发</w:t>
            </w:r>
          </w:p>
        </w:tc>
      </w:tr>
      <w:tr w14:paraId="70943106">
        <w:tblPrEx>
          <w:tblCellMar>
            <w:top w:w="0" w:type="dxa"/>
            <w:left w:w="108" w:type="dxa"/>
            <w:bottom w:w="0" w:type="dxa"/>
            <w:right w:w="108" w:type="dxa"/>
          </w:tblCellMar>
        </w:tblPrEx>
        <w:trPr>
          <w:trHeight w:val="524"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54972">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18</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56797">
            <w:pPr>
              <w:widowControl/>
              <w:jc w:val="left"/>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移动工作终端</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6DC16">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1</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89663">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台</w:t>
            </w:r>
          </w:p>
        </w:tc>
        <w:tc>
          <w:tcPr>
            <w:tcW w:w="8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4FBD9">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独立显卡RTX5070及以上，16GB及以上，处理器Ultra7，内存≥32GB，存储≥1TB</w:t>
            </w:r>
          </w:p>
        </w:tc>
      </w:tr>
      <w:tr w14:paraId="3A7DAC6B">
        <w:tblPrEx>
          <w:tblCellMar>
            <w:top w:w="0" w:type="dxa"/>
            <w:left w:w="108" w:type="dxa"/>
            <w:bottom w:w="0" w:type="dxa"/>
            <w:right w:w="108" w:type="dxa"/>
          </w:tblCellMar>
        </w:tblPrEx>
        <w:trPr>
          <w:trHeight w:val="485"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47CD2">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19</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FAED5">
            <w:pPr>
              <w:widowControl/>
              <w:jc w:val="left"/>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绝缘测试仪</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BB4C7">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4</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6AABB">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套</w:t>
            </w:r>
          </w:p>
        </w:tc>
        <w:tc>
          <w:tcPr>
            <w:tcW w:w="8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64118">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支持自动量程、数据存储、比较功能、极化指数、吸收比、超量程报警、高压警告指示、</w:t>
            </w:r>
          </w:p>
        </w:tc>
      </w:tr>
      <w:tr w14:paraId="4AA8D6CA">
        <w:tblPrEx>
          <w:tblCellMar>
            <w:top w:w="0" w:type="dxa"/>
            <w:left w:w="108" w:type="dxa"/>
            <w:bottom w:w="0" w:type="dxa"/>
            <w:right w:w="108" w:type="dxa"/>
          </w:tblCellMar>
        </w:tblPrEx>
        <w:trPr>
          <w:trHeight w:val="346"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519CB">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20</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6D005">
            <w:pPr>
              <w:widowControl/>
              <w:jc w:val="left"/>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教学一体机</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7133D">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2</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B5128">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套</w:t>
            </w:r>
          </w:p>
        </w:tc>
        <w:tc>
          <w:tcPr>
            <w:tcW w:w="8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EEE62">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1.交互智能平板显示尺寸：≥86英寸，采用 LED液晶A 规屏。</w:t>
            </w:r>
          </w:p>
          <w:p w14:paraId="69848DA2">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2.交互智能平板固有分辨率：3840×2160；亮度：≥350 cd/㎡；对比度：4000：1；可视角度：≥178°。</w:t>
            </w:r>
          </w:p>
          <w:p w14:paraId="171D54C2">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3.交互智能平板具备前置接口：不少于2路双系统USB接口、不少于1路Type-C接口、不少于1路HDMI 输入接口、不少于1路触摸USB接口。</w:t>
            </w:r>
          </w:p>
          <w:p w14:paraId="6F183D81">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4.交互智能平板具备RJ45双系统网口，部署单根网线可实现安卓、Windows双系统有线网络联通。</w:t>
            </w:r>
          </w:p>
          <w:p w14:paraId="5F4DF6F1">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5.交互智能平板具备前朝向2个扬声器，输出总功率≥40W。</w:t>
            </w:r>
          </w:p>
          <w:p w14:paraId="04490251">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6.交互智能平板具有后置接口：2路HDMI in、1路智能双系统USB、1路android USB、1路B型USB触摸端口,1路SPDIF、1路Line out、1路RJ45.1路 RS232.1路Mic in、1路Micro SD卡。</w:t>
            </w:r>
          </w:p>
          <w:p w14:paraId="1153DD99">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7.交互智能平板支持2mm的极细笔书写，且支持手、书写笔或其它非透明物体的触摸。触摸书写高度≤2mm。</w:t>
            </w:r>
          </w:p>
          <w:p w14:paraId="1865EA2A">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8.交互智能平板超窄边框设计，左右边框尺寸≤14.8mm。</w:t>
            </w:r>
          </w:p>
          <w:p w14:paraId="240905E2">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9.交互智能平板具有至少2种方式直接调出（屏幕内软件调出、屏幕外物理按键调出）系统快捷菜单，其中快捷工具功能键≥20个，应用快捷键≥16个。</w:t>
            </w:r>
          </w:p>
        </w:tc>
      </w:tr>
      <w:tr w14:paraId="12FB78F8">
        <w:tblPrEx>
          <w:tblCellMar>
            <w:top w:w="0" w:type="dxa"/>
            <w:left w:w="108" w:type="dxa"/>
            <w:bottom w:w="0" w:type="dxa"/>
            <w:right w:w="108" w:type="dxa"/>
          </w:tblCellMar>
        </w:tblPrEx>
        <w:trPr>
          <w:trHeight w:val="918"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72A32">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21</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5A1DF">
            <w:pPr>
              <w:widowControl/>
              <w:jc w:val="left"/>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工具车</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C90C1">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5</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E59F0">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台</w:t>
            </w:r>
          </w:p>
        </w:tc>
        <w:tc>
          <w:tcPr>
            <w:tcW w:w="8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8A1B0">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外尺寸长*宽*高（mm）≥1035×457×897</w:t>
            </w:r>
          </w:p>
          <w:p w14:paraId="3E9017B2">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单抽屉额定承重（kg）≥35</w:t>
            </w:r>
          </w:p>
          <w:p w14:paraId="63C2B361">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整体额定承重（kg）≥240</w:t>
            </w:r>
          </w:p>
          <w:p w14:paraId="1C399BE5">
            <w:pPr>
              <w:widowControl/>
              <w:jc w:val="left"/>
              <w:textAlignment w:val="center"/>
              <w:rPr>
                <w:rFonts w:ascii="新宋体" w:hAnsi="新宋体" w:eastAsia="新宋体" w:cs="新宋体"/>
                <w:color w:val="auto"/>
                <w:kern w:val="0"/>
                <w:sz w:val="22"/>
                <w:szCs w:val="22"/>
                <w:lang w:bidi="ar"/>
              </w:rPr>
            </w:pPr>
          </w:p>
        </w:tc>
      </w:tr>
      <w:tr w14:paraId="0A013EF0">
        <w:tblPrEx>
          <w:tblCellMar>
            <w:top w:w="0" w:type="dxa"/>
            <w:left w:w="108" w:type="dxa"/>
            <w:bottom w:w="0" w:type="dxa"/>
            <w:right w:w="108" w:type="dxa"/>
          </w:tblCellMar>
        </w:tblPrEx>
        <w:trPr>
          <w:trHeight w:val="386"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E1FC5">
            <w:pPr>
              <w:widowControl/>
              <w:jc w:val="center"/>
              <w:textAlignment w:val="center"/>
              <w:rPr>
                <w:rFonts w:hint="eastAsia" w:ascii="新宋体" w:hAnsi="新宋体" w:eastAsia="新宋体" w:cs="新宋体"/>
                <w:color w:val="auto"/>
                <w:kern w:val="0"/>
                <w:sz w:val="22"/>
                <w:szCs w:val="22"/>
                <w:lang w:bidi="ar"/>
              </w:rPr>
            </w:pPr>
          </w:p>
          <w:p w14:paraId="7CFFACD1">
            <w:pPr>
              <w:widowControl/>
              <w:jc w:val="center"/>
              <w:textAlignment w:val="center"/>
              <w:rPr>
                <w:rFonts w:hint="eastAsia" w:ascii="新宋体" w:hAnsi="新宋体" w:eastAsia="新宋体" w:cs="新宋体"/>
                <w:color w:val="auto"/>
                <w:kern w:val="0"/>
                <w:sz w:val="22"/>
                <w:szCs w:val="22"/>
                <w:lang w:bidi="ar"/>
              </w:rPr>
            </w:pPr>
          </w:p>
          <w:p w14:paraId="69C753D7">
            <w:pPr>
              <w:widowControl/>
              <w:jc w:val="center"/>
              <w:textAlignment w:val="center"/>
              <w:rPr>
                <w:rFonts w:hint="eastAsia" w:ascii="新宋体" w:hAnsi="新宋体" w:eastAsia="新宋体" w:cs="新宋体"/>
                <w:color w:val="auto"/>
                <w:kern w:val="0"/>
                <w:sz w:val="22"/>
                <w:szCs w:val="22"/>
                <w:lang w:bidi="ar"/>
              </w:rPr>
            </w:pPr>
          </w:p>
          <w:p w14:paraId="71E05C3A">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22</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89748">
            <w:pPr>
              <w:widowControl/>
              <w:jc w:val="left"/>
              <w:textAlignment w:val="center"/>
              <w:rPr>
                <w:rFonts w:hint="eastAsia" w:ascii="新宋体" w:hAnsi="新宋体" w:eastAsia="新宋体" w:cs="新宋体"/>
                <w:color w:val="auto"/>
                <w:kern w:val="0"/>
                <w:sz w:val="22"/>
                <w:szCs w:val="22"/>
                <w:lang w:bidi="ar"/>
              </w:rPr>
            </w:pPr>
          </w:p>
          <w:p w14:paraId="050879EA">
            <w:pPr>
              <w:widowControl/>
              <w:jc w:val="left"/>
              <w:textAlignment w:val="center"/>
              <w:rPr>
                <w:rFonts w:hint="eastAsia" w:ascii="新宋体" w:hAnsi="新宋体" w:eastAsia="新宋体" w:cs="新宋体"/>
                <w:color w:val="auto"/>
                <w:kern w:val="0"/>
                <w:sz w:val="22"/>
                <w:szCs w:val="22"/>
                <w:lang w:bidi="ar"/>
              </w:rPr>
            </w:pPr>
          </w:p>
          <w:p w14:paraId="57EBB687">
            <w:pPr>
              <w:widowControl/>
              <w:jc w:val="left"/>
              <w:textAlignment w:val="center"/>
              <w:rPr>
                <w:rFonts w:hint="eastAsia" w:ascii="新宋体" w:hAnsi="新宋体" w:eastAsia="新宋体" w:cs="新宋体"/>
                <w:color w:val="auto"/>
                <w:kern w:val="0"/>
                <w:sz w:val="22"/>
                <w:szCs w:val="22"/>
                <w:lang w:bidi="ar"/>
              </w:rPr>
            </w:pPr>
          </w:p>
          <w:p w14:paraId="4BF367FC">
            <w:pPr>
              <w:widowControl/>
              <w:jc w:val="left"/>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电池包举升台架</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F3018">
            <w:pPr>
              <w:widowControl/>
              <w:jc w:val="center"/>
              <w:textAlignment w:val="center"/>
              <w:rPr>
                <w:rFonts w:hint="eastAsia" w:ascii="新宋体" w:hAnsi="新宋体" w:eastAsia="新宋体" w:cs="新宋体"/>
                <w:color w:val="auto"/>
                <w:kern w:val="0"/>
                <w:sz w:val="22"/>
                <w:szCs w:val="22"/>
                <w:lang w:bidi="ar"/>
              </w:rPr>
            </w:pPr>
          </w:p>
          <w:p w14:paraId="181AD87E">
            <w:pPr>
              <w:widowControl/>
              <w:jc w:val="center"/>
              <w:textAlignment w:val="center"/>
              <w:rPr>
                <w:rFonts w:hint="eastAsia" w:ascii="新宋体" w:hAnsi="新宋体" w:eastAsia="新宋体" w:cs="新宋体"/>
                <w:color w:val="auto"/>
                <w:kern w:val="0"/>
                <w:sz w:val="22"/>
                <w:szCs w:val="22"/>
                <w:lang w:bidi="ar"/>
              </w:rPr>
            </w:pPr>
          </w:p>
          <w:p w14:paraId="44D99266">
            <w:pPr>
              <w:widowControl/>
              <w:jc w:val="center"/>
              <w:textAlignment w:val="center"/>
              <w:rPr>
                <w:rFonts w:hint="eastAsia" w:ascii="新宋体" w:hAnsi="新宋体" w:eastAsia="新宋体" w:cs="新宋体"/>
                <w:color w:val="auto"/>
                <w:kern w:val="0"/>
                <w:sz w:val="22"/>
                <w:szCs w:val="22"/>
                <w:lang w:bidi="ar"/>
              </w:rPr>
            </w:pPr>
          </w:p>
          <w:p w14:paraId="74F869ED">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1</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1702F">
            <w:pPr>
              <w:widowControl/>
              <w:jc w:val="center"/>
              <w:textAlignment w:val="center"/>
              <w:rPr>
                <w:rFonts w:hint="eastAsia" w:ascii="新宋体" w:hAnsi="新宋体" w:eastAsia="新宋体" w:cs="新宋体"/>
                <w:color w:val="auto"/>
                <w:kern w:val="0"/>
                <w:sz w:val="22"/>
                <w:szCs w:val="22"/>
                <w:lang w:bidi="ar"/>
              </w:rPr>
            </w:pPr>
          </w:p>
          <w:p w14:paraId="35E5BD0E">
            <w:pPr>
              <w:widowControl/>
              <w:jc w:val="center"/>
              <w:textAlignment w:val="center"/>
              <w:rPr>
                <w:rFonts w:hint="eastAsia" w:ascii="新宋体" w:hAnsi="新宋体" w:eastAsia="新宋体" w:cs="新宋体"/>
                <w:color w:val="auto"/>
                <w:kern w:val="0"/>
                <w:sz w:val="22"/>
                <w:szCs w:val="22"/>
                <w:lang w:bidi="ar"/>
              </w:rPr>
            </w:pPr>
          </w:p>
          <w:p w14:paraId="5DACA478">
            <w:pPr>
              <w:widowControl/>
              <w:jc w:val="center"/>
              <w:textAlignment w:val="center"/>
              <w:rPr>
                <w:rFonts w:hint="eastAsia" w:ascii="新宋体" w:hAnsi="新宋体" w:eastAsia="新宋体" w:cs="新宋体"/>
                <w:color w:val="auto"/>
                <w:kern w:val="0"/>
                <w:sz w:val="22"/>
                <w:szCs w:val="22"/>
                <w:lang w:bidi="ar"/>
              </w:rPr>
            </w:pPr>
          </w:p>
          <w:p w14:paraId="5051ACD9">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台</w:t>
            </w:r>
          </w:p>
        </w:tc>
        <w:tc>
          <w:tcPr>
            <w:tcW w:w="8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2EB13">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1.机械液压双重保护，</w:t>
            </w:r>
          </w:p>
          <w:p w14:paraId="2BD1639F">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2.双油缸设计，</w:t>
            </w:r>
          </w:p>
          <w:p w14:paraId="03CCD2F0">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 xml:space="preserve">3.浮动式工作平台，可实现35mm范围内任意移动 </w:t>
            </w:r>
          </w:p>
          <w:p w14:paraId="0EB4809B">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 xml:space="preserve">4.标配蓄电池，工作时无需外接电源 </w:t>
            </w:r>
          </w:p>
          <w:p w14:paraId="7CCDEFBD">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 xml:space="preserve">5.充电端口，充电操作方式简单 </w:t>
            </w:r>
          </w:p>
          <w:p w14:paraId="6B6A240D">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 xml:space="preserve">6.吸附式手持有线控制器，人性化设计，操作便捷 </w:t>
            </w:r>
          </w:p>
          <w:p w14:paraId="3F1F4E82">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 xml:space="preserve">7.高载荷移动脚轮，耐磨损，转向灵活 </w:t>
            </w:r>
          </w:p>
          <w:p w14:paraId="3487F7EB">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8.液压升降拖车，移动快捷</w:t>
            </w:r>
          </w:p>
          <w:p w14:paraId="44459516">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 xml:space="preserve">9.标配夹具支撑架，便于拆装不同汽车组件 </w:t>
            </w:r>
          </w:p>
        </w:tc>
      </w:tr>
      <w:tr w14:paraId="5C50FC6E">
        <w:tblPrEx>
          <w:tblCellMar>
            <w:top w:w="0" w:type="dxa"/>
            <w:left w:w="108" w:type="dxa"/>
            <w:bottom w:w="0" w:type="dxa"/>
            <w:right w:w="108" w:type="dxa"/>
          </w:tblCellMar>
        </w:tblPrEx>
        <w:trPr>
          <w:trHeight w:val="386"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E9A38">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23</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65708">
            <w:pPr>
              <w:widowControl/>
              <w:jc w:val="left"/>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绝缘地垫</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AD21E">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1</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2451A">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套</w:t>
            </w:r>
          </w:p>
        </w:tc>
        <w:tc>
          <w:tcPr>
            <w:tcW w:w="8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91970">
            <w:pPr>
              <w:widowControl/>
              <w:jc w:val="left"/>
              <w:textAlignment w:val="center"/>
              <w:rPr>
                <w:rFonts w:hint="default" w:ascii="新宋体" w:hAnsi="新宋体" w:eastAsia="新宋体" w:cs="新宋体"/>
                <w:color w:val="auto"/>
                <w:kern w:val="0"/>
                <w:sz w:val="22"/>
                <w:szCs w:val="22"/>
                <w:lang w:val="en-US" w:eastAsia="zh-CN" w:bidi="ar"/>
              </w:rPr>
            </w:pPr>
            <w:r>
              <w:rPr>
                <w:rFonts w:hint="eastAsia" w:ascii="新宋体" w:hAnsi="新宋体" w:eastAsia="新宋体" w:cs="新宋体"/>
                <w:color w:val="auto"/>
                <w:kern w:val="0"/>
                <w:sz w:val="22"/>
                <w:szCs w:val="22"/>
                <w:lang w:bidi="ar"/>
              </w:rPr>
              <w:t>尺寸（5米×8米）</w:t>
            </w:r>
            <w:r>
              <w:rPr>
                <w:rFonts w:hint="eastAsia" w:ascii="新宋体" w:hAnsi="新宋体" w:eastAsia="新宋体" w:cs="新宋体"/>
                <w:color w:val="auto"/>
                <w:kern w:val="0"/>
                <w:sz w:val="22"/>
                <w:szCs w:val="22"/>
                <w:lang w:val="en-US" w:eastAsia="zh-CN" w:bidi="ar"/>
              </w:rPr>
              <w:t>击穿电压≥10KV,材质为聚氯乙烯，</w:t>
            </w:r>
            <w:r>
              <w:rPr>
                <w:rFonts w:hint="eastAsia" w:ascii="新宋体" w:hAnsi="新宋体" w:eastAsia="新宋体" w:cs="新宋体"/>
                <w:color w:val="auto"/>
                <w:kern w:val="0"/>
                <w:sz w:val="22"/>
                <w:szCs w:val="22"/>
                <w:lang w:bidi="ar"/>
              </w:rPr>
              <w:t>防静电</w:t>
            </w:r>
          </w:p>
        </w:tc>
      </w:tr>
      <w:tr w14:paraId="08D9CFF2">
        <w:tblPrEx>
          <w:tblCellMar>
            <w:top w:w="0" w:type="dxa"/>
            <w:left w:w="108" w:type="dxa"/>
            <w:bottom w:w="0" w:type="dxa"/>
            <w:right w:w="108" w:type="dxa"/>
          </w:tblCellMar>
        </w:tblPrEx>
        <w:trPr>
          <w:trHeight w:val="406"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50FF6">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24</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8FE8F">
            <w:pPr>
              <w:widowControl/>
              <w:jc w:val="left"/>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绝缘工作台</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EF57B">
            <w:pPr>
              <w:widowControl/>
              <w:jc w:val="center"/>
              <w:textAlignment w:val="center"/>
              <w:rPr>
                <w:rFonts w:ascii="新宋体" w:hAnsi="新宋体" w:eastAsia="新宋体" w:cs="新宋体"/>
                <w:color w:val="auto"/>
                <w:sz w:val="22"/>
                <w:szCs w:val="22"/>
              </w:rPr>
            </w:pPr>
            <w:r>
              <w:rPr>
                <w:rFonts w:ascii="新宋体" w:hAnsi="新宋体" w:eastAsia="新宋体" w:cs="新宋体"/>
                <w:color w:val="auto"/>
                <w:kern w:val="0"/>
                <w:sz w:val="22"/>
                <w:szCs w:val="22"/>
                <w:lang w:bidi="ar"/>
              </w:rPr>
              <w:t>8</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7812F">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台</w:t>
            </w:r>
          </w:p>
        </w:tc>
        <w:tc>
          <w:tcPr>
            <w:tcW w:w="8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3014D">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尺寸≥800*1200*600（mm）</w:t>
            </w:r>
          </w:p>
          <w:p w14:paraId="0338A30D">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框架材质：钢材</w:t>
            </w:r>
          </w:p>
          <w:p w14:paraId="7326D912">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桌面材质：防静电垫</w:t>
            </w:r>
          </w:p>
        </w:tc>
      </w:tr>
      <w:tr w14:paraId="3110EC1D">
        <w:tblPrEx>
          <w:tblCellMar>
            <w:top w:w="0" w:type="dxa"/>
            <w:left w:w="108" w:type="dxa"/>
            <w:bottom w:w="0" w:type="dxa"/>
            <w:right w:w="108" w:type="dxa"/>
          </w:tblCellMar>
        </w:tblPrEx>
        <w:trPr>
          <w:trHeight w:val="366"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F81C6">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25</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85FA3">
            <w:pPr>
              <w:widowControl/>
              <w:jc w:val="left"/>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场地升级建设</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C45CB">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1</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D660A">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套</w:t>
            </w:r>
          </w:p>
        </w:tc>
        <w:tc>
          <w:tcPr>
            <w:tcW w:w="8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1E61F">
            <w:pPr>
              <w:widowControl/>
              <w:jc w:val="left"/>
              <w:textAlignment w:val="center"/>
              <w:rPr>
                <w:rFonts w:hint="eastAsia" w:ascii="新宋体" w:hAnsi="新宋体" w:eastAsia="新宋体" w:cs="新宋体"/>
                <w:color w:val="auto"/>
                <w:kern w:val="0"/>
                <w:sz w:val="22"/>
                <w:szCs w:val="22"/>
                <w:lang w:eastAsia="zh-CN" w:bidi="ar"/>
              </w:rPr>
            </w:pPr>
            <w:r>
              <w:rPr>
                <w:rFonts w:hint="eastAsia" w:ascii="新宋体" w:hAnsi="新宋体" w:eastAsia="新宋体" w:cs="新宋体"/>
                <w:color w:val="auto"/>
                <w:kern w:val="0"/>
                <w:sz w:val="22"/>
                <w:szCs w:val="22"/>
                <w:lang w:val="en-US" w:eastAsia="zh-CN" w:bidi="ar"/>
              </w:rPr>
              <w:t>场地为16米×16米</w:t>
            </w:r>
            <w:r>
              <w:rPr>
                <w:rFonts w:hint="eastAsia" w:ascii="新宋体" w:hAnsi="新宋体" w:eastAsia="新宋体" w:cs="新宋体"/>
                <w:color w:val="auto"/>
                <w:kern w:val="0"/>
                <w:sz w:val="22"/>
                <w:szCs w:val="22"/>
                <w:lang w:bidi="ar"/>
              </w:rPr>
              <w:t>，主电路</w:t>
            </w:r>
            <w:r>
              <w:rPr>
                <w:rFonts w:hint="eastAsia" w:ascii="新宋体" w:hAnsi="新宋体" w:eastAsia="新宋体" w:cs="新宋体"/>
                <w:color w:val="auto"/>
                <w:kern w:val="0"/>
                <w:sz w:val="22"/>
                <w:szCs w:val="22"/>
                <w:lang w:val="en-US" w:eastAsia="zh-CN" w:bidi="ar"/>
              </w:rPr>
              <w:t>国标单股</w:t>
            </w:r>
            <w:r>
              <w:rPr>
                <w:rFonts w:hint="eastAsia" w:ascii="新宋体" w:hAnsi="新宋体" w:eastAsia="新宋体" w:cs="新宋体"/>
                <w:color w:val="auto"/>
                <w:kern w:val="0"/>
                <w:sz w:val="22"/>
                <w:szCs w:val="22"/>
                <w:lang w:bidi="ar"/>
              </w:rPr>
              <w:t>铜线</w:t>
            </w:r>
            <w:r>
              <w:rPr>
                <w:rFonts w:hint="eastAsia" w:ascii="新宋体" w:hAnsi="新宋体" w:eastAsia="新宋体" w:cs="新宋体"/>
                <w:color w:val="auto"/>
                <w:kern w:val="0"/>
                <w:sz w:val="22"/>
                <w:szCs w:val="22"/>
                <w:lang w:val="en-US" w:eastAsia="zh-CN" w:bidi="ar"/>
              </w:rPr>
              <w:t>且</w:t>
            </w:r>
            <w:r>
              <w:rPr>
                <w:rFonts w:hint="eastAsia" w:ascii="新宋体" w:hAnsi="新宋体" w:eastAsia="新宋体" w:cs="新宋体"/>
                <w:color w:val="auto"/>
                <w:kern w:val="0"/>
                <w:sz w:val="22"/>
                <w:szCs w:val="22"/>
                <w:lang w:bidi="ar"/>
              </w:rPr>
              <w:t>不</w:t>
            </w:r>
            <w:r>
              <w:rPr>
                <w:rFonts w:hint="eastAsia" w:ascii="新宋体" w:hAnsi="新宋体" w:eastAsia="新宋体" w:cs="新宋体"/>
                <w:color w:val="auto"/>
                <w:kern w:val="0"/>
                <w:sz w:val="22"/>
                <w:szCs w:val="22"/>
                <w:lang w:val="en-US" w:eastAsia="zh-CN" w:bidi="ar"/>
              </w:rPr>
              <w:t>小</w:t>
            </w:r>
            <w:r>
              <w:rPr>
                <w:rFonts w:hint="eastAsia" w:ascii="新宋体" w:hAnsi="新宋体" w:eastAsia="新宋体" w:cs="新宋体"/>
                <w:color w:val="auto"/>
                <w:kern w:val="0"/>
                <w:sz w:val="22"/>
                <w:szCs w:val="22"/>
                <w:lang w:bidi="ar"/>
              </w:rPr>
              <w:t>于10平方</w:t>
            </w:r>
            <w:r>
              <w:rPr>
                <w:rFonts w:hint="eastAsia" w:ascii="新宋体" w:hAnsi="新宋体" w:eastAsia="新宋体" w:cs="新宋体"/>
                <w:color w:val="auto"/>
                <w:kern w:val="0"/>
                <w:sz w:val="22"/>
                <w:szCs w:val="22"/>
                <w:lang w:val="en-US" w:eastAsia="zh-CN" w:bidi="ar"/>
              </w:rPr>
              <w:t>毫米，长度为160米，线路改造、</w:t>
            </w:r>
            <w:r>
              <w:rPr>
                <w:rFonts w:hint="eastAsia" w:ascii="新宋体" w:hAnsi="新宋体" w:eastAsia="新宋体" w:cs="新宋体"/>
                <w:color w:val="auto"/>
                <w:kern w:val="0"/>
                <w:sz w:val="22"/>
                <w:szCs w:val="22"/>
                <w:lang w:bidi="ar"/>
              </w:rPr>
              <w:t>照明改造、</w:t>
            </w:r>
            <w:r>
              <w:rPr>
                <w:rFonts w:hint="eastAsia" w:ascii="新宋体" w:hAnsi="新宋体" w:eastAsia="新宋体" w:cs="新宋体"/>
                <w:color w:val="auto"/>
                <w:kern w:val="0"/>
                <w:sz w:val="22"/>
                <w:szCs w:val="22"/>
                <w:lang w:val="en-US" w:eastAsia="zh-CN" w:bidi="ar"/>
              </w:rPr>
              <w:t>插座不小于10个、封闭</w:t>
            </w:r>
            <w:r>
              <w:rPr>
                <w:rFonts w:hint="eastAsia" w:ascii="新宋体" w:hAnsi="新宋体" w:eastAsia="新宋体" w:cs="新宋体"/>
                <w:color w:val="auto"/>
                <w:kern w:val="0"/>
                <w:sz w:val="22"/>
                <w:szCs w:val="22"/>
                <w:lang w:bidi="ar"/>
              </w:rPr>
              <w:t>隔断围挡15毫米钢化玻璃</w:t>
            </w:r>
            <w:r>
              <w:rPr>
                <w:rFonts w:hint="eastAsia" w:ascii="新宋体" w:hAnsi="新宋体" w:eastAsia="新宋体" w:cs="新宋体"/>
                <w:color w:val="auto"/>
                <w:kern w:val="0"/>
                <w:sz w:val="22"/>
                <w:szCs w:val="22"/>
                <w:lang w:val="en-US" w:eastAsia="zh-CN" w:bidi="ar"/>
              </w:rPr>
              <w:t>面积为190平方米</w:t>
            </w:r>
            <w:r>
              <w:rPr>
                <w:rFonts w:hint="eastAsia" w:ascii="新宋体" w:hAnsi="新宋体" w:eastAsia="新宋体" w:cs="新宋体"/>
                <w:color w:val="auto"/>
                <w:kern w:val="0"/>
                <w:sz w:val="22"/>
                <w:szCs w:val="22"/>
                <w:lang w:bidi="ar"/>
              </w:rPr>
              <w:t>、推拉封闭门2个</w:t>
            </w:r>
            <w:r>
              <w:rPr>
                <w:rFonts w:hint="eastAsia" w:ascii="新宋体" w:hAnsi="新宋体" w:eastAsia="新宋体" w:cs="新宋体"/>
                <w:color w:val="auto"/>
                <w:kern w:val="0"/>
                <w:sz w:val="22"/>
                <w:szCs w:val="22"/>
                <w:lang w:eastAsia="zh-CN" w:bidi="ar"/>
              </w:rPr>
              <w:t>，</w:t>
            </w:r>
            <w:r>
              <w:rPr>
                <w:rFonts w:hint="eastAsia" w:ascii="新宋体" w:hAnsi="新宋体" w:eastAsia="新宋体" w:cs="新宋体"/>
                <w:color w:val="auto"/>
                <w:kern w:val="0"/>
                <w:sz w:val="22"/>
                <w:szCs w:val="22"/>
                <w:lang w:val="en-US" w:eastAsia="zh-CN" w:bidi="ar"/>
              </w:rPr>
              <w:t>每个面积不小于15平方米</w:t>
            </w:r>
            <w:r>
              <w:rPr>
                <w:rFonts w:hint="eastAsia" w:ascii="新宋体" w:hAnsi="新宋体" w:eastAsia="新宋体" w:cs="新宋体"/>
                <w:color w:val="auto"/>
                <w:kern w:val="0"/>
                <w:sz w:val="22"/>
                <w:szCs w:val="22"/>
                <w:lang w:bidi="ar"/>
              </w:rPr>
              <w:t>，遮阳窗帘，文化墙、256平方米地面，在施工中有疑问协商解决</w:t>
            </w:r>
            <w:r>
              <w:rPr>
                <w:rFonts w:hint="eastAsia" w:ascii="新宋体" w:hAnsi="新宋体" w:eastAsia="新宋体" w:cs="新宋体"/>
                <w:color w:val="auto"/>
                <w:kern w:val="0"/>
                <w:sz w:val="22"/>
                <w:szCs w:val="22"/>
                <w:lang w:eastAsia="zh-CN" w:bidi="ar"/>
              </w:rPr>
              <w:t>。</w:t>
            </w:r>
          </w:p>
          <w:p w14:paraId="1D6073C2">
            <w:pPr>
              <w:widowControl/>
              <w:jc w:val="left"/>
              <w:textAlignment w:val="center"/>
              <w:rPr>
                <w:rFonts w:hint="default" w:ascii="新宋体" w:hAnsi="新宋体" w:eastAsia="新宋体" w:cs="新宋体"/>
                <w:color w:val="auto"/>
                <w:kern w:val="0"/>
                <w:sz w:val="22"/>
                <w:szCs w:val="22"/>
                <w:lang w:val="en-US" w:eastAsia="zh-CN" w:bidi="ar"/>
              </w:rPr>
            </w:pPr>
          </w:p>
        </w:tc>
      </w:tr>
      <w:tr w14:paraId="3E1FAFF5">
        <w:tblPrEx>
          <w:tblCellMar>
            <w:top w:w="0" w:type="dxa"/>
            <w:left w:w="108" w:type="dxa"/>
            <w:bottom w:w="0" w:type="dxa"/>
            <w:right w:w="108" w:type="dxa"/>
          </w:tblCellMar>
        </w:tblPrEx>
        <w:trPr>
          <w:trHeight w:val="406"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C4B16">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26</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A4626">
            <w:pPr>
              <w:widowControl/>
              <w:jc w:val="left"/>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手持式数字特斯拉计</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B63A8">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4</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67321">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块</w:t>
            </w:r>
          </w:p>
        </w:tc>
        <w:tc>
          <w:tcPr>
            <w:tcW w:w="8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0258C">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分辨率：0.1Gs/0.01mT</w:t>
            </w:r>
          </w:p>
          <w:p w14:paraId="659ABECF">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量程：0-25000Gs</w:t>
            </w:r>
          </w:p>
          <w:p w14:paraId="2909E381">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功能：一键清零、峰值模式、自动关机、背光显示</w:t>
            </w:r>
          </w:p>
        </w:tc>
      </w:tr>
      <w:tr w14:paraId="72B887CD">
        <w:tblPrEx>
          <w:tblCellMar>
            <w:top w:w="0" w:type="dxa"/>
            <w:left w:w="108" w:type="dxa"/>
            <w:bottom w:w="0" w:type="dxa"/>
            <w:right w:w="108" w:type="dxa"/>
          </w:tblCellMar>
        </w:tblPrEx>
        <w:trPr>
          <w:trHeight w:val="346"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4F510">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27</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337E4">
            <w:pPr>
              <w:widowControl/>
              <w:jc w:val="left"/>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毫欧表</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7F105">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4</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320CE">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块</w:t>
            </w:r>
          </w:p>
        </w:tc>
        <w:tc>
          <w:tcPr>
            <w:tcW w:w="8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E42D8">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量程覆盖 0.01mΩ - 2kΩ，分 6 个档位。20mΩ 档位精度为 ±（0.5% 读数 ±3），分辨率 0.01mΩ，对应测试电流约 100mA；其余档位分辨率从 0.1mΩ 到 1Ω 不等，测试电流约 50mA；具备四线测量、数据保持和背光功能，可外接电源，适合测量马达线圈、焊接点等的低电阻</w:t>
            </w:r>
          </w:p>
        </w:tc>
      </w:tr>
      <w:tr w14:paraId="59EB69AE">
        <w:tblPrEx>
          <w:tblCellMar>
            <w:top w:w="0" w:type="dxa"/>
            <w:left w:w="108" w:type="dxa"/>
            <w:bottom w:w="0" w:type="dxa"/>
            <w:right w:w="108" w:type="dxa"/>
          </w:tblCellMar>
        </w:tblPrEx>
        <w:trPr>
          <w:trHeight w:val="386"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70955">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28</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3A552">
            <w:pPr>
              <w:widowControl/>
              <w:jc w:val="left"/>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电池内阻测试仪</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FB9DD">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4</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E5A9C">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块</w:t>
            </w:r>
          </w:p>
        </w:tc>
        <w:tc>
          <w:tcPr>
            <w:tcW w:w="8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EF0EB">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内阻量程 0.000mΩ - 3.100Ω（分 4 档），精度依量程不同在 ±0.5% FS±15dgt - ±1% FS±20dgt 之间，分辨力 1μΩ 起；电压量程0.000V - ±71.00V（分2档），精度 ±0.2% FS±10dgt，分辨力1mV；温度量程-10.0℃- 60.0℃，精度 ±1.0℃，分辨力 0.1℃</w:t>
            </w:r>
          </w:p>
        </w:tc>
      </w:tr>
      <w:tr w14:paraId="12A9EFD1">
        <w:tblPrEx>
          <w:tblCellMar>
            <w:top w:w="0" w:type="dxa"/>
            <w:left w:w="108" w:type="dxa"/>
            <w:bottom w:w="0" w:type="dxa"/>
            <w:right w:w="108" w:type="dxa"/>
          </w:tblCellMar>
        </w:tblPrEx>
        <w:trPr>
          <w:trHeight w:val="425"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17399">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29</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3D75C">
            <w:pPr>
              <w:widowControl/>
              <w:jc w:val="left"/>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锂电电动扳手</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01DB0">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3</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087CD">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套</w:t>
            </w:r>
          </w:p>
        </w:tc>
        <w:tc>
          <w:tcPr>
            <w:tcW w:w="8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26882">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电池电压 20V，提供5.0Ah、6.0Ah 等电池配置；最大扭矩达424N・m（6177.82 英寸磅），支持四档扭矩调节，一档扭矩约184N・m，四档达峰值扭矩；空载转速最高2200转 / 分钟，冲击频率最高 2700次/分钟；采用750W无刷电机，搭配优化风道设计散热快，</w:t>
            </w:r>
          </w:p>
        </w:tc>
      </w:tr>
      <w:tr w14:paraId="0C7EF884">
        <w:tblPrEx>
          <w:tblCellMar>
            <w:top w:w="0" w:type="dxa"/>
            <w:left w:w="108" w:type="dxa"/>
            <w:bottom w:w="0" w:type="dxa"/>
            <w:right w:w="108" w:type="dxa"/>
          </w:tblCellMar>
        </w:tblPrEx>
        <w:trPr>
          <w:trHeight w:val="327"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51685">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30</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010E7">
            <w:pPr>
              <w:widowControl/>
              <w:jc w:val="left"/>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锂电电动螺丝刀</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FED85">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3</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23F68">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套</w:t>
            </w:r>
          </w:p>
        </w:tc>
        <w:tc>
          <w:tcPr>
            <w:tcW w:w="8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C5B32">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2"/>
                <w:szCs w:val="22"/>
                <w:lang w:bidi="ar"/>
              </w:rPr>
              <w:t>支持 3 档扭矩调节，操作简单易上手；标配 30 枚批头和充电器，覆盖日常多数螺丝型号</w:t>
            </w:r>
          </w:p>
        </w:tc>
      </w:tr>
      <w:tr w14:paraId="4E8E5197">
        <w:tblPrEx>
          <w:tblCellMar>
            <w:top w:w="0" w:type="dxa"/>
            <w:left w:w="108" w:type="dxa"/>
            <w:bottom w:w="0" w:type="dxa"/>
            <w:right w:w="108" w:type="dxa"/>
          </w:tblCellMar>
        </w:tblPrEx>
        <w:trPr>
          <w:trHeight w:val="991"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94259">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31</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E437A">
            <w:pPr>
              <w:widowControl/>
              <w:jc w:val="left"/>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新能源汽车诊断仪</w:t>
            </w:r>
          </w:p>
        </w:tc>
        <w:tc>
          <w:tcPr>
            <w:tcW w:w="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14527">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1</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8BB2F">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套</w:t>
            </w:r>
          </w:p>
        </w:tc>
        <w:tc>
          <w:tcPr>
            <w:tcW w:w="8448" w:type="dxa"/>
            <w:tcBorders>
              <w:top w:val="single" w:color="000000" w:sz="4" w:space="0"/>
              <w:left w:val="single" w:color="000000" w:sz="4" w:space="0"/>
              <w:bottom w:val="single" w:color="000000" w:sz="4" w:space="0"/>
              <w:right w:val="single" w:color="000000" w:sz="4" w:space="0"/>
            </w:tcBorders>
            <w:shd w:val="clear" w:color="auto" w:fill="auto"/>
          </w:tcPr>
          <w:p w14:paraId="012B74A6">
            <w:pPr>
              <w:jc w:val="left"/>
              <w:rPr>
                <w:rFonts w:ascii="新宋体" w:hAnsi="新宋体" w:eastAsia="新宋体" w:cs="新宋体"/>
                <w:color w:val="auto"/>
                <w:sz w:val="22"/>
                <w:szCs w:val="22"/>
              </w:rPr>
            </w:pPr>
            <w:r>
              <w:rPr>
                <w:rFonts w:hint="eastAsia" w:ascii="新宋体" w:hAnsi="新宋体" w:eastAsia="新宋体" w:cs="新宋体"/>
                <w:color w:val="auto"/>
                <w:sz w:val="22"/>
                <w:szCs w:val="22"/>
              </w:rPr>
              <w:t>包含ECU诊断:读写车辆信息、读写软硬件版本号、读取清除故障码、读取冻结帧、读取故障录波、故障码屏蔽、读取数据流、数据流波形显示、数据流比较、数据流录制、数据流回放、动作测试等。</w:t>
            </w:r>
          </w:p>
          <w:p w14:paraId="1E57C803">
            <w:pPr>
              <w:jc w:val="left"/>
              <w:rPr>
                <w:rFonts w:ascii="新宋体" w:hAnsi="新宋体" w:eastAsia="新宋体" w:cs="新宋体"/>
                <w:color w:val="auto"/>
                <w:kern w:val="0"/>
                <w:sz w:val="22"/>
                <w:szCs w:val="22"/>
                <w:lang w:bidi="ar"/>
              </w:rPr>
            </w:pPr>
          </w:p>
        </w:tc>
      </w:tr>
      <w:tr w14:paraId="6A2F007B">
        <w:tblPrEx>
          <w:tblCellMar>
            <w:top w:w="0" w:type="dxa"/>
            <w:left w:w="108" w:type="dxa"/>
            <w:bottom w:w="0" w:type="dxa"/>
            <w:right w:w="108" w:type="dxa"/>
          </w:tblCellMar>
        </w:tblPrEx>
        <w:trPr>
          <w:trHeight w:val="2855"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95B73">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32</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D53C8">
            <w:pPr>
              <w:widowControl/>
              <w:jc w:val="left"/>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新能源电动龙门举升机</w:t>
            </w:r>
          </w:p>
        </w:tc>
        <w:tc>
          <w:tcPr>
            <w:tcW w:w="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FB3A9">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1</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E25E1">
            <w:pPr>
              <w:widowControl/>
              <w:jc w:val="center"/>
              <w:textAlignment w:val="center"/>
              <w:rPr>
                <w:rFonts w:ascii="新宋体" w:hAnsi="新宋体" w:eastAsia="新宋体" w:cs="新宋体"/>
                <w:color w:val="auto"/>
                <w:sz w:val="22"/>
                <w:szCs w:val="22"/>
              </w:rPr>
            </w:pPr>
            <w:r>
              <w:rPr>
                <w:rFonts w:hint="eastAsia" w:ascii="新宋体" w:hAnsi="新宋体" w:eastAsia="新宋体" w:cs="新宋体"/>
                <w:color w:val="auto"/>
                <w:kern w:val="0"/>
                <w:sz w:val="22"/>
                <w:szCs w:val="22"/>
                <w:lang w:bidi="ar"/>
              </w:rPr>
              <w:t>套</w:t>
            </w:r>
          </w:p>
        </w:tc>
        <w:tc>
          <w:tcPr>
            <w:tcW w:w="8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C3281">
            <w:pPr>
              <w:widowControl/>
              <w:jc w:val="left"/>
              <w:textAlignment w:val="center"/>
              <w:rPr>
                <w:rFonts w:ascii="新宋体" w:hAnsi="新宋体" w:eastAsia="新宋体" w:cs="新宋体"/>
                <w:color w:val="auto"/>
                <w:kern w:val="0"/>
                <w:sz w:val="24"/>
                <w:lang w:bidi="ar"/>
              </w:rPr>
            </w:pPr>
            <w:r>
              <w:rPr>
                <w:rFonts w:hint="eastAsia" w:ascii="新宋体" w:hAnsi="新宋体" w:eastAsia="新宋体" w:cs="新宋体"/>
                <w:color w:val="auto"/>
                <w:kern w:val="0"/>
                <w:sz w:val="24"/>
                <w:lang w:bidi="ar"/>
              </w:rPr>
              <w:t>一、功能</w:t>
            </w:r>
          </w:p>
          <w:p w14:paraId="49F8AB98">
            <w:pPr>
              <w:widowControl/>
              <w:jc w:val="left"/>
              <w:textAlignment w:val="center"/>
              <w:rPr>
                <w:rFonts w:ascii="新宋体" w:hAnsi="新宋体" w:eastAsia="新宋体" w:cs="新宋体"/>
                <w:color w:val="auto"/>
                <w:kern w:val="0"/>
                <w:sz w:val="24"/>
                <w:lang w:bidi="ar"/>
              </w:rPr>
            </w:pPr>
            <w:r>
              <w:rPr>
                <w:rFonts w:hint="eastAsia" w:ascii="新宋体" w:hAnsi="新宋体" w:eastAsia="新宋体" w:cs="新宋体"/>
                <w:color w:val="auto"/>
                <w:kern w:val="0"/>
                <w:sz w:val="24"/>
                <w:lang w:bidi="ar"/>
              </w:rPr>
              <w:t>双油缸直驱，立柱采用双S 型截面设计，3 节托臂设计，具备上限位功能，保护车顶免受损坏</w:t>
            </w:r>
          </w:p>
          <w:p w14:paraId="172183CC">
            <w:pPr>
              <w:widowControl/>
              <w:jc w:val="left"/>
              <w:textAlignment w:val="center"/>
              <w:rPr>
                <w:rFonts w:ascii="新宋体" w:hAnsi="新宋体" w:eastAsia="新宋体" w:cs="新宋体"/>
                <w:color w:val="auto"/>
                <w:kern w:val="0"/>
                <w:sz w:val="24"/>
                <w:lang w:bidi="ar"/>
              </w:rPr>
            </w:pPr>
            <w:r>
              <w:rPr>
                <w:rFonts w:hint="eastAsia" w:ascii="新宋体" w:hAnsi="新宋体" w:eastAsia="新宋体" w:cs="新宋体"/>
                <w:color w:val="auto"/>
                <w:kern w:val="0"/>
                <w:sz w:val="24"/>
                <w:lang w:bidi="ar"/>
              </w:rPr>
              <w:t>非对称安装，方便车门打开</w:t>
            </w:r>
          </w:p>
          <w:p w14:paraId="7E1A76A4">
            <w:pPr>
              <w:widowControl/>
              <w:jc w:val="left"/>
              <w:textAlignment w:val="center"/>
              <w:rPr>
                <w:rFonts w:ascii="新宋体" w:hAnsi="新宋体" w:eastAsia="新宋体" w:cs="新宋体"/>
                <w:color w:val="auto"/>
                <w:kern w:val="0"/>
                <w:sz w:val="24"/>
                <w:lang w:bidi="ar"/>
              </w:rPr>
            </w:pPr>
            <w:r>
              <w:rPr>
                <w:rFonts w:hint="eastAsia" w:ascii="新宋体" w:hAnsi="新宋体" w:eastAsia="新宋体" w:cs="新宋体"/>
                <w:color w:val="auto"/>
                <w:kern w:val="0"/>
                <w:sz w:val="24"/>
                <w:lang w:bidi="ar"/>
              </w:rPr>
              <w:t>设有静电释放装置，保护人车安全</w:t>
            </w:r>
          </w:p>
          <w:p w14:paraId="7BF977FA">
            <w:pPr>
              <w:widowControl/>
              <w:jc w:val="left"/>
              <w:textAlignment w:val="center"/>
              <w:rPr>
                <w:rFonts w:ascii="新宋体" w:hAnsi="新宋体" w:eastAsia="新宋体" w:cs="新宋体"/>
                <w:color w:val="auto"/>
                <w:kern w:val="0"/>
                <w:sz w:val="24"/>
                <w:lang w:bidi="ar"/>
              </w:rPr>
            </w:pPr>
            <w:r>
              <w:rPr>
                <w:rFonts w:hint="eastAsia" w:ascii="新宋体" w:hAnsi="新宋体" w:eastAsia="新宋体" w:cs="新宋体"/>
                <w:color w:val="auto"/>
                <w:kern w:val="0"/>
                <w:sz w:val="24"/>
                <w:lang w:bidi="ar"/>
              </w:rPr>
              <w:t>标配长方形导电托盘、增高节套、防压脚护栏</w:t>
            </w:r>
          </w:p>
          <w:p w14:paraId="7859B179">
            <w:pPr>
              <w:widowControl/>
              <w:jc w:val="left"/>
              <w:textAlignment w:val="center"/>
              <w:rPr>
                <w:rFonts w:ascii="新宋体" w:hAnsi="新宋体" w:eastAsia="新宋体" w:cs="新宋体"/>
                <w:color w:val="auto"/>
                <w:kern w:val="0"/>
                <w:sz w:val="24"/>
                <w:lang w:bidi="ar"/>
              </w:rPr>
            </w:pPr>
            <w:r>
              <w:rPr>
                <w:rFonts w:hint="eastAsia" w:ascii="新宋体" w:hAnsi="新宋体" w:eastAsia="新宋体" w:cs="新宋体"/>
                <w:color w:val="auto"/>
                <w:kern w:val="0"/>
                <w:sz w:val="24"/>
                <w:lang w:bidi="ar"/>
              </w:rPr>
              <w:t>二、参数</w:t>
            </w:r>
          </w:p>
          <w:p w14:paraId="28510D71">
            <w:pPr>
              <w:widowControl/>
              <w:jc w:val="left"/>
              <w:textAlignment w:val="center"/>
              <w:rPr>
                <w:rFonts w:ascii="新宋体" w:hAnsi="新宋体" w:eastAsia="新宋体" w:cs="新宋体"/>
                <w:color w:val="auto"/>
                <w:kern w:val="0"/>
                <w:sz w:val="24"/>
                <w:lang w:bidi="ar"/>
              </w:rPr>
            </w:pPr>
            <w:r>
              <w:rPr>
                <w:rFonts w:hint="eastAsia" w:ascii="新宋体" w:hAnsi="新宋体" w:eastAsia="新宋体" w:cs="新宋体"/>
                <w:color w:val="auto"/>
                <w:kern w:val="0"/>
                <w:sz w:val="24"/>
                <w:lang w:bidi="ar"/>
              </w:rPr>
              <w:t>对称安装立柱内宽≥3080mm</w:t>
            </w:r>
          </w:p>
          <w:p w14:paraId="0DF1F368">
            <w:pPr>
              <w:widowControl/>
              <w:jc w:val="left"/>
              <w:textAlignment w:val="center"/>
              <w:rPr>
                <w:rFonts w:ascii="新宋体" w:hAnsi="新宋体" w:eastAsia="新宋体" w:cs="新宋体"/>
                <w:color w:val="auto"/>
                <w:kern w:val="0"/>
                <w:sz w:val="24"/>
                <w:lang w:bidi="ar"/>
              </w:rPr>
            </w:pPr>
            <w:r>
              <w:rPr>
                <w:rFonts w:hint="eastAsia" w:ascii="新宋体" w:hAnsi="新宋体" w:eastAsia="新宋体" w:cs="新宋体"/>
                <w:color w:val="auto"/>
                <w:kern w:val="0"/>
                <w:sz w:val="24"/>
                <w:lang w:bidi="ar"/>
              </w:rPr>
              <w:t>非对称安装立柱内宽≥2971mm</w:t>
            </w:r>
          </w:p>
          <w:p w14:paraId="43564F5A">
            <w:pPr>
              <w:widowControl/>
              <w:jc w:val="left"/>
              <w:textAlignment w:val="center"/>
              <w:rPr>
                <w:rFonts w:ascii="新宋体" w:hAnsi="新宋体" w:eastAsia="新宋体" w:cs="新宋体"/>
                <w:color w:val="auto"/>
                <w:kern w:val="0"/>
                <w:sz w:val="24"/>
                <w:lang w:bidi="ar"/>
              </w:rPr>
            </w:pPr>
            <w:r>
              <w:rPr>
                <w:rFonts w:hint="eastAsia" w:ascii="新宋体" w:hAnsi="新宋体" w:eastAsia="新宋体" w:cs="新宋体"/>
                <w:color w:val="auto"/>
                <w:kern w:val="0"/>
                <w:sz w:val="24"/>
                <w:lang w:bidi="ar"/>
              </w:rPr>
              <w:t>解锁方式电动</w:t>
            </w:r>
          </w:p>
          <w:p w14:paraId="00599DD4">
            <w:pPr>
              <w:widowControl/>
              <w:jc w:val="left"/>
              <w:textAlignment w:val="center"/>
              <w:rPr>
                <w:rFonts w:ascii="新宋体" w:hAnsi="新宋体" w:eastAsia="新宋体" w:cs="新宋体"/>
                <w:color w:val="auto"/>
                <w:kern w:val="0"/>
                <w:sz w:val="24"/>
                <w:lang w:bidi="ar"/>
              </w:rPr>
            </w:pPr>
            <w:r>
              <w:rPr>
                <w:rFonts w:hint="eastAsia" w:ascii="新宋体" w:hAnsi="新宋体" w:eastAsia="新宋体" w:cs="新宋体"/>
                <w:color w:val="auto"/>
                <w:kern w:val="0"/>
                <w:sz w:val="24"/>
                <w:lang w:bidi="ar"/>
              </w:rPr>
              <w:t>最低高度≤110mm</w:t>
            </w:r>
          </w:p>
          <w:p w14:paraId="69820BB6">
            <w:pPr>
              <w:widowControl/>
              <w:jc w:val="left"/>
              <w:textAlignment w:val="center"/>
              <w:rPr>
                <w:rFonts w:ascii="新宋体" w:hAnsi="新宋体" w:eastAsia="新宋体" w:cs="新宋体"/>
                <w:color w:val="auto"/>
                <w:kern w:val="0"/>
                <w:sz w:val="24"/>
                <w:lang w:bidi="ar"/>
              </w:rPr>
            </w:pPr>
            <w:r>
              <w:rPr>
                <w:rFonts w:hint="eastAsia" w:ascii="新宋体" w:hAnsi="新宋体" w:eastAsia="新宋体" w:cs="新宋体"/>
                <w:color w:val="auto"/>
                <w:kern w:val="0"/>
                <w:sz w:val="24"/>
                <w:lang w:bidi="ar"/>
              </w:rPr>
              <w:t>额载下降时间≤50s</w:t>
            </w:r>
          </w:p>
          <w:p w14:paraId="71A059B5">
            <w:pPr>
              <w:widowControl/>
              <w:jc w:val="left"/>
              <w:textAlignment w:val="center"/>
              <w:rPr>
                <w:rFonts w:ascii="新宋体" w:hAnsi="新宋体" w:eastAsia="新宋体" w:cs="新宋体"/>
                <w:color w:val="auto"/>
                <w:kern w:val="0"/>
                <w:sz w:val="24"/>
                <w:lang w:bidi="ar"/>
              </w:rPr>
            </w:pPr>
            <w:r>
              <w:rPr>
                <w:rFonts w:hint="eastAsia" w:ascii="新宋体" w:hAnsi="新宋体" w:eastAsia="新宋体" w:cs="新宋体"/>
                <w:color w:val="auto"/>
                <w:kern w:val="0"/>
                <w:sz w:val="24"/>
                <w:lang w:bidi="ar"/>
              </w:rPr>
              <w:t>电机外壳铝合金</w:t>
            </w:r>
          </w:p>
          <w:p w14:paraId="026D1878">
            <w:pPr>
              <w:widowControl/>
              <w:jc w:val="left"/>
              <w:textAlignment w:val="center"/>
              <w:rPr>
                <w:rFonts w:ascii="新宋体" w:hAnsi="新宋体" w:eastAsia="新宋体" w:cs="新宋体"/>
                <w:color w:val="auto"/>
                <w:kern w:val="0"/>
                <w:sz w:val="24"/>
                <w:lang w:bidi="ar"/>
              </w:rPr>
            </w:pPr>
            <w:r>
              <w:rPr>
                <w:rFonts w:hint="eastAsia" w:ascii="新宋体" w:hAnsi="新宋体" w:eastAsia="新宋体" w:cs="新宋体"/>
                <w:color w:val="auto"/>
                <w:kern w:val="0"/>
                <w:sz w:val="24"/>
                <w:lang w:bidi="ar"/>
              </w:rPr>
              <w:t>托臂类型2+3直臂</w:t>
            </w:r>
          </w:p>
          <w:p w14:paraId="4A33816F">
            <w:pPr>
              <w:widowControl/>
              <w:jc w:val="left"/>
              <w:textAlignment w:val="center"/>
              <w:rPr>
                <w:rFonts w:ascii="新宋体" w:hAnsi="新宋体" w:eastAsia="新宋体" w:cs="新宋体"/>
                <w:color w:val="auto"/>
                <w:kern w:val="0"/>
                <w:sz w:val="24"/>
                <w:lang w:bidi="ar"/>
              </w:rPr>
            </w:pPr>
            <w:r>
              <w:rPr>
                <w:rFonts w:hint="eastAsia" w:ascii="新宋体" w:hAnsi="新宋体" w:eastAsia="新宋体" w:cs="新宋体"/>
                <w:color w:val="auto"/>
                <w:kern w:val="0"/>
                <w:sz w:val="24"/>
                <w:lang w:bidi="ar"/>
              </w:rPr>
              <w:t>额定载重≥4.5吨</w:t>
            </w:r>
          </w:p>
          <w:p w14:paraId="5D510D0D">
            <w:pPr>
              <w:widowControl/>
              <w:jc w:val="left"/>
              <w:textAlignment w:val="center"/>
              <w:rPr>
                <w:rFonts w:ascii="新宋体" w:hAnsi="新宋体" w:eastAsia="新宋体" w:cs="新宋体"/>
                <w:color w:val="auto"/>
                <w:kern w:val="0"/>
                <w:sz w:val="24"/>
                <w:lang w:bidi="ar"/>
              </w:rPr>
            </w:pPr>
            <w:r>
              <w:rPr>
                <w:rFonts w:hint="eastAsia" w:ascii="新宋体" w:hAnsi="新宋体" w:eastAsia="新宋体" w:cs="新宋体"/>
                <w:color w:val="auto"/>
                <w:kern w:val="0"/>
                <w:sz w:val="24"/>
                <w:lang w:bidi="ar"/>
              </w:rPr>
              <w:t>电机功率2.2KW</w:t>
            </w:r>
          </w:p>
          <w:p w14:paraId="4957C169">
            <w:pPr>
              <w:widowControl/>
              <w:jc w:val="left"/>
              <w:textAlignment w:val="center"/>
              <w:rPr>
                <w:rFonts w:ascii="新宋体" w:hAnsi="新宋体" w:eastAsia="新宋体" w:cs="新宋体"/>
                <w:color w:val="auto"/>
                <w:kern w:val="0"/>
                <w:sz w:val="24"/>
                <w:lang w:bidi="ar"/>
              </w:rPr>
            </w:pPr>
            <w:r>
              <w:rPr>
                <w:rFonts w:hint="eastAsia" w:ascii="新宋体" w:hAnsi="新宋体" w:eastAsia="新宋体" w:cs="新宋体"/>
                <w:color w:val="auto"/>
                <w:kern w:val="0"/>
                <w:sz w:val="24"/>
                <w:lang w:bidi="ar"/>
              </w:rPr>
              <w:t>额载上升时间≤60s</w:t>
            </w:r>
          </w:p>
          <w:p w14:paraId="424D24EA">
            <w:pPr>
              <w:widowControl/>
              <w:jc w:val="left"/>
              <w:textAlignment w:val="center"/>
              <w:rPr>
                <w:rFonts w:ascii="新宋体" w:hAnsi="新宋体" w:eastAsia="新宋体" w:cs="新宋体"/>
                <w:color w:val="auto"/>
                <w:kern w:val="0"/>
                <w:sz w:val="24"/>
                <w:lang w:bidi="ar"/>
              </w:rPr>
            </w:pPr>
            <w:r>
              <w:rPr>
                <w:rFonts w:hint="eastAsia" w:ascii="新宋体" w:hAnsi="新宋体" w:eastAsia="新宋体" w:cs="新宋体"/>
                <w:color w:val="auto"/>
                <w:kern w:val="0"/>
                <w:sz w:val="24"/>
                <w:lang w:bidi="ar"/>
              </w:rPr>
              <w:t>托盘加高套长度≤100mm</w:t>
            </w:r>
          </w:p>
          <w:p w14:paraId="4E6E760A">
            <w:pPr>
              <w:widowControl/>
              <w:jc w:val="left"/>
              <w:textAlignment w:val="center"/>
              <w:rPr>
                <w:rFonts w:ascii="新宋体" w:hAnsi="新宋体" w:eastAsia="新宋体" w:cs="新宋体"/>
                <w:color w:val="auto"/>
                <w:kern w:val="0"/>
                <w:sz w:val="24"/>
                <w:lang w:bidi="ar"/>
              </w:rPr>
            </w:pPr>
            <w:r>
              <w:rPr>
                <w:rFonts w:hint="eastAsia" w:ascii="新宋体" w:hAnsi="新宋体" w:eastAsia="新宋体" w:cs="新宋体"/>
                <w:color w:val="auto"/>
                <w:kern w:val="0"/>
                <w:sz w:val="24"/>
                <w:lang w:bidi="ar"/>
              </w:rPr>
              <w:t>对称安装底板外宽≥3695mm</w:t>
            </w:r>
          </w:p>
          <w:p w14:paraId="62E7293B">
            <w:pPr>
              <w:widowControl/>
              <w:jc w:val="left"/>
              <w:textAlignment w:val="center"/>
              <w:rPr>
                <w:rFonts w:ascii="新宋体" w:hAnsi="新宋体" w:eastAsia="新宋体" w:cs="新宋体"/>
                <w:color w:val="auto"/>
                <w:kern w:val="0"/>
                <w:sz w:val="24"/>
                <w:lang w:bidi="ar"/>
              </w:rPr>
            </w:pPr>
            <w:r>
              <w:rPr>
                <w:rFonts w:hint="eastAsia" w:ascii="新宋体" w:hAnsi="新宋体" w:eastAsia="新宋体" w:cs="新宋体"/>
                <w:color w:val="auto"/>
                <w:kern w:val="0"/>
                <w:sz w:val="24"/>
                <w:lang w:bidi="ar"/>
              </w:rPr>
              <w:t>非对称安装底板外宽≥3795mm</w:t>
            </w:r>
          </w:p>
          <w:p w14:paraId="6C38D6AA">
            <w:pPr>
              <w:widowControl/>
              <w:jc w:val="left"/>
              <w:textAlignment w:val="center"/>
              <w:rPr>
                <w:rFonts w:ascii="新宋体" w:hAnsi="新宋体" w:eastAsia="新宋体" w:cs="新宋体"/>
                <w:color w:val="auto"/>
                <w:kern w:val="0"/>
                <w:sz w:val="24"/>
                <w:lang w:bidi="ar"/>
              </w:rPr>
            </w:pPr>
            <w:r>
              <w:rPr>
                <w:rFonts w:hint="eastAsia" w:ascii="新宋体" w:hAnsi="新宋体" w:eastAsia="新宋体" w:cs="新宋体"/>
                <w:color w:val="auto"/>
                <w:kern w:val="0"/>
                <w:sz w:val="24"/>
                <w:lang w:bidi="ar"/>
              </w:rPr>
              <w:t>电压380V</w:t>
            </w:r>
          </w:p>
          <w:p w14:paraId="5470DF11">
            <w:pPr>
              <w:widowControl/>
              <w:jc w:val="left"/>
              <w:textAlignment w:val="center"/>
              <w:rPr>
                <w:rFonts w:ascii="新宋体" w:hAnsi="新宋体" w:eastAsia="新宋体" w:cs="新宋体"/>
                <w:color w:val="auto"/>
                <w:kern w:val="0"/>
                <w:sz w:val="24"/>
                <w:lang w:bidi="ar"/>
              </w:rPr>
            </w:pPr>
            <w:r>
              <w:rPr>
                <w:rFonts w:hint="eastAsia" w:ascii="新宋体" w:hAnsi="新宋体" w:eastAsia="新宋体" w:cs="新宋体"/>
                <w:color w:val="auto"/>
                <w:kern w:val="0"/>
                <w:sz w:val="24"/>
                <w:lang w:bidi="ar"/>
              </w:rPr>
              <w:t>最大举升高度≥1820mm</w:t>
            </w:r>
          </w:p>
          <w:p w14:paraId="780AFC33">
            <w:pPr>
              <w:widowControl/>
              <w:jc w:val="left"/>
              <w:textAlignment w:val="center"/>
              <w:rPr>
                <w:rFonts w:ascii="新宋体" w:hAnsi="新宋体" w:eastAsia="新宋体" w:cs="新宋体"/>
                <w:color w:val="auto"/>
                <w:kern w:val="0"/>
                <w:sz w:val="24"/>
                <w:lang w:bidi="ar"/>
              </w:rPr>
            </w:pPr>
            <w:r>
              <w:rPr>
                <w:rFonts w:hint="eastAsia" w:ascii="新宋体" w:hAnsi="新宋体" w:eastAsia="新宋体" w:cs="新宋体"/>
                <w:color w:val="auto"/>
                <w:kern w:val="0"/>
                <w:sz w:val="24"/>
                <w:lang w:bidi="ar"/>
              </w:rPr>
              <w:t>整机高度≥3900mm</w:t>
            </w:r>
          </w:p>
          <w:p w14:paraId="77871303">
            <w:pPr>
              <w:widowControl/>
              <w:jc w:val="left"/>
              <w:textAlignment w:val="center"/>
              <w:rPr>
                <w:rFonts w:ascii="新宋体" w:hAnsi="新宋体" w:eastAsia="新宋体" w:cs="新宋体"/>
                <w:color w:val="auto"/>
                <w:kern w:val="0"/>
                <w:sz w:val="24"/>
                <w:lang w:bidi="ar"/>
              </w:rPr>
            </w:pPr>
            <w:r>
              <w:rPr>
                <w:rFonts w:hint="eastAsia" w:ascii="新宋体" w:hAnsi="新宋体" w:eastAsia="新宋体" w:cs="新宋体"/>
                <w:color w:val="auto"/>
                <w:kern w:val="0"/>
                <w:sz w:val="24"/>
                <w:lang w:bidi="ar"/>
              </w:rPr>
              <w:t>托盘螺纹3节75mm可调</w:t>
            </w:r>
          </w:p>
          <w:p w14:paraId="22262E6F">
            <w:pPr>
              <w:widowControl/>
              <w:jc w:val="left"/>
              <w:textAlignment w:val="center"/>
              <w:rPr>
                <w:rFonts w:ascii="新宋体" w:hAnsi="新宋体" w:eastAsia="新宋体" w:cs="新宋体"/>
                <w:color w:val="auto"/>
                <w:kern w:val="0"/>
                <w:sz w:val="22"/>
                <w:szCs w:val="22"/>
                <w:lang w:bidi="ar"/>
              </w:rPr>
            </w:pPr>
            <w:r>
              <w:rPr>
                <w:rFonts w:hint="eastAsia" w:ascii="新宋体" w:hAnsi="新宋体" w:eastAsia="新宋体" w:cs="新宋体"/>
                <w:color w:val="auto"/>
                <w:kern w:val="0"/>
                <w:sz w:val="24"/>
                <w:lang w:bidi="ar"/>
              </w:rPr>
              <w:t>包含地基施工</w:t>
            </w:r>
          </w:p>
        </w:tc>
      </w:tr>
      <w:tr w14:paraId="76246C75">
        <w:tblPrEx>
          <w:tblCellMar>
            <w:top w:w="0" w:type="dxa"/>
            <w:left w:w="108" w:type="dxa"/>
            <w:bottom w:w="0" w:type="dxa"/>
            <w:right w:w="108" w:type="dxa"/>
          </w:tblCellMar>
        </w:tblPrEx>
        <w:trPr>
          <w:trHeight w:val="1800"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7DDC6">
            <w:pPr>
              <w:widowControl/>
              <w:jc w:val="center"/>
              <w:textAlignment w:val="center"/>
              <w:rPr>
                <w:rFonts w:hint="default" w:ascii="新宋体" w:hAnsi="新宋体" w:eastAsia="新宋体" w:cs="新宋体"/>
                <w:color w:val="auto"/>
                <w:kern w:val="0"/>
                <w:sz w:val="22"/>
                <w:szCs w:val="22"/>
                <w:lang w:val="en-US" w:eastAsia="zh-CN" w:bidi="ar"/>
              </w:rPr>
            </w:pPr>
            <w:r>
              <w:rPr>
                <w:rFonts w:hint="eastAsia" w:ascii="新宋体" w:hAnsi="新宋体" w:eastAsia="新宋体" w:cs="新宋体"/>
                <w:color w:val="auto"/>
                <w:kern w:val="0"/>
                <w:sz w:val="22"/>
                <w:szCs w:val="22"/>
                <w:lang w:val="en-US" w:eastAsia="zh-CN" w:bidi="ar"/>
              </w:rPr>
              <w:t>33</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8A286">
            <w:pPr>
              <w:widowControl/>
              <w:jc w:val="left"/>
              <w:textAlignment w:val="center"/>
              <w:rPr>
                <w:rFonts w:hint="eastAsia" w:ascii="新宋体" w:hAnsi="新宋体" w:eastAsia="新宋体" w:cs="新宋体"/>
                <w:color w:val="auto"/>
                <w:kern w:val="0"/>
                <w:sz w:val="22"/>
                <w:szCs w:val="22"/>
                <w:lang w:val="en-US" w:eastAsia="zh-CN" w:bidi="ar"/>
              </w:rPr>
            </w:pPr>
            <w:r>
              <w:rPr>
                <w:rFonts w:hint="eastAsia" w:ascii="新宋体" w:hAnsi="新宋体" w:eastAsia="新宋体" w:cs="新宋体"/>
                <w:color w:val="auto"/>
                <w:kern w:val="0"/>
                <w:sz w:val="22"/>
                <w:szCs w:val="22"/>
                <w:lang w:val="en-US" w:eastAsia="zh-CN" w:bidi="ar"/>
              </w:rPr>
              <w:t>空调机</w:t>
            </w:r>
          </w:p>
        </w:tc>
        <w:tc>
          <w:tcPr>
            <w:tcW w:w="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4CC36">
            <w:pPr>
              <w:widowControl/>
              <w:jc w:val="center"/>
              <w:textAlignment w:val="center"/>
              <w:rPr>
                <w:rFonts w:hint="eastAsia" w:ascii="新宋体" w:hAnsi="新宋体" w:eastAsia="新宋体" w:cs="新宋体"/>
                <w:color w:val="auto"/>
                <w:kern w:val="0"/>
                <w:sz w:val="22"/>
                <w:szCs w:val="22"/>
                <w:lang w:val="en-US" w:eastAsia="zh-CN" w:bidi="ar"/>
              </w:rPr>
            </w:pPr>
            <w:r>
              <w:rPr>
                <w:rFonts w:hint="eastAsia" w:ascii="新宋体" w:hAnsi="新宋体" w:eastAsia="新宋体" w:cs="新宋体"/>
                <w:color w:val="auto"/>
                <w:kern w:val="0"/>
                <w:sz w:val="22"/>
                <w:szCs w:val="22"/>
                <w:lang w:val="en-US" w:eastAsia="zh-CN" w:bidi="ar"/>
              </w:rPr>
              <w:t>2</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3B7CB">
            <w:pPr>
              <w:widowControl/>
              <w:jc w:val="center"/>
              <w:textAlignment w:val="center"/>
              <w:rPr>
                <w:rFonts w:hint="eastAsia" w:ascii="新宋体" w:hAnsi="新宋体" w:eastAsia="新宋体" w:cs="新宋体"/>
                <w:color w:val="auto"/>
                <w:kern w:val="0"/>
                <w:sz w:val="22"/>
                <w:szCs w:val="22"/>
                <w:lang w:val="en-US" w:eastAsia="zh-CN" w:bidi="ar"/>
              </w:rPr>
            </w:pPr>
            <w:r>
              <w:rPr>
                <w:rFonts w:hint="eastAsia" w:ascii="新宋体" w:hAnsi="新宋体" w:eastAsia="新宋体" w:cs="新宋体"/>
                <w:color w:val="auto"/>
                <w:kern w:val="0"/>
                <w:sz w:val="22"/>
                <w:szCs w:val="22"/>
                <w:lang w:val="en-US" w:eastAsia="zh-CN" w:bidi="ar"/>
              </w:rPr>
              <w:t>台</w:t>
            </w:r>
          </w:p>
        </w:tc>
        <w:tc>
          <w:tcPr>
            <w:tcW w:w="8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E956F">
            <w:pPr>
              <w:widowControl/>
              <w:jc w:val="left"/>
              <w:textAlignment w:val="center"/>
              <w:rPr>
                <w:rFonts w:hint="default" w:ascii="新宋体" w:hAnsi="新宋体" w:eastAsia="新宋体" w:cs="新宋体"/>
                <w:color w:val="auto"/>
                <w:kern w:val="0"/>
                <w:sz w:val="24"/>
                <w:lang w:val="en-US" w:bidi="ar"/>
              </w:rPr>
            </w:pPr>
            <w:r>
              <w:rPr>
                <w:rFonts w:hint="eastAsia" w:ascii="新宋体" w:hAnsi="新宋体" w:eastAsia="新宋体" w:cs="新宋体"/>
                <w:color w:val="auto"/>
                <w:kern w:val="0"/>
                <w:sz w:val="22"/>
                <w:szCs w:val="22"/>
                <w:lang w:bidi="ar"/>
              </w:rPr>
              <w:t>空调5匹柜机2台变频冷暖一体，一级效能，额定制冷量（W)：≥</w:t>
            </w:r>
            <w:r>
              <w:rPr>
                <w:rFonts w:hint="eastAsia" w:ascii="新宋体" w:hAnsi="新宋体" w:eastAsia="新宋体" w:cs="新宋体"/>
                <w:color w:val="auto"/>
                <w:kern w:val="0"/>
                <w:sz w:val="22"/>
                <w:szCs w:val="22"/>
                <w:lang w:val="en-US" w:eastAsia="zh-CN" w:bidi="ar"/>
              </w:rPr>
              <w:t>1</w:t>
            </w:r>
            <w:r>
              <w:rPr>
                <w:rFonts w:hint="eastAsia" w:ascii="新宋体" w:hAnsi="新宋体" w:eastAsia="新宋体" w:cs="新宋体"/>
                <w:color w:val="auto"/>
                <w:kern w:val="0"/>
                <w:sz w:val="22"/>
                <w:szCs w:val="22"/>
                <w:lang w:bidi="ar"/>
              </w:rPr>
              <w:t>200</w:t>
            </w:r>
            <w:r>
              <w:rPr>
                <w:rFonts w:hint="eastAsia" w:ascii="新宋体" w:hAnsi="新宋体" w:eastAsia="新宋体" w:cs="新宋体"/>
                <w:color w:val="auto"/>
                <w:kern w:val="0"/>
                <w:sz w:val="22"/>
                <w:szCs w:val="22"/>
                <w:lang w:val="en-US" w:eastAsia="zh-CN" w:bidi="ar"/>
              </w:rPr>
              <w:t>0，额定制热量（W)：≥12800，额定制冷输入功率（W)：≤3600，循环风量（m3/h）：≥1800，室内噪音dB(A)(最高）：≤46，室外噪音dB(A)(最高）：≤60。含安装、插座附件。</w:t>
            </w:r>
          </w:p>
        </w:tc>
      </w:tr>
      <w:bookmarkEnd w:id="0"/>
    </w:tbl>
    <w:p w14:paraId="40EC5BA3">
      <w:pPr>
        <w:rPr>
          <w:color w:val="auto"/>
        </w:rPr>
      </w:pPr>
    </w:p>
    <w:p w14:paraId="1B3FB5AA">
      <w:pPr>
        <w:rPr>
          <w:color w:val="auto"/>
        </w:rPr>
      </w:pPr>
      <w:r>
        <w:rPr>
          <w:rFonts w:hint="eastAsia"/>
          <w:color w:val="auto"/>
        </w:rPr>
        <w:t>商务需求</w:t>
      </w:r>
    </w:p>
    <w:p w14:paraId="16F47218">
      <w:pPr>
        <w:numPr>
          <w:ilvl w:val="0"/>
          <w:numId w:val="3"/>
        </w:numPr>
        <w:rPr>
          <w:color w:val="auto"/>
        </w:rPr>
      </w:pPr>
      <w:r>
        <w:rPr>
          <w:color w:val="auto"/>
        </w:rPr>
        <w:t>所有设备交付时应附有出厂合格证、使用说明书、保修卡及相关技术资料。</w:t>
      </w:r>
    </w:p>
    <w:p w14:paraId="22CC7D91">
      <w:pPr>
        <w:numPr>
          <w:ilvl w:val="0"/>
          <w:numId w:val="3"/>
        </w:numPr>
        <w:rPr>
          <w:color w:val="auto"/>
        </w:rPr>
      </w:pPr>
      <w:r>
        <w:rPr>
          <w:color w:val="auto"/>
        </w:rPr>
        <w:t>供应商应提供完整的安装调试报告和操作培训记录。</w:t>
      </w:r>
    </w:p>
    <w:p w14:paraId="7E2AA3C3">
      <w:pPr>
        <w:numPr>
          <w:ilvl w:val="0"/>
          <w:numId w:val="3"/>
        </w:numPr>
        <w:rPr>
          <w:color w:val="auto"/>
        </w:rPr>
      </w:pPr>
      <w:r>
        <w:rPr>
          <w:color w:val="auto"/>
        </w:rPr>
        <w:t>供应商</w:t>
      </w:r>
      <w:r>
        <w:rPr>
          <w:rFonts w:hint="eastAsia"/>
          <w:color w:val="auto"/>
          <w:lang w:val="en-US" w:eastAsia="zh-CN"/>
        </w:rPr>
        <w:t>供货交付时</w:t>
      </w:r>
      <w:r>
        <w:rPr>
          <w:color w:val="auto"/>
        </w:rPr>
        <w:t>应配合采购方按照本技术参数逐项进行测试验证。</w:t>
      </w:r>
    </w:p>
    <w:p w14:paraId="14BB19E9">
      <w:pPr>
        <w:numPr>
          <w:ilvl w:val="0"/>
          <w:numId w:val="3"/>
        </w:numPr>
        <w:rPr>
          <w:color w:val="auto"/>
        </w:rPr>
      </w:pPr>
      <w:r>
        <w:rPr>
          <w:rFonts w:hint="eastAsia"/>
          <w:color w:val="auto"/>
          <w:lang w:val="en-US" w:eastAsia="zh-CN"/>
        </w:rPr>
        <w:t>所涉及</w:t>
      </w:r>
      <w:r>
        <w:rPr>
          <w:color w:val="auto"/>
        </w:rPr>
        <w:t>软件系统需</w:t>
      </w:r>
      <w:r>
        <w:rPr>
          <w:rFonts w:hint="eastAsia"/>
          <w:color w:val="auto"/>
          <w:lang w:val="en-US" w:eastAsia="zh-CN"/>
        </w:rPr>
        <w:t>供货交付时</w:t>
      </w:r>
      <w:r>
        <w:rPr>
          <w:color w:val="auto"/>
        </w:rPr>
        <w:t>演示各项功能，并确保与硬件设备匹配无误。</w:t>
      </w:r>
    </w:p>
    <w:p w14:paraId="1B133EC5">
      <w:pPr>
        <w:numPr>
          <w:ilvl w:val="0"/>
          <w:numId w:val="3"/>
        </w:numPr>
        <w:rPr>
          <w:color w:val="auto"/>
        </w:rPr>
      </w:pPr>
      <w:r>
        <w:rPr>
          <w:color w:val="auto"/>
        </w:rPr>
        <w:t>所有设备安装完成后，供应商需提供不少于</w:t>
      </w:r>
      <w:r>
        <w:rPr>
          <w:rFonts w:hint="eastAsia"/>
          <w:color w:val="auto"/>
        </w:rPr>
        <w:t>100</w:t>
      </w:r>
      <w:r>
        <w:rPr>
          <w:color w:val="auto"/>
        </w:rPr>
        <w:t>课时的现场操作培训。</w:t>
      </w:r>
    </w:p>
    <w:p w14:paraId="1A3AD150">
      <w:pPr>
        <w:numPr>
          <w:ilvl w:val="0"/>
          <w:numId w:val="3"/>
        </w:numPr>
        <w:rPr>
          <w:color w:val="auto"/>
        </w:rPr>
      </w:pPr>
      <w:r>
        <w:rPr>
          <w:rFonts w:hint="eastAsia"/>
          <w:color w:val="auto"/>
        </w:rPr>
        <w:t>提供竞赛辅导不低于30天。</w:t>
      </w:r>
    </w:p>
    <w:p w14:paraId="00B477A0">
      <w:pPr>
        <w:rPr>
          <w:color w:val="auto"/>
        </w:rPr>
      </w:pPr>
      <w:r>
        <w:rPr>
          <w:rFonts w:hint="eastAsia"/>
          <w:color w:val="auto"/>
        </w:rPr>
        <w:t>以上需求供应商需提供承诺函。</w:t>
      </w:r>
    </w:p>
    <w:p w14:paraId="7203E4FB">
      <w:pPr>
        <w:pStyle w:val="6"/>
        <w:jc w:val="center"/>
        <w:rPr>
          <w:rFonts w:hint="eastAsia" w:ascii="宋体" w:hAnsi="宋体" w:eastAsia="宋体" w:cs="宋体"/>
          <w:color w:val="auto"/>
          <w:sz w:val="24"/>
          <w:szCs w:val="24"/>
          <w:lang w:eastAsia="zh-CN"/>
        </w:rPr>
      </w:pPr>
      <w:r>
        <w:rPr>
          <w:rFonts w:hint="eastAsia"/>
          <w:color w:val="auto"/>
          <w:lang w:val="en-US" w:eastAsia="zh-CN"/>
        </w:rPr>
        <w:t>本标段核心产品为</w:t>
      </w:r>
      <w:r>
        <w:rPr>
          <w:rFonts w:hint="eastAsia" w:ascii="新宋体" w:hAnsi="新宋体" w:eastAsia="新宋体" w:cs="新宋体"/>
          <w:color w:val="auto"/>
          <w:kern w:val="0"/>
          <w:sz w:val="22"/>
          <w:szCs w:val="22"/>
          <w:lang w:bidi="ar"/>
        </w:rPr>
        <w:t>动力电池装调测试竞赛平台</w:t>
      </w:r>
    </w:p>
    <w:p w14:paraId="5427017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新宋体">
    <w:panose1 w:val="02010609030101010101"/>
    <w:charset w:val="86"/>
    <w:family w:val="modern"/>
    <w:pitch w:val="default"/>
    <w:sig w:usb0="00000283" w:usb1="288F0000" w:usb2="00000006" w:usb3="00000000" w:csb0="00040001" w:csb1="00000000"/>
  </w:font>
  <w:font w:name="MS PGothic">
    <w:panose1 w:val="020B0600070205080204"/>
    <w:charset w:val="80"/>
    <w:family w:val="auto"/>
    <w:pitch w:val="default"/>
    <w:sig w:usb0="E00002FF" w:usb1="6AC7FDFB" w:usb2="08000012" w:usb3="00000000" w:csb0="4002009F" w:csb1="DFD7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E83567"/>
    <w:multiLevelType w:val="singleLevel"/>
    <w:tmpl w:val="2AE83567"/>
    <w:lvl w:ilvl="0" w:tentative="0">
      <w:start w:val="1"/>
      <w:numFmt w:val="decimal"/>
      <w:suff w:val="space"/>
      <w:lvlText w:val="%1."/>
      <w:lvlJc w:val="left"/>
    </w:lvl>
  </w:abstractNum>
  <w:abstractNum w:abstractNumId="1">
    <w:nsid w:val="6719B699"/>
    <w:multiLevelType w:val="singleLevel"/>
    <w:tmpl w:val="6719B699"/>
    <w:lvl w:ilvl="0" w:tentative="0">
      <w:start w:val="1"/>
      <w:numFmt w:val="decimal"/>
      <w:lvlText w:val="%1."/>
      <w:lvlJc w:val="left"/>
      <w:pPr>
        <w:ind w:left="425" w:hanging="425"/>
      </w:pPr>
      <w:rPr>
        <w:rFonts w:hint="default"/>
      </w:rPr>
    </w:lvl>
  </w:abstractNum>
  <w:abstractNum w:abstractNumId="2">
    <w:nsid w:val="703D4310"/>
    <w:multiLevelType w:val="singleLevel"/>
    <w:tmpl w:val="703D4310"/>
    <w:lvl w:ilvl="0" w:tentative="0">
      <w:start w:val="1"/>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54D64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2"/>
    <w:basedOn w:val="1"/>
    <w:qFormat/>
    <w:uiPriority w:val="99"/>
    <w:pPr>
      <w:spacing w:line="360" w:lineRule="auto"/>
      <w:ind w:firstLine="480" w:firstLineChars="200"/>
    </w:pPr>
    <w:rPr>
      <w:rFonts w:ascii="仿宋_GB2312" w:hAnsi="宋体" w:eastAsia="仿宋_GB2312" w:cs="仿宋_GB2312"/>
      <w:kern w:val="0"/>
      <w:sz w:val="24"/>
    </w:rPr>
  </w:style>
  <w:style w:type="paragraph" w:styleId="3">
    <w:name w:val="Normal (Web)"/>
    <w:basedOn w:val="1"/>
    <w:qFormat/>
    <w:uiPriority w:val="0"/>
    <w:pPr>
      <w:widowControl/>
      <w:spacing w:beforeAutospacing="1" w:afterAutospacing="1"/>
      <w:jc w:val="left"/>
    </w:pPr>
    <w:rPr>
      <w:rFonts w:ascii="宋体" w:hAnsi="宋体"/>
      <w:kern w:val="0"/>
      <w:sz w:val="24"/>
    </w:rPr>
  </w:style>
  <w:style w:type="paragraph" w:customStyle="1" w:styleId="6">
    <w:name w:val="无间隔1"/>
    <w:basedOn w:val="7"/>
    <w:next w:val="8"/>
    <w:autoRedefine/>
    <w:qFormat/>
    <w:uiPriority w:val="0"/>
    <w:pPr>
      <w:widowControl w:val="0"/>
      <w:spacing w:line="400" w:lineRule="exact"/>
      <w:jc w:val="both"/>
    </w:pPr>
    <w:rPr>
      <w:rFonts w:ascii="Calibri" w:hAnsi="Calibri" w:eastAsia="宋体" w:cs="Times New Roman"/>
      <w:kern w:val="2"/>
      <w:sz w:val="24"/>
      <w:szCs w:val="24"/>
      <w:lang w:val="en-US" w:eastAsia="zh-CN" w:bidi="ar-SA"/>
    </w:rPr>
  </w:style>
  <w:style w:type="paragraph" w:customStyle="1" w:styleId="7">
    <w:name w:val="正文_0"/>
    <w:next w:val="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
    <w:name w:val="正文（首行缩进） Char"/>
    <w:basedOn w:val="1"/>
    <w:next w:val="2"/>
    <w:qFormat/>
    <w:uiPriority w:val="0"/>
    <w:pPr>
      <w:widowControl w:val="0"/>
      <w:autoSpaceDE/>
      <w:autoSpaceDN/>
      <w:spacing w:before="0" w:after="0" w:line="360" w:lineRule="auto"/>
      <w:ind w:left="0" w:firstLine="480"/>
      <w:jc w:val="both"/>
    </w:pPr>
    <w:rPr>
      <w:rFonts w:ascii="Arial" w:eastAsia="宋体"/>
      <w:color w:val="00000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2026-09-17T06:47:21Z</dcterms:created>
  <dc:creator>Administrator</dc:creator>
  <cp:lastModifiedBy>Administrator</cp:lastModifiedBy>
  <dcterms:modified xsi:type="dcterms:W3CDTF">2026-09-17T06:48:19Z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eyJoZGlkIjoiYTk4NDI0ZDFjNzhmY2U2M2RhMjM4MDZjNDEzNzQ0YjIiLCJ1c2VySWQiOiIxNjQ1OTU5MTg2In0=</vt:lpwstr>
  </property>
  <property fmtid="{D5CDD505-2E9C-101B-9397-08002B2CF9AE}" pid="4" name="ICV">
    <vt:lpwstr>B38A45A14B4C4614B9A59E380101FABF_12</vt:lpwstr>
  </property>
</Properties>
</file>