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A2B1F">
      <w:pPr>
        <w:pStyle w:val="2"/>
        <w:numPr>
          <w:numId w:val="0"/>
        </w:numPr>
        <w:spacing w:before="312" w:beforeLines="100" w:after="312" w:afterLines="100" w:line="600" w:lineRule="exact"/>
        <w:ind w:leftChars="0"/>
        <w:jc w:val="center"/>
        <w:outlineLvl w:val="0"/>
        <w:rPr>
          <w:rFonts w:hint="eastAsia" w:hAnsi="Courier New" w:cs="Courier New"/>
          <w:b/>
          <w:bCs/>
          <w:color w:val="auto"/>
          <w:sz w:val="32"/>
          <w:szCs w:val="32"/>
          <w:highlight w:val="none"/>
        </w:rPr>
      </w:pPr>
      <w:bookmarkStart w:id="6" w:name="_GoBack"/>
      <w:bookmarkEnd w:id="6"/>
      <w:bookmarkStart w:id="0" w:name="_Toc22214"/>
      <w:bookmarkStart w:id="1" w:name="_Toc23967"/>
      <w:bookmarkStart w:id="2" w:name="_Toc14435"/>
      <w:bookmarkStart w:id="3" w:name="_Toc5862"/>
      <w:bookmarkStart w:id="4" w:name="_Toc1808"/>
      <w:bookmarkStart w:id="5" w:name="OLE_LINK29"/>
      <w:r>
        <w:rPr>
          <w:rFonts w:hint="eastAsia" w:hAnsi="Courier New" w:cs="Courier New"/>
          <w:b/>
          <w:bCs/>
          <w:color w:val="auto"/>
          <w:sz w:val="32"/>
          <w:szCs w:val="32"/>
          <w:highlight w:val="none"/>
          <w:lang w:eastAsia="zh-CN"/>
        </w:rPr>
        <w:t>采购需求</w:t>
      </w:r>
      <w:bookmarkEnd w:id="0"/>
      <w:bookmarkEnd w:id="1"/>
      <w:bookmarkEnd w:id="2"/>
      <w:bookmarkEnd w:id="3"/>
      <w:bookmarkEnd w:id="4"/>
    </w:p>
    <w:bookmarkEnd w:id="5"/>
    <w:p w14:paraId="6A4B0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一、服务区域：</w:t>
      </w:r>
    </w:p>
    <w:p w14:paraId="7C8C049C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A包：郑姚管区(东至:225省道，西至：新国道107，北至：中牟县城10公里，紧邻郑民高速，南至：高铁郑州航空港站15公里)、黄店镇(东至:中牟县刁家乡，西至：航空港区八岗镇，南至：航空港区冯堂镇，北至：中牟县姚家镇)辖区内，公共区域病媒生物防制消杀工作。</w:t>
      </w:r>
    </w:p>
    <w:p w14:paraId="77F4FD5B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B包：京航办事处(东至:二十五大街，西至:京珠高速，南至:郑民高速以北，北至:陇海铁路)、前程办事处(东至:新107国道(万三公路)，西至:前程大街(二十五大街)，南至:郑民高速，北至:陇海铁路)、九龙办事处(东至:风栖路，西至：二十二大街，南至：郑民高速，北至：金秋路)内辖区内，公共区域病媒生物防制消杀工作。</w:t>
      </w:r>
    </w:p>
    <w:p w14:paraId="5812CB23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C包：明湖办事处(东至:东三环，西至:机场高速，南至:南三环，北至:陇海铁路)辖区内，公共区域病媒生物防制消杀工作。</w:t>
      </w:r>
    </w:p>
    <w:p w14:paraId="40B56C7C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D包：潮河办事处(东至:二十大街，西至:东三环，南至:经南十六路，北至:经北四路)、祥云办事处(东至:107国道，西至：管城回族自治区、新郑市相邻，南至：航空港区，北至：郑民高速)辖区内，公共区域病媒生物防制消杀工作。</w:t>
      </w:r>
    </w:p>
    <w:p w14:paraId="561DBB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二、游园(绿地)、河流、道路、无主管居民区等公共外环境概况</w:t>
      </w:r>
    </w:p>
    <w:p w14:paraId="38F5C8C9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A包：郑姚管区、黄店镇辖区内，公共区域病媒生物防制消杀工作。</w:t>
      </w:r>
    </w:p>
    <w:p w14:paraId="422E92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河流</w:t>
      </w:r>
    </w:p>
    <w:p w14:paraId="3E3CE5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丈八沟、小清河、马河、北康沟、侯庄沟、蒋家沟、新沙河、台前河。</w:t>
      </w:r>
    </w:p>
    <w:p w14:paraId="0F0FF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道路</w:t>
      </w:r>
    </w:p>
    <w:p w14:paraId="6F5ADD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广惠街、建设路、文通路、祥云路、省道(S317)，县道9条，乡道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条，村道33条。</w:t>
      </w:r>
    </w:p>
    <w:p w14:paraId="52E38174">
      <w:pPr>
        <w:pStyle w:val="5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0BD31845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B包：京航办事处、前程办事处、九龙办事处内辖区内，公共区域病媒生物防制消杀工作。</w:t>
      </w:r>
    </w:p>
    <w:p w14:paraId="5F242C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游园(绿地)</w:t>
      </w:r>
    </w:p>
    <w:p w14:paraId="749051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郑风生态牡丹园、凤河公园、锦龙游园、梦湖游园、锦祥游园、御风生态牡丹园。</w:t>
      </w:r>
    </w:p>
    <w:p w14:paraId="0AEF76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河流</w:t>
      </w:r>
    </w:p>
    <w:p w14:paraId="1B842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龙渠、七里河、凤河、梦湖、杨桥干渠。</w:t>
      </w:r>
    </w:p>
    <w:p w14:paraId="636A6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道路</w:t>
      </w:r>
    </w:p>
    <w:p w14:paraId="58668B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第二十二大街、第二十三大街、第二十五大街、、龙飞北街、航海东路、南三环、经南十二路、前程大道、新107国道(万三公路)、启航路、礼通街、美辰路、智通南街、经北二路、浔江路。</w:t>
      </w:r>
    </w:p>
    <w:p w14:paraId="5C373C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无主管居民区</w:t>
      </w:r>
    </w:p>
    <w:p w14:paraId="57195E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val="en-US" w:eastAsia="zh-CN"/>
        </w:rPr>
        <w:t>螺蚔湖社区。</w:t>
      </w:r>
    </w:p>
    <w:p w14:paraId="2601B45C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C包：明湖办事处辖区内，公共区域病媒生物防制消杀工作。</w:t>
      </w:r>
    </w:p>
    <w:p w14:paraId="4F3F79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游园(绿地)</w:t>
      </w:r>
    </w:p>
    <w:p w14:paraId="15F0F3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尚岗杨公园：启明广场、五大街经北二路西南角游园、航海路三大街东南角游园、八大街中心广场、九大街经北二路西南角游园、五大街同乐公园</w:t>
      </w:r>
    </w:p>
    <w:p w14:paraId="059CA2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河流</w:t>
      </w:r>
    </w:p>
    <w:p w14:paraId="5A142F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七里河、十八里河</w:t>
      </w:r>
    </w:p>
    <w:p w14:paraId="16AE32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道路</w:t>
      </w:r>
    </w:p>
    <w:p w14:paraId="281338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朝凤路、经北六路、南三环、经南三路、经南五路、博才路、第一大街到第十大街。</w:t>
      </w:r>
    </w:p>
    <w:p w14:paraId="00D97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无主管居民区</w:t>
      </w:r>
    </w:p>
    <w:p w14:paraId="3CCC24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val="en-US" w:eastAsia="zh-CN"/>
        </w:rPr>
        <w:t>东畔花园、东旭花园、照相机厂家属院、大宇颐园、建大花园、公安小区、祥和小区、东郡蓝湾、悉尼阳光、阳光名仕广场（大城小室）。</w:t>
      </w:r>
    </w:p>
    <w:p w14:paraId="0E9F55C2">
      <w:pPr>
        <w:numPr>
          <w:ilvl w:val="0"/>
          <w:numId w:val="0"/>
        </w:numPr>
        <w:tabs>
          <w:tab w:val="left" w:pos="9460"/>
        </w:tabs>
        <w:spacing w:before="0" w:line="364" w:lineRule="auto"/>
        <w:ind w:left="0" w:leftChars="0" w:right="-84" w:rightChars="-40" w:firstLine="42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D包：潮河办事处、祥云办事处辖区内，公共区域病媒生物防制消杀工作。</w:t>
      </w:r>
    </w:p>
    <w:p w14:paraId="42BC4C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游园(绿地)</w:t>
      </w:r>
    </w:p>
    <w:p w14:paraId="64D842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瑞锦体育公园、瑞锦文化公园、蝶湖森林公园、</w:t>
      </w:r>
    </w:p>
    <w:p w14:paraId="5AE1FE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河流</w:t>
      </w:r>
    </w:p>
    <w:p w14:paraId="3CFB1A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中兴渠、潮河、祥云寺村东沟、祥云寺村西沟、前王村花马沟。</w:t>
      </w:r>
    </w:p>
    <w:p w14:paraId="35D880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328" w:right="0" w:rightChars="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道路</w:t>
      </w:r>
    </w:p>
    <w:p w14:paraId="7F57C5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528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highlight w:val="none"/>
          <w:lang w:eastAsia="zh-CN"/>
        </w:rPr>
        <w:t>第十五大街到第二十二大街</w:t>
      </w:r>
    </w:p>
    <w:p w14:paraId="55B15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2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三、公共外环境病媒生物防制服务内容</w:t>
      </w:r>
    </w:p>
    <w:p w14:paraId="4707D7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游园(绿地)、河流、道路、无主管居民区等公共外环境灭鼠和蚊蝇、蟑螂的孳生地的消灭和控制。</w:t>
      </w:r>
    </w:p>
    <w:p w14:paraId="769C30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突发应急事件环境消杀。</w:t>
      </w:r>
    </w:p>
    <w:p w14:paraId="718B3E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区、办事处组织的其它病媒生物防制活动（包括要承担的公益性服务）。</w:t>
      </w:r>
    </w:p>
    <w:p w14:paraId="3CDB28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向所在服务区内低保户等困难家庭户无偿提供家庭用灭蟑、灭鼠等病媒生物药品及技术指导。</w:t>
      </w:r>
    </w:p>
    <w:p w14:paraId="0E018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依据《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国家卫生城市标准（2014版）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》，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国家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卫生城市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病媒生物密度控制水平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要达到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C级标准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，按照国标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(GB/T 27770-2011、GB/T27771-2011、GB/T 27772-2011、GB/T 27773-2011)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鼠、蚊、蝇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、蟑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密度控制水平标准</w:t>
      </w:r>
    </w:p>
    <w:p w14:paraId="4C7F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1.蜚蠊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（蟑螂）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密度控制水平</w:t>
      </w:r>
    </w:p>
    <w:p w14:paraId="555C1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C级:蜚蠊成若虫侵害率小于或等于5%,平均每阳性间(处)成若虫数小蠊小于或等于10只,大蠊小于或等于5只。</w:t>
      </w:r>
    </w:p>
    <w:p w14:paraId="19E82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C级:蜚蠊卵鞘查获率小于或等于3%,平均每阳性间(处)卵鞘数小于或等于8只。</w:t>
      </w:r>
    </w:p>
    <w:p w14:paraId="1B252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C级:蟑迹查获率小于或等于7%。</w:t>
      </w:r>
    </w:p>
    <w:p w14:paraId="477A1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1.2 检查和计算方法</w:t>
      </w:r>
    </w:p>
    <w:p w14:paraId="0C3C0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zh-CN"/>
        </w:rPr>
        <w:t>蟑密度检测：（国标GB/T 23795-2009）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进行检查 。蜚蠊密度监测方法采用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路径指数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法</w:t>
      </w:r>
    </w:p>
    <w:p w14:paraId="7D1C9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</w:rPr>
        <w:t>2蝇类控制水平</w:t>
      </w:r>
    </w:p>
    <w:p w14:paraId="0AA74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 xml:space="preserve"> 生产销售直接人口食品的场所不得有蝇。室内不得存在蝇类孳生地。</w:t>
      </w:r>
    </w:p>
    <w:p w14:paraId="7FA9C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C级:有蝇房间阳性率小于或等于9%,阳性间蝇密度小于或等于 3只/间。</w:t>
      </w:r>
    </w:p>
    <w:p w14:paraId="32A3F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C级:蝇类孳生地阳性率小于或等于5%。</w:t>
      </w:r>
    </w:p>
    <w:p w14:paraId="4F0FB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C级:防蝇设施合格率大于或等于90%</w:t>
      </w:r>
    </w:p>
    <w:p w14:paraId="180BE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2.3检查方法</w:t>
      </w:r>
    </w:p>
    <w:p w14:paraId="62254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蝇密度检测：（国标GB/T 23796-2009）进行检查 。</w:t>
      </w:r>
    </w:p>
    <w:p w14:paraId="06FE5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shd w:val="clear" w:color="auto" w:fill="auto"/>
        </w:rPr>
        <w:t>3.蚊虫密度控制水平</w:t>
      </w:r>
    </w:p>
    <w:p w14:paraId="1FBF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C级:路径指数小于或等于 0.8。</w:t>
      </w:r>
    </w:p>
    <w:p w14:paraId="59CD5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C级:采样勺指数小于或等于5%,平均每阳性勺少于8只蚊虫幼虫和蛹。</w:t>
      </w:r>
    </w:p>
    <w:p w14:paraId="03160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C级:停落指数小于或等于1.5。</w:t>
      </w:r>
    </w:p>
    <w:p w14:paraId="68858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3.2检查方法</w:t>
      </w:r>
    </w:p>
    <w:p w14:paraId="420E6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zh-CN"/>
        </w:rPr>
        <w:t>灭蚊密度检测：（国标GB/T 23797-2009）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进行检查 。</w:t>
      </w:r>
    </w:p>
    <w:p w14:paraId="4021F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shd w:val="clear" w:color="auto" w:fill="auto"/>
        </w:rPr>
        <w:t>4. 鼠密度控制水平</w:t>
      </w:r>
    </w:p>
    <w:p w14:paraId="43839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C级：防鼠设施合格率大于或等于93%</w:t>
      </w:r>
    </w:p>
    <w:p w14:paraId="3F3B5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C级：鼠迹阳性率小于或等于5%</w:t>
      </w:r>
    </w:p>
    <w:p w14:paraId="24C74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C级：路径指数小于或等于5</w:t>
      </w:r>
    </w:p>
    <w:p w14:paraId="273F0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4.2检查方法</w:t>
      </w:r>
    </w:p>
    <w:p w14:paraId="232D3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鼠密度检测：（国标GB/T 23798-2009）进行检查 。鼠密度监测方法采用鼠迹法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。</w:t>
      </w:r>
    </w:p>
    <w:p w14:paraId="1151D6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群众满意率90%以上。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每月考核时现场询问附近人员及相关群众。</w:t>
      </w:r>
    </w:p>
    <w:p w14:paraId="286EB7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、消杀规范</w:t>
      </w:r>
    </w:p>
    <w:p w14:paraId="7B3B1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规范用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药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：所用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药品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全部高效低毒，严禁使用剧毒药品，需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要“三证”齐全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。（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“三证”是指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：企业标准（生产企业质监部制定），生产许可证（生产企业所在省农业农村厅核发），农药登记证（中华人民共和国农业农村部核发）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）</w:t>
      </w:r>
    </w:p>
    <w:p w14:paraId="67F9C4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1.蚊幼防制</w:t>
      </w:r>
    </w:p>
    <w:p w14:paraId="376064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使用药品：需“三证”齐全低毒的卫生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杀虫剂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。</w:t>
      </w:r>
    </w:p>
    <w:p w14:paraId="473337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防制时间：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月至10月</w:t>
      </w:r>
    </w:p>
    <w:p w14:paraId="47ADDE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防制频次：沿河两岸各设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米宽，两侧共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米防制带，每15天投药一次，雨后一周内加强一次。</w:t>
      </w:r>
    </w:p>
    <w:p w14:paraId="3E13EA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2.蚊蝇、蟑螂防制</w:t>
      </w:r>
    </w:p>
    <w:p w14:paraId="0CF809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使用药品：需“三证”齐全低毒的卫生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杀虫剂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。</w:t>
      </w:r>
    </w:p>
    <w:p w14:paraId="119C3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防制时间：4月至11月</w:t>
      </w:r>
    </w:p>
    <w:p w14:paraId="358CF0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防制频次：越冬蚊蝇，惊蛰前后消杀一次。成蚊、成蝇高发期每旬消杀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次，蟑螂视情况适时消杀。</w:t>
      </w:r>
    </w:p>
    <w:p w14:paraId="7AD17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3.鼠类防制</w:t>
      </w:r>
    </w:p>
    <w:p w14:paraId="416EE1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使用药品：需“三证”齐全低毒的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杀鼠剂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。</w:t>
      </w:r>
    </w:p>
    <w:p w14:paraId="03E57D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防制时间：1月至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月。</w:t>
      </w:r>
    </w:p>
    <w:p w14:paraId="7B74DB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防制频次：每月投药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次，每次连投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天。</w:t>
      </w:r>
    </w:p>
    <w:p w14:paraId="259853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eastAsia="zh-CN"/>
        </w:rPr>
        <w:t>、防制原则</w:t>
      </w:r>
    </w:p>
    <w:p w14:paraId="6A86F2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1.蚊类孳生地防制原则</w:t>
      </w:r>
    </w:p>
    <w:p w14:paraId="63588B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采用以防为主，防制结合的方法，以水体治理为主。清理容器，翻盆倒罐，成蚊治理为辅。</w:t>
      </w:r>
    </w:p>
    <w:p w14:paraId="3F51E0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2.蝇类孳生地防制原则</w:t>
      </w:r>
    </w:p>
    <w:p w14:paraId="31432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消灭成蝇，清理滋生地。</w:t>
      </w:r>
    </w:p>
    <w:p w14:paraId="1AFC4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3.蟑螂孳生地防制原则</w:t>
      </w:r>
    </w:p>
    <w:p w14:paraId="243517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78" w:firstLineChars="228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以治理为主。烟雾熏蒸加滞留喷洒为原则。</w:t>
      </w:r>
    </w:p>
    <w:p w14:paraId="25E957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1" w:firstLineChars="228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highlight w:val="none"/>
          <w:lang w:val="en-US" w:eastAsia="zh-CN"/>
        </w:rPr>
        <w:t>4.鼠类孳生地防制原则</w:t>
      </w:r>
    </w:p>
    <w:p w14:paraId="5A385FF0"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highlight w:val="none"/>
          <w:lang w:eastAsia="zh-CN"/>
        </w:rPr>
        <w:t>以查找鼠迹、堵洞、药物投放为治理原则。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35E97"/>
    <w:rsid w:val="307E6EDE"/>
    <w:rsid w:val="7693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topLinePunct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customStyle="1" w:styleId="5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2262</Words>
  <Characters>2436</Characters>
  <Lines>0</Lines>
  <Paragraphs>0</Paragraphs>
  <TotalTime>0</TotalTime>
  <ScaleCrop>false</ScaleCrop>
  <LinksUpToDate>false</LinksUpToDate>
  <CharactersWithSpaces>2452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2026-09-20T07:21:00Z</dcterms:created>
  <dc:creator>中金泰富</dc:creator>
  <cp:lastModifiedBy>中金泰富</cp:lastModifiedBy>
  <dcterms:modified xsi:type="dcterms:W3CDTF">2026-09-20T07:22:17Z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6E456904ABDF44CBAA6EA034EC3EBA0D_11</vt:lpwstr>
  </property>
  <property fmtid="{D5CDD505-2E9C-101B-9397-08002B2CF9AE}" pid="4" name="KSOTemplateDocerSaveRecord">
    <vt:lpwstr>eyJoZGlkIjoiODY5N2M5N2I5NGZmMGMzZTk0MjlmZjkyNGY3OGE0MDkiLCJ1c2VySWQiOiIxMjg5MTQwNTE2In0=</vt:lpwstr>
  </property>
</Properties>
</file>