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87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
        <w:gridCol w:w="272"/>
        <w:gridCol w:w="749"/>
        <w:gridCol w:w="1236"/>
        <w:gridCol w:w="601"/>
        <w:gridCol w:w="4989"/>
        <w:gridCol w:w="73"/>
      </w:tblGrid>
      <w:tr w14:paraId="25DD2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885" w:type="dxa"/>
            <w:gridSpan w:val="3"/>
            <w:tcBorders>
              <w:top w:val="single" w:color="auto" w:sz="4" w:space="0"/>
              <w:left w:val="single" w:color="auto" w:sz="4" w:space="0"/>
              <w:bottom w:val="single" w:color="auto" w:sz="4" w:space="0"/>
              <w:right w:val="single" w:color="auto" w:sz="4" w:space="0"/>
            </w:tcBorders>
            <w:noWrap w:val="0"/>
            <w:vAlign w:val="center"/>
          </w:tcPr>
          <w:p w14:paraId="34A322E3">
            <w:pPr>
              <w:spacing w:line="360" w:lineRule="auto"/>
              <w:outlineLvl w:val="9"/>
              <w:rPr>
                <w:rFonts w:hint="eastAsia" w:ascii="宋体" w:hAnsi="宋体" w:eastAsia="宋体" w:cs="宋体"/>
                <w:color w:val="auto"/>
                <w:szCs w:val="21"/>
                <w:highlight w:val="none"/>
              </w:rPr>
            </w:pPr>
            <w:bookmarkStart w:id="0" w:name="_Toc16931"/>
            <w:r>
              <w:rPr>
                <w:rFonts w:hint="eastAsia" w:ascii="宋体" w:hAnsi="宋体" w:eastAsia="宋体" w:cs="宋体"/>
                <w:color w:val="auto"/>
                <w:szCs w:val="21"/>
                <w:highlight w:val="none"/>
              </w:rPr>
              <w:t>条款号</w:t>
            </w:r>
            <w:bookmarkEnd w:id="0"/>
          </w:p>
        </w:tc>
        <w:tc>
          <w:tcPr>
            <w:tcW w:w="1837" w:type="dxa"/>
            <w:gridSpan w:val="2"/>
            <w:tcBorders>
              <w:top w:val="single" w:color="auto" w:sz="4" w:space="0"/>
              <w:left w:val="nil"/>
              <w:bottom w:val="single" w:color="auto" w:sz="4" w:space="0"/>
              <w:right w:val="single" w:color="auto" w:sz="4" w:space="0"/>
            </w:tcBorders>
            <w:noWrap w:val="0"/>
            <w:vAlign w:val="center"/>
          </w:tcPr>
          <w:p w14:paraId="147C1C84">
            <w:pPr>
              <w:spacing w:line="360" w:lineRule="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评审因素</w:t>
            </w:r>
          </w:p>
        </w:tc>
        <w:tc>
          <w:tcPr>
            <w:tcW w:w="5062" w:type="dxa"/>
            <w:gridSpan w:val="2"/>
            <w:tcBorders>
              <w:top w:val="single" w:color="auto" w:sz="4" w:space="0"/>
              <w:left w:val="nil"/>
              <w:bottom w:val="single" w:color="auto" w:sz="4" w:space="0"/>
              <w:right w:val="single" w:color="auto" w:sz="4" w:space="0"/>
            </w:tcBorders>
            <w:noWrap w:val="0"/>
            <w:vAlign w:val="center"/>
          </w:tcPr>
          <w:p w14:paraId="0A78D09B">
            <w:pPr>
              <w:spacing w:line="360" w:lineRule="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评审标准</w:t>
            </w:r>
            <w:bookmarkStart w:id="1" w:name="_GoBack"/>
            <w:bookmarkEnd w:id="1"/>
          </w:p>
        </w:tc>
      </w:tr>
      <w:tr w14:paraId="0DD8C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864" w:type="dxa"/>
            <w:vMerge w:val="restart"/>
            <w:tcBorders>
              <w:top w:val="nil"/>
              <w:left w:val="single" w:color="auto" w:sz="4" w:space="0"/>
              <w:bottom w:val="single" w:color="auto" w:sz="4" w:space="0"/>
              <w:right w:val="single" w:color="auto" w:sz="4" w:space="0"/>
            </w:tcBorders>
            <w:noWrap w:val="0"/>
            <w:vAlign w:val="center"/>
          </w:tcPr>
          <w:p w14:paraId="5DFF5371">
            <w:pPr>
              <w:spacing w:line="360" w:lineRule="auto"/>
              <w:outlineLvl w:val="9"/>
              <w:rPr>
                <w:rFonts w:hint="eastAsia" w:ascii="宋体" w:hAnsi="宋体" w:eastAsia="宋体" w:cs="宋体"/>
                <w:color w:val="auto"/>
                <w:spacing w:val="1"/>
                <w:kern w:val="0"/>
                <w:szCs w:val="21"/>
                <w:highlight w:val="none"/>
              </w:rPr>
            </w:pPr>
            <w:r>
              <w:rPr>
                <w:rFonts w:hint="eastAsia" w:ascii="宋体" w:hAnsi="宋体" w:eastAsia="宋体" w:cs="宋体"/>
                <w:color w:val="auto"/>
                <w:spacing w:val="1"/>
                <w:kern w:val="0"/>
                <w:szCs w:val="21"/>
                <w:highlight w:val="none"/>
              </w:rPr>
              <w:t xml:space="preserve">   1</w:t>
            </w:r>
          </w:p>
        </w:tc>
        <w:tc>
          <w:tcPr>
            <w:tcW w:w="1021" w:type="dxa"/>
            <w:gridSpan w:val="2"/>
            <w:vMerge w:val="restart"/>
            <w:tcBorders>
              <w:top w:val="nil"/>
              <w:left w:val="nil"/>
              <w:bottom w:val="single" w:color="auto" w:sz="4" w:space="0"/>
              <w:right w:val="single" w:color="auto" w:sz="4" w:space="0"/>
            </w:tcBorders>
            <w:noWrap w:val="0"/>
            <w:vAlign w:val="center"/>
          </w:tcPr>
          <w:p w14:paraId="79C71014">
            <w:pPr>
              <w:spacing w:line="360" w:lineRule="auto"/>
              <w:jc w:val="center"/>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形式评审标准</w:t>
            </w:r>
          </w:p>
        </w:tc>
        <w:tc>
          <w:tcPr>
            <w:tcW w:w="1837" w:type="dxa"/>
            <w:gridSpan w:val="2"/>
            <w:tcBorders>
              <w:top w:val="single" w:color="auto" w:sz="4" w:space="0"/>
              <w:left w:val="nil"/>
              <w:bottom w:val="single" w:color="auto" w:sz="4" w:space="0"/>
              <w:right w:val="single" w:color="auto" w:sz="4" w:space="0"/>
            </w:tcBorders>
            <w:noWrap w:val="0"/>
            <w:vAlign w:val="center"/>
          </w:tcPr>
          <w:p w14:paraId="418F2E4E">
            <w:pPr>
              <w:spacing w:line="360" w:lineRule="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供应商名称 </w:t>
            </w:r>
          </w:p>
        </w:tc>
        <w:tc>
          <w:tcPr>
            <w:tcW w:w="5062" w:type="dxa"/>
            <w:gridSpan w:val="2"/>
            <w:tcBorders>
              <w:top w:val="single" w:color="auto" w:sz="4" w:space="0"/>
              <w:left w:val="nil"/>
              <w:bottom w:val="single" w:color="auto" w:sz="4" w:space="0"/>
              <w:right w:val="single" w:color="auto" w:sz="4" w:space="0"/>
            </w:tcBorders>
            <w:noWrap w:val="0"/>
            <w:vAlign w:val="center"/>
          </w:tcPr>
          <w:p w14:paraId="1808922D">
            <w:pPr>
              <w:spacing w:line="360" w:lineRule="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与营业执照一致</w:t>
            </w:r>
          </w:p>
        </w:tc>
      </w:tr>
      <w:tr w14:paraId="4B3DF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864" w:type="dxa"/>
            <w:vMerge w:val="continue"/>
            <w:tcBorders>
              <w:top w:val="nil"/>
              <w:left w:val="single" w:color="auto" w:sz="4" w:space="0"/>
              <w:bottom w:val="single" w:color="auto" w:sz="4" w:space="0"/>
              <w:right w:val="single" w:color="auto" w:sz="4" w:space="0"/>
            </w:tcBorders>
            <w:noWrap w:val="0"/>
            <w:vAlign w:val="center"/>
          </w:tcPr>
          <w:p w14:paraId="286DF992">
            <w:pPr>
              <w:spacing w:line="360" w:lineRule="auto"/>
              <w:outlineLvl w:val="9"/>
              <w:rPr>
                <w:rFonts w:hint="eastAsia" w:ascii="宋体" w:hAnsi="宋体" w:eastAsia="宋体" w:cs="宋体"/>
                <w:color w:val="auto"/>
                <w:spacing w:val="1"/>
                <w:kern w:val="0"/>
                <w:szCs w:val="21"/>
                <w:highlight w:val="none"/>
              </w:rPr>
            </w:pPr>
          </w:p>
        </w:tc>
        <w:tc>
          <w:tcPr>
            <w:tcW w:w="1021" w:type="dxa"/>
            <w:gridSpan w:val="2"/>
            <w:vMerge w:val="continue"/>
            <w:tcBorders>
              <w:top w:val="nil"/>
              <w:left w:val="nil"/>
              <w:bottom w:val="single" w:color="auto" w:sz="4" w:space="0"/>
              <w:right w:val="single" w:color="auto" w:sz="4" w:space="0"/>
            </w:tcBorders>
            <w:noWrap w:val="0"/>
            <w:vAlign w:val="center"/>
          </w:tcPr>
          <w:p w14:paraId="459793EF">
            <w:pPr>
              <w:spacing w:line="360" w:lineRule="auto"/>
              <w:jc w:val="center"/>
              <w:outlineLvl w:val="9"/>
              <w:rPr>
                <w:rFonts w:hint="eastAsia" w:ascii="宋体" w:hAnsi="宋体" w:eastAsia="宋体" w:cs="宋体"/>
                <w:color w:val="auto"/>
                <w:kern w:val="0"/>
                <w:szCs w:val="21"/>
                <w:highlight w:val="none"/>
              </w:rPr>
            </w:pPr>
          </w:p>
        </w:tc>
        <w:tc>
          <w:tcPr>
            <w:tcW w:w="1837" w:type="dxa"/>
            <w:gridSpan w:val="2"/>
            <w:tcBorders>
              <w:top w:val="single" w:color="auto" w:sz="4" w:space="0"/>
              <w:left w:val="nil"/>
              <w:bottom w:val="single" w:color="auto" w:sz="4" w:space="0"/>
              <w:right w:val="single" w:color="auto" w:sz="4" w:space="0"/>
            </w:tcBorders>
            <w:noWrap w:val="0"/>
            <w:vAlign w:val="center"/>
          </w:tcPr>
          <w:p w14:paraId="17C0BEEF">
            <w:pPr>
              <w:spacing w:line="360" w:lineRule="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响应文件签章</w:t>
            </w:r>
          </w:p>
        </w:tc>
        <w:tc>
          <w:tcPr>
            <w:tcW w:w="5062" w:type="dxa"/>
            <w:gridSpan w:val="2"/>
            <w:tcBorders>
              <w:top w:val="single" w:color="auto" w:sz="4" w:space="0"/>
              <w:left w:val="nil"/>
              <w:bottom w:val="single" w:color="auto" w:sz="4" w:space="0"/>
              <w:right w:val="single" w:color="auto" w:sz="4" w:space="0"/>
            </w:tcBorders>
            <w:noWrap w:val="0"/>
            <w:vAlign w:val="center"/>
          </w:tcPr>
          <w:p w14:paraId="198C57E0">
            <w:pPr>
              <w:spacing w:line="360" w:lineRule="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符合磋商文件响应文件格式要求；</w:t>
            </w:r>
          </w:p>
        </w:tc>
      </w:tr>
      <w:tr w14:paraId="10CF1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864" w:type="dxa"/>
            <w:vMerge w:val="continue"/>
            <w:tcBorders>
              <w:top w:val="nil"/>
              <w:left w:val="single" w:color="auto" w:sz="4" w:space="0"/>
              <w:bottom w:val="single" w:color="auto" w:sz="4" w:space="0"/>
              <w:right w:val="single" w:color="auto" w:sz="4" w:space="0"/>
            </w:tcBorders>
            <w:noWrap w:val="0"/>
            <w:vAlign w:val="center"/>
          </w:tcPr>
          <w:p w14:paraId="38D5F809">
            <w:pPr>
              <w:spacing w:line="360" w:lineRule="auto"/>
              <w:outlineLvl w:val="9"/>
              <w:rPr>
                <w:rFonts w:hint="eastAsia" w:ascii="宋体" w:hAnsi="宋体" w:eastAsia="宋体" w:cs="宋体"/>
                <w:color w:val="auto"/>
                <w:spacing w:val="1"/>
                <w:kern w:val="0"/>
                <w:szCs w:val="21"/>
                <w:highlight w:val="none"/>
              </w:rPr>
            </w:pPr>
          </w:p>
        </w:tc>
        <w:tc>
          <w:tcPr>
            <w:tcW w:w="1021" w:type="dxa"/>
            <w:gridSpan w:val="2"/>
            <w:vMerge w:val="continue"/>
            <w:tcBorders>
              <w:top w:val="nil"/>
              <w:left w:val="nil"/>
              <w:bottom w:val="single" w:color="auto" w:sz="4" w:space="0"/>
              <w:right w:val="single" w:color="auto" w:sz="4" w:space="0"/>
            </w:tcBorders>
            <w:noWrap w:val="0"/>
            <w:vAlign w:val="center"/>
          </w:tcPr>
          <w:p w14:paraId="73C7F229">
            <w:pPr>
              <w:spacing w:line="360" w:lineRule="auto"/>
              <w:jc w:val="center"/>
              <w:outlineLvl w:val="9"/>
              <w:rPr>
                <w:rFonts w:hint="eastAsia" w:ascii="宋体" w:hAnsi="宋体" w:eastAsia="宋体" w:cs="宋体"/>
                <w:color w:val="auto"/>
                <w:kern w:val="0"/>
                <w:szCs w:val="21"/>
                <w:highlight w:val="none"/>
              </w:rPr>
            </w:pPr>
          </w:p>
        </w:tc>
        <w:tc>
          <w:tcPr>
            <w:tcW w:w="1837" w:type="dxa"/>
            <w:gridSpan w:val="2"/>
            <w:tcBorders>
              <w:top w:val="single" w:color="auto" w:sz="4" w:space="0"/>
              <w:left w:val="nil"/>
              <w:bottom w:val="single" w:color="auto" w:sz="4" w:space="0"/>
              <w:right w:val="single" w:color="auto" w:sz="4" w:space="0"/>
            </w:tcBorders>
            <w:noWrap w:val="0"/>
            <w:vAlign w:val="center"/>
          </w:tcPr>
          <w:p w14:paraId="42BE9A8B">
            <w:pPr>
              <w:spacing w:line="360" w:lineRule="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响应文件格式</w:t>
            </w:r>
          </w:p>
        </w:tc>
        <w:tc>
          <w:tcPr>
            <w:tcW w:w="5062" w:type="dxa"/>
            <w:gridSpan w:val="2"/>
            <w:tcBorders>
              <w:top w:val="single" w:color="auto" w:sz="4" w:space="0"/>
              <w:left w:val="nil"/>
              <w:bottom w:val="single" w:color="auto" w:sz="4" w:space="0"/>
              <w:right w:val="single" w:color="auto" w:sz="4" w:space="0"/>
            </w:tcBorders>
            <w:noWrap w:val="0"/>
            <w:vAlign w:val="center"/>
          </w:tcPr>
          <w:p w14:paraId="6824FC95">
            <w:pPr>
              <w:spacing w:line="360" w:lineRule="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符合磋商文件响应文件格式要求；</w:t>
            </w:r>
          </w:p>
        </w:tc>
      </w:tr>
      <w:tr w14:paraId="1C7A6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864" w:type="dxa"/>
            <w:tcBorders>
              <w:top w:val="single" w:color="auto" w:sz="4" w:space="0"/>
              <w:left w:val="single" w:color="auto" w:sz="4" w:space="0"/>
              <w:bottom w:val="nil"/>
              <w:right w:val="single" w:color="auto" w:sz="4" w:space="0"/>
            </w:tcBorders>
            <w:noWrap w:val="0"/>
            <w:vAlign w:val="center"/>
          </w:tcPr>
          <w:p w14:paraId="0BB45394">
            <w:pPr>
              <w:spacing w:line="360" w:lineRule="auto"/>
              <w:outlineLvl w:val="9"/>
              <w:rPr>
                <w:rFonts w:hint="eastAsia" w:ascii="宋体" w:hAnsi="宋体" w:eastAsia="宋体" w:cs="宋体"/>
                <w:color w:val="auto"/>
                <w:szCs w:val="21"/>
                <w:highlight w:val="none"/>
              </w:rPr>
            </w:pPr>
            <w:r>
              <w:rPr>
                <w:rFonts w:hint="eastAsia" w:ascii="宋体" w:hAnsi="宋体" w:eastAsia="宋体" w:cs="宋体"/>
                <w:color w:val="auto"/>
                <w:spacing w:val="1"/>
                <w:kern w:val="0"/>
                <w:szCs w:val="21"/>
                <w:highlight w:val="none"/>
              </w:rPr>
              <w:t xml:space="preserve">   2</w:t>
            </w:r>
          </w:p>
        </w:tc>
        <w:tc>
          <w:tcPr>
            <w:tcW w:w="1021" w:type="dxa"/>
            <w:gridSpan w:val="2"/>
            <w:tcBorders>
              <w:top w:val="single" w:color="auto" w:sz="4" w:space="0"/>
              <w:left w:val="nil"/>
              <w:bottom w:val="nil"/>
              <w:right w:val="single" w:color="auto" w:sz="4" w:space="0"/>
            </w:tcBorders>
            <w:noWrap w:val="0"/>
            <w:vAlign w:val="center"/>
          </w:tcPr>
          <w:p w14:paraId="1CEE6097">
            <w:pPr>
              <w:spacing w:line="360" w:lineRule="auto"/>
              <w:jc w:val="center"/>
              <w:outlineLvl w:val="9"/>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资格评审标准</w:t>
            </w:r>
          </w:p>
        </w:tc>
        <w:tc>
          <w:tcPr>
            <w:tcW w:w="1837" w:type="dxa"/>
            <w:gridSpan w:val="2"/>
            <w:tcBorders>
              <w:top w:val="single" w:color="auto" w:sz="4" w:space="0"/>
              <w:left w:val="nil"/>
              <w:bottom w:val="single" w:color="auto" w:sz="4" w:space="0"/>
              <w:right w:val="single" w:color="auto" w:sz="4" w:space="0"/>
            </w:tcBorders>
            <w:noWrap w:val="0"/>
            <w:vAlign w:val="center"/>
          </w:tcPr>
          <w:p w14:paraId="3A0F41B5">
            <w:pPr>
              <w:kinsoku w:val="0"/>
              <w:overflowPunct w:val="0"/>
              <w:autoSpaceDE w:val="0"/>
              <w:autoSpaceDN w:val="0"/>
              <w:adjustRightInd w:val="0"/>
              <w:snapToGrid w:val="0"/>
              <w:spacing w:line="360" w:lineRule="auto"/>
              <w:jc w:val="left"/>
              <w:outlineLvl w:val="9"/>
              <w:rPr>
                <w:rFonts w:hint="eastAsia" w:ascii="宋体" w:hAnsi="宋体" w:eastAsia="宋体" w:cs="宋体"/>
                <w:color w:val="auto"/>
                <w:szCs w:val="21"/>
                <w:highlight w:val="none"/>
              </w:rPr>
            </w:pPr>
            <w:r>
              <w:rPr>
                <w:rFonts w:hint="eastAsia" w:ascii="宋体" w:hAnsi="宋体" w:eastAsia="宋体" w:cs="宋体"/>
                <w:color w:val="auto"/>
                <w:highlight w:val="none"/>
              </w:rPr>
              <w:t>资格审查标准</w:t>
            </w:r>
          </w:p>
        </w:tc>
        <w:tc>
          <w:tcPr>
            <w:tcW w:w="5062" w:type="dxa"/>
            <w:gridSpan w:val="2"/>
            <w:tcBorders>
              <w:top w:val="single" w:color="auto" w:sz="4" w:space="0"/>
              <w:left w:val="nil"/>
              <w:bottom w:val="single" w:color="auto" w:sz="4" w:space="0"/>
              <w:right w:val="single" w:color="auto" w:sz="4" w:space="0"/>
            </w:tcBorders>
            <w:noWrap w:val="0"/>
            <w:vAlign w:val="center"/>
          </w:tcPr>
          <w:p w14:paraId="31A199AE">
            <w:pPr>
              <w:spacing w:line="360" w:lineRule="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符合第二章“供应商须知前附表”第</w:t>
            </w:r>
            <w:r>
              <w:rPr>
                <w:rFonts w:hint="eastAsia" w:ascii="宋体" w:hAnsi="宋体" w:eastAsia="宋体" w:cs="宋体"/>
                <w:color w:val="auto"/>
                <w:szCs w:val="21"/>
                <w:highlight w:val="none"/>
                <w:lang w:val="en-US" w:eastAsia="zh-CN"/>
              </w:rPr>
              <w:t>13</w:t>
            </w:r>
            <w:r>
              <w:rPr>
                <w:rFonts w:hint="eastAsia" w:ascii="宋体" w:hAnsi="宋体" w:eastAsia="宋体" w:cs="宋体"/>
                <w:color w:val="auto"/>
                <w:szCs w:val="21"/>
                <w:highlight w:val="none"/>
              </w:rPr>
              <w:t>项规定</w:t>
            </w:r>
          </w:p>
        </w:tc>
      </w:tr>
      <w:tr w14:paraId="3BC1B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864" w:type="dxa"/>
            <w:vMerge w:val="restart"/>
            <w:tcBorders>
              <w:top w:val="single" w:color="auto" w:sz="4" w:space="0"/>
              <w:left w:val="single" w:color="auto" w:sz="4" w:space="0"/>
              <w:right w:val="single" w:color="auto" w:sz="4" w:space="0"/>
            </w:tcBorders>
            <w:noWrap w:val="0"/>
            <w:vAlign w:val="center"/>
          </w:tcPr>
          <w:p w14:paraId="433BBA78">
            <w:pPr>
              <w:spacing w:line="360" w:lineRule="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3</w:t>
            </w:r>
          </w:p>
        </w:tc>
        <w:tc>
          <w:tcPr>
            <w:tcW w:w="1021" w:type="dxa"/>
            <w:gridSpan w:val="2"/>
            <w:vMerge w:val="restart"/>
            <w:tcBorders>
              <w:top w:val="single" w:color="auto" w:sz="4" w:space="0"/>
              <w:left w:val="nil"/>
              <w:right w:val="single" w:color="auto" w:sz="4" w:space="0"/>
            </w:tcBorders>
            <w:noWrap w:val="0"/>
            <w:vAlign w:val="center"/>
          </w:tcPr>
          <w:p w14:paraId="5AD5C517">
            <w:pPr>
              <w:spacing w:line="360" w:lineRule="auto"/>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 应 性</w:t>
            </w:r>
          </w:p>
          <w:p w14:paraId="18C31BE8">
            <w:pPr>
              <w:spacing w:line="360" w:lineRule="auto"/>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评审标准</w:t>
            </w:r>
          </w:p>
        </w:tc>
        <w:tc>
          <w:tcPr>
            <w:tcW w:w="1837" w:type="dxa"/>
            <w:gridSpan w:val="2"/>
            <w:tcBorders>
              <w:top w:val="single" w:color="auto" w:sz="4" w:space="0"/>
              <w:left w:val="nil"/>
              <w:bottom w:val="single" w:color="auto" w:sz="4" w:space="0"/>
              <w:right w:val="single" w:color="auto" w:sz="4" w:space="0"/>
            </w:tcBorders>
            <w:noWrap w:val="0"/>
            <w:vAlign w:val="center"/>
          </w:tcPr>
          <w:p w14:paraId="4D8EB274">
            <w:pPr>
              <w:spacing w:line="360" w:lineRule="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采购范围</w:t>
            </w:r>
          </w:p>
        </w:tc>
        <w:tc>
          <w:tcPr>
            <w:tcW w:w="5062" w:type="dxa"/>
            <w:gridSpan w:val="2"/>
            <w:tcBorders>
              <w:top w:val="single" w:color="auto" w:sz="4" w:space="0"/>
              <w:left w:val="nil"/>
              <w:bottom w:val="single" w:color="auto" w:sz="4" w:space="0"/>
              <w:right w:val="single" w:color="auto" w:sz="4" w:space="0"/>
            </w:tcBorders>
            <w:noWrap w:val="0"/>
            <w:vAlign w:val="center"/>
          </w:tcPr>
          <w:p w14:paraId="2A82282A">
            <w:pPr>
              <w:spacing w:line="360" w:lineRule="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符合第二章“供应商须知前附表”规定</w:t>
            </w:r>
          </w:p>
        </w:tc>
      </w:tr>
      <w:tr w14:paraId="4C5AD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864" w:type="dxa"/>
            <w:vMerge w:val="continue"/>
            <w:tcBorders>
              <w:left w:val="single" w:color="auto" w:sz="4" w:space="0"/>
              <w:right w:val="single" w:color="auto" w:sz="4" w:space="0"/>
            </w:tcBorders>
            <w:noWrap w:val="0"/>
            <w:vAlign w:val="center"/>
          </w:tcPr>
          <w:p w14:paraId="778DD8FC">
            <w:pPr>
              <w:spacing w:line="360" w:lineRule="auto"/>
              <w:outlineLvl w:val="9"/>
              <w:rPr>
                <w:rFonts w:hint="eastAsia" w:ascii="宋体" w:hAnsi="宋体" w:eastAsia="宋体" w:cs="宋体"/>
                <w:color w:val="auto"/>
                <w:szCs w:val="21"/>
                <w:highlight w:val="none"/>
              </w:rPr>
            </w:pPr>
          </w:p>
        </w:tc>
        <w:tc>
          <w:tcPr>
            <w:tcW w:w="1021" w:type="dxa"/>
            <w:gridSpan w:val="2"/>
            <w:vMerge w:val="continue"/>
            <w:tcBorders>
              <w:left w:val="nil"/>
              <w:right w:val="single" w:color="auto" w:sz="4" w:space="0"/>
            </w:tcBorders>
            <w:noWrap w:val="0"/>
            <w:vAlign w:val="center"/>
          </w:tcPr>
          <w:p w14:paraId="19EF8390">
            <w:pPr>
              <w:spacing w:line="360" w:lineRule="auto"/>
              <w:jc w:val="center"/>
              <w:outlineLvl w:val="9"/>
              <w:rPr>
                <w:rFonts w:hint="eastAsia" w:ascii="宋体" w:hAnsi="宋体" w:eastAsia="宋体" w:cs="宋体"/>
                <w:color w:val="auto"/>
                <w:szCs w:val="21"/>
                <w:highlight w:val="none"/>
              </w:rPr>
            </w:pPr>
          </w:p>
        </w:tc>
        <w:tc>
          <w:tcPr>
            <w:tcW w:w="1837" w:type="dxa"/>
            <w:gridSpan w:val="2"/>
            <w:tcBorders>
              <w:top w:val="single" w:color="auto" w:sz="4" w:space="0"/>
              <w:left w:val="nil"/>
              <w:bottom w:val="single" w:color="auto" w:sz="4" w:space="0"/>
              <w:right w:val="single" w:color="auto" w:sz="4" w:space="0"/>
            </w:tcBorders>
            <w:noWrap w:val="0"/>
            <w:vAlign w:val="center"/>
          </w:tcPr>
          <w:p w14:paraId="595A70FD">
            <w:pPr>
              <w:spacing w:line="360" w:lineRule="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服务期限</w:t>
            </w:r>
          </w:p>
        </w:tc>
        <w:tc>
          <w:tcPr>
            <w:tcW w:w="5062" w:type="dxa"/>
            <w:gridSpan w:val="2"/>
            <w:tcBorders>
              <w:top w:val="single" w:color="auto" w:sz="4" w:space="0"/>
              <w:left w:val="nil"/>
              <w:bottom w:val="single" w:color="auto" w:sz="4" w:space="0"/>
              <w:right w:val="single" w:color="auto" w:sz="4" w:space="0"/>
            </w:tcBorders>
            <w:noWrap w:val="0"/>
            <w:vAlign w:val="center"/>
          </w:tcPr>
          <w:p w14:paraId="398EF2EC">
            <w:pPr>
              <w:spacing w:line="360" w:lineRule="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符合第二章“供应商须知前附表”规定</w:t>
            </w:r>
          </w:p>
        </w:tc>
      </w:tr>
      <w:tr w14:paraId="3C6D4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864" w:type="dxa"/>
            <w:vMerge w:val="continue"/>
            <w:tcBorders>
              <w:left w:val="single" w:color="auto" w:sz="4" w:space="0"/>
              <w:right w:val="single" w:color="auto" w:sz="4" w:space="0"/>
            </w:tcBorders>
            <w:noWrap w:val="0"/>
            <w:vAlign w:val="center"/>
          </w:tcPr>
          <w:p w14:paraId="4AC9AE0A">
            <w:pPr>
              <w:spacing w:line="360" w:lineRule="auto"/>
              <w:outlineLvl w:val="9"/>
              <w:rPr>
                <w:rFonts w:hint="eastAsia" w:ascii="宋体" w:hAnsi="宋体" w:eastAsia="宋体" w:cs="宋体"/>
                <w:color w:val="auto"/>
                <w:szCs w:val="21"/>
                <w:highlight w:val="none"/>
              </w:rPr>
            </w:pPr>
          </w:p>
        </w:tc>
        <w:tc>
          <w:tcPr>
            <w:tcW w:w="1021" w:type="dxa"/>
            <w:gridSpan w:val="2"/>
            <w:vMerge w:val="continue"/>
            <w:tcBorders>
              <w:left w:val="nil"/>
              <w:right w:val="single" w:color="auto" w:sz="4" w:space="0"/>
            </w:tcBorders>
            <w:noWrap w:val="0"/>
            <w:vAlign w:val="center"/>
          </w:tcPr>
          <w:p w14:paraId="64527102">
            <w:pPr>
              <w:spacing w:line="360" w:lineRule="auto"/>
              <w:outlineLvl w:val="9"/>
              <w:rPr>
                <w:rFonts w:hint="eastAsia" w:ascii="宋体" w:hAnsi="宋体" w:eastAsia="宋体" w:cs="宋体"/>
                <w:color w:val="auto"/>
                <w:szCs w:val="21"/>
                <w:highlight w:val="none"/>
              </w:rPr>
            </w:pPr>
          </w:p>
        </w:tc>
        <w:tc>
          <w:tcPr>
            <w:tcW w:w="1837" w:type="dxa"/>
            <w:gridSpan w:val="2"/>
            <w:tcBorders>
              <w:top w:val="single" w:color="auto" w:sz="4" w:space="0"/>
              <w:left w:val="nil"/>
              <w:bottom w:val="single" w:color="auto" w:sz="4" w:space="0"/>
              <w:right w:val="single" w:color="auto" w:sz="4" w:space="0"/>
            </w:tcBorders>
            <w:noWrap w:val="0"/>
            <w:vAlign w:val="center"/>
          </w:tcPr>
          <w:p w14:paraId="3FF20544">
            <w:pPr>
              <w:spacing w:line="360" w:lineRule="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质量要求</w:t>
            </w:r>
          </w:p>
        </w:tc>
        <w:tc>
          <w:tcPr>
            <w:tcW w:w="5062" w:type="dxa"/>
            <w:gridSpan w:val="2"/>
            <w:tcBorders>
              <w:top w:val="single" w:color="auto" w:sz="4" w:space="0"/>
              <w:left w:val="nil"/>
              <w:bottom w:val="single" w:color="auto" w:sz="4" w:space="0"/>
              <w:right w:val="single" w:color="auto" w:sz="4" w:space="0"/>
            </w:tcBorders>
            <w:noWrap w:val="0"/>
            <w:vAlign w:val="center"/>
          </w:tcPr>
          <w:p w14:paraId="20E0AC3E">
            <w:pPr>
              <w:spacing w:line="360" w:lineRule="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符合第二章“供应商须知前附表”规定</w:t>
            </w:r>
          </w:p>
        </w:tc>
      </w:tr>
      <w:tr w14:paraId="20B04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864" w:type="dxa"/>
            <w:vMerge w:val="continue"/>
            <w:tcBorders>
              <w:left w:val="single" w:color="auto" w:sz="4" w:space="0"/>
              <w:right w:val="single" w:color="auto" w:sz="4" w:space="0"/>
            </w:tcBorders>
            <w:noWrap w:val="0"/>
            <w:vAlign w:val="center"/>
          </w:tcPr>
          <w:p w14:paraId="6943FC94">
            <w:pPr>
              <w:spacing w:line="360" w:lineRule="auto"/>
              <w:outlineLvl w:val="9"/>
              <w:rPr>
                <w:rFonts w:hint="eastAsia" w:ascii="宋体" w:hAnsi="宋体" w:eastAsia="宋体" w:cs="宋体"/>
                <w:color w:val="auto"/>
                <w:szCs w:val="21"/>
                <w:highlight w:val="none"/>
              </w:rPr>
            </w:pPr>
          </w:p>
        </w:tc>
        <w:tc>
          <w:tcPr>
            <w:tcW w:w="1021" w:type="dxa"/>
            <w:gridSpan w:val="2"/>
            <w:vMerge w:val="continue"/>
            <w:tcBorders>
              <w:left w:val="nil"/>
              <w:right w:val="single" w:color="auto" w:sz="4" w:space="0"/>
            </w:tcBorders>
            <w:noWrap w:val="0"/>
            <w:vAlign w:val="center"/>
          </w:tcPr>
          <w:p w14:paraId="7FE19CB5">
            <w:pPr>
              <w:spacing w:line="360" w:lineRule="auto"/>
              <w:outlineLvl w:val="9"/>
              <w:rPr>
                <w:rFonts w:hint="eastAsia" w:ascii="宋体" w:hAnsi="宋体" w:eastAsia="宋体" w:cs="宋体"/>
                <w:color w:val="auto"/>
                <w:szCs w:val="21"/>
                <w:highlight w:val="none"/>
              </w:rPr>
            </w:pPr>
          </w:p>
        </w:tc>
        <w:tc>
          <w:tcPr>
            <w:tcW w:w="1837" w:type="dxa"/>
            <w:gridSpan w:val="2"/>
            <w:tcBorders>
              <w:top w:val="single" w:color="auto" w:sz="4" w:space="0"/>
              <w:left w:val="nil"/>
              <w:bottom w:val="single" w:color="auto" w:sz="4" w:space="0"/>
              <w:right w:val="single" w:color="auto" w:sz="4" w:space="0"/>
            </w:tcBorders>
            <w:noWrap w:val="0"/>
            <w:vAlign w:val="center"/>
          </w:tcPr>
          <w:p w14:paraId="322B0AE1">
            <w:pPr>
              <w:spacing w:line="360" w:lineRule="auto"/>
              <w:outlineLvl w:val="9"/>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服务地点</w:t>
            </w:r>
          </w:p>
        </w:tc>
        <w:tc>
          <w:tcPr>
            <w:tcW w:w="5062" w:type="dxa"/>
            <w:gridSpan w:val="2"/>
            <w:tcBorders>
              <w:top w:val="single" w:color="auto" w:sz="4" w:space="0"/>
              <w:left w:val="nil"/>
              <w:bottom w:val="single" w:color="auto" w:sz="4" w:space="0"/>
              <w:right w:val="single" w:color="auto" w:sz="4" w:space="0"/>
            </w:tcBorders>
            <w:noWrap w:val="0"/>
            <w:vAlign w:val="center"/>
          </w:tcPr>
          <w:p w14:paraId="7314CC7B">
            <w:pPr>
              <w:spacing w:line="360" w:lineRule="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符合第二章“供应商须知前附表”规定</w:t>
            </w:r>
          </w:p>
        </w:tc>
      </w:tr>
      <w:tr w14:paraId="75181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864" w:type="dxa"/>
            <w:vMerge w:val="continue"/>
            <w:tcBorders>
              <w:left w:val="single" w:color="auto" w:sz="4" w:space="0"/>
              <w:right w:val="single" w:color="auto" w:sz="4" w:space="0"/>
            </w:tcBorders>
            <w:noWrap w:val="0"/>
            <w:vAlign w:val="center"/>
          </w:tcPr>
          <w:p w14:paraId="44179659">
            <w:pPr>
              <w:spacing w:line="360" w:lineRule="auto"/>
              <w:outlineLvl w:val="9"/>
              <w:rPr>
                <w:rFonts w:hint="eastAsia" w:ascii="宋体" w:hAnsi="宋体" w:eastAsia="宋体" w:cs="宋体"/>
                <w:color w:val="auto"/>
                <w:szCs w:val="21"/>
                <w:highlight w:val="none"/>
              </w:rPr>
            </w:pPr>
          </w:p>
        </w:tc>
        <w:tc>
          <w:tcPr>
            <w:tcW w:w="1021" w:type="dxa"/>
            <w:gridSpan w:val="2"/>
            <w:vMerge w:val="continue"/>
            <w:tcBorders>
              <w:left w:val="nil"/>
              <w:right w:val="single" w:color="auto" w:sz="4" w:space="0"/>
            </w:tcBorders>
            <w:noWrap w:val="0"/>
            <w:vAlign w:val="center"/>
          </w:tcPr>
          <w:p w14:paraId="29D38941">
            <w:pPr>
              <w:spacing w:line="360" w:lineRule="auto"/>
              <w:outlineLvl w:val="9"/>
              <w:rPr>
                <w:rFonts w:hint="eastAsia" w:ascii="宋体" w:hAnsi="宋体" w:eastAsia="宋体" w:cs="宋体"/>
                <w:color w:val="auto"/>
                <w:szCs w:val="21"/>
                <w:highlight w:val="none"/>
              </w:rPr>
            </w:pPr>
          </w:p>
        </w:tc>
        <w:tc>
          <w:tcPr>
            <w:tcW w:w="1837" w:type="dxa"/>
            <w:gridSpan w:val="2"/>
            <w:tcBorders>
              <w:top w:val="single" w:color="auto" w:sz="4" w:space="0"/>
              <w:left w:val="nil"/>
              <w:bottom w:val="single" w:color="auto" w:sz="4" w:space="0"/>
              <w:right w:val="single" w:color="auto" w:sz="4" w:space="0"/>
            </w:tcBorders>
            <w:noWrap w:val="0"/>
            <w:vAlign w:val="center"/>
          </w:tcPr>
          <w:p w14:paraId="62CA30FA">
            <w:pPr>
              <w:spacing w:line="360" w:lineRule="auto"/>
              <w:outlineLvl w:val="9"/>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合同履行期限</w:t>
            </w:r>
          </w:p>
        </w:tc>
        <w:tc>
          <w:tcPr>
            <w:tcW w:w="5062" w:type="dxa"/>
            <w:gridSpan w:val="2"/>
            <w:tcBorders>
              <w:top w:val="single" w:color="auto" w:sz="4" w:space="0"/>
              <w:left w:val="nil"/>
              <w:bottom w:val="single" w:color="auto" w:sz="4" w:space="0"/>
              <w:right w:val="single" w:color="auto" w:sz="4" w:space="0"/>
            </w:tcBorders>
            <w:noWrap w:val="0"/>
            <w:vAlign w:val="center"/>
          </w:tcPr>
          <w:p w14:paraId="79FD9C3E">
            <w:pPr>
              <w:spacing w:line="360" w:lineRule="auto"/>
              <w:outlineLvl w:val="9"/>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符合</w:t>
            </w:r>
            <w:r>
              <w:rPr>
                <w:rFonts w:hint="eastAsia" w:ascii="宋体" w:hAnsi="宋体" w:eastAsia="宋体" w:cs="宋体"/>
                <w:color w:val="auto"/>
                <w:szCs w:val="21"/>
                <w:highlight w:val="none"/>
              </w:rPr>
              <w:t>第五章“服务要求”</w:t>
            </w:r>
            <w:r>
              <w:rPr>
                <w:rFonts w:hint="eastAsia" w:ascii="宋体" w:hAnsi="宋体" w:eastAsia="宋体" w:cs="宋体"/>
                <w:color w:val="auto"/>
                <w:szCs w:val="21"/>
                <w:highlight w:val="none"/>
                <w:lang w:val="en-US" w:eastAsia="zh-CN"/>
              </w:rPr>
              <w:t>要求</w:t>
            </w:r>
          </w:p>
        </w:tc>
      </w:tr>
      <w:tr w14:paraId="1EA03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864" w:type="dxa"/>
            <w:vMerge w:val="continue"/>
            <w:tcBorders>
              <w:left w:val="single" w:color="auto" w:sz="4" w:space="0"/>
              <w:right w:val="single" w:color="auto" w:sz="4" w:space="0"/>
            </w:tcBorders>
            <w:noWrap w:val="0"/>
            <w:vAlign w:val="center"/>
          </w:tcPr>
          <w:p w14:paraId="64E8EC20">
            <w:pPr>
              <w:spacing w:line="360" w:lineRule="auto"/>
              <w:outlineLvl w:val="9"/>
              <w:rPr>
                <w:rFonts w:hint="eastAsia" w:ascii="宋体" w:hAnsi="宋体" w:eastAsia="宋体" w:cs="宋体"/>
                <w:color w:val="auto"/>
                <w:szCs w:val="21"/>
                <w:highlight w:val="none"/>
              </w:rPr>
            </w:pPr>
          </w:p>
        </w:tc>
        <w:tc>
          <w:tcPr>
            <w:tcW w:w="1021" w:type="dxa"/>
            <w:gridSpan w:val="2"/>
            <w:vMerge w:val="continue"/>
            <w:tcBorders>
              <w:left w:val="nil"/>
              <w:right w:val="single" w:color="auto" w:sz="4" w:space="0"/>
            </w:tcBorders>
            <w:noWrap w:val="0"/>
            <w:vAlign w:val="center"/>
          </w:tcPr>
          <w:p w14:paraId="205F6D87">
            <w:pPr>
              <w:spacing w:line="360" w:lineRule="auto"/>
              <w:outlineLvl w:val="9"/>
              <w:rPr>
                <w:rFonts w:hint="eastAsia" w:ascii="宋体" w:hAnsi="宋体" w:eastAsia="宋体" w:cs="宋体"/>
                <w:color w:val="auto"/>
                <w:szCs w:val="21"/>
                <w:highlight w:val="none"/>
              </w:rPr>
            </w:pPr>
          </w:p>
        </w:tc>
        <w:tc>
          <w:tcPr>
            <w:tcW w:w="1837" w:type="dxa"/>
            <w:gridSpan w:val="2"/>
            <w:tcBorders>
              <w:top w:val="single" w:color="auto" w:sz="4" w:space="0"/>
              <w:left w:val="nil"/>
              <w:bottom w:val="single" w:color="auto" w:sz="4" w:space="0"/>
              <w:right w:val="single" w:color="auto" w:sz="4" w:space="0"/>
            </w:tcBorders>
            <w:noWrap w:val="0"/>
            <w:vAlign w:val="center"/>
          </w:tcPr>
          <w:p w14:paraId="0971D0C0">
            <w:pPr>
              <w:spacing w:line="360" w:lineRule="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投标有效期</w:t>
            </w:r>
          </w:p>
        </w:tc>
        <w:tc>
          <w:tcPr>
            <w:tcW w:w="5062" w:type="dxa"/>
            <w:gridSpan w:val="2"/>
            <w:tcBorders>
              <w:top w:val="single" w:color="auto" w:sz="4" w:space="0"/>
              <w:left w:val="nil"/>
              <w:bottom w:val="single" w:color="auto" w:sz="4" w:space="0"/>
              <w:right w:val="single" w:color="auto" w:sz="4" w:space="0"/>
            </w:tcBorders>
            <w:noWrap w:val="0"/>
            <w:vAlign w:val="center"/>
          </w:tcPr>
          <w:p w14:paraId="41662994">
            <w:pPr>
              <w:spacing w:line="360" w:lineRule="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符合第二章“供应商须知前附表”规定</w:t>
            </w:r>
          </w:p>
        </w:tc>
      </w:tr>
      <w:tr w14:paraId="6D9F9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64" w:type="dxa"/>
            <w:vMerge w:val="continue"/>
            <w:tcBorders>
              <w:left w:val="single" w:color="auto" w:sz="4" w:space="0"/>
              <w:right w:val="single" w:color="auto" w:sz="4" w:space="0"/>
            </w:tcBorders>
            <w:noWrap w:val="0"/>
            <w:vAlign w:val="center"/>
          </w:tcPr>
          <w:p w14:paraId="2277B372">
            <w:pPr>
              <w:spacing w:line="360" w:lineRule="auto"/>
              <w:outlineLvl w:val="9"/>
              <w:rPr>
                <w:rFonts w:hint="eastAsia" w:ascii="宋体" w:hAnsi="宋体" w:eastAsia="宋体" w:cs="宋体"/>
                <w:color w:val="auto"/>
                <w:szCs w:val="21"/>
                <w:highlight w:val="none"/>
              </w:rPr>
            </w:pPr>
          </w:p>
        </w:tc>
        <w:tc>
          <w:tcPr>
            <w:tcW w:w="1021" w:type="dxa"/>
            <w:gridSpan w:val="2"/>
            <w:vMerge w:val="continue"/>
            <w:tcBorders>
              <w:left w:val="nil"/>
              <w:right w:val="single" w:color="auto" w:sz="4" w:space="0"/>
            </w:tcBorders>
            <w:noWrap w:val="0"/>
            <w:vAlign w:val="center"/>
          </w:tcPr>
          <w:p w14:paraId="6849DEE1">
            <w:pPr>
              <w:spacing w:line="360" w:lineRule="auto"/>
              <w:outlineLvl w:val="9"/>
              <w:rPr>
                <w:rFonts w:hint="eastAsia" w:ascii="宋体" w:hAnsi="宋体" w:eastAsia="宋体" w:cs="宋体"/>
                <w:color w:val="auto"/>
                <w:szCs w:val="21"/>
                <w:highlight w:val="none"/>
              </w:rPr>
            </w:pPr>
          </w:p>
        </w:tc>
        <w:tc>
          <w:tcPr>
            <w:tcW w:w="1837" w:type="dxa"/>
            <w:gridSpan w:val="2"/>
            <w:tcBorders>
              <w:top w:val="single" w:color="auto" w:sz="4" w:space="0"/>
              <w:left w:val="nil"/>
              <w:bottom w:val="single" w:color="auto" w:sz="4" w:space="0"/>
              <w:right w:val="single" w:color="auto" w:sz="4" w:space="0"/>
            </w:tcBorders>
            <w:noWrap w:val="0"/>
            <w:vAlign w:val="center"/>
          </w:tcPr>
          <w:p w14:paraId="58CDA9BE">
            <w:pPr>
              <w:spacing w:line="360" w:lineRule="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最高投标限价</w:t>
            </w:r>
          </w:p>
        </w:tc>
        <w:tc>
          <w:tcPr>
            <w:tcW w:w="5062" w:type="dxa"/>
            <w:gridSpan w:val="2"/>
            <w:tcBorders>
              <w:top w:val="single" w:color="auto" w:sz="4" w:space="0"/>
              <w:left w:val="nil"/>
              <w:bottom w:val="single" w:color="auto" w:sz="4" w:space="0"/>
              <w:right w:val="single" w:color="auto" w:sz="4" w:space="0"/>
            </w:tcBorders>
            <w:noWrap w:val="0"/>
            <w:vAlign w:val="center"/>
          </w:tcPr>
          <w:p w14:paraId="0DAAEEF7">
            <w:pPr>
              <w:spacing w:line="360" w:lineRule="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响应文件投标价格不高于采购人最高投标限价</w:t>
            </w:r>
          </w:p>
        </w:tc>
      </w:tr>
      <w:tr w14:paraId="6F504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8" w:hRule="atLeast"/>
          <w:jc w:val="center"/>
        </w:trPr>
        <w:tc>
          <w:tcPr>
            <w:tcW w:w="864" w:type="dxa"/>
            <w:vMerge w:val="continue"/>
            <w:tcBorders>
              <w:left w:val="single" w:color="auto" w:sz="4" w:space="0"/>
              <w:bottom w:val="single" w:color="auto" w:sz="4" w:space="0"/>
              <w:right w:val="single" w:color="auto" w:sz="4" w:space="0"/>
            </w:tcBorders>
            <w:noWrap w:val="0"/>
            <w:vAlign w:val="center"/>
          </w:tcPr>
          <w:p w14:paraId="0C52491F">
            <w:pPr>
              <w:spacing w:line="360" w:lineRule="auto"/>
              <w:outlineLvl w:val="9"/>
              <w:rPr>
                <w:rFonts w:hint="eastAsia" w:ascii="宋体" w:hAnsi="宋体" w:eastAsia="宋体" w:cs="宋体"/>
                <w:color w:val="auto"/>
                <w:szCs w:val="21"/>
                <w:highlight w:val="none"/>
              </w:rPr>
            </w:pPr>
          </w:p>
        </w:tc>
        <w:tc>
          <w:tcPr>
            <w:tcW w:w="1021" w:type="dxa"/>
            <w:gridSpan w:val="2"/>
            <w:vMerge w:val="continue"/>
            <w:tcBorders>
              <w:left w:val="nil"/>
              <w:bottom w:val="single" w:color="auto" w:sz="4" w:space="0"/>
              <w:right w:val="single" w:color="auto" w:sz="4" w:space="0"/>
            </w:tcBorders>
            <w:noWrap w:val="0"/>
            <w:vAlign w:val="center"/>
          </w:tcPr>
          <w:p w14:paraId="29F513A0">
            <w:pPr>
              <w:spacing w:line="360" w:lineRule="auto"/>
              <w:outlineLvl w:val="9"/>
              <w:rPr>
                <w:rFonts w:hint="eastAsia" w:ascii="宋体" w:hAnsi="宋体" w:eastAsia="宋体" w:cs="宋体"/>
                <w:color w:val="auto"/>
                <w:szCs w:val="21"/>
                <w:highlight w:val="none"/>
              </w:rPr>
            </w:pPr>
          </w:p>
        </w:tc>
        <w:tc>
          <w:tcPr>
            <w:tcW w:w="1837" w:type="dxa"/>
            <w:gridSpan w:val="2"/>
            <w:tcBorders>
              <w:top w:val="single" w:color="auto" w:sz="4" w:space="0"/>
              <w:left w:val="nil"/>
              <w:bottom w:val="single" w:color="auto" w:sz="4" w:space="0"/>
              <w:right w:val="single" w:color="auto" w:sz="4" w:space="0"/>
            </w:tcBorders>
            <w:noWrap w:val="0"/>
            <w:vAlign w:val="center"/>
          </w:tcPr>
          <w:p w14:paraId="52D09351">
            <w:pPr>
              <w:spacing w:line="360" w:lineRule="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出现下列情况将会导致响应文件无效</w:t>
            </w:r>
          </w:p>
        </w:tc>
        <w:tc>
          <w:tcPr>
            <w:tcW w:w="5062" w:type="dxa"/>
            <w:gridSpan w:val="2"/>
            <w:tcBorders>
              <w:top w:val="single" w:color="auto" w:sz="4" w:space="0"/>
              <w:left w:val="nil"/>
              <w:bottom w:val="single" w:color="auto" w:sz="4" w:space="0"/>
              <w:right w:val="single" w:color="auto" w:sz="4" w:space="0"/>
            </w:tcBorders>
            <w:noWrap w:val="0"/>
            <w:vAlign w:val="center"/>
          </w:tcPr>
          <w:p w14:paraId="49BC6291">
            <w:pPr>
              <w:spacing w:line="360" w:lineRule="auto"/>
              <w:outlineLvl w:val="9"/>
              <w:rPr>
                <w:rFonts w:hint="eastAsia" w:ascii="宋体" w:hAnsi="宋体" w:eastAsia="宋体" w:cs="宋体"/>
                <w:color w:val="auto"/>
                <w:szCs w:val="21"/>
              </w:rPr>
            </w:pPr>
            <w:r>
              <w:rPr>
                <w:rFonts w:hint="eastAsia" w:ascii="宋体" w:hAnsi="宋体" w:eastAsia="宋体" w:cs="宋体"/>
                <w:color w:val="auto"/>
                <w:szCs w:val="21"/>
                <w:lang w:val="en-US" w:eastAsia="zh-CN"/>
              </w:rPr>
              <w:t>1.</w:t>
            </w:r>
            <w:r>
              <w:rPr>
                <w:rFonts w:hint="eastAsia" w:ascii="宋体" w:hAnsi="宋体" w:eastAsia="宋体" w:cs="宋体"/>
                <w:color w:val="auto"/>
                <w:szCs w:val="21"/>
              </w:rPr>
              <w:t>供应商代表未能出具有效身份证明，或与身份不符的</w:t>
            </w:r>
          </w:p>
          <w:p w14:paraId="60DB542D">
            <w:pPr>
              <w:spacing w:line="360" w:lineRule="auto"/>
              <w:outlineLvl w:val="9"/>
              <w:rPr>
                <w:rFonts w:hint="eastAsia" w:ascii="宋体" w:hAnsi="宋体" w:eastAsia="宋体" w:cs="宋体"/>
                <w:color w:val="auto"/>
                <w:szCs w:val="21"/>
              </w:rPr>
            </w:pPr>
            <w:r>
              <w:rPr>
                <w:rFonts w:hint="eastAsia" w:ascii="宋体" w:hAnsi="宋体" w:eastAsia="宋体" w:cs="宋体"/>
                <w:color w:val="auto"/>
                <w:szCs w:val="21"/>
                <w:lang w:val="en-US" w:eastAsia="zh-CN"/>
              </w:rPr>
              <w:t>2.</w:t>
            </w:r>
            <w:r>
              <w:rPr>
                <w:rFonts w:hint="eastAsia" w:ascii="宋体" w:hAnsi="宋体" w:eastAsia="宋体" w:cs="宋体"/>
                <w:color w:val="auto"/>
                <w:szCs w:val="21"/>
              </w:rPr>
              <w:t>在一份</w:t>
            </w:r>
            <w:r>
              <w:rPr>
                <w:rFonts w:hint="eastAsia" w:ascii="宋体" w:hAnsi="宋体" w:eastAsia="宋体" w:cs="宋体"/>
                <w:color w:val="auto"/>
                <w:szCs w:val="21"/>
                <w:lang w:eastAsia="zh-CN"/>
              </w:rPr>
              <w:t>响应文件</w:t>
            </w:r>
            <w:r>
              <w:rPr>
                <w:rFonts w:hint="eastAsia" w:ascii="宋体" w:hAnsi="宋体" w:eastAsia="宋体" w:cs="宋体"/>
                <w:color w:val="auto"/>
                <w:szCs w:val="21"/>
              </w:rPr>
              <w:t xml:space="preserve">中报有两个（含两个）以上报价的。 </w:t>
            </w:r>
          </w:p>
          <w:p w14:paraId="209B3B2D">
            <w:pPr>
              <w:spacing w:line="360" w:lineRule="auto"/>
              <w:outlineLvl w:val="9"/>
              <w:rPr>
                <w:rFonts w:hint="eastAsia" w:ascii="宋体" w:hAnsi="宋体" w:eastAsia="宋体" w:cs="宋体"/>
                <w:color w:val="auto"/>
                <w:szCs w:val="21"/>
              </w:rPr>
            </w:pPr>
            <w:r>
              <w:rPr>
                <w:rFonts w:hint="eastAsia" w:ascii="宋体" w:hAnsi="宋体" w:eastAsia="宋体" w:cs="宋体"/>
                <w:color w:val="auto"/>
                <w:szCs w:val="21"/>
                <w:lang w:val="en-US" w:eastAsia="zh-CN"/>
              </w:rPr>
              <w:t>3.</w:t>
            </w:r>
            <w:r>
              <w:rPr>
                <w:rFonts w:hint="eastAsia" w:ascii="宋体" w:hAnsi="宋体" w:eastAsia="宋体" w:cs="宋体"/>
                <w:color w:val="auto"/>
                <w:szCs w:val="21"/>
              </w:rPr>
              <w:t>以他人名义投标、串通投标、弄虚作假的。</w:t>
            </w:r>
          </w:p>
          <w:p w14:paraId="16379E3E">
            <w:pPr>
              <w:spacing w:line="360" w:lineRule="auto"/>
              <w:outlineLvl w:val="9"/>
              <w:rPr>
                <w:rFonts w:hint="eastAsia" w:ascii="宋体" w:hAnsi="宋体" w:eastAsia="宋体" w:cs="宋体"/>
                <w:color w:val="auto"/>
                <w:szCs w:val="21"/>
                <w:highlight w:val="none"/>
              </w:rPr>
            </w:pPr>
            <w:r>
              <w:rPr>
                <w:rFonts w:hint="eastAsia" w:ascii="宋体" w:hAnsi="宋体" w:eastAsia="宋体" w:cs="宋体"/>
                <w:color w:val="auto"/>
                <w:szCs w:val="21"/>
                <w:lang w:val="en-US" w:eastAsia="zh-CN"/>
              </w:rPr>
              <w:t>4.</w:t>
            </w:r>
            <w:r>
              <w:rPr>
                <w:rFonts w:hint="eastAsia" w:ascii="宋体" w:hAnsi="宋体" w:eastAsia="宋体" w:cs="宋体"/>
                <w:color w:val="auto"/>
                <w:szCs w:val="21"/>
              </w:rPr>
              <w:t>其它实质性偏离或不响应</w:t>
            </w:r>
            <w:r>
              <w:rPr>
                <w:rFonts w:hint="eastAsia" w:ascii="宋体" w:hAnsi="宋体" w:eastAsia="宋体" w:cs="宋体"/>
                <w:color w:val="auto"/>
                <w:szCs w:val="21"/>
                <w:lang w:val="en-US" w:eastAsia="zh-CN"/>
              </w:rPr>
              <w:t>磋商</w:t>
            </w:r>
            <w:r>
              <w:rPr>
                <w:rFonts w:hint="eastAsia" w:ascii="宋体" w:hAnsi="宋体" w:eastAsia="宋体" w:cs="宋体"/>
                <w:color w:val="auto"/>
                <w:szCs w:val="21"/>
              </w:rPr>
              <w:t>文件、不符合法律法规的情况</w:t>
            </w:r>
            <w:r>
              <w:rPr>
                <w:rFonts w:hint="eastAsia" w:ascii="宋体" w:hAnsi="宋体" w:eastAsia="宋体" w:cs="宋体"/>
                <w:color w:val="auto"/>
                <w:kern w:val="24"/>
                <w:sz w:val="24"/>
                <w:szCs w:val="24"/>
              </w:rPr>
              <w:t>。</w:t>
            </w:r>
          </w:p>
        </w:tc>
      </w:tr>
      <w:tr w14:paraId="5E247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3" w:type="dxa"/>
          <w:trHeight w:val="543" w:hRule="atLeast"/>
          <w:jc w:val="center"/>
        </w:trPr>
        <w:tc>
          <w:tcPr>
            <w:tcW w:w="3121" w:type="dxa"/>
            <w:gridSpan w:val="4"/>
            <w:noWrap w:val="0"/>
            <w:vAlign w:val="center"/>
          </w:tcPr>
          <w:p w14:paraId="1B090CE2">
            <w:pPr>
              <w:widowControl w:val="0"/>
              <w:autoSpaceDE w:val="0"/>
              <w:autoSpaceDN w:val="0"/>
              <w:adjustRightInd w:val="0"/>
              <w:spacing w:line="360" w:lineRule="auto"/>
              <w:jc w:val="center"/>
              <w:outlineLvl w:val="9"/>
              <w:rPr>
                <w:rFonts w:hint="eastAsia" w:ascii="宋体" w:hAnsi="宋体" w:eastAsia="宋体" w:cs="宋体"/>
                <w:b/>
                <w:color w:val="auto"/>
                <w:sz w:val="21"/>
                <w:szCs w:val="21"/>
                <w:highlight w:val="none"/>
                <w:lang w:val="en-US" w:eastAsia="zh-CN" w:bidi="ar-SA"/>
              </w:rPr>
            </w:pPr>
            <w:r>
              <w:rPr>
                <w:rFonts w:hint="eastAsia" w:ascii="宋体" w:hAnsi="宋体" w:eastAsia="宋体" w:cs="宋体"/>
                <w:b/>
                <w:color w:val="auto"/>
                <w:sz w:val="21"/>
                <w:szCs w:val="21"/>
                <w:highlight w:val="none"/>
                <w:lang w:val="en-US" w:eastAsia="zh-CN" w:bidi="ar-SA"/>
              </w:rPr>
              <w:t>分值构成（总分100分）</w:t>
            </w:r>
          </w:p>
        </w:tc>
        <w:tc>
          <w:tcPr>
            <w:tcW w:w="5590" w:type="dxa"/>
            <w:gridSpan w:val="2"/>
            <w:noWrap w:val="0"/>
            <w:vAlign w:val="center"/>
          </w:tcPr>
          <w:p w14:paraId="15CEB9A1">
            <w:pPr>
              <w:widowControl w:val="0"/>
              <w:autoSpaceDE w:val="0"/>
              <w:autoSpaceDN w:val="0"/>
              <w:adjustRightInd w:val="0"/>
              <w:spacing w:line="360" w:lineRule="auto"/>
              <w:outlineLvl w:val="9"/>
              <w:rPr>
                <w:rFonts w:hint="eastAsia" w:ascii="宋体" w:hAnsi="宋体" w:eastAsia="宋体" w:cs="宋体"/>
                <w:b/>
                <w:color w:val="auto"/>
                <w:sz w:val="21"/>
                <w:szCs w:val="21"/>
                <w:highlight w:val="none"/>
                <w:lang w:val="en-US" w:eastAsia="zh-CN" w:bidi="ar-SA"/>
              </w:rPr>
            </w:pPr>
            <w:r>
              <w:rPr>
                <w:rFonts w:hint="eastAsia" w:ascii="宋体" w:hAnsi="宋体" w:eastAsia="宋体" w:cs="宋体"/>
                <w:b/>
                <w:color w:val="auto"/>
                <w:sz w:val="21"/>
                <w:szCs w:val="21"/>
                <w:highlight w:val="none"/>
                <w:lang w:val="en-US" w:eastAsia="zh-CN" w:bidi="ar-SA"/>
              </w:rPr>
              <w:t>报价部分：20分，商务部分：23分，技术部分：</w:t>
            </w:r>
            <w:r>
              <w:rPr>
                <w:rFonts w:hint="eastAsia" w:ascii="宋体" w:hAnsi="宋体" w:eastAsia="宋体" w:cs="宋体"/>
                <w:b/>
                <w:color w:val="auto"/>
                <w:sz w:val="24"/>
                <w:szCs w:val="24"/>
                <w:lang w:val="en-US" w:eastAsia="zh-CN" w:bidi="ar-SA"/>
              </w:rPr>
              <w:t>57</w:t>
            </w:r>
            <w:r>
              <w:rPr>
                <w:rFonts w:hint="eastAsia" w:ascii="宋体" w:hAnsi="宋体" w:eastAsia="宋体" w:cs="宋体"/>
                <w:b/>
                <w:color w:val="auto"/>
                <w:sz w:val="21"/>
                <w:szCs w:val="21"/>
                <w:highlight w:val="none"/>
                <w:lang w:val="en-US" w:eastAsia="zh-CN" w:bidi="ar-SA"/>
              </w:rPr>
              <w:t>分</w:t>
            </w:r>
          </w:p>
        </w:tc>
      </w:tr>
      <w:tr w14:paraId="7E175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3" w:type="dxa"/>
          <w:trHeight w:val="386" w:hRule="atLeast"/>
          <w:jc w:val="center"/>
        </w:trPr>
        <w:tc>
          <w:tcPr>
            <w:tcW w:w="1136" w:type="dxa"/>
            <w:gridSpan w:val="2"/>
            <w:noWrap w:val="0"/>
            <w:vAlign w:val="center"/>
          </w:tcPr>
          <w:p w14:paraId="5F31CE5F">
            <w:pPr>
              <w:widowControl w:val="0"/>
              <w:autoSpaceDE w:val="0"/>
              <w:autoSpaceDN w:val="0"/>
              <w:adjustRightInd w:val="0"/>
              <w:spacing w:line="360" w:lineRule="auto"/>
              <w:jc w:val="center"/>
              <w:outlineLvl w:val="9"/>
              <w:rPr>
                <w:rFonts w:hint="eastAsia" w:ascii="宋体" w:hAnsi="宋体" w:eastAsia="宋体" w:cs="宋体"/>
                <w:b/>
                <w:color w:val="auto"/>
                <w:sz w:val="21"/>
                <w:szCs w:val="21"/>
                <w:highlight w:val="none"/>
                <w:lang w:val="en-US" w:eastAsia="zh-CN" w:bidi="ar-SA"/>
              </w:rPr>
            </w:pPr>
            <w:r>
              <w:rPr>
                <w:rFonts w:hint="eastAsia" w:ascii="宋体" w:hAnsi="宋体" w:eastAsia="宋体" w:cs="宋体"/>
                <w:b/>
                <w:color w:val="auto"/>
                <w:sz w:val="21"/>
                <w:szCs w:val="21"/>
                <w:highlight w:val="none"/>
                <w:lang w:val="en-US" w:eastAsia="zh-CN" w:bidi="ar-SA"/>
              </w:rPr>
              <w:t>评分因素</w:t>
            </w:r>
          </w:p>
        </w:tc>
        <w:tc>
          <w:tcPr>
            <w:tcW w:w="1985" w:type="dxa"/>
            <w:gridSpan w:val="2"/>
            <w:noWrap w:val="0"/>
            <w:vAlign w:val="center"/>
          </w:tcPr>
          <w:p w14:paraId="1B4F42FC">
            <w:pPr>
              <w:widowControl w:val="0"/>
              <w:autoSpaceDE w:val="0"/>
              <w:autoSpaceDN w:val="0"/>
              <w:adjustRightInd w:val="0"/>
              <w:spacing w:line="360" w:lineRule="auto"/>
              <w:jc w:val="center"/>
              <w:outlineLvl w:val="9"/>
              <w:rPr>
                <w:rFonts w:hint="eastAsia" w:ascii="宋体" w:hAnsi="宋体" w:eastAsia="宋体" w:cs="宋体"/>
                <w:b/>
                <w:color w:val="auto"/>
                <w:sz w:val="21"/>
                <w:szCs w:val="21"/>
                <w:highlight w:val="none"/>
                <w:lang w:val="en-US" w:eastAsia="zh-CN" w:bidi="ar-SA"/>
              </w:rPr>
            </w:pPr>
            <w:r>
              <w:rPr>
                <w:rFonts w:hint="eastAsia" w:ascii="宋体" w:hAnsi="宋体" w:eastAsia="宋体" w:cs="宋体"/>
                <w:b/>
                <w:color w:val="auto"/>
                <w:sz w:val="21"/>
                <w:szCs w:val="21"/>
                <w:highlight w:val="none"/>
                <w:lang w:val="en-US" w:eastAsia="zh-CN" w:bidi="ar-SA"/>
              </w:rPr>
              <w:t>评分内容</w:t>
            </w:r>
          </w:p>
        </w:tc>
        <w:tc>
          <w:tcPr>
            <w:tcW w:w="5590" w:type="dxa"/>
            <w:gridSpan w:val="2"/>
            <w:noWrap w:val="0"/>
            <w:vAlign w:val="center"/>
          </w:tcPr>
          <w:p w14:paraId="7D3CE416">
            <w:pPr>
              <w:widowControl w:val="0"/>
              <w:autoSpaceDE w:val="0"/>
              <w:autoSpaceDN w:val="0"/>
              <w:adjustRightInd w:val="0"/>
              <w:spacing w:line="360" w:lineRule="auto"/>
              <w:jc w:val="center"/>
              <w:outlineLvl w:val="9"/>
              <w:rPr>
                <w:rFonts w:hint="eastAsia" w:ascii="宋体" w:hAnsi="宋体" w:eastAsia="宋体" w:cs="宋体"/>
                <w:b/>
                <w:color w:val="auto"/>
                <w:sz w:val="21"/>
                <w:szCs w:val="21"/>
                <w:highlight w:val="none"/>
                <w:lang w:val="en-US" w:eastAsia="zh-CN" w:bidi="ar-SA"/>
              </w:rPr>
            </w:pPr>
            <w:r>
              <w:rPr>
                <w:rFonts w:hint="eastAsia" w:ascii="宋体" w:hAnsi="宋体" w:eastAsia="宋体" w:cs="宋体"/>
                <w:b/>
                <w:color w:val="auto"/>
                <w:sz w:val="21"/>
                <w:szCs w:val="21"/>
                <w:highlight w:val="none"/>
                <w:lang w:val="en-US" w:eastAsia="zh-CN" w:bidi="ar-SA"/>
              </w:rPr>
              <w:t>评分标准</w:t>
            </w:r>
          </w:p>
        </w:tc>
      </w:tr>
      <w:tr w14:paraId="20B09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3" w:type="dxa"/>
          <w:trHeight w:val="1988" w:hRule="atLeast"/>
          <w:jc w:val="center"/>
        </w:trPr>
        <w:tc>
          <w:tcPr>
            <w:tcW w:w="1136" w:type="dxa"/>
            <w:gridSpan w:val="2"/>
            <w:noWrap w:val="0"/>
            <w:vAlign w:val="center"/>
          </w:tcPr>
          <w:p w14:paraId="0EFA29FA">
            <w:pPr>
              <w:keepNext w:val="0"/>
              <w:keepLines w:val="0"/>
              <w:pageBreakBefore w:val="0"/>
              <w:widowControl w:val="0"/>
              <w:tabs>
                <w:tab w:val="center" w:pos="4153"/>
                <w:tab w:val="right" w:pos="8306"/>
              </w:tabs>
              <w:kinsoku/>
              <w:wordWrap/>
              <w:overflowPunct/>
              <w:topLinePunct w:val="0"/>
              <w:bidi w:val="0"/>
              <w:snapToGrid w:val="0"/>
              <w:spacing w:line="288"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val="0"/>
                <w:bCs w:val="0"/>
                <w:color w:val="auto"/>
                <w:kern w:val="2"/>
                <w:sz w:val="21"/>
                <w:szCs w:val="21"/>
                <w:lang w:val="en-US" w:eastAsia="zh-CN" w:bidi="ar-SA"/>
              </w:rPr>
              <w:t>报价部分（20分）</w:t>
            </w:r>
          </w:p>
        </w:tc>
        <w:tc>
          <w:tcPr>
            <w:tcW w:w="1985" w:type="dxa"/>
            <w:gridSpan w:val="2"/>
            <w:noWrap w:val="0"/>
            <w:vAlign w:val="center"/>
          </w:tcPr>
          <w:p w14:paraId="6B4D0161">
            <w:pPr>
              <w:keepNext w:val="0"/>
              <w:keepLines w:val="0"/>
              <w:pageBreakBefore w:val="0"/>
              <w:widowControl w:val="0"/>
              <w:kinsoku/>
              <w:wordWrap/>
              <w:overflowPunct/>
              <w:topLinePunct w:val="0"/>
              <w:autoSpaceDE w:val="0"/>
              <w:autoSpaceDN w:val="0"/>
              <w:bidi w:val="0"/>
              <w:adjustRightInd w:val="0"/>
              <w:snapToGrid w:val="0"/>
              <w:spacing w:line="288" w:lineRule="auto"/>
              <w:jc w:val="center"/>
              <w:rPr>
                <w:rFonts w:hint="eastAsia" w:ascii="宋体" w:hAnsi="宋体" w:eastAsia="宋体" w:cs="宋体"/>
                <w:b w:val="0"/>
                <w:bCs w:val="0"/>
                <w:color w:val="auto"/>
                <w:sz w:val="21"/>
                <w:szCs w:val="21"/>
                <w:lang w:val="en-US" w:eastAsia="zh-CN" w:bidi="ar-SA"/>
              </w:rPr>
            </w:pPr>
            <w:r>
              <w:rPr>
                <w:rFonts w:hint="eastAsia" w:ascii="宋体" w:hAnsi="宋体" w:eastAsia="宋体" w:cs="宋体"/>
                <w:b w:val="0"/>
                <w:bCs w:val="0"/>
                <w:color w:val="auto"/>
                <w:sz w:val="21"/>
                <w:szCs w:val="21"/>
                <w:lang w:val="en-US" w:eastAsia="zh-CN" w:bidi="ar-SA"/>
              </w:rPr>
              <w:t>投标报价</w:t>
            </w:r>
          </w:p>
          <w:p w14:paraId="14895D17">
            <w:pPr>
              <w:keepNext w:val="0"/>
              <w:keepLines w:val="0"/>
              <w:pageBreakBefore w:val="0"/>
              <w:widowControl w:val="0"/>
              <w:kinsoku/>
              <w:wordWrap/>
              <w:overflowPunct/>
              <w:topLinePunct w:val="0"/>
              <w:autoSpaceDE w:val="0"/>
              <w:autoSpaceDN w:val="0"/>
              <w:bidi w:val="0"/>
              <w:adjustRightInd w:val="0"/>
              <w:snapToGrid w:val="0"/>
              <w:spacing w:line="288" w:lineRule="auto"/>
              <w:jc w:val="center"/>
              <w:rPr>
                <w:rFonts w:hint="eastAsia" w:ascii="宋体" w:hAnsi="宋体" w:eastAsia="宋体" w:cs="宋体"/>
                <w:color w:val="auto"/>
                <w:sz w:val="21"/>
                <w:szCs w:val="21"/>
                <w:highlight w:val="none"/>
                <w:lang w:val="en-US" w:eastAsia="zh-CN" w:bidi="ar-SA"/>
              </w:rPr>
            </w:pPr>
            <w:r>
              <w:rPr>
                <w:rFonts w:hint="eastAsia" w:ascii="宋体" w:hAnsi="宋体" w:eastAsia="宋体" w:cs="宋体"/>
                <w:b w:val="0"/>
                <w:bCs w:val="0"/>
                <w:color w:val="auto"/>
                <w:sz w:val="21"/>
                <w:szCs w:val="21"/>
                <w:lang w:val="en-US" w:eastAsia="zh-CN" w:bidi="ar-SA"/>
              </w:rPr>
              <w:t>(20分)</w:t>
            </w:r>
          </w:p>
        </w:tc>
        <w:tc>
          <w:tcPr>
            <w:tcW w:w="5590" w:type="dxa"/>
            <w:gridSpan w:val="2"/>
            <w:noWrap w:val="0"/>
            <w:vAlign w:val="center"/>
          </w:tcPr>
          <w:p w14:paraId="236B854D">
            <w:pPr>
              <w:keepNext w:val="0"/>
              <w:keepLines w:val="0"/>
              <w:pageBreakBefore w:val="0"/>
              <w:kinsoku/>
              <w:wordWrap/>
              <w:overflowPunct/>
              <w:topLinePunct w:val="0"/>
              <w:bidi w:val="0"/>
              <w:snapToGrid w:val="0"/>
              <w:spacing w:line="360" w:lineRule="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投标报价得分统一采用低价优先法计算，即满足</w:t>
            </w:r>
            <w:r>
              <w:rPr>
                <w:rFonts w:hint="eastAsia" w:ascii="宋体" w:hAnsi="宋体" w:eastAsia="宋体" w:cs="宋体"/>
                <w:b w:val="0"/>
                <w:bCs w:val="0"/>
                <w:color w:val="auto"/>
                <w:sz w:val="21"/>
                <w:szCs w:val="21"/>
                <w:lang w:eastAsia="zh-CN"/>
              </w:rPr>
              <w:t>竞争性磋商文件</w:t>
            </w:r>
            <w:r>
              <w:rPr>
                <w:rFonts w:hint="eastAsia" w:ascii="宋体" w:hAnsi="宋体" w:eastAsia="宋体" w:cs="宋体"/>
                <w:b w:val="0"/>
                <w:bCs w:val="0"/>
                <w:color w:val="auto"/>
                <w:sz w:val="21"/>
                <w:szCs w:val="21"/>
              </w:rPr>
              <w:t>要求且投标价格最低的投标报价为评标基准价，其价格分为满分。其他供应商的价格分统一按照下列公式计算：</w:t>
            </w:r>
          </w:p>
          <w:p w14:paraId="32EF7ACB">
            <w:pPr>
              <w:keepNext w:val="0"/>
              <w:keepLines w:val="0"/>
              <w:pageBreakBefore w:val="0"/>
              <w:kinsoku/>
              <w:wordWrap/>
              <w:overflowPunct/>
              <w:topLinePunct w:val="0"/>
              <w:bidi w:val="0"/>
              <w:snapToGrid w:val="0"/>
              <w:spacing w:line="360" w:lineRule="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rPr>
              <w:t>投标报价得分=（评标基准价/投标报价）×</w:t>
            </w:r>
            <w:r>
              <w:rPr>
                <w:rFonts w:hint="eastAsia" w:ascii="宋体" w:hAnsi="宋体" w:eastAsia="宋体" w:cs="宋体"/>
                <w:b w:val="0"/>
                <w:bCs w:val="0"/>
                <w:color w:val="auto"/>
                <w:sz w:val="21"/>
                <w:szCs w:val="21"/>
                <w:lang w:val="en-US" w:eastAsia="zh-CN"/>
              </w:rPr>
              <w:t>20</w:t>
            </w:r>
          </w:p>
          <w:p w14:paraId="49FF8855">
            <w:pPr>
              <w:keepNext w:val="0"/>
              <w:keepLines w:val="0"/>
              <w:pageBreakBefore w:val="0"/>
              <w:kinsoku/>
              <w:wordWrap/>
              <w:overflowPunct/>
              <w:topLinePunct w:val="0"/>
              <w:bidi w:val="0"/>
              <w:snapToGrid w:val="0"/>
              <w:spacing w:line="360" w:lineRule="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最终得分计算保留小数点两位。</w:t>
            </w:r>
          </w:p>
          <w:p w14:paraId="4ABFFDD4">
            <w:pPr>
              <w:keepNext w:val="0"/>
              <w:keepLines w:val="0"/>
              <w:pageBreakBefore w:val="0"/>
              <w:kinsoku/>
              <w:wordWrap/>
              <w:overflowPunct/>
              <w:topLinePunct w:val="0"/>
              <w:bidi w:val="0"/>
              <w:snapToGrid w:val="0"/>
              <w:spacing w:line="360" w:lineRule="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1.</w:t>
            </w:r>
            <w:r>
              <w:rPr>
                <w:rFonts w:hint="eastAsia" w:ascii="宋体" w:hAnsi="宋体" w:eastAsia="宋体" w:cs="宋体"/>
                <w:b w:val="0"/>
                <w:bCs w:val="0"/>
                <w:color w:val="auto"/>
                <w:sz w:val="21"/>
                <w:szCs w:val="21"/>
              </w:rPr>
              <w:t>对</w:t>
            </w:r>
            <w:r>
              <w:rPr>
                <w:rFonts w:hint="eastAsia" w:ascii="宋体" w:hAnsi="宋体" w:eastAsia="宋体" w:cs="宋体"/>
                <w:b w:val="0"/>
                <w:bCs w:val="0"/>
                <w:color w:val="auto"/>
                <w:sz w:val="21"/>
                <w:szCs w:val="21"/>
                <w:lang w:val="en-US" w:eastAsia="zh-CN"/>
              </w:rPr>
              <w:t>提供服务的供应商为</w:t>
            </w:r>
            <w:r>
              <w:rPr>
                <w:rFonts w:hint="eastAsia" w:ascii="宋体" w:hAnsi="宋体" w:eastAsia="宋体" w:cs="宋体"/>
                <w:b w:val="0"/>
                <w:bCs w:val="0"/>
                <w:color w:val="auto"/>
                <w:sz w:val="21"/>
                <w:szCs w:val="21"/>
              </w:rPr>
              <w:t>小型和微型企业</w:t>
            </w:r>
            <w:r>
              <w:rPr>
                <w:rFonts w:hint="eastAsia" w:ascii="宋体" w:hAnsi="宋体" w:eastAsia="宋体" w:cs="宋体"/>
                <w:b w:val="0"/>
                <w:bCs w:val="0"/>
                <w:color w:val="auto"/>
                <w:sz w:val="21"/>
                <w:szCs w:val="21"/>
                <w:lang w:val="en-US" w:eastAsia="zh-CN"/>
              </w:rPr>
              <w:t>的</w:t>
            </w:r>
            <w:r>
              <w:rPr>
                <w:rFonts w:hint="eastAsia" w:ascii="宋体" w:hAnsi="宋体" w:eastAsia="宋体" w:cs="宋体"/>
                <w:b w:val="0"/>
                <w:bCs w:val="0"/>
                <w:color w:val="auto"/>
                <w:sz w:val="21"/>
                <w:szCs w:val="21"/>
              </w:rPr>
              <w:t>报价给予20%的扣除，用扣除后的报价参与评审。注：监狱企业、残疾人福利性单位视同小微企业；残疾人福利性单位属于小型、微型企业的，不重复享受政策。</w:t>
            </w:r>
          </w:p>
          <w:p w14:paraId="55C929F0">
            <w:pPr>
              <w:keepNext w:val="0"/>
              <w:keepLines w:val="0"/>
              <w:pageBreakBefore w:val="0"/>
              <w:kinsoku/>
              <w:wordWrap/>
              <w:overflowPunct/>
              <w:topLinePunct w:val="0"/>
              <w:bidi w:val="0"/>
              <w:snapToGrid w:val="0"/>
              <w:spacing w:line="360" w:lineRule="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2.本服务项目中涉及的货物适用“本国产品”政策。根据《国务院办公厅关于在政府采购中实施本国产品标准及相关政策的通知》（国办发〔2025〕34 号）的规定，政府采购活动中既有本国产品又有非本国产品参与竞争的，依法对本国产品给予价格评审优惠，对本国产品的报价给予20%的价格扣除，用扣除后的价格参与评审。 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 20%的价格扣除，用扣除后的价格参与评审。</w:t>
            </w:r>
          </w:p>
          <w:p w14:paraId="62B157FF">
            <w:pPr>
              <w:keepNext w:val="0"/>
              <w:keepLines w:val="0"/>
              <w:pageBreakBefore w:val="0"/>
              <w:kinsoku/>
              <w:wordWrap/>
              <w:overflowPunct/>
              <w:topLinePunct w:val="0"/>
              <w:bidi w:val="0"/>
              <w:snapToGrid w:val="0"/>
              <w:spacing w:line="360" w:lineRule="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注：1、供应商的投标报价超出</w:t>
            </w:r>
            <w:r>
              <w:rPr>
                <w:rFonts w:hint="eastAsia" w:ascii="宋体" w:hAnsi="宋体" w:eastAsia="宋体" w:cs="宋体"/>
                <w:b w:val="0"/>
                <w:bCs w:val="0"/>
                <w:color w:val="auto"/>
                <w:sz w:val="21"/>
                <w:szCs w:val="21"/>
                <w:lang w:val="en-US" w:eastAsia="zh-CN"/>
              </w:rPr>
              <w:t>最高限价</w:t>
            </w:r>
            <w:r>
              <w:rPr>
                <w:rFonts w:hint="eastAsia" w:ascii="宋体" w:hAnsi="宋体" w:eastAsia="宋体" w:cs="宋体"/>
                <w:b w:val="0"/>
                <w:bCs w:val="0"/>
                <w:color w:val="auto"/>
                <w:sz w:val="21"/>
                <w:szCs w:val="21"/>
              </w:rPr>
              <w:t>的，按无效标处理。</w:t>
            </w:r>
          </w:p>
          <w:p w14:paraId="6F9C38F1">
            <w:pPr>
              <w:keepNext w:val="0"/>
              <w:keepLines w:val="0"/>
              <w:pageBreakBefore w:val="0"/>
              <w:kinsoku/>
              <w:wordWrap/>
              <w:overflowPunct/>
              <w:topLinePunct w:val="0"/>
              <w:bidi w:val="0"/>
              <w:snapToGrid w:val="0"/>
              <w:spacing w:line="360" w:lineRule="auto"/>
              <w:ind w:firstLine="420" w:firstLineChars="200"/>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 xml:space="preserve">2、政府采购评审中出现下列情形之一的，评审委员会应当启动异常低价投标（响应）审查程序： </w:t>
            </w:r>
          </w:p>
          <w:p w14:paraId="1A3B03B6">
            <w:pPr>
              <w:keepNext w:val="0"/>
              <w:keepLines w:val="0"/>
              <w:pageBreakBefore w:val="0"/>
              <w:kinsoku/>
              <w:wordWrap/>
              <w:overflowPunct/>
              <w:topLinePunct w:val="0"/>
              <w:bidi w:val="0"/>
              <w:snapToGrid w:val="0"/>
              <w:spacing w:line="360" w:lineRule="auto"/>
              <w:ind w:firstLine="420" w:firstLineChars="200"/>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 xml:space="preserve">2.1.投标（响应）报价低于全部通过符合性审查供应商投标（响应）报价平均值50%的，即投标（响应）报价&lt;全部通过符合性审查供应商投标（响应）报价平均值×50%； </w:t>
            </w:r>
          </w:p>
          <w:p w14:paraId="7A58A480">
            <w:pPr>
              <w:keepNext w:val="0"/>
              <w:keepLines w:val="0"/>
              <w:pageBreakBefore w:val="0"/>
              <w:kinsoku/>
              <w:wordWrap/>
              <w:overflowPunct/>
              <w:topLinePunct w:val="0"/>
              <w:bidi w:val="0"/>
              <w:snapToGrid w:val="0"/>
              <w:spacing w:line="360" w:lineRule="auto"/>
              <w:ind w:firstLine="420" w:firstLineChars="200"/>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 xml:space="preserve">2.2.投标（响应）报价低于通过符合性审查的次低报价供应商投标（响应）报价50%的，即投标（响应）报价&lt;通过符合性审查的次低报价供应商投标（响应）报价×50%； </w:t>
            </w:r>
          </w:p>
          <w:p w14:paraId="16B254B2">
            <w:pPr>
              <w:keepNext w:val="0"/>
              <w:keepLines w:val="0"/>
              <w:pageBreakBefore w:val="0"/>
              <w:kinsoku/>
              <w:wordWrap/>
              <w:overflowPunct/>
              <w:topLinePunct w:val="0"/>
              <w:bidi w:val="0"/>
              <w:snapToGrid w:val="0"/>
              <w:spacing w:line="360" w:lineRule="auto"/>
              <w:ind w:firstLine="420" w:firstLineChars="200"/>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 xml:space="preserve">2.3.投标（响应）报价低于采购项目最高限价45%的，即投标（响应）报价&lt;采购项目最高限价×45%； </w:t>
            </w:r>
          </w:p>
          <w:p w14:paraId="1C00E159">
            <w:pPr>
              <w:keepNext w:val="0"/>
              <w:keepLines w:val="0"/>
              <w:pageBreakBefore w:val="0"/>
              <w:kinsoku/>
              <w:wordWrap/>
              <w:overflowPunct/>
              <w:topLinePunct w:val="0"/>
              <w:bidi w:val="0"/>
              <w:snapToGrid w:val="0"/>
              <w:spacing w:line="360" w:lineRule="auto"/>
              <w:ind w:firstLine="420" w:firstLineChars="200"/>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 xml:space="preserve">2.4.评审委员会基于专业判断，认为供应商报价过低，有可能影响产品质量或者不能诚信履约的其他情形。 </w:t>
            </w:r>
          </w:p>
          <w:p w14:paraId="3783CBFF">
            <w:pPr>
              <w:keepNext w:val="0"/>
              <w:keepLines w:val="0"/>
              <w:pageBreakBefore w:val="0"/>
              <w:kinsoku/>
              <w:wordWrap/>
              <w:overflowPunct/>
              <w:topLinePunct w:val="0"/>
              <w:bidi w:val="0"/>
              <w:snapToGrid w:val="0"/>
              <w:spacing w:line="360" w:lineRule="auto"/>
              <w:ind w:firstLine="420" w:firstLineChars="200"/>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 xml:space="preserve">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 般不少于30分钟。其中，属于第3项情形，供应商已随投标（响应）文件一并提交相关书面说明及必要的证明材料的，在评审现场可不再重复提交。 </w:t>
            </w:r>
          </w:p>
          <w:p w14:paraId="6AF56F5F">
            <w:pPr>
              <w:keepNext w:val="0"/>
              <w:keepLines w:val="0"/>
              <w:pageBreakBefore w:val="0"/>
              <w:kinsoku/>
              <w:wordWrap/>
              <w:overflowPunct/>
              <w:topLinePunct w:val="0"/>
              <w:bidi w:val="0"/>
              <w:snapToGrid w:val="0"/>
              <w:spacing w:line="360" w:lineRule="auto"/>
              <w:ind w:firstLine="420" w:firstLineChars="200"/>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 xml:space="preserve">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 </w:t>
            </w:r>
          </w:p>
          <w:p w14:paraId="2381E81A">
            <w:pPr>
              <w:snapToGrid w:val="0"/>
              <w:spacing w:line="360" w:lineRule="auto"/>
              <w:jc w:val="left"/>
              <w:outlineLvl w:val="9"/>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 异常低价投标（响应）审查的启动原因、审查意见和审查结果应当在评审报告中记录。</w:t>
            </w:r>
          </w:p>
        </w:tc>
      </w:tr>
      <w:tr w14:paraId="3771C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3" w:type="dxa"/>
          <w:trHeight w:val="1328" w:hRule="atLeast"/>
          <w:jc w:val="center"/>
        </w:trPr>
        <w:tc>
          <w:tcPr>
            <w:tcW w:w="1136" w:type="dxa"/>
            <w:gridSpan w:val="2"/>
            <w:vMerge w:val="restart"/>
            <w:noWrap w:val="0"/>
            <w:vAlign w:val="center"/>
          </w:tcPr>
          <w:p w14:paraId="55F68C76">
            <w:pPr>
              <w:widowControl w:val="0"/>
              <w:tabs>
                <w:tab w:val="center" w:pos="4153"/>
                <w:tab w:val="right" w:pos="8306"/>
              </w:tabs>
              <w:snapToGrid w:val="0"/>
              <w:spacing w:line="360" w:lineRule="auto"/>
              <w:jc w:val="center"/>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商务部分（23分)</w:t>
            </w:r>
          </w:p>
        </w:tc>
        <w:tc>
          <w:tcPr>
            <w:tcW w:w="1985" w:type="dxa"/>
            <w:gridSpan w:val="2"/>
            <w:noWrap w:val="0"/>
            <w:vAlign w:val="center"/>
          </w:tcPr>
          <w:p w14:paraId="68190253">
            <w:pPr>
              <w:keepNext w:val="0"/>
              <w:keepLines w:val="0"/>
              <w:pageBreakBefore w:val="0"/>
              <w:widowControl w:val="0"/>
              <w:tabs>
                <w:tab w:val="left" w:pos="854"/>
              </w:tabs>
              <w:kinsoku/>
              <w:wordWrap/>
              <w:overflowPunct/>
              <w:topLinePunct w:val="0"/>
              <w:autoSpaceDE w:val="0"/>
              <w:autoSpaceDN w:val="0"/>
              <w:bidi w:val="0"/>
              <w:adjustRightInd w:val="0"/>
              <w:snapToGrid w:val="0"/>
              <w:spacing w:line="360" w:lineRule="auto"/>
              <w:jc w:val="center"/>
              <w:rPr>
                <w:rFonts w:hint="eastAsia" w:ascii="宋体" w:hAnsi="宋体" w:eastAsia="宋体" w:cs="宋体"/>
                <w:b w:val="0"/>
                <w:bCs w:val="0"/>
                <w:color w:val="auto"/>
                <w:sz w:val="21"/>
                <w:szCs w:val="21"/>
                <w:lang w:val="en-US" w:eastAsia="zh-CN" w:bidi="ar-SA"/>
              </w:rPr>
            </w:pPr>
            <w:r>
              <w:rPr>
                <w:rFonts w:hint="eastAsia" w:ascii="宋体" w:hAnsi="宋体" w:eastAsia="宋体" w:cs="宋体"/>
                <w:b w:val="0"/>
                <w:bCs w:val="0"/>
                <w:color w:val="auto"/>
                <w:sz w:val="21"/>
                <w:szCs w:val="21"/>
                <w:lang w:val="en-US" w:eastAsia="zh-CN" w:bidi="ar-SA"/>
              </w:rPr>
              <w:t>企业业绩</w:t>
            </w:r>
          </w:p>
          <w:p w14:paraId="0E1FAEAB">
            <w:pPr>
              <w:keepNext w:val="0"/>
              <w:keepLines w:val="0"/>
              <w:pageBreakBefore w:val="0"/>
              <w:widowControl w:val="0"/>
              <w:tabs>
                <w:tab w:val="left" w:pos="854"/>
              </w:tabs>
              <w:kinsoku/>
              <w:wordWrap/>
              <w:overflowPunct/>
              <w:topLinePunct w:val="0"/>
              <w:autoSpaceDE w:val="0"/>
              <w:autoSpaceDN w:val="0"/>
              <w:bidi w:val="0"/>
              <w:adjustRightInd w:val="0"/>
              <w:snapToGrid w:val="0"/>
              <w:spacing w:line="360" w:lineRule="auto"/>
              <w:jc w:val="center"/>
              <w:rPr>
                <w:rFonts w:hint="eastAsia" w:ascii="宋体" w:hAnsi="宋体" w:eastAsia="宋体" w:cs="宋体"/>
                <w:color w:val="auto"/>
                <w:sz w:val="21"/>
                <w:szCs w:val="21"/>
                <w:highlight w:val="none"/>
                <w:lang w:val="en-US" w:eastAsia="zh-CN" w:bidi="ar-SA"/>
              </w:rPr>
            </w:pPr>
            <w:r>
              <w:rPr>
                <w:rFonts w:hint="eastAsia" w:ascii="宋体" w:hAnsi="宋体" w:eastAsia="宋体" w:cs="宋体"/>
                <w:b w:val="0"/>
                <w:bCs w:val="0"/>
                <w:color w:val="auto"/>
                <w:sz w:val="21"/>
                <w:szCs w:val="21"/>
                <w:lang w:val="en-US" w:eastAsia="zh-CN" w:bidi="ar-SA"/>
              </w:rPr>
              <w:t>（4分）</w:t>
            </w:r>
          </w:p>
        </w:tc>
        <w:tc>
          <w:tcPr>
            <w:tcW w:w="5590" w:type="dxa"/>
            <w:gridSpan w:val="2"/>
            <w:noWrap w:val="0"/>
            <w:vAlign w:val="center"/>
          </w:tcPr>
          <w:p w14:paraId="4193DB7B">
            <w:pPr>
              <w:keepNext w:val="0"/>
              <w:keepLines w:val="0"/>
              <w:pageBreakBefore w:val="0"/>
              <w:kinsoku/>
              <w:wordWrap/>
              <w:overflowPunct/>
              <w:topLinePunct w:val="0"/>
              <w:bidi w:val="0"/>
              <w:snapToGrid w:val="0"/>
              <w:spacing w:line="360" w:lineRule="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提供自202</w:t>
            </w:r>
            <w:r>
              <w:rPr>
                <w:rFonts w:hint="eastAsia" w:ascii="宋体" w:hAnsi="宋体" w:eastAsia="宋体" w:cs="宋体"/>
                <w:b w:val="0"/>
                <w:bCs w:val="0"/>
                <w:color w:val="auto"/>
                <w:sz w:val="21"/>
                <w:szCs w:val="21"/>
                <w:lang w:val="en-US" w:eastAsia="zh-CN"/>
              </w:rPr>
              <w:t>3</w:t>
            </w:r>
            <w:r>
              <w:rPr>
                <w:rFonts w:hint="eastAsia" w:ascii="宋体" w:hAnsi="宋体" w:eastAsia="宋体" w:cs="宋体"/>
                <w:b w:val="0"/>
                <w:bCs w:val="0"/>
                <w:color w:val="auto"/>
                <w:sz w:val="21"/>
                <w:szCs w:val="21"/>
              </w:rPr>
              <w:t>年1月1日以来（以合同签订时间为准），承担的</w:t>
            </w:r>
            <w:r>
              <w:rPr>
                <w:rFonts w:hint="eastAsia" w:ascii="宋体" w:hAnsi="宋体" w:eastAsia="宋体" w:cs="宋体"/>
                <w:b w:val="0"/>
                <w:bCs w:val="0"/>
                <w:color w:val="auto"/>
                <w:sz w:val="21"/>
                <w:szCs w:val="21"/>
                <w:lang w:val="en-US" w:eastAsia="zh-CN"/>
              </w:rPr>
              <w:t>类似项目</w:t>
            </w:r>
            <w:r>
              <w:rPr>
                <w:rFonts w:hint="eastAsia" w:ascii="宋体" w:hAnsi="宋体" w:eastAsia="宋体" w:cs="宋体"/>
                <w:b w:val="0"/>
                <w:bCs w:val="0"/>
                <w:color w:val="auto"/>
                <w:sz w:val="21"/>
                <w:szCs w:val="21"/>
                <w:lang w:eastAsia="zh-CN"/>
              </w:rPr>
              <w:t>业绩</w:t>
            </w:r>
            <w:r>
              <w:rPr>
                <w:rFonts w:hint="eastAsia" w:ascii="宋体" w:hAnsi="宋体" w:eastAsia="宋体" w:cs="宋体"/>
                <w:b w:val="0"/>
                <w:bCs w:val="0"/>
                <w:color w:val="auto"/>
                <w:sz w:val="21"/>
                <w:szCs w:val="21"/>
              </w:rPr>
              <w:t>，</w:t>
            </w:r>
            <w:r>
              <w:rPr>
                <w:rFonts w:hint="eastAsia" w:ascii="宋体" w:hAnsi="宋体" w:eastAsia="宋体" w:cs="宋体"/>
                <w:b w:val="0"/>
                <w:bCs w:val="0"/>
                <w:color w:val="auto"/>
                <w:sz w:val="21"/>
                <w:szCs w:val="21"/>
                <w:lang w:eastAsia="zh-CN"/>
              </w:rPr>
              <w:t>每有一份</w:t>
            </w:r>
            <w:r>
              <w:rPr>
                <w:rFonts w:hint="eastAsia" w:ascii="宋体" w:hAnsi="宋体" w:eastAsia="宋体" w:cs="宋体"/>
                <w:b w:val="0"/>
                <w:bCs w:val="0"/>
                <w:color w:val="auto"/>
                <w:sz w:val="21"/>
                <w:szCs w:val="21"/>
              </w:rPr>
              <w:t>得</w:t>
            </w:r>
            <w:r>
              <w:rPr>
                <w:rFonts w:hint="eastAsia" w:ascii="宋体" w:hAnsi="宋体" w:eastAsia="宋体" w:cs="宋体"/>
                <w:b w:val="0"/>
                <w:bCs w:val="0"/>
                <w:color w:val="auto"/>
                <w:sz w:val="21"/>
                <w:szCs w:val="21"/>
                <w:lang w:val="en-US" w:eastAsia="zh-CN"/>
              </w:rPr>
              <w:t>2</w:t>
            </w:r>
            <w:r>
              <w:rPr>
                <w:rFonts w:hint="eastAsia" w:ascii="宋体" w:hAnsi="宋体" w:eastAsia="宋体" w:cs="宋体"/>
                <w:b w:val="0"/>
                <w:bCs w:val="0"/>
                <w:color w:val="auto"/>
                <w:sz w:val="21"/>
                <w:szCs w:val="21"/>
              </w:rPr>
              <w:t>分，最高得</w:t>
            </w:r>
            <w:r>
              <w:rPr>
                <w:rFonts w:hint="eastAsia" w:ascii="宋体" w:hAnsi="宋体" w:eastAsia="宋体" w:cs="宋体"/>
                <w:b w:val="0"/>
                <w:bCs w:val="0"/>
                <w:color w:val="auto"/>
                <w:sz w:val="21"/>
                <w:szCs w:val="21"/>
                <w:lang w:val="en-US" w:eastAsia="zh-CN"/>
              </w:rPr>
              <w:t>4</w:t>
            </w:r>
            <w:r>
              <w:rPr>
                <w:rFonts w:hint="eastAsia" w:ascii="宋体" w:hAnsi="宋体" w:eastAsia="宋体" w:cs="宋体"/>
                <w:b w:val="0"/>
                <w:bCs w:val="0"/>
                <w:color w:val="auto"/>
                <w:sz w:val="21"/>
                <w:szCs w:val="21"/>
              </w:rPr>
              <w:t>分。</w:t>
            </w:r>
          </w:p>
          <w:p w14:paraId="051015E6">
            <w:pPr>
              <w:keepNext w:val="0"/>
              <w:keepLines w:val="0"/>
              <w:pageBreakBefore w:val="0"/>
              <w:kinsoku/>
              <w:wordWrap/>
              <w:overflowPunct/>
              <w:topLinePunct w:val="0"/>
              <w:bidi w:val="0"/>
              <w:snapToGrid w:val="0"/>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b w:val="0"/>
                <w:bCs w:val="0"/>
                <w:color w:val="auto"/>
                <w:sz w:val="21"/>
                <w:szCs w:val="21"/>
                <w:lang w:val="en-US" w:eastAsia="zh-CN"/>
              </w:rPr>
              <w:t>注：</w:t>
            </w:r>
            <w:r>
              <w:rPr>
                <w:rFonts w:hint="eastAsia" w:ascii="宋体" w:hAnsi="宋体" w:eastAsia="宋体" w:cs="宋体"/>
                <w:b w:val="0"/>
                <w:bCs w:val="0"/>
                <w:color w:val="auto"/>
                <w:sz w:val="21"/>
                <w:szCs w:val="21"/>
                <w:lang w:eastAsia="zh-CN"/>
              </w:rPr>
              <w:t>竞争性磋商响应文件</w:t>
            </w:r>
            <w:r>
              <w:rPr>
                <w:rFonts w:hint="eastAsia" w:ascii="宋体" w:hAnsi="宋体" w:eastAsia="宋体" w:cs="宋体"/>
                <w:b w:val="0"/>
                <w:bCs w:val="0"/>
                <w:color w:val="auto"/>
                <w:sz w:val="21"/>
                <w:szCs w:val="21"/>
              </w:rPr>
              <w:t>中应提供合同复印件</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扫描件</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，否则不得分</w:t>
            </w:r>
            <w:r>
              <w:rPr>
                <w:rFonts w:hint="eastAsia" w:ascii="宋体" w:hAnsi="宋体" w:eastAsia="宋体" w:cs="宋体"/>
                <w:b w:val="0"/>
                <w:bCs w:val="0"/>
                <w:color w:val="auto"/>
                <w:sz w:val="21"/>
                <w:szCs w:val="21"/>
                <w:lang w:eastAsia="zh-CN"/>
              </w:rPr>
              <w:t>。</w:t>
            </w:r>
          </w:p>
        </w:tc>
      </w:tr>
      <w:tr w14:paraId="5D52E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3" w:type="dxa"/>
          <w:trHeight w:val="3307" w:hRule="atLeast"/>
          <w:jc w:val="center"/>
        </w:trPr>
        <w:tc>
          <w:tcPr>
            <w:tcW w:w="1136" w:type="dxa"/>
            <w:gridSpan w:val="2"/>
            <w:vMerge w:val="continue"/>
            <w:noWrap w:val="0"/>
            <w:vAlign w:val="center"/>
          </w:tcPr>
          <w:p w14:paraId="686FAF20">
            <w:pPr>
              <w:spacing w:line="360" w:lineRule="auto"/>
              <w:outlineLvl w:val="9"/>
              <w:rPr>
                <w:rFonts w:hint="eastAsia" w:ascii="宋体" w:hAnsi="宋体" w:eastAsia="宋体" w:cs="宋体"/>
                <w:color w:val="auto"/>
              </w:rPr>
            </w:pPr>
          </w:p>
        </w:tc>
        <w:tc>
          <w:tcPr>
            <w:tcW w:w="1985" w:type="dxa"/>
            <w:gridSpan w:val="2"/>
            <w:noWrap w:val="0"/>
            <w:vAlign w:val="center"/>
          </w:tcPr>
          <w:p w14:paraId="3D480064">
            <w:pPr>
              <w:keepNext w:val="0"/>
              <w:keepLines w:val="0"/>
              <w:pageBreakBefore w:val="0"/>
              <w:widowControl w:val="0"/>
              <w:tabs>
                <w:tab w:val="left" w:pos="854"/>
              </w:tabs>
              <w:kinsoku/>
              <w:wordWrap/>
              <w:overflowPunct/>
              <w:topLinePunct w:val="0"/>
              <w:autoSpaceDE w:val="0"/>
              <w:autoSpaceDN w:val="0"/>
              <w:bidi w:val="0"/>
              <w:adjustRightInd w:val="0"/>
              <w:snapToGrid w:val="0"/>
              <w:spacing w:line="360" w:lineRule="auto"/>
              <w:jc w:val="center"/>
              <w:rPr>
                <w:rFonts w:hint="eastAsia" w:ascii="宋体" w:hAnsi="宋体" w:eastAsia="宋体" w:cs="宋体"/>
                <w:b w:val="0"/>
                <w:bCs w:val="0"/>
                <w:color w:val="auto"/>
                <w:sz w:val="21"/>
                <w:szCs w:val="21"/>
                <w:lang w:val="en-US" w:eastAsia="zh-CN" w:bidi="ar-SA"/>
              </w:rPr>
            </w:pPr>
            <w:r>
              <w:rPr>
                <w:rFonts w:hint="eastAsia" w:ascii="宋体" w:hAnsi="宋体" w:eastAsia="宋体" w:cs="宋体"/>
                <w:b w:val="0"/>
                <w:bCs w:val="0"/>
                <w:color w:val="auto"/>
                <w:sz w:val="21"/>
                <w:szCs w:val="21"/>
                <w:lang w:val="en-US" w:eastAsia="zh-CN" w:bidi="ar-SA"/>
              </w:rPr>
              <w:t>人员配备</w:t>
            </w:r>
          </w:p>
          <w:p w14:paraId="707F4C27">
            <w:pPr>
              <w:keepNext w:val="0"/>
              <w:keepLines w:val="0"/>
              <w:pageBreakBefore w:val="0"/>
              <w:widowControl w:val="0"/>
              <w:tabs>
                <w:tab w:val="left" w:pos="854"/>
              </w:tabs>
              <w:kinsoku/>
              <w:wordWrap/>
              <w:overflowPunct/>
              <w:topLinePunct w:val="0"/>
              <w:autoSpaceDE w:val="0"/>
              <w:autoSpaceDN w:val="0"/>
              <w:bidi w:val="0"/>
              <w:adjustRightInd w:val="0"/>
              <w:snapToGrid w:val="0"/>
              <w:spacing w:line="360" w:lineRule="auto"/>
              <w:jc w:val="center"/>
              <w:rPr>
                <w:rFonts w:hint="eastAsia" w:ascii="宋体" w:hAnsi="宋体" w:eastAsia="宋体" w:cs="宋体"/>
                <w:color w:val="auto"/>
                <w:sz w:val="21"/>
                <w:szCs w:val="21"/>
                <w:highlight w:val="none"/>
                <w:lang w:val="en-US" w:eastAsia="zh-CN" w:bidi="ar-SA"/>
              </w:rPr>
            </w:pPr>
            <w:r>
              <w:rPr>
                <w:rFonts w:hint="eastAsia" w:ascii="宋体" w:hAnsi="宋体" w:eastAsia="宋体" w:cs="宋体"/>
                <w:b w:val="0"/>
                <w:bCs w:val="0"/>
                <w:color w:val="auto"/>
                <w:sz w:val="21"/>
                <w:szCs w:val="21"/>
                <w:lang w:val="en-US" w:eastAsia="zh-CN" w:bidi="ar-SA"/>
              </w:rPr>
              <w:t>（</w:t>
            </w:r>
            <w:r>
              <w:rPr>
                <w:rFonts w:hint="eastAsia" w:ascii="宋体" w:hAnsi="宋体" w:cs="宋体"/>
                <w:b w:val="0"/>
                <w:bCs w:val="0"/>
                <w:color w:val="auto"/>
                <w:sz w:val="21"/>
                <w:szCs w:val="21"/>
                <w:lang w:val="en-US" w:eastAsia="zh-CN" w:bidi="ar-SA"/>
              </w:rPr>
              <w:t>8</w:t>
            </w:r>
            <w:r>
              <w:rPr>
                <w:rFonts w:hint="eastAsia" w:ascii="宋体" w:hAnsi="宋体" w:eastAsia="宋体" w:cs="宋体"/>
                <w:b w:val="0"/>
                <w:bCs w:val="0"/>
                <w:color w:val="auto"/>
                <w:sz w:val="21"/>
                <w:szCs w:val="21"/>
                <w:lang w:val="en-US" w:eastAsia="zh-CN" w:bidi="ar-SA"/>
              </w:rPr>
              <w:t>分）</w:t>
            </w:r>
          </w:p>
        </w:tc>
        <w:tc>
          <w:tcPr>
            <w:tcW w:w="5590" w:type="dxa"/>
            <w:gridSpan w:val="2"/>
            <w:noWrap w:val="0"/>
            <w:vAlign w:val="center"/>
          </w:tcPr>
          <w:p w14:paraId="088AF504">
            <w:pPr>
              <w:keepNext w:val="0"/>
              <w:keepLines w:val="0"/>
              <w:pageBreakBefore w:val="0"/>
              <w:widowControl w:val="0"/>
              <w:kinsoku/>
              <w:wordWrap/>
              <w:overflowPunct/>
              <w:topLinePunct w:val="0"/>
              <w:bidi w:val="0"/>
              <w:adjustRightInd w:val="0"/>
              <w:snapToGrid w:val="0"/>
              <w:spacing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根据供应商提供的</w:t>
            </w:r>
            <w:r>
              <w:rPr>
                <w:rFonts w:hint="eastAsia" w:ascii="宋体" w:hAnsi="宋体" w:cs="宋体"/>
                <w:color w:val="auto"/>
                <w:sz w:val="21"/>
                <w:szCs w:val="21"/>
                <w:lang w:val="en-US" w:eastAsia="zh-CN"/>
              </w:rPr>
              <w:t>本</w:t>
            </w:r>
            <w:r>
              <w:rPr>
                <w:rFonts w:hint="eastAsia" w:ascii="宋体" w:hAnsi="宋体" w:eastAsia="宋体" w:cs="宋体"/>
                <w:color w:val="auto"/>
                <w:sz w:val="21"/>
                <w:szCs w:val="21"/>
              </w:rPr>
              <w:t>项目人员配置</w:t>
            </w:r>
            <w:r>
              <w:rPr>
                <w:rFonts w:hint="eastAsia" w:ascii="宋体" w:hAnsi="宋体" w:cs="宋体"/>
                <w:color w:val="auto"/>
                <w:sz w:val="21"/>
                <w:szCs w:val="21"/>
                <w:lang w:eastAsia="zh-CN"/>
              </w:rPr>
              <w:t>、</w:t>
            </w:r>
            <w:r>
              <w:rPr>
                <w:rFonts w:hint="eastAsia" w:ascii="宋体" w:hAnsi="宋体" w:eastAsia="宋体" w:cs="宋体"/>
                <w:color w:val="auto"/>
                <w:sz w:val="21"/>
                <w:szCs w:val="21"/>
              </w:rPr>
              <w:t>人员组织架构</w:t>
            </w:r>
            <w:r>
              <w:rPr>
                <w:rFonts w:hint="eastAsia" w:ascii="宋体" w:hAnsi="宋体" w:eastAsia="宋体" w:cs="宋体"/>
                <w:color w:val="auto"/>
                <w:sz w:val="21"/>
                <w:szCs w:val="21"/>
                <w:lang w:eastAsia="zh-CN"/>
              </w:rPr>
              <w:t>、</w:t>
            </w:r>
            <w:r>
              <w:rPr>
                <w:rFonts w:hint="eastAsia" w:ascii="宋体" w:hAnsi="宋体" w:cs="宋体"/>
                <w:color w:val="auto"/>
                <w:sz w:val="21"/>
                <w:szCs w:val="21"/>
                <w:lang w:val="en-US" w:eastAsia="zh-CN"/>
              </w:rPr>
              <w:t>从业培训、</w:t>
            </w:r>
            <w:r>
              <w:rPr>
                <w:rFonts w:hint="eastAsia" w:ascii="宋体" w:hAnsi="宋体" w:eastAsia="宋体" w:cs="宋体"/>
                <w:color w:val="auto"/>
                <w:sz w:val="21"/>
                <w:szCs w:val="21"/>
              </w:rPr>
              <w:t>人员相关工作经验</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经历</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、人员管理措施等进行评分：</w:t>
            </w:r>
          </w:p>
          <w:p w14:paraId="35145032">
            <w:pPr>
              <w:keepNext w:val="0"/>
              <w:keepLines w:val="0"/>
              <w:pageBreakBefore w:val="0"/>
              <w:widowControl w:val="0"/>
              <w:kinsoku/>
              <w:wordWrap/>
              <w:overflowPunct/>
              <w:topLinePunct w:val="0"/>
              <w:bidi w:val="0"/>
              <w:adjustRightInd w:val="0"/>
              <w:snapToGrid w:val="0"/>
              <w:spacing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①人员配置、人员组织架构、从业培训、人员相关工作经验（经历）、人员管理措施</w:t>
            </w:r>
            <w:r>
              <w:rPr>
                <w:rFonts w:hint="eastAsia" w:ascii="宋体" w:hAnsi="宋体" w:cs="宋体"/>
                <w:color w:val="auto"/>
                <w:sz w:val="21"/>
                <w:szCs w:val="21"/>
                <w:lang w:eastAsia="zh-CN"/>
              </w:rPr>
              <w:t>，</w:t>
            </w:r>
            <w:r>
              <w:rPr>
                <w:rFonts w:hint="eastAsia" w:ascii="宋体" w:hAnsi="宋体" w:eastAsia="宋体" w:cs="宋体"/>
                <w:color w:val="auto"/>
                <w:sz w:val="21"/>
                <w:szCs w:val="21"/>
              </w:rPr>
              <w:t xml:space="preserve">科学、合理，针对性、可行性强的得 </w:t>
            </w:r>
            <w:r>
              <w:rPr>
                <w:rFonts w:hint="eastAsia" w:ascii="宋体" w:hAnsi="宋体" w:cs="宋体"/>
                <w:color w:val="auto"/>
                <w:sz w:val="21"/>
                <w:szCs w:val="21"/>
                <w:lang w:val="en-US" w:eastAsia="zh-CN"/>
              </w:rPr>
              <w:t>8</w:t>
            </w:r>
            <w:r>
              <w:rPr>
                <w:rFonts w:hint="eastAsia" w:ascii="宋体" w:hAnsi="宋体" w:eastAsia="宋体" w:cs="宋体"/>
                <w:color w:val="auto"/>
                <w:sz w:val="21"/>
                <w:szCs w:val="21"/>
              </w:rPr>
              <w:t xml:space="preserve">分； </w:t>
            </w:r>
          </w:p>
          <w:p w14:paraId="0A2C393B">
            <w:pPr>
              <w:keepNext w:val="0"/>
              <w:keepLines w:val="0"/>
              <w:pageBreakBefore w:val="0"/>
              <w:widowControl w:val="0"/>
              <w:kinsoku/>
              <w:wordWrap/>
              <w:overflowPunct/>
              <w:topLinePunct w:val="0"/>
              <w:bidi w:val="0"/>
              <w:adjustRightInd w:val="0"/>
              <w:snapToGrid w:val="0"/>
              <w:spacing w:after="0" w:line="360" w:lineRule="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②人员配置、人员组织架构、从业培训、人员相关工作经验（经历）、人员管理措施</w:t>
            </w:r>
            <w:r>
              <w:rPr>
                <w:rFonts w:hint="eastAsia" w:ascii="宋体" w:hAnsi="宋体" w:cs="宋体"/>
                <w:color w:val="auto"/>
                <w:sz w:val="21"/>
                <w:szCs w:val="21"/>
                <w:lang w:eastAsia="zh-CN"/>
              </w:rPr>
              <w:t>，</w:t>
            </w:r>
            <w:r>
              <w:rPr>
                <w:rFonts w:hint="eastAsia" w:ascii="宋体" w:hAnsi="宋体" w:eastAsia="宋体" w:cs="宋体"/>
                <w:color w:val="auto"/>
                <w:sz w:val="21"/>
                <w:szCs w:val="21"/>
              </w:rPr>
              <w:t xml:space="preserve">较科学、合理，有针对性、可行性的得 </w:t>
            </w:r>
            <w:r>
              <w:rPr>
                <w:rFonts w:hint="eastAsia" w:ascii="宋体" w:hAnsi="宋体" w:eastAsia="宋体" w:cs="宋体"/>
                <w:color w:val="auto"/>
                <w:sz w:val="21"/>
                <w:szCs w:val="21"/>
                <w:lang w:val="en-US" w:eastAsia="zh-CN"/>
              </w:rPr>
              <w:t>6</w:t>
            </w:r>
            <w:r>
              <w:rPr>
                <w:rFonts w:hint="eastAsia" w:ascii="宋体" w:hAnsi="宋体" w:eastAsia="宋体" w:cs="宋体"/>
                <w:color w:val="auto"/>
                <w:sz w:val="21"/>
                <w:szCs w:val="21"/>
              </w:rPr>
              <w:t xml:space="preserve">分 </w:t>
            </w:r>
            <w:r>
              <w:rPr>
                <w:rFonts w:hint="eastAsia" w:ascii="宋体" w:hAnsi="宋体" w:eastAsia="宋体" w:cs="宋体"/>
                <w:color w:val="auto"/>
                <w:sz w:val="21"/>
                <w:szCs w:val="21"/>
                <w:lang w:eastAsia="zh-CN"/>
              </w:rPr>
              <w:t>；</w:t>
            </w:r>
          </w:p>
          <w:p w14:paraId="138387D1">
            <w:pPr>
              <w:keepNext w:val="0"/>
              <w:keepLines w:val="0"/>
              <w:pageBreakBefore w:val="0"/>
              <w:widowControl w:val="0"/>
              <w:kinsoku/>
              <w:wordWrap/>
              <w:overflowPunct/>
              <w:topLinePunct w:val="0"/>
              <w:bidi w:val="0"/>
              <w:adjustRightInd w:val="0"/>
              <w:snapToGrid w:val="0"/>
              <w:spacing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③人员配置、人员组织架构、从业培训、人员相关工作经验（经历）、人员管理措施</w:t>
            </w:r>
            <w:r>
              <w:rPr>
                <w:rFonts w:hint="eastAsia" w:ascii="宋体" w:hAnsi="宋体" w:cs="宋体"/>
                <w:color w:val="auto"/>
                <w:sz w:val="21"/>
                <w:szCs w:val="21"/>
                <w:lang w:eastAsia="zh-CN"/>
              </w:rPr>
              <w:t>，</w:t>
            </w:r>
            <w:r>
              <w:rPr>
                <w:rFonts w:hint="eastAsia" w:ascii="宋体" w:hAnsi="宋体" w:eastAsia="宋体" w:cs="宋体"/>
                <w:color w:val="auto"/>
                <w:sz w:val="21"/>
                <w:szCs w:val="21"/>
              </w:rPr>
              <w:t xml:space="preserve">基本科学、合理，针对性、可行性一般的得 </w:t>
            </w:r>
            <w:r>
              <w:rPr>
                <w:rFonts w:hint="eastAsia" w:ascii="宋体" w:hAnsi="宋体" w:cs="宋体"/>
                <w:color w:val="auto"/>
                <w:sz w:val="21"/>
                <w:szCs w:val="21"/>
                <w:lang w:val="en-US" w:eastAsia="zh-CN"/>
              </w:rPr>
              <w:t>4</w:t>
            </w:r>
            <w:r>
              <w:rPr>
                <w:rFonts w:hint="eastAsia" w:ascii="宋体" w:hAnsi="宋体" w:eastAsia="宋体" w:cs="宋体"/>
                <w:color w:val="auto"/>
                <w:sz w:val="21"/>
                <w:szCs w:val="21"/>
              </w:rPr>
              <w:t xml:space="preserve">分； </w:t>
            </w:r>
          </w:p>
          <w:p w14:paraId="4D7BBA8C">
            <w:pPr>
              <w:keepNext w:val="0"/>
              <w:keepLines w:val="0"/>
              <w:pageBreakBefore w:val="0"/>
              <w:widowControl w:val="0"/>
              <w:kinsoku/>
              <w:wordWrap/>
              <w:overflowPunct/>
              <w:topLinePunct w:val="0"/>
              <w:bidi w:val="0"/>
              <w:adjustRightInd w:val="0"/>
              <w:snapToGrid w:val="0"/>
              <w:spacing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④人员配置、人员组织架构、从业培训、人员相关工作经验（经历）、人员管理措施</w:t>
            </w:r>
            <w:r>
              <w:rPr>
                <w:rFonts w:hint="eastAsia" w:ascii="宋体" w:hAnsi="宋体" w:cs="宋体"/>
                <w:color w:val="auto"/>
                <w:sz w:val="21"/>
                <w:szCs w:val="21"/>
                <w:lang w:eastAsia="zh-CN"/>
              </w:rPr>
              <w:t>，</w:t>
            </w:r>
            <w:r>
              <w:rPr>
                <w:rFonts w:hint="eastAsia" w:ascii="宋体" w:hAnsi="宋体" w:eastAsia="宋体" w:cs="宋体"/>
                <w:color w:val="auto"/>
                <w:sz w:val="21"/>
                <w:szCs w:val="21"/>
              </w:rPr>
              <w:t xml:space="preserve">不科学、合理，无针对性、可行性的得 </w:t>
            </w: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 xml:space="preserve">分； </w:t>
            </w:r>
          </w:p>
          <w:p w14:paraId="5B7ED621">
            <w:pPr>
              <w:keepNext w:val="0"/>
              <w:keepLines w:val="0"/>
              <w:pageBreakBefore w:val="0"/>
              <w:widowControl w:val="0"/>
              <w:kinsoku/>
              <w:wordWrap/>
              <w:overflowPunct/>
              <w:topLinePunct w:val="0"/>
              <w:bidi w:val="0"/>
              <w:adjustRightInd w:val="0"/>
              <w:snapToGrid w:val="0"/>
              <w:spacing w:after="0" w:line="360" w:lineRule="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rPr>
              <w:t>⑤未提供的不得分。</w:t>
            </w:r>
          </w:p>
        </w:tc>
      </w:tr>
      <w:tr w14:paraId="621A7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3" w:type="dxa"/>
          <w:trHeight w:val="1366" w:hRule="atLeast"/>
          <w:jc w:val="center"/>
        </w:trPr>
        <w:tc>
          <w:tcPr>
            <w:tcW w:w="1136" w:type="dxa"/>
            <w:gridSpan w:val="2"/>
            <w:vMerge w:val="continue"/>
            <w:noWrap w:val="0"/>
            <w:vAlign w:val="center"/>
          </w:tcPr>
          <w:p w14:paraId="096B8369">
            <w:pPr>
              <w:spacing w:line="360" w:lineRule="auto"/>
              <w:outlineLvl w:val="9"/>
              <w:rPr>
                <w:rFonts w:hint="eastAsia" w:ascii="宋体" w:hAnsi="宋体" w:eastAsia="宋体" w:cs="宋体"/>
                <w:color w:val="auto"/>
                <w:sz w:val="21"/>
                <w:szCs w:val="21"/>
                <w:highlight w:val="none"/>
                <w:lang w:val="en-US" w:eastAsia="zh-CN" w:bidi="ar-SA"/>
              </w:rPr>
            </w:pPr>
          </w:p>
        </w:tc>
        <w:tc>
          <w:tcPr>
            <w:tcW w:w="1985" w:type="dxa"/>
            <w:gridSpan w:val="2"/>
            <w:noWrap w:val="0"/>
            <w:vAlign w:val="center"/>
          </w:tcPr>
          <w:p w14:paraId="23AD90D9">
            <w:pPr>
              <w:keepNext w:val="0"/>
              <w:keepLines w:val="0"/>
              <w:pageBreakBefore w:val="0"/>
              <w:widowControl w:val="0"/>
              <w:tabs>
                <w:tab w:val="left" w:pos="854"/>
              </w:tabs>
              <w:kinsoku/>
              <w:wordWrap/>
              <w:overflowPunct/>
              <w:topLinePunct w:val="0"/>
              <w:autoSpaceDE w:val="0"/>
              <w:autoSpaceDN w:val="0"/>
              <w:bidi w:val="0"/>
              <w:adjustRightInd w:val="0"/>
              <w:snapToGrid w:val="0"/>
              <w:spacing w:line="360" w:lineRule="auto"/>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b w:val="0"/>
                <w:bCs w:val="0"/>
                <w:color w:val="auto"/>
                <w:sz w:val="21"/>
                <w:szCs w:val="21"/>
                <w:lang w:val="en-US" w:eastAsia="zh-CN" w:bidi="ar-SA"/>
              </w:rPr>
              <w:t>供应商自行配备的设备情况（5分）</w:t>
            </w:r>
          </w:p>
        </w:tc>
        <w:tc>
          <w:tcPr>
            <w:tcW w:w="5590" w:type="dxa"/>
            <w:gridSpan w:val="2"/>
            <w:noWrap w:val="0"/>
            <w:vAlign w:val="center"/>
          </w:tcPr>
          <w:p w14:paraId="38AD1775">
            <w:pPr>
              <w:keepNext w:val="0"/>
              <w:keepLines w:val="0"/>
              <w:pageBreakBefore w:val="0"/>
              <w:widowControl w:val="0"/>
              <w:kinsoku/>
              <w:wordWrap/>
              <w:overflowPunct/>
              <w:topLinePunct w:val="0"/>
              <w:bidi w:val="0"/>
              <w:adjustRightInd w:val="0"/>
              <w:snapToGrid w:val="0"/>
              <w:spacing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根据供应商为本项目自行配备的基本设备情况（设备配置清单、图片、设备用途等）进行评分： </w:t>
            </w:r>
          </w:p>
          <w:p w14:paraId="6BB9A7BD">
            <w:pPr>
              <w:keepNext w:val="0"/>
              <w:keepLines w:val="0"/>
              <w:pageBreakBefore w:val="0"/>
              <w:widowControl w:val="0"/>
              <w:kinsoku/>
              <w:wordWrap/>
              <w:overflowPunct/>
              <w:topLinePunct w:val="0"/>
              <w:bidi w:val="0"/>
              <w:adjustRightInd w:val="0"/>
              <w:snapToGrid w:val="0"/>
              <w:spacing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①项目设备配置科学、合理、齐全，针对性、可行性强的得</w:t>
            </w:r>
            <w:r>
              <w:rPr>
                <w:rFonts w:hint="eastAsia" w:ascii="宋体" w:hAnsi="宋体" w:eastAsia="宋体" w:cs="宋体"/>
                <w:color w:val="auto"/>
                <w:sz w:val="21"/>
                <w:szCs w:val="21"/>
                <w:lang w:val="en-US" w:eastAsia="zh-CN"/>
              </w:rPr>
              <w:t>5</w:t>
            </w:r>
            <w:r>
              <w:rPr>
                <w:rFonts w:hint="eastAsia" w:ascii="宋体" w:hAnsi="宋体" w:eastAsia="宋体" w:cs="宋体"/>
                <w:color w:val="auto"/>
                <w:sz w:val="21"/>
                <w:szCs w:val="21"/>
              </w:rPr>
              <w:t>分；</w:t>
            </w:r>
          </w:p>
          <w:p w14:paraId="1F45FD1D">
            <w:pPr>
              <w:keepNext w:val="0"/>
              <w:keepLines w:val="0"/>
              <w:pageBreakBefore w:val="0"/>
              <w:widowControl w:val="0"/>
              <w:kinsoku/>
              <w:wordWrap/>
              <w:overflowPunct/>
              <w:topLinePunct w:val="0"/>
              <w:bidi w:val="0"/>
              <w:adjustRightInd w:val="0"/>
              <w:snapToGrid w:val="0"/>
              <w:spacing w:after="0" w:line="360" w:lineRule="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 xml:space="preserve">②项目设备配置较科学、合理，有针对性、可行性的得 </w:t>
            </w: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rPr>
              <w:t xml:space="preserve">分 </w:t>
            </w:r>
            <w:r>
              <w:rPr>
                <w:rFonts w:hint="eastAsia" w:ascii="宋体" w:hAnsi="宋体" w:eastAsia="宋体" w:cs="宋体"/>
                <w:color w:val="auto"/>
                <w:sz w:val="21"/>
                <w:szCs w:val="21"/>
                <w:lang w:eastAsia="zh-CN"/>
              </w:rPr>
              <w:t>；</w:t>
            </w:r>
          </w:p>
          <w:p w14:paraId="4411FF38">
            <w:pPr>
              <w:keepNext w:val="0"/>
              <w:keepLines w:val="0"/>
              <w:pageBreakBefore w:val="0"/>
              <w:widowControl w:val="0"/>
              <w:kinsoku/>
              <w:wordWrap/>
              <w:overflowPunct/>
              <w:topLinePunct w:val="0"/>
              <w:bidi w:val="0"/>
              <w:adjustRightInd w:val="0"/>
              <w:snapToGrid w:val="0"/>
              <w:spacing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③项目设备配置基本科学、合理、齐全，针对性、可行性一般的得 </w:t>
            </w: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 xml:space="preserve"> 分；</w:t>
            </w:r>
          </w:p>
          <w:p w14:paraId="1A8106E4">
            <w:pPr>
              <w:keepNext w:val="0"/>
              <w:keepLines w:val="0"/>
              <w:pageBreakBefore w:val="0"/>
              <w:widowControl w:val="0"/>
              <w:kinsoku/>
              <w:wordWrap/>
              <w:overflowPunct/>
              <w:topLinePunct w:val="0"/>
              <w:bidi w:val="0"/>
              <w:adjustRightInd w:val="0"/>
              <w:snapToGrid w:val="0"/>
              <w:spacing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④项目设备配置不科学、合理、齐全，无针对性、可行性的得 1 分； </w:t>
            </w:r>
          </w:p>
          <w:p w14:paraId="292CC4A2">
            <w:pPr>
              <w:keepNext w:val="0"/>
              <w:keepLines w:val="0"/>
              <w:pageBreakBefore w:val="0"/>
              <w:widowControl w:val="0"/>
              <w:kinsoku/>
              <w:wordWrap/>
              <w:overflowPunct/>
              <w:topLinePunct w:val="0"/>
              <w:bidi w:val="0"/>
              <w:adjustRightInd w:val="0"/>
              <w:snapToGrid w:val="0"/>
              <w:spacing w:after="0" w:line="360" w:lineRule="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rPr>
              <w:t>⑤未提供的不得分。</w:t>
            </w:r>
          </w:p>
        </w:tc>
      </w:tr>
      <w:tr w14:paraId="45690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3" w:type="dxa"/>
          <w:trHeight w:val="1988" w:hRule="atLeast"/>
          <w:jc w:val="center"/>
        </w:trPr>
        <w:tc>
          <w:tcPr>
            <w:tcW w:w="1136" w:type="dxa"/>
            <w:gridSpan w:val="2"/>
            <w:vMerge w:val="continue"/>
            <w:noWrap w:val="0"/>
            <w:vAlign w:val="center"/>
          </w:tcPr>
          <w:p w14:paraId="749F8321">
            <w:pPr>
              <w:widowControl w:val="0"/>
              <w:tabs>
                <w:tab w:val="center" w:pos="4153"/>
                <w:tab w:val="right" w:pos="8306"/>
              </w:tabs>
              <w:snapToGrid w:val="0"/>
              <w:spacing w:line="360" w:lineRule="auto"/>
              <w:jc w:val="center"/>
              <w:outlineLvl w:val="9"/>
              <w:rPr>
                <w:rFonts w:hint="eastAsia" w:ascii="宋体" w:hAnsi="宋体" w:eastAsia="宋体" w:cs="宋体"/>
                <w:color w:val="auto"/>
                <w:kern w:val="2"/>
                <w:sz w:val="21"/>
                <w:szCs w:val="21"/>
                <w:highlight w:val="none"/>
                <w:lang w:val="en-US" w:eastAsia="zh-CN" w:bidi="ar-SA"/>
              </w:rPr>
            </w:pPr>
          </w:p>
        </w:tc>
        <w:tc>
          <w:tcPr>
            <w:tcW w:w="1985" w:type="dxa"/>
            <w:gridSpan w:val="2"/>
            <w:noWrap w:val="0"/>
            <w:vAlign w:val="center"/>
          </w:tcPr>
          <w:p w14:paraId="6E325FDF">
            <w:pPr>
              <w:keepNext w:val="0"/>
              <w:keepLines w:val="0"/>
              <w:pageBreakBefore w:val="0"/>
              <w:widowControl w:val="0"/>
              <w:tabs>
                <w:tab w:val="left" w:pos="854"/>
              </w:tabs>
              <w:kinsoku/>
              <w:wordWrap/>
              <w:overflowPunct/>
              <w:topLinePunct w:val="0"/>
              <w:autoSpaceDE w:val="0"/>
              <w:autoSpaceDN w:val="0"/>
              <w:bidi w:val="0"/>
              <w:adjustRightInd w:val="0"/>
              <w:snapToGrid w:val="0"/>
              <w:spacing w:line="360" w:lineRule="auto"/>
              <w:jc w:val="center"/>
              <w:rPr>
                <w:rFonts w:hint="eastAsia" w:ascii="宋体" w:hAnsi="宋体" w:eastAsia="宋体" w:cs="宋体"/>
                <w:color w:val="auto"/>
                <w:sz w:val="21"/>
                <w:szCs w:val="21"/>
                <w:highlight w:val="none"/>
                <w:lang w:val="en-US" w:eastAsia="zh-CN" w:bidi="ar-SA"/>
              </w:rPr>
            </w:pPr>
            <w:r>
              <w:rPr>
                <w:rFonts w:hint="eastAsia" w:ascii="宋体" w:hAnsi="宋体" w:eastAsia="宋体" w:cs="宋体"/>
                <w:b w:val="0"/>
                <w:bCs w:val="0"/>
                <w:color w:val="auto"/>
                <w:sz w:val="21"/>
                <w:szCs w:val="21"/>
                <w:lang w:val="en-US" w:eastAsia="zh-CN" w:bidi="ar-SA"/>
              </w:rPr>
              <w:t>履约能力（</w:t>
            </w:r>
            <w:r>
              <w:rPr>
                <w:rFonts w:hint="eastAsia" w:ascii="宋体" w:hAnsi="宋体" w:cs="宋体"/>
                <w:b w:val="0"/>
                <w:bCs w:val="0"/>
                <w:color w:val="auto"/>
                <w:sz w:val="21"/>
                <w:szCs w:val="21"/>
                <w:lang w:val="en-US" w:eastAsia="zh-CN" w:bidi="ar-SA"/>
              </w:rPr>
              <w:t>6</w:t>
            </w:r>
            <w:r>
              <w:rPr>
                <w:rFonts w:hint="eastAsia" w:ascii="宋体" w:hAnsi="宋体" w:eastAsia="宋体" w:cs="宋体"/>
                <w:b w:val="0"/>
                <w:bCs w:val="0"/>
                <w:color w:val="auto"/>
                <w:sz w:val="21"/>
                <w:szCs w:val="21"/>
                <w:lang w:val="en-US" w:eastAsia="zh-CN" w:bidi="ar-SA"/>
              </w:rPr>
              <w:t>分）</w:t>
            </w:r>
          </w:p>
        </w:tc>
        <w:tc>
          <w:tcPr>
            <w:tcW w:w="5590" w:type="dxa"/>
            <w:gridSpan w:val="2"/>
            <w:noWrap w:val="0"/>
            <w:vAlign w:val="center"/>
          </w:tcPr>
          <w:p w14:paraId="062212CF">
            <w:pPr>
              <w:keepNext w:val="0"/>
              <w:keepLines w:val="0"/>
              <w:pageBreakBefore w:val="0"/>
              <w:widowControl w:val="0"/>
              <w:kinsoku/>
              <w:wordWrap/>
              <w:overflowPunct/>
              <w:topLinePunct w:val="0"/>
              <w:bidi w:val="0"/>
              <w:adjustRightInd w:val="0"/>
              <w:snapToGrid w:val="0"/>
              <w:spacing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根据各</w:t>
            </w:r>
            <w:r>
              <w:rPr>
                <w:rFonts w:hint="eastAsia" w:ascii="宋体" w:hAnsi="宋体" w:eastAsia="宋体" w:cs="宋体"/>
                <w:color w:val="auto"/>
                <w:sz w:val="21"/>
                <w:szCs w:val="21"/>
                <w:lang w:val="en-US" w:eastAsia="zh-CN"/>
              </w:rPr>
              <w:t>供应商</w:t>
            </w:r>
            <w:r>
              <w:rPr>
                <w:rFonts w:hint="eastAsia" w:ascii="宋体" w:hAnsi="宋体" w:eastAsia="宋体" w:cs="宋体"/>
                <w:color w:val="auto"/>
                <w:sz w:val="21"/>
                <w:szCs w:val="21"/>
              </w:rPr>
              <w:t>的服务能力、技术力量、检测技术等进行评分：</w:t>
            </w:r>
          </w:p>
          <w:p w14:paraId="5BD120E3">
            <w:pPr>
              <w:keepNext w:val="0"/>
              <w:keepLines w:val="0"/>
              <w:pageBreakBefore w:val="0"/>
              <w:widowControl w:val="0"/>
              <w:kinsoku/>
              <w:wordWrap/>
              <w:overflowPunct/>
              <w:topLinePunct w:val="0"/>
              <w:bidi w:val="0"/>
              <w:adjustRightInd w:val="0"/>
              <w:snapToGrid w:val="0"/>
              <w:spacing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①投标人的服务能力、技术力量、检测技术</w:t>
            </w:r>
            <w:r>
              <w:rPr>
                <w:rFonts w:hint="eastAsia" w:ascii="宋体" w:hAnsi="宋体" w:cs="宋体"/>
                <w:color w:val="auto"/>
                <w:sz w:val="21"/>
                <w:szCs w:val="21"/>
                <w:lang w:val="en-US" w:eastAsia="zh-CN"/>
              </w:rPr>
              <w:t>,</w:t>
            </w:r>
            <w:r>
              <w:rPr>
                <w:rFonts w:hint="eastAsia" w:ascii="宋体" w:hAnsi="宋体" w:eastAsia="宋体" w:cs="宋体"/>
                <w:color w:val="auto"/>
                <w:sz w:val="21"/>
                <w:szCs w:val="21"/>
              </w:rPr>
              <w:t xml:space="preserve">科学、合理，针对性、可行性强的得 </w:t>
            </w:r>
            <w:r>
              <w:rPr>
                <w:rFonts w:hint="eastAsia" w:ascii="宋体" w:hAnsi="宋体" w:cs="宋体"/>
                <w:color w:val="auto"/>
                <w:sz w:val="21"/>
                <w:szCs w:val="21"/>
                <w:lang w:val="en-US" w:eastAsia="zh-CN"/>
              </w:rPr>
              <w:t>6</w:t>
            </w:r>
            <w:r>
              <w:rPr>
                <w:rFonts w:hint="eastAsia" w:ascii="宋体" w:hAnsi="宋体" w:eastAsia="宋体" w:cs="宋体"/>
                <w:color w:val="auto"/>
                <w:sz w:val="21"/>
                <w:szCs w:val="21"/>
              </w:rPr>
              <w:t xml:space="preserve">分； </w:t>
            </w:r>
          </w:p>
          <w:p w14:paraId="114E83C0">
            <w:pPr>
              <w:keepNext w:val="0"/>
              <w:keepLines w:val="0"/>
              <w:pageBreakBefore w:val="0"/>
              <w:widowControl w:val="0"/>
              <w:kinsoku/>
              <w:wordWrap/>
              <w:overflowPunct/>
              <w:topLinePunct w:val="0"/>
              <w:bidi w:val="0"/>
              <w:adjustRightInd w:val="0"/>
              <w:snapToGrid w:val="0"/>
              <w:spacing w:after="0" w:line="360" w:lineRule="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②投标人的服务能力、技术力量、检测技术</w:t>
            </w:r>
            <w:r>
              <w:rPr>
                <w:rFonts w:hint="eastAsia" w:ascii="宋体" w:hAnsi="宋体" w:cs="宋体"/>
                <w:color w:val="auto"/>
                <w:sz w:val="21"/>
                <w:szCs w:val="21"/>
                <w:lang w:val="en-US" w:eastAsia="zh-CN"/>
              </w:rPr>
              <w:t>,</w:t>
            </w:r>
            <w:r>
              <w:rPr>
                <w:rFonts w:hint="eastAsia" w:ascii="宋体" w:hAnsi="宋体" w:eastAsia="宋体" w:cs="宋体"/>
                <w:color w:val="auto"/>
                <w:sz w:val="21"/>
                <w:szCs w:val="21"/>
              </w:rPr>
              <w:t xml:space="preserve">较科学、合理，有针对性、可行性的得 </w:t>
            </w:r>
            <w:r>
              <w:rPr>
                <w:rFonts w:hint="eastAsia" w:ascii="宋体" w:hAnsi="宋体" w:cs="宋体"/>
                <w:color w:val="auto"/>
                <w:sz w:val="21"/>
                <w:szCs w:val="21"/>
                <w:lang w:val="en-US" w:eastAsia="zh-CN"/>
              </w:rPr>
              <w:t>5</w:t>
            </w:r>
            <w:r>
              <w:rPr>
                <w:rFonts w:hint="eastAsia" w:ascii="宋体" w:hAnsi="宋体" w:eastAsia="宋体" w:cs="宋体"/>
                <w:color w:val="auto"/>
                <w:sz w:val="21"/>
                <w:szCs w:val="21"/>
              </w:rPr>
              <w:t xml:space="preserve">分 </w:t>
            </w:r>
            <w:r>
              <w:rPr>
                <w:rFonts w:hint="eastAsia" w:ascii="宋体" w:hAnsi="宋体" w:eastAsia="宋体" w:cs="宋体"/>
                <w:color w:val="auto"/>
                <w:sz w:val="21"/>
                <w:szCs w:val="21"/>
                <w:lang w:eastAsia="zh-CN"/>
              </w:rPr>
              <w:t>；</w:t>
            </w:r>
          </w:p>
          <w:p w14:paraId="04506E7B">
            <w:pPr>
              <w:keepNext w:val="0"/>
              <w:keepLines w:val="0"/>
              <w:pageBreakBefore w:val="0"/>
              <w:widowControl w:val="0"/>
              <w:kinsoku/>
              <w:wordWrap/>
              <w:overflowPunct/>
              <w:topLinePunct w:val="0"/>
              <w:bidi w:val="0"/>
              <w:adjustRightInd w:val="0"/>
              <w:snapToGrid w:val="0"/>
              <w:spacing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③投标人的服务能力、技术力量、检测技术</w:t>
            </w:r>
            <w:r>
              <w:rPr>
                <w:rFonts w:hint="eastAsia" w:ascii="宋体" w:hAnsi="宋体" w:cs="宋体"/>
                <w:color w:val="auto"/>
                <w:sz w:val="21"/>
                <w:szCs w:val="21"/>
                <w:lang w:val="en-US" w:eastAsia="zh-CN"/>
              </w:rPr>
              <w:t>,</w:t>
            </w:r>
            <w:r>
              <w:rPr>
                <w:rFonts w:hint="eastAsia" w:ascii="宋体" w:hAnsi="宋体" w:eastAsia="宋体" w:cs="宋体"/>
                <w:color w:val="auto"/>
                <w:sz w:val="21"/>
                <w:szCs w:val="21"/>
              </w:rPr>
              <w:t xml:space="preserve">基本科学、合理，针对性、可行性一般的得 </w:t>
            </w:r>
            <w:r>
              <w:rPr>
                <w:rFonts w:hint="eastAsia" w:ascii="宋体" w:hAnsi="宋体" w:cs="宋体"/>
                <w:color w:val="auto"/>
                <w:sz w:val="21"/>
                <w:szCs w:val="21"/>
                <w:lang w:val="en-US" w:eastAsia="zh-CN"/>
              </w:rPr>
              <w:t>3</w:t>
            </w:r>
            <w:r>
              <w:rPr>
                <w:rFonts w:hint="eastAsia" w:ascii="宋体" w:hAnsi="宋体" w:eastAsia="宋体" w:cs="宋体"/>
                <w:color w:val="auto"/>
                <w:sz w:val="21"/>
                <w:szCs w:val="21"/>
              </w:rPr>
              <w:t xml:space="preserve">分； </w:t>
            </w:r>
          </w:p>
          <w:p w14:paraId="6883E5A1">
            <w:pPr>
              <w:keepNext w:val="0"/>
              <w:keepLines w:val="0"/>
              <w:pageBreakBefore w:val="0"/>
              <w:widowControl w:val="0"/>
              <w:kinsoku/>
              <w:wordWrap/>
              <w:overflowPunct/>
              <w:topLinePunct w:val="0"/>
              <w:bidi w:val="0"/>
              <w:adjustRightInd w:val="0"/>
              <w:snapToGrid w:val="0"/>
              <w:spacing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④投标人的服务能力、技术力量、检测技术</w:t>
            </w:r>
            <w:r>
              <w:rPr>
                <w:rFonts w:hint="eastAsia" w:ascii="宋体" w:hAnsi="宋体" w:cs="宋体"/>
                <w:color w:val="auto"/>
                <w:sz w:val="21"/>
                <w:szCs w:val="21"/>
                <w:lang w:val="en-US" w:eastAsia="zh-CN"/>
              </w:rPr>
              <w:t>,</w:t>
            </w:r>
            <w:r>
              <w:rPr>
                <w:rFonts w:hint="eastAsia" w:ascii="宋体" w:hAnsi="宋体" w:eastAsia="宋体" w:cs="宋体"/>
                <w:color w:val="auto"/>
                <w:sz w:val="21"/>
                <w:szCs w:val="21"/>
              </w:rPr>
              <w:t xml:space="preserve">不科学、合理，无针对性、可行性的得 </w:t>
            </w: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 xml:space="preserve">分； </w:t>
            </w:r>
          </w:p>
          <w:p w14:paraId="1C2E7268">
            <w:pPr>
              <w:keepNext w:val="0"/>
              <w:keepLines w:val="0"/>
              <w:pageBreakBefore w:val="0"/>
              <w:widowControl w:val="0"/>
              <w:kinsoku/>
              <w:wordWrap/>
              <w:overflowPunct/>
              <w:topLinePunct w:val="0"/>
              <w:bidi w:val="0"/>
              <w:adjustRightInd w:val="0"/>
              <w:snapToGrid w:val="0"/>
              <w:spacing w:after="0" w:line="360"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⑤未提供的不得分。</w:t>
            </w:r>
          </w:p>
        </w:tc>
      </w:tr>
      <w:tr w14:paraId="5E1A6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3" w:type="dxa"/>
          <w:trHeight w:val="1328" w:hRule="atLeast"/>
          <w:jc w:val="center"/>
        </w:trPr>
        <w:tc>
          <w:tcPr>
            <w:tcW w:w="1136" w:type="dxa"/>
            <w:gridSpan w:val="2"/>
            <w:vMerge w:val="restart"/>
            <w:noWrap w:val="0"/>
            <w:vAlign w:val="center"/>
          </w:tcPr>
          <w:p w14:paraId="44A97761">
            <w:pPr>
              <w:widowControl w:val="0"/>
              <w:tabs>
                <w:tab w:val="center" w:pos="4153"/>
                <w:tab w:val="right" w:pos="8306"/>
              </w:tabs>
              <w:snapToGrid w:val="0"/>
              <w:spacing w:line="360" w:lineRule="auto"/>
              <w:jc w:val="center"/>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技术部分（57分）</w:t>
            </w:r>
          </w:p>
        </w:tc>
        <w:tc>
          <w:tcPr>
            <w:tcW w:w="1985" w:type="dxa"/>
            <w:gridSpan w:val="2"/>
            <w:noWrap w:val="0"/>
            <w:vAlign w:val="center"/>
          </w:tcPr>
          <w:p w14:paraId="1A812097">
            <w:pPr>
              <w:keepNext w:val="0"/>
              <w:keepLines w:val="0"/>
              <w:pageBreakBefore w:val="0"/>
              <w:kinsoku/>
              <w:wordWrap/>
              <w:overflowPunct/>
              <w:topLinePunct w:val="0"/>
              <w:bidi w:val="0"/>
              <w:snapToGrid w:val="0"/>
              <w:spacing w:line="360" w:lineRule="auto"/>
              <w:jc w:val="center"/>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检验报告</w:t>
            </w:r>
          </w:p>
          <w:p w14:paraId="614A78A7">
            <w:pPr>
              <w:keepNext w:val="0"/>
              <w:keepLines w:val="0"/>
              <w:pageBreakBefore w:val="0"/>
              <w:kinsoku/>
              <w:wordWrap/>
              <w:overflowPunct/>
              <w:topLinePunct w:val="0"/>
              <w:bidi w:val="0"/>
              <w:snapToGrid w:val="0"/>
              <w:spacing w:line="36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b w:val="0"/>
                <w:bCs w:val="0"/>
                <w:color w:val="auto"/>
                <w:kern w:val="2"/>
                <w:sz w:val="21"/>
                <w:szCs w:val="21"/>
                <w:lang w:val="en-US" w:eastAsia="zh-CN" w:bidi="ar-SA"/>
              </w:rPr>
              <w:t>（9分）</w:t>
            </w:r>
          </w:p>
        </w:tc>
        <w:tc>
          <w:tcPr>
            <w:tcW w:w="5590" w:type="dxa"/>
            <w:gridSpan w:val="2"/>
            <w:noWrap w:val="0"/>
            <w:vAlign w:val="center"/>
          </w:tcPr>
          <w:p w14:paraId="4374F2AC">
            <w:pPr>
              <w:keepNext w:val="0"/>
              <w:keepLines w:val="0"/>
              <w:pageBreakBefore w:val="0"/>
              <w:widowControl w:val="0"/>
              <w:kinsoku/>
              <w:wordWrap/>
              <w:overflowPunct/>
              <w:topLinePunct w:val="0"/>
              <w:bidi w:val="0"/>
              <w:adjustRightInd w:val="0"/>
              <w:snapToGrid w:val="0"/>
              <w:spacing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按照竞争性磋商文件</w:t>
            </w:r>
            <w:r>
              <w:rPr>
                <w:rFonts w:hint="eastAsia" w:ascii="宋体" w:hAnsi="宋体" w:eastAsia="宋体" w:cs="宋体"/>
                <w:color w:val="auto"/>
                <w:sz w:val="21"/>
                <w:szCs w:val="21"/>
              </w:rPr>
              <w:t>“第五章 服务内容及服务要求”</w:t>
            </w:r>
            <w:r>
              <w:rPr>
                <w:rFonts w:hint="eastAsia" w:ascii="宋体" w:hAnsi="宋体" w:eastAsia="宋体" w:cs="宋体"/>
                <w:color w:val="auto"/>
                <w:sz w:val="21"/>
                <w:szCs w:val="21"/>
                <w:lang w:val="en-US" w:eastAsia="zh-CN"/>
              </w:rPr>
              <w:t>中加</w:t>
            </w:r>
            <w:r>
              <w:rPr>
                <w:rFonts w:hint="eastAsia" w:ascii="宋体" w:hAnsi="宋体" w:eastAsia="宋体" w:cs="宋体"/>
                <w:color w:val="auto"/>
                <w:sz w:val="21"/>
                <w:szCs w:val="21"/>
              </w:rPr>
              <w:t>“*”项</w:t>
            </w:r>
            <w:r>
              <w:rPr>
                <w:rFonts w:hint="eastAsia" w:ascii="宋体" w:hAnsi="宋体" w:eastAsia="宋体" w:cs="宋体"/>
                <w:color w:val="auto"/>
                <w:sz w:val="21"/>
                <w:szCs w:val="21"/>
                <w:lang w:val="en-US" w:eastAsia="zh-CN"/>
              </w:rPr>
              <w:t>提供检测报告的得9分，每缺一项扣1分，扣完为止</w:t>
            </w:r>
            <w:r>
              <w:rPr>
                <w:rFonts w:hint="eastAsia" w:ascii="宋体" w:hAnsi="宋体" w:eastAsia="宋体" w:cs="宋体"/>
                <w:color w:val="auto"/>
                <w:sz w:val="21"/>
                <w:szCs w:val="21"/>
              </w:rPr>
              <w:t>。</w:t>
            </w:r>
          </w:p>
          <w:p w14:paraId="44CA78C6">
            <w:pPr>
              <w:keepNext w:val="0"/>
              <w:keepLines w:val="0"/>
              <w:pageBreakBefore w:val="0"/>
              <w:widowControl w:val="0"/>
              <w:kinsoku/>
              <w:wordWrap/>
              <w:overflowPunct/>
              <w:topLinePunct w:val="0"/>
              <w:bidi w:val="0"/>
              <w:adjustRightInd w:val="0"/>
              <w:snapToGrid w:val="0"/>
              <w:spacing w:after="0"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lang w:val="en-US" w:eastAsia="zh-CN"/>
              </w:rPr>
              <w:t>注：</w:t>
            </w:r>
            <w:r>
              <w:rPr>
                <w:rFonts w:hint="eastAsia" w:ascii="宋体" w:hAnsi="宋体" w:eastAsia="宋体" w:cs="宋体"/>
                <w:b w:val="0"/>
                <w:bCs w:val="0"/>
                <w:color w:val="auto"/>
                <w:sz w:val="21"/>
                <w:szCs w:val="21"/>
                <w:lang w:eastAsia="zh-CN"/>
              </w:rPr>
              <w:t>竞争性磋商响应文件</w:t>
            </w:r>
            <w:r>
              <w:rPr>
                <w:rFonts w:hint="eastAsia" w:ascii="宋体" w:hAnsi="宋体" w:eastAsia="宋体" w:cs="宋体"/>
                <w:b w:val="0"/>
                <w:bCs w:val="0"/>
                <w:color w:val="auto"/>
                <w:sz w:val="21"/>
                <w:szCs w:val="21"/>
              </w:rPr>
              <w:t>中应提供</w:t>
            </w:r>
            <w:r>
              <w:rPr>
                <w:rFonts w:hint="eastAsia" w:ascii="宋体" w:hAnsi="宋体" w:eastAsia="宋体" w:cs="宋体"/>
                <w:b w:val="0"/>
                <w:bCs w:val="0"/>
                <w:color w:val="auto"/>
                <w:sz w:val="21"/>
                <w:szCs w:val="21"/>
                <w:lang w:val="en-US" w:eastAsia="zh-CN"/>
              </w:rPr>
              <w:t>检测报告复印件</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扫描件</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，否则不得分</w:t>
            </w:r>
            <w:r>
              <w:rPr>
                <w:rFonts w:hint="eastAsia" w:ascii="宋体" w:hAnsi="宋体" w:eastAsia="宋体" w:cs="宋体"/>
                <w:b w:val="0"/>
                <w:bCs w:val="0"/>
                <w:color w:val="auto"/>
                <w:sz w:val="21"/>
                <w:szCs w:val="21"/>
                <w:lang w:eastAsia="zh-CN"/>
              </w:rPr>
              <w:t>。</w:t>
            </w:r>
          </w:p>
        </w:tc>
      </w:tr>
      <w:tr w14:paraId="7D362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3" w:type="dxa"/>
          <w:trHeight w:val="3967" w:hRule="atLeast"/>
          <w:jc w:val="center"/>
        </w:trPr>
        <w:tc>
          <w:tcPr>
            <w:tcW w:w="1136" w:type="dxa"/>
            <w:gridSpan w:val="2"/>
            <w:vMerge w:val="continue"/>
            <w:noWrap w:val="0"/>
            <w:vAlign w:val="center"/>
          </w:tcPr>
          <w:p w14:paraId="6E476161">
            <w:pPr>
              <w:widowControl w:val="0"/>
              <w:tabs>
                <w:tab w:val="center" w:pos="4153"/>
                <w:tab w:val="right" w:pos="8306"/>
              </w:tabs>
              <w:snapToGrid w:val="0"/>
              <w:spacing w:line="360" w:lineRule="auto"/>
              <w:jc w:val="center"/>
              <w:outlineLvl w:val="9"/>
              <w:rPr>
                <w:rFonts w:hint="eastAsia" w:ascii="宋体" w:hAnsi="宋体" w:eastAsia="宋体" w:cs="宋体"/>
                <w:color w:val="auto"/>
                <w:kern w:val="2"/>
                <w:sz w:val="21"/>
                <w:szCs w:val="21"/>
                <w:highlight w:val="none"/>
                <w:lang w:val="en-US" w:eastAsia="zh-CN" w:bidi="ar-SA"/>
              </w:rPr>
            </w:pPr>
          </w:p>
        </w:tc>
        <w:tc>
          <w:tcPr>
            <w:tcW w:w="1985" w:type="dxa"/>
            <w:gridSpan w:val="2"/>
            <w:noWrap w:val="0"/>
            <w:vAlign w:val="center"/>
          </w:tcPr>
          <w:p w14:paraId="4108EBF5">
            <w:pPr>
              <w:keepNext w:val="0"/>
              <w:keepLines w:val="0"/>
              <w:pageBreakBefore w:val="0"/>
              <w:kinsoku/>
              <w:wordWrap/>
              <w:overflowPunct/>
              <w:topLinePunct w:val="0"/>
              <w:bidi w:val="0"/>
              <w:snapToGrid w:val="0"/>
              <w:spacing w:line="360" w:lineRule="auto"/>
              <w:jc w:val="center"/>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实施方案</w:t>
            </w:r>
          </w:p>
          <w:p w14:paraId="755E2917">
            <w:pPr>
              <w:keepNext w:val="0"/>
              <w:keepLines w:val="0"/>
              <w:pageBreakBefore w:val="0"/>
              <w:kinsoku/>
              <w:wordWrap/>
              <w:overflowPunct/>
              <w:topLinePunct w:val="0"/>
              <w:bidi w:val="0"/>
              <w:snapToGrid w:val="0"/>
              <w:spacing w:line="36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b w:val="0"/>
                <w:bCs w:val="0"/>
                <w:color w:val="auto"/>
                <w:sz w:val="21"/>
                <w:szCs w:val="21"/>
              </w:rPr>
              <w:t>（</w:t>
            </w:r>
            <w:r>
              <w:rPr>
                <w:rFonts w:hint="eastAsia" w:ascii="宋体" w:hAnsi="宋体" w:eastAsia="宋体" w:cs="宋体"/>
                <w:b w:val="0"/>
                <w:bCs w:val="0"/>
                <w:color w:val="auto"/>
                <w:kern w:val="2"/>
                <w:sz w:val="21"/>
                <w:szCs w:val="21"/>
                <w:lang w:val="en-US" w:eastAsia="zh-CN" w:bidi="ar-SA"/>
              </w:rPr>
              <w:t>9</w:t>
            </w:r>
            <w:r>
              <w:rPr>
                <w:rFonts w:hint="eastAsia" w:ascii="宋体" w:hAnsi="宋体" w:eastAsia="宋体" w:cs="宋体"/>
                <w:b w:val="0"/>
                <w:bCs w:val="0"/>
                <w:color w:val="auto"/>
                <w:sz w:val="21"/>
                <w:szCs w:val="21"/>
              </w:rPr>
              <w:t>分）</w:t>
            </w:r>
          </w:p>
        </w:tc>
        <w:tc>
          <w:tcPr>
            <w:tcW w:w="5590" w:type="dxa"/>
            <w:gridSpan w:val="2"/>
            <w:noWrap w:val="0"/>
            <w:vAlign w:val="center"/>
          </w:tcPr>
          <w:p w14:paraId="2F197A72">
            <w:pPr>
              <w:keepNext w:val="0"/>
              <w:keepLines w:val="0"/>
              <w:pageBreakBefore w:val="0"/>
              <w:numPr>
                <w:ilvl w:val="0"/>
                <w:numId w:val="0"/>
              </w:numPr>
              <w:kinsoku/>
              <w:wordWrap/>
              <w:overflowPunct/>
              <w:topLinePunct w:val="0"/>
              <w:autoSpaceDE/>
              <w:autoSpaceDN/>
              <w:bidi w:val="0"/>
              <w:adjustRightInd/>
              <w:snapToGrid w:val="0"/>
              <w:spacing w:line="360" w:lineRule="auto"/>
              <w:ind w:leftChars="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供应商根据</w:t>
            </w:r>
            <w:r>
              <w:rPr>
                <w:rFonts w:hint="eastAsia" w:ascii="宋体" w:hAnsi="宋体" w:eastAsia="宋体" w:cs="宋体"/>
                <w:color w:val="auto"/>
                <w:sz w:val="21"/>
                <w:szCs w:val="21"/>
                <w:lang w:val="en-US" w:eastAsia="zh-CN"/>
              </w:rPr>
              <w:t>竞争性磋商文件</w:t>
            </w:r>
            <w:r>
              <w:rPr>
                <w:rFonts w:hint="eastAsia" w:ascii="宋体" w:hAnsi="宋体" w:eastAsia="宋体" w:cs="宋体"/>
                <w:color w:val="auto"/>
                <w:sz w:val="21"/>
                <w:szCs w:val="21"/>
              </w:rPr>
              <w:t>“第</w:t>
            </w:r>
            <w:r>
              <w:rPr>
                <w:rFonts w:hint="eastAsia" w:ascii="宋体" w:hAnsi="宋体" w:eastAsia="宋体" w:cs="宋体"/>
                <w:color w:val="auto"/>
                <w:sz w:val="21"/>
                <w:szCs w:val="21"/>
                <w:lang w:val="en-US" w:eastAsia="zh-CN"/>
              </w:rPr>
              <w:t>五</w:t>
            </w:r>
            <w:r>
              <w:rPr>
                <w:rFonts w:hint="eastAsia" w:ascii="宋体" w:hAnsi="宋体" w:eastAsia="宋体" w:cs="宋体"/>
                <w:color w:val="auto"/>
                <w:sz w:val="21"/>
                <w:szCs w:val="21"/>
              </w:rPr>
              <w:t>章 服务内容及服务要求”内容各条明细要求，结合项目整体要求制订详细可行的项目实施方案进行评分：</w:t>
            </w:r>
          </w:p>
          <w:p w14:paraId="3C111C9B">
            <w:pPr>
              <w:keepNext w:val="0"/>
              <w:keepLines w:val="0"/>
              <w:pageBreakBefore w:val="0"/>
              <w:numPr>
                <w:ilvl w:val="0"/>
                <w:numId w:val="0"/>
              </w:numPr>
              <w:kinsoku/>
              <w:wordWrap/>
              <w:overflowPunct/>
              <w:topLinePunct w:val="0"/>
              <w:autoSpaceDE/>
              <w:autoSpaceDN/>
              <w:bidi w:val="0"/>
              <w:adjustRightInd/>
              <w:snapToGrid w:val="0"/>
              <w:spacing w:line="360" w:lineRule="auto"/>
              <w:ind w:leftChars="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 ①项目的实施方案、作业模式及工作方法完全满足实际情况、详尽、合理规范的得</w:t>
            </w:r>
            <w:r>
              <w:rPr>
                <w:rFonts w:hint="eastAsia" w:ascii="宋体" w:hAnsi="宋体" w:eastAsia="宋体" w:cs="宋体"/>
                <w:color w:val="auto"/>
                <w:sz w:val="21"/>
                <w:szCs w:val="21"/>
                <w:lang w:val="en-US" w:eastAsia="zh-CN"/>
              </w:rPr>
              <w:t>9</w:t>
            </w:r>
            <w:r>
              <w:rPr>
                <w:rFonts w:hint="eastAsia" w:ascii="宋体" w:hAnsi="宋体" w:eastAsia="宋体" w:cs="宋体"/>
                <w:color w:val="auto"/>
                <w:sz w:val="21"/>
                <w:szCs w:val="21"/>
              </w:rPr>
              <w:t>分；</w:t>
            </w:r>
          </w:p>
          <w:p w14:paraId="5F49A5AE">
            <w:pPr>
              <w:keepNext w:val="0"/>
              <w:keepLines w:val="0"/>
              <w:pageBreakBefore w:val="0"/>
              <w:numPr>
                <w:ilvl w:val="0"/>
                <w:numId w:val="0"/>
              </w:numPr>
              <w:kinsoku/>
              <w:wordWrap/>
              <w:overflowPunct/>
              <w:topLinePunct w:val="0"/>
              <w:autoSpaceDE/>
              <w:autoSpaceDN/>
              <w:bidi w:val="0"/>
              <w:adjustRightInd/>
              <w:snapToGrid w:val="0"/>
              <w:spacing w:line="360" w:lineRule="auto"/>
              <w:ind w:leftChars="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 ②项目的实施方案、作业模式及工作方法比较满足实际情况、比较详尽、比较合理规范的得</w:t>
            </w:r>
            <w:r>
              <w:rPr>
                <w:rFonts w:hint="eastAsia" w:ascii="宋体" w:hAnsi="宋体" w:eastAsia="宋体" w:cs="宋体"/>
                <w:color w:val="auto"/>
                <w:sz w:val="21"/>
                <w:szCs w:val="21"/>
                <w:lang w:val="en-US" w:eastAsia="zh-CN"/>
              </w:rPr>
              <w:t>6</w:t>
            </w:r>
            <w:r>
              <w:rPr>
                <w:rFonts w:hint="eastAsia" w:ascii="宋体" w:hAnsi="宋体" w:eastAsia="宋体" w:cs="宋体"/>
                <w:color w:val="auto"/>
                <w:sz w:val="21"/>
                <w:szCs w:val="21"/>
              </w:rPr>
              <w:t>分；</w:t>
            </w:r>
          </w:p>
          <w:p w14:paraId="162B2DEB">
            <w:pPr>
              <w:keepNext w:val="0"/>
              <w:keepLines w:val="0"/>
              <w:pageBreakBefore w:val="0"/>
              <w:numPr>
                <w:ilvl w:val="0"/>
                <w:numId w:val="0"/>
              </w:numPr>
              <w:kinsoku/>
              <w:wordWrap/>
              <w:overflowPunct/>
              <w:topLinePunct w:val="0"/>
              <w:autoSpaceDE/>
              <w:autoSpaceDN/>
              <w:bidi w:val="0"/>
              <w:adjustRightInd/>
              <w:snapToGrid w:val="0"/>
              <w:spacing w:line="360" w:lineRule="auto"/>
              <w:ind w:leftChars="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 ③项目的实施方案、作业模式及工作方法基本满足实际情况、合理规范的得</w:t>
            </w: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分；</w:t>
            </w:r>
          </w:p>
          <w:p w14:paraId="7E8EDC1A">
            <w:pPr>
              <w:keepNext w:val="0"/>
              <w:keepLines w:val="0"/>
              <w:pageBreakBefore w:val="0"/>
              <w:numPr>
                <w:ilvl w:val="0"/>
                <w:numId w:val="0"/>
              </w:numPr>
              <w:kinsoku/>
              <w:wordWrap/>
              <w:overflowPunct/>
              <w:topLinePunct w:val="0"/>
              <w:autoSpaceDE/>
              <w:autoSpaceDN/>
              <w:bidi w:val="0"/>
              <w:adjustRightInd/>
              <w:snapToGrid w:val="0"/>
              <w:spacing w:line="360" w:lineRule="auto"/>
              <w:ind w:leftChars="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 ④有提供项目的实施方案、作业模式及工作方法但不满足实际情、不详尽、不合理规范的得1 分；</w:t>
            </w:r>
          </w:p>
          <w:p w14:paraId="0F62F176">
            <w:pPr>
              <w:keepNext w:val="0"/>
              <w:keepLines w:val="0"/>
              <w:pageBreakBefore w:val="0"/>
              <w:numPr>
                <w:ilvl w:val="0"/>
                <w:numId w:val="0"/>
              </w:numPr>
              <w:kinsoku/>
              <w:wordWrap/>
              <w:overflowPunct/>
              <w:topLinePunct w:val="0"/>
              <w:autoSpaceDE/>
              <w:autoSpaceDN/>
              <w:bidi w:val="0"/>
              <w:adjustRightInd/>
              <w:snapToGrid w:val="0"/>
              <w:spacing w:line="360" w:lineRule="auto"/>
              <w:ind w:left="0" w:leftChars="0" w:firstLine="0" w:firstLineChars="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rPr>
              <w:t xml:space="preserve"> ⑤未提供的不得分。</w:t>
            </w:r>
          </w:p>
        </w:tc>
      </w:tr>
      <w:tr w14:paraId="0AF5D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3" w:type="dxa"/>
          <w:trHeight w:val="2648" w:hRule="atLeast"/>
          <w:jc w:val="center"/>
        </w:trPr>
        <w:tc>
          <w:tcPr>
            <w:tcW w:w="1136" w:type="dxa"/>
            <w:gridSpan w:val="2"/>
            <w:vMerge w:val="continue"/>
            <w:noWrap w:val="0"/>
            <w:vAlign w:val="center"/>
          </w:tcPr>
          <w:p w14:paraId="15BA2CC8">
            <w:pPr>
              <w:widowControl w:val="0"/>
              <w:tabs>
                <w:tab w:val="center" w:pos="4153"/>
                <w:tab w:val="right" w:pos="8306"/>
              </w:tabs>
              <w:snapToGrid w:val="0"/>
              <w:spacing w:line="360" w:lineRule="auto"/>
              <w:jc w:val="center"/>
              <w:outlineLvl w:val="9"/>
              <w:rPr>
                <w:rFonts w:hint="eastAsia" w:ascii="宋体" w:hAnsi="宋体" w:eastAsia="宋体" w:cs="宋体"/>
                <w:color w:val="auto"/>
                <w:kern w:val="2"/>
                <w:sz w:val="21"/>
                <w:szCs w:val="21"/>
                <w:highlight w:val="none"/>
                <w:lang w:val="en-US" w:eastAsia="zh-CN" w:bidi="ar-SA"/>
              </w:rPr>
            </w:pPr>
          </w:p>
        </w:tc>
        <w:tc>
          <w:tcPr>
            <w:tcW w:w="1985" w:type="dxa"/>
            <w:gridSpan w:val="2"/>
            <w:noWrap w:val="0"/>
            <w:vAlign w:val="center"/>
          </w:tcPr>
          <w:p w14:paraId="6BA69314">
            <w:pPr>
              <w:keepNext w:val="0"/>
              <w:keepLines w:val="0"/>
              <w:pageBreakBefore w:val="0"/>
              <w:kinsoku/>
              <w:wordWrap/>
              <w:overflowPunct/>
              <w:topLinePunct w:val="0"/>
              <w:bidi w:val="0"/>
              <w:adjustRightInd w:val="0"/>
              <w:snapToGrid w:val="0"/>
              <w:spacing w:line="360" w:lineRule="auto"/>
              <w:jc w:val="center"/>
              <w:textAlignment w:val="baseline"/>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人员岗位职责、规章制度</w:t>
            </w:r>
          </w:p>
          <w:p w14:paraId="27342270">
            <w:pPr>
              <w:keepNext w:val="0"/>
              <w:keepLines w:val="0"/>
              <w:pageBreakBefore w:val="0"/>
              <w:kinsoku/>
              <w:wordWrap/>
              <w:overflowPunct/>
              <w:topLinePunct w:val="0"/>
              <w:bidi w:val="0"/>
              <w:adjustRightInd w:val="0"/>
              <w:snapToGrid w:val="0"/>
              <w:spacing w:line="360" w:lineRule="auto"/>
              <w:jc w:val="center"/>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b w:val="0"/>
                <w:bCs w:val="0"/>
                <w:color w:val="auto"/>
                <w:kern w:val="0"/>
                <w:sz w:val="21"/>
                <w:szCs w:val="21"/>
                <w:highlight w:val="none"/>
                <w:lang w:val="en-US" w:eastAsia="zh-CN"/>
              </w:rPr>
              <w:t>（</w:t>
            </w:r>
            <w:r>
              <w:rPr>
                <w:rFonts w:hint="eastAsia" w:ascii="宋体" w:hAnsi="宋体" w:eastAsia="宋体" w:cs="宋体"/>
                <w:b w:val="0"/>
                <w:bCs w:val="0"/>
                <w:color w:val="auto"/>
                <w:kern w:val="2"/>
                <w:sz w:val="21"/>
                <w:szCs w:val="21"/>
                <w:lang w:val="en-US" w:eastAsia="zh-CN" w:bidi="ar-SA"/>
              </w:rPr>
              <w:t>7</w:t>
            </w:r>
            <w:r>
              <w:rPr>
                <w:rFonts w:hint="eastAsia" w:ascii="宋体" w:hAnsi="宋体" w:eastAsia="宋体" w:cs="宋体"/>
                <w:b w:val="0"/>
                <w:bCs w:val="0"/>
                <w:color w:val="auto"/>
                <w:kern w:val="0"/>
                <w:sz w:val="21"/>
                <w:szCs w:val="21"/>
                <w:highlight w:val="none"/>
                <w:lang w:val="en-US" w:eastAsia="zh-CN"/>
              </w:rPr>
              <w:t>分）</w:t>
            </w:r>
          </w:p>
        </w:tc>
        <w:tc>
          <w:tcPr>
            <w:tcW w:w="5590" w:type="dxa"/>
            <w:gridSpan w:val="2"/>
            <w:noWrap w:val="0"/>
            <w:vAlign w:val="center"/>
          </w:tcPr>
          <w:p w14:paraId="022E43DD">
            <w:pPr>
              <w:keepNext w:val="0"/>
              <w:keepLines w:val="0"/>
              <w:pageBreakBefore w:val="0"/>
              <w:numPr>
                <w:ilvl w:val="0"/>
                <w:numId w:val="0"/>
              </w:numPr>
              <w:kinsoku/>
              <w:wordWrap/>
              <w:overflowPunct/>
              <w:topLinePunct w:val="0"/>
              <w:autoSpaceDE/>
              <w:autoSpaceDN/>
              <w:bidi w:val="0"/>
              <w:adjustRightInd/>
              <w:snapToGrid w:val="0"/>
              <w:spacing w:line="360" w:lineRule="auto"/>
              <w:ind w:leftChars="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根据供应商提供的对各岗位人员制订出详细的岗位职责、规章制度等进行评分：</w:t>
            </w:r>
          </w:p>
          <w:p w14:paraId="29817FD1">
            <w:pPr>
              <w:keepNext w:val="0"/>
              <w:keepLines w:val="0"/>
              <w:pageBreakBefore w:val="0"/>
              <w:numPr>
                <w:ilvl w:val="0"/>
                <w:numId w:val="0"/>
              </w:numPr>
              <w:kinsoku/>
              <w:wordWrap/>
              <w:overflowPunct/>
              <w:topLinePunct w:val="0"/>
              <w:autoSpaceDE/>
              <w:autoSpaceDN/>
              <w:bidi w:val="0"/>
              <w:adjustRightInd/>
              <w:snapToGrid w:val="0"/>
              <w:spacing w:line="360" w:lineRule="auto"/>
              <w:ind w:leftChars="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①人员岗位职责、规章制度非常详细、明确、合理的得</w:t>
            </w:r>
            <w:r>
              <w:rPr>
                <w:rFonts w:hint="eastAsia" w:ascii="宋体" w:hAnsi="宋体" w:eastAsia="宋体" w:cs="宋体"/>
                <w:color w:val="auto"/>
                <w:sz w:val="21"/>
                <w:szCs w:val="21"/>
                <w:lang w:val="en-US" w:eastAsia="zh-CN"/>
              </w:rPr>
              <w:t>7</w:t>
            </w:r>
            <w:r>
              <w:rPr>
                <w:rFonts w:hint="eastAsia" w:ascii="宋体" w:hAnsi="宋体" w:eastAsia="宋体" w:cs="宋体"/>
                <w:color w:val="auto"/>
                <w:sz w:val="21"/>
                <w:szCs w:val="21"/>
              </w:rPr>
              <w:t xml:space="preserve">分； </w:t>
            </w:r>
          </w:p>
          <w:p w14:paraId="1872DB20">
            <w:pPr>
              <w:keepNext w:val="0"/>
              <w:keepLines w:val="0"/>
              <w:pageBreakBefore w:val="0"/>
              <w:numPr>
                <w:ilvl w:val="0"/>
                <w:numId w:val="0"/>
              </w:numPr>
              <w:kinsoku/>
              <w:wordWrap/>
              <w:overflowPunct/>
              <w:topLinePunct w:val="0"/>
              <w:autoSpaceDE/>
              <w:autoSpaceDN/>
              <w:bidi w:val="0"/>
              <w:adjustRightInd/>
              <w:snapToGrid w:val="0"/>
              <w:spacing w:line="360" w:lineRule="auto"/>
              <w:ind w:leftChars="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②人员岗位职责、规章制度较为详细、明确、合理的得</w:t>
            </w:r>
            <w:r>
              <w:rPr>
                <w:rFonts w:hint="eastAsia" w:ascii="宋体" w:hAnsi="宋体" w:eastAsia="宋体" w:cs="宋体"/>
                <w:color w:val="auto"/>
                <w:sz w:val="21"/>
                <w:szCs w:val="21"/>
                <w:lang w:val="en-US" w:eastAsia="zh-CN"/>
              </w:rPr>
              <w:t>5</w:t>
            </w:r>
            <w:r>
              <w:rPr>
                <w:rFonts w:hint="eastAsia" w:ascii="宋体" w:hAnsi="宋体" w:eastAsia="宋体" w:cs="宋体"/>
                <w:color w:val="auto"/>
                <w:sz w:val="21"/>
                <w:szCs w:val="21"/>
              </w:rPr>
              <w:t xml:space="preserve">分； </w:t>
            </w:r>
          </w:p>
          <w:p w14:paraId="4D455189">
            <w:pPr>
              <w:keepNext w:val="0"/>
              <w:keepLines w:val="0"/>
              <w:pageBreakBefore w:val="0"/>
              <w:numPr>
                <w:ilvl w:val="0"/>
                <w:numId w:val="0"/>
              </w:numPr>
              <w:kinsoku/>
              <w:wordWrap/>
              <w:overflowPunct/>
              <w:topLinePunct w:val="0"/>
              <w:autoSpaceDE/>
              <w:autoSpaceDN/>
              <w:bidi w:val="0"/>
              <w:adjustRightInd/>
              <w:snapToGrid w:val="0"/>
              <w:spacing w:line="360" w:lineRule="auto"/>
              <w:ind w:leftChars="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③人员岗位职责、规章制度内容一般的得</w:t>
            </w: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分；</w:t>
            </w:r>
          </w:p>
          <w:p w14:paraId="6551257A">
            <w:pPr>
              <w:keepNext w:val="0"/>
              <w:keepLines w:val="0"/>
              <w:pageBreakBefore w:val="0"/>
              <w:numPr>
                <w:ilvl w:val="0"/>
                <w:numId w:val="0"/>
              </w:numPr>
              <w:kinsoku/>
              <w:wordWrap/>
              <w:overflowPunct/>
              <w:topLinePunct w:val="0"/>
              <w:autoSpaceDE/>
              <w:autoSpaceDN/>
              <w:bidi w:val="0"/>
              <w:adjustRightInd/>
              <w:snapToGrid w:val="0"/>
              <w:spacing w:line="360" w:lineRule="auto"/>
              <w:ind w:leftChars="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④人员岗位职责、规章制度不够详细、不够明确、合理性不足的得1分； </w:t>
            </w:r>
          </w:p>
          <w:p w14:paraId="041AB290">
            <w:pPr>
              <w:keepNext w:val="0"/>
              <w:keepLines w:val="0"/>
              <w:pageBreakBefore w:val="0"/>
              <w:numPr>
                <w:ilvl w:val="0"/>
                <w:numId w:val="0"/>
              </w:numPr>
              <w:kinsoku/>
              <w:wordWrap/>
              <w:overflowPunct/>
              <w:topLinePunct w:val="0"/>
              <w:autoSpaceDE/>
              <w:autoSpaceDN/>
              <w:bidi w:val="0"/>
              <w:adjustRightInd/>
              <w:snapToGrid w:val="0"/>
              <w:spacing w:line="360" w:lineRule="auto"/>
              <w:ind w:left="0" w:leftChars="0" w:firstLine="0" w:firstLineChars="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rPr>
              <w:t>⑤未提供的不得分。</w:t>
            </w:r>
          </w:p>
        </w:tc>
      </w:tr>
      <w:tr w14:paraId="31643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3" w:type="dxa"/>
          <w:trHeight w:val="764" w:hRule="atLeast"/>
          <w:jc w:val="center"/>
        </w:trPr>
        <w:tc>
          <w:tcPr>
            <w:tcW w:w="1136" w:type="dxa"/>
            <w:gridSpan w:val="2"/>
            <w:vMerge w:val="continue"/>
            <w:noWrap w:val="0"/>
            <w:vAlign w:val="center"/>
          </w:tcPr>
          <w:p w14:paraId="261B0015">
            <w:pPr>
              <w:widowControl w:val="0"/>
              <w:tabs>
                <w:tab w:val="center" w:pos="4153"/>
                <w:tab w:val="right" w:pos="8306"/>
              </w:tabs>
              <w:snapToGrid w:val="0"/>
              <w:spacing w:line="360" w:lineRule="auto"/>
              <w:jc w:val="center"/>
              <w:outlineLvl w:val="9"/>
              <w:rPr>
                <w:rFonts w:hint="eastAsia" w:ascii="宋体" w:hAnsi="宋体" w:eastAsia="宋体" w:cs="宋体"/>
                <w:color w:val="auto"/>
                <w:kern w:val="2"/>
                <w:sz w:val="21"/>
                <w:szCs w:val="21"/>
                <w:highlight w:val="none"/>
                <w:lang w:val="en-US" w:eastAsia="zh-CN" w:bidi="ar-SA"/>
              </w:rPr>
            </w:pPr>
          </w:p>
        </w:tc>
        <w:tc>
          <w:tcPr>
            <w:tcW w:w="1985" w:type="dxa"/>
            <w:gridSpan w:val="2"/>
            <w:vMerge w:val="restart"/>
            <w:noWrap w:val="0"/>
            <w:vAlign w:val="center"/>
          </w:tcPr>
          <w:p w14:paraId="64CF5A57">
            <w:pPr>
              <w:keepNext w:val="0"/>
              <w:keepLines w:val="0"/>
              <w:pageBreakBefore w:val="0"/>
              <w:kinsoku/>
              <w:wordWrap/>
              <w:overflowPunct/>
              <w:topLinePunct w:val="0"/>
              <w:bidi w:val="0"/>
              <w:adjustRightInd w:val="0"/>
              <w:spacing w:line="360" w:lineRule="auto"/>
              <w:jc w:val="both"/>
              <w:textAlignment w:val="baseline"/>
              <w:rPr>
                <w:rFonts w:hint="eastAsia" w:ascii="宋体" w:hAnsi="宋体" w:eastAsia="宋体" w:cs="宋体"/>
                <w:b w:val="0"/>
                <w:bCs w:val="0"/>
                <w:color w:val="auto"/>
                <w:kern w:val="0"/>
                <w:sz w:val="21"/>
                <w:szCs w:val="21"/>
                <w:highlight w:val="none"/>
                <w:lang w:val="en-US" w:eastAsia="zh-CN"/>
              </w:rPr>
            </w:pPr>
          </w:p>
          <w:p w14:paraId="16639AB6">
            <w:pPr>
              <w:keepNext w:val="0"/>
              <w:keepLines w:val="0"/>
              <w:pageBreakBefore w:val="0"/>
              <w:kinsoku/>
              <w:wordWrap/>
              <w:overflowPunct/>
              <w:topLinePunct w:val="0"/>
              <w:bidi w:val="0"/>
              <w:adjustRightInd w:val="0"/>
              <w:spacing w:line="360" w:lineRule="auto"/>
              <w:jc w:val="both"/>
              <w:textAlignment w:val="baseline"/>
              <w:rPr>
                <w:rFonts w:hint="eastAsia" w:ascii="宋体" w:hAnsi="宋体" w:eastAsia="宋体" w:cs="宋体"/>
                <w:b w:val="0"/>
                <w:bCs w:val="0"/>
                <w:color w:val="auto"/>
                <w:kern w:val="0"/>
                <w:sz w:val="21"/>
                <w:szCs w:val="21"/>
                <w:highlight w:val="none"/>
                <w:lang w:val="en-US" w:eastAsia="zh-CN"/>
              </w:rPr>
            </w:pPr>
          </w:p>
          <w:p w14:paraId="5FCFD2D5">
            <w:pPr>
              <w:keepNext w:val="0"/>
              <w:keepLines w:val="0"/>
              <w:pageBreakBefore w:val="0"/>
              <w:kinsoku/>
              <w:wordWrap/>
              <w:overflowPunct/>
              <w:topLinePunct w:val="0"/>
              <w:bidi w:val="0"/>
              <w:adjustRightInd w:val="0"/>
              <w:spacing w:line="360" w:lineRule="auto"/>
              <w:jc w:val="both"/>
              <w:textAlignment w:val="baseline"/>
              <w:rPr>
                <w:rFonts w:hint="eastAsia" w:ascii="宋体" w:hAnsi="宋体" w:eastAsia="宋体" w:cs="宋体"/>
                <w:b w:val="0"/>
                <w:bCs w:val="0"/>
                <w:color w:val="auto"/>
                <w:kern w:val="0"/>
                <w:sz w:val="21"/>
                <w:szCs w:val="21"/>
                <w:highlight w:val="none"/>
                <w:lang w:val="en-US" w:eastAsia="zh-CN"/>
              </w:rPr>
            </w:pPr>
          </w:p>
          <w:p w14:paraId="2432C736">
            <w:pPr>
              <w:keepNext w:val="0"/>
              <w:keepLines w:val="0"/>
              <w:pageBreakBefore w:val="0"/>
              <w:kinsoku/>
              <w:wordWrap/>
              <w:overflowPunct/>
              <w:topLinePunct w:val="0"/>
              <w:bidi w:val="0"/>
              <w:adjustRightInd w:val="0"/>
              <w:spacing w:line="360" w:lineRule="auto"/>
              <w:jc w:val="both"/>
              <w:textAlignment w:val="baseline"/>
              <w:rPr>
                <w:rFonts w:hint="eastAsia" w:ascii="宋体" w:hAnsi="宋体" w:eastAsia="宋体" w:cs="宋体"/>
                <w:b w:val="0"/>
                <w:bCs w:val="0"/>
                <w:color w:val="auto"/>
                <w:kern w:val="0"/>
                <w:sz w:val="21"/>
                <w:szCs w:val="21"/>
                <w:highlight w:val="none"/>
                <w:lang w:val="en-US" w:eastAsia="zh-CN"/>
              </w:rPr>
            </w:pPr>
          </w:p>
          <w:p w14:paraId="113BB591">
            <w:pPr>
              <w:keepNext w:val="0"/>
              <w:keepLines w:val="0"/>
              <w:pageBreakBefore w:val="0"/>
              <w:kinsoku/>
              <w:wordWrap/>
              <w:overflowPunct/>
              <w:topLinePunct w:val="0"/>
              <w:bidi w:val="0"/>
              <w:adjustRightInd w:val="0"/>
              <w:spacing w:line="360" w:lineRule="auto"/>
              <w:jc w:val="both"/>
              <w:textAlignment w:val="baseline"/>
              <w:rPr>
                <w:rFonts w:hint="eastAsia" w:ascii="宋体" w:hAnsi="宋体" w:eastAsia="宋体" w:cs="宋体"/>
                <w:b w:val="0"/>
                <w:bCs w:val="0"/>
                <w:color w:val="auto"/>
                <w:kern w:val="0"/>
                <w:sz w:val="21"/>
                <w:szCs w:val="21"/>
                <w:highlight w:val="none"/>
                <w:lang w:val="en-US" w:eastAsia="zh-CN"/>
              </w:rPr>
            </w:pPr>
          </w:p>
          <w:p w14:paraId="2639B952">
            <w:pPr>
              <w:keepNext w:val="0"/>
              <w:keepLines w:val="0"/>
              <w:pageBreakBefore w:val="0"/>
              <w:kinsoku/>
              <w:wordWrap/>
              <w:overflowPunct/>
              <w:topLinePunct w:val="0"/>
              <w:bidi w:val="0"/>
              <w:adjustRightInd w:val="0"/>
              <w:spacing w:line="360" w:lineRule="auto"/>
              <w:jc w:val="both"/>
              <w:textAlignment w:val="baseline"/>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日常工作方案（</w:t>
            </w:r>
            <w:r>
              <w:rPr>
                <w:rFonts w:hint="eastAsia" w:ascii="宋体" w:hAnsi="宋体" w:eastAsia="宋体" w:cs="宋体"/>
                <w:b w:val="0"/>
                <w:bCs w:val="0"/>
                <w:color w:val="auto"/>
                <w:kern w:val="2"/>
                <w:sz w:val="21"/>
                <w:szCs w:val="21"/>
                <w:lang w:val="en-US" w:eastAsia="zh-CN" w:bidi="ar-SA"/>
              </w:rPr>
              <w:t>16</w:t>
            </w:r>
            <w:r>
              <w:rPr>
                <w:rFonts w:hint="eastAsia" w:ascii="宋体" w:hAnsi="宋体" w:eastAsia="宋体" w:cs="宋体"/>
                <w:b w:val="0"/>
                <w:bCs w:val="0"/>
                <w:color w:val="auto"/>
                <w:kern w:val="0"/>
                <w:sz w:val="21"/>
                <w:szCs w:val="21"/>
                <w:highlight w:val="none"/>
                <w:lang w:val="en-US" w:eastAsia="zh-CN"/>
              </w:rPr>
              <w:t>分）</w:t>
            </w:r>
          </w:p>
          <w:p w14:paraId="7E277EDB">
            <w:pPr>
              <w:keepNext w:val="0"/>
              <w:keepLines w:val="0"/>
              <w:pageBreakBefore w:val="0"/>
              <w:kinsoku/>
              <w:wordWrap/>
              <w:overflowPunct/>
              <w:topLinePunct w:val="0"/>
              <w:bidi w:val="0"/>
              <w:adjustRightInd w:val="0"/>
              <w:spacing w:line="360" w:lineRule="auto"/>
              <w:jc w:val="center"/>
              <w:textAlignment w:val="baseline"/>
              <w:rPr>
                <w:rFonts w:hint="eastAsia" w:ascii="宋体" w:hAnsi="宋体" w:eastAsia="宋体" w:cs="宋体"/>
                <w:color w:val="auto"/>
                <w:sz w:val="21"/>
                <w:szCs w:val="21"/>
                <w:highlight w:val="none"/>
                <w:lang w:eastAsia="zh-CN"/>
              </w:rPr>
            </w:pPr>
          </w:p>
        </w:tc>
        <w:tc>
          <w:tcPr>
            <w:tcW w:w="5590" w:type="dxa"/>
            <w:gridSpan w:val="2"/>
            <w:noWrap w:val="0"/>
            <w:vAlign w:val="center"/>
          </w:tcPr>
          <w:p w14:paraId="0BDA4A64">
            <w:pPr>
              <w:bidi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评标委员会</w:t>
            </w:r>
            <w:r>
              <w:rPr>
                <w:rFonts w:hint="eastAsia" w:ascii="宋体" w:hAnsi="宋体" w:eastAsia="宋体" w:cs="宋体"/>
                <w:color w:val="auto"/>
                <w:sz w:val="21"/>
                <w:szCs w:val="21"/>
              </w:rPr>
              <w:t>根据供应商对本项目净化机组维修、维保等日常工作的规章制度、检查、监督 及考核方案等进行打分：</w:t>
            </w:r>
          </w:p>
          <w:p w14:paraId="668B58BB">
            <w:pPr>
              <w:bidi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①日常工作规章制度健全，检查、考核方法科 学、合理的得</w:t>
            </w:r>
            <w:r>
              <w:rPr>
                <w:rFonts w:hint="eastAsia" w:ascii="宋体" w:hAnsi="宋体" w:eastAsia="宋体" w:cs="宋体"/>
                <w:color w:val="auto"/>
                <w:sz w:val="21"/>
                <w:szCs w:val="21"/>
                <w:lang w:val="en-US" w:eastAsia="zh-CN"/>
              </w:rPr>
              <w:t>8</w:t>
            </w:r>
            <w:r>
              <w:rPr>
                <w:rFonts w:hint="eastAsia" w:ascii="宋体" w:hAnsi="宋体" w:eastAsia="宋体" w:cs="宋体"/>
                <w:color w:val="auto"/>
                <w:sz w:val="21"/>
                <w:szCs w:val="21"/>
              </w:rPr>
              <w:t>分； ②日常工作规章制度健全，检查、考核方法比 较科学、合理的得</w:t>
            </w:r>
            <w:r>
              <w:rPr>
                <w:rFonts w:hint="eastAsia" w:ascii="宋体" w:hAnsi="宋体" w:eastAsia="宋体" w:cs="宋体"/>
                <w:color w:val="auto"/>
                <w:sz w:val="21"/>
                <w:szCs w:val="21"/>
                <w:lang w:val="en-US" w:eastAsia="zh-CN"/>
              </w:rPr>
              <w:t>6</w:t>
            </w:r>
            <w:r>
              <w:rPr>
                <w:rFonts w:hint="eastAsia" w:ascii="宋体" w:hAnsi="宋体" w:eastAsia="宋体" w:cs="宋体"/>
                <w:color w:val="auto"/>
                <w:sz w:val="21"/>
                <w:szCs w:val="21"/>
              </w:rPr>
              <w:t xml:space="preserve"> 分；</w:t>
            </w:r>
          </w:p>
          <w:p w14:paraId="2703726A">
            <w:pPr>
              <w:bidi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③日常工作规章制度，检查、考核方法内容一 般，针对采购项目内容要求不够细化描述的得 </w:t>
            </w: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分；</w:t>
            </w:r>
          </w:p>
          <w:p w14:paraId="093F5196">
            <w:pPr>
              <w:bidi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 ④日常工作规章制度，检查、考核方法内容笼统，针对采购项目内容要求未细化制定的得 1 分；</w:t>
            </w:r>
          </w:p>
          <w:p w14:paraId="53BA06A0">
            <w:pPr>
              <w:bidi w:val="0"/>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rPr>
              <w:t xml:space="preserve"> ⑤未提供的不得分。</w:t>
            </w:r>
          </w:p>
        </w:tc>
      </w:tr>
      <w:tr w14:paraId="66302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3" w:type="dxa"/>
          <w:trHeight w:val="3788" w:hRule="atLeast"/>
          <w:jc w:val="center"/>
        </w:trPr>
        <w:tc>
          <w:tcPr>
            <w:tcW w:w="1136" w:type="dxa"/>
            <w:gridSpan w:val="2"/>
            <w:vMerge w:val="continue"/>
            <w:noWrap w:val="0"/>
            <w:vAlign w:val="center"/>
          </w:tcPr>
          <w:p w14:paraId="4A7AF2B1">
            <w:pPr>
              <w:widowControl w:val="0"/>
              <w:tabs>
                <w:tab w:val="center" w:pos="4153"/>
                <w:tab w:val="right" w:pos="8306"/>
              </w:tabs>
              <w:snapToGrid w:val="0"/>
              <w:spacing w:line="360" w:lineRule="auto"/>
              <w:jc w:val="center"/>
              <w:outlineLvl w:val="9"/>
              <w:rPr>
                <w:rFonts w:hint="eastAsia" w:ascii="宋体" w:hAnsi="宋体" w:eastAsia="宋体" w:cs="宋体"/>
                <w:color w:val="auto"/>
                <w:kern w:val="2"/>
                <w:sz w:val="21"/>
                <w:szCs w:val="21"/>
                <w:highlight w:val="none"/>
                <w:lang w:val="en-US" w:eastAsia="zh-CN" w:bidi="ar-SA"/>
              </w:rPr>
            </w:pPr>
          </w:p>
        </w:tc>
        <w:tc>
          <w:tcPr>
            <w:tcW w:w="1985" w:type="dxa"/>
            <w:gridSpan w:val="2"/>
            <w:vMerge w:val="continue"/>
            <w:noWrap w:val="0"/>
            <w:vAlign w:val="center"/>
          </w:tcPr>
          <w:p w14:paraId="6A6DF13E">
            <w:pPr>
              <w:keepNext w:val="0"/>
              <w:keepLines w:val="0"/>
              <w:pageBreakBefore w:val="0"/>
              <w:kinsoku/>
              <w:wordWrap/>
              <w:overflowPunct/>
              <w:topLinePunct w:val="0"/>
              <w:bidi w:val="0"/>
              <w:adjustRightInd w:val="0"/>
              <w:spacing w:line="360" w:lineRule="auto"/>
              <w:jc w:val="center"/>
              <w:textAlignment w:val="baseline"/>
              <w:rPr>
                <w:rFonts w:hint="eastAsia" w:ascii="宋体" w:hAnsi="宋体" w:eastAsia="宋体" w:cs="宋体"/>
                <w:color w:val="auto"/>
                <w:sz w:val="21"/>
                <w:szCs w:val="21"/>
                <w:highlight w:val="none"/>
                <w:lang w:eastAsia="zh-CN"/>
              </w:rPr>
            </w:pPr>
          </w:p>
        </w:tc>
        <w:tc>
          <w:tcPr>
            <w:tcW w:w="5590" w:type="dxa"/>
            <w:gridSpan w:val="2"/>
            <w:noWrap w:val="0"/>
            <w:vAlign w:val="center"/>
          </w:tcPr>
          <w:p w14:paraId="7C23B4C2">
            <w:pPr>
              <w:bidi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评标委员会</w:t>
            </w:r>
            <w:r>
              <w:rPr>
                <w:rFonts w:hint="eastAsia" w:ascii="宋体" w:hAnsi="宋体" w:eastAsia="宋体" w:cs="宋体"/>
                <w:color w:val="auto"/>
                <w:sz w:val="21"/>
                <w:szCs w:val="21"/>
              </w:rPr>
              <w:t>根据供应商对本项目新风机组维修、维保等日常工作的规章制度、检查、监督 及考核方案等进行打分：</w:t>
            </w:r>
          </w:p>
          <w:p w14:paraId="25DBE66E">
            <w:pPr>
              <w:bidi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①日常工作规章制度健全，检查、考核方法科 学、合理的得 </w:t>
            </w:r>
            <w:r>
              <w:rPr>
                <w:rFonts w:hint="eastAsia" w:ascii="宋体" w:hAnsi="宋体" w:eastAsia="宋体" w:cs="宋体"/>
                <w:color w:val="auto"/>
                <w:sz w:val="21"/>
                <w:szCs w:val="21"/>
                <w:lang w:val="en-US" w:eastAsia="zh-CN"/>
              </w:rPr>
              <w:t>8</w:t>
            </w:r>
            <w:r>
              <w:rPr>
                <w:rFonts w:hint="eastAsia" w:ascii="宋体" w:hAnsi="宋体" w:eastAsia="宋体" w:cs="宋体"/>
                <w:color w:val="auto"/>
                <w:sz w:val="21"/>
                <w:szCs w:val="21"/>
              </w:rPr>
              <w:t>分； ②日常工作规章制度健全，检查、考核方法比 较科学、合理的得</w:t>
            </w:r>
            <w:r>
              <w:rPr>
                <w:rFonts w:hint="eastAsia" w:ascii="宋体" w:hAnsi="宋体" w:eastAsia="宋体" w:cs="宋体"/>
                <w:color w:val="auto"/>
                <w:sz w:val="21"/>
                <w:szCs w:val="21"/>
                <w:lang w:val="en-US" w:eastAsia="zh-CN"/>
              </w:rPr>
              <w:t>6</w:t>
            </w:r>
            <w:r>
              <w:rPr>
                <w:rFonts w:hint="eastAsia" w:ascii="宋体" w:hAnsi="宋体" w:eastAsia="宋体" w:cs="宋体"/>
                <w:color w:val="auto"/>
                <w:sz w:val="21"/>
                <w:szCs w:val="21"/>
              </w:rPr>
              <w:t xml:space="preserve"> 分；</w:t>
            </w:r>
          </w:p>
          <w:p w14:paraId="3CB8D4F5">
            <w:pPr>
              <w:bidi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③日常工作规章制度，检查、考核方法内容一 般，针对采购项目内容要求不够细化描述的得 </w:t>
            </w: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分；</w:t>
            </w:r>
          </w:p>
          <w:p w14:paraId="293D880E">
            <w:pPr>
              <w:bidi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 ④日常工作规章制度，检查、考核方法内容笼 统，针对采购项目内容要求未细化制定的得 1 分； </w:t>
            </w:r>
          </w:p>
          <w:p w14:paraId="7F16F689">
            <w:pPr>
              <w:bidi w:val="0"/>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rPr>
              <w:t>⑤未提供的不得分。</w:t>
            </w:r>
          </w:p>
        </w:tc>
      </w:tr>
      <w:tr w14:paraId="56F0A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3" w:type="dxa"/>
          <w:trHeight w:val="3788" w:hRule="atLeast"/>
          <w:jc w:val="center"/>
        </w:trPr>
        <w:tc>
          <w:tcPr>
            <w:tcW w:w="1136" w:type="dxa"/>
            <w:gridSpan w:val="2"/>
            <w:vMerge w:val="continue"/>
            <w:noWrap w:val="0"/>
            <w:vAlign w:val="center"/>
          </w:tcPr>
          <w:p w14:paraId="7220F6DD">
            <w:pPr>
              <w:spacing w:line="360" w:lineRule="auto"/>
              <w:outlineLvl w:val="9"/>
              <w:rPr>
                <w:rFonts w:hint="eastAsia" w:ascii="宋体" w:hAnsi="宋体" w:eastAsia="宋体" w:cs="宋体"/>
                <w:color w:val="auto"/>
              </w:rPr>
            </w:pPr>
          </w:p>
        </w:tc>
        <w:tc>
          <w:tcPr>
            <w:tcW w:w="1985" w:type="dxa"/>
            <w:gridSpan w:val="2"/>
            <w:noWrap w:val="0"/>
            <w:vAlign w:val="center"/>
          </w:tcPr>
          <w:p w14:paraId="06A715E4">
            <w:pPr>
              <w:keepNext w:val="0"/>
              <w:keepLines w:val="0"/>
              <w:pageBreakBefore w:val="0"/>
              <w:widowControl/>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安全保障控制措施</w:t>
            </w:r>
          </w:p>
          <w:p w14:paraId="4E1E1418">
            <w:pPr>
              <w:keepNext w:val="0"/>
              <w:keepLines w:val="0"/>
              <w:pageBreakBefore w:val="0"/>
              <w:widowControl/>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8分</w:t>
            </w:r>
            <w:r>
              <w:rPr>
                <w:rFonts w:hint="eastAsia" w:ascii="宋体" w:hAnsi="宋体" w:eastAsia="宋体" w:cs="宋体"/>
                <w:color w:val="auto"/>
                <w:sz w:val="21"/>
                <w:szCs w:val="21"/>
                <w:lang w:eastAsia="zh-CN"/>
              </w:rPr>
              <w:t>）</w:t>
            </w:r>
          </w:p>
        </w:tc>
        <w:tc>
          <w:tcPr>
            <w:tcW w:w="5590" w:type="dxa"/>
            <w:gridSpan w:val="2"/>
            <w:noWrap w:val="0"/>
            <w:vAlign w:val="center"/>
          </w:tcPr>
          <w:p w14:paraId="26653824">
            <w:pPr>
              <w:bidi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评标委员会</w:t>
            </w:r>
            <w:r>
              <w:rPr>
                <w:rFonts w:hint="eastAsia" w:ascii="宋体" w:hAnsi="宋体" w:eastAsia="宋体" w:cs="宋体"/>
                <w:color w:val="auto"/>
                <w:sz w:val="21"/>
                <w:szCs w:val="21"/>
              </w:rPr>
              <w:t>根据供应商</w:t>
            </w:r>
            <w:r>
              <w:rPr>
                <w:rFonts w:hint="eastAsia" w:ascii="宋体" w:hAnsi="宋体" w:eastAsia="宋体" w:cs="宋体"/>
                <w:color w:val="auto"/>
                <w:sz w:val="21"/>
                <w:szCs w:val="21"/>
                <w:lang w:val="en-US" w:eastAsia="zh-CN"/>
              </w:rPr>
              <w:t>提供</w:t>
            </w:r>
            <w:r>
              <w:rPr>
                <w:rFonts w:hint="eastAsia" w:ascii="宋体" w:hAnsi="宋体" w:eastAsia="宋体" w:cs="宋体"/>
                <w:color w:val="auto"/>
                <w:sz w:val="21"/>
                <w:szCs w:val="21"/>
              </w:rPr>
              <w:t>的安全保障控制措施方案进行打分：</w:t>
            </w:r>
          </w:p>
          <w:p w14:paraId="6EFE611F">
            <w:pPr>
              <w:bidi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①方案结构严谨，内容完整详实，能够针对采 购项目内容要求而细化制定的得 </w:t>
            </w:r>
            <w:r>
              <w:rPr>
                <w:rFonts w:hint="eastAsia" w:ascii="宋体" w:hAnsi="宋体" w:eastAsia="宋体" w:cs="宋体"/>
                <w:color w:val="auto"/>
                <w:sz w:val="21"/>
                <w:szCs w:val="21"/>
                <w:lang w:val="en-US" w:eastAsia="zh-CN"/>
              </w:rPr>
              <w:t>8</w:t>
            </w:r>
            <w:r>
              <w:rPr>
                <w:rFonts w:hint="eastAsia" w:ascii="宋体" w:hAnsi="宋体" w:eastAsia="宋体" w:cs="宋体"/>
                <w:color w:val="auto"/>
                <w:sz w:val="21"/>
                <w:szCs w:val="21"/>
              </w:rPr>
              <w:t xml:space="preserve"> 分； </w:t>
            </w:r>
          </w:p>
          <w:p w14:paraId="62E15D11">
            <w:pPr>
              <w:bidi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②方案完整为本项目的实施要求而制定的措施较齐全，方案表述有一定偏差，但不影响实质 性意思表达的得</w:t>
            </w:r>
            <w:r>
              <w:rPr>
                <w:rFonts w:hint="eastAsia" w:ascii="宋体" w:hAnsi="宋体" w:eastAsia="宋体" w:cs="宋体"/>
                <w:color w:val="auto"/>
                <w:sz w:val="21"/>
                <w:szCs w:val="21"/>
                <w:lang w:val="en-US" w:eastAsia="zh-CN"/>
              </w:rPr>
              <w:t>6</w:t>
            </w:r>
            <w:r>
              <w:rPr>
                <w:rFonts w:hint="eastAsia" w:ascii="宋体" w:hAnsi="宋体" w:eastAsia="宋体" w:cs="宋体"/>
                <w:color w:val="auto"/>
                <w:sz w:val="21"/>
                <w:szCs w:val="21"/>
              </w:rPr>
              <w:t>分；</w:t>
            </w:r>
          </w:p>
          <w:p w14:paraId="79635684">
            <w:pPr>
              <w:bidi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③有方案，但方案内容一般，针对采购项目内 容要求不够细化描述的得</w:t>
            </w: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 xml:space="preserve">分； </w:t>
            </w:r>
          </w:p>
          <w:p w14:paraId="664D23F7">
            <w:pPr>
              <w:bidi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④有方案，但方案内容笼统，针对采购项目内容要求未细化制定的得 1 分； </w:t>
            </w:r>
          </w:p>
          <w:p w14:paraId="26EF2959">
            <w:pPr>
              <w:bidi w:val="0"/>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rPr>
              <w:t>⑤未提供的不得分。</w:t>
            </w:r>
          </w:p>
        </w:tc>
      </w:tr>
      <w:tr w14:paraId="261AC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3" w:type="dxa"/>
          <w:trHeight w:val="499" w:hRule="atLeast"/>
          <w:jc w:val="center"/>
        </w:trPr>
        <w:tc>
          <w:tcPr>
            <w:tcW w:w="1136" w:type="dxa"/>
            <w:gridSpan w:val="2"/>
            <w:vMerge w:val="continue"/>
            <w:noWrap w:val="0"/>
            <w:vAlign w:val="center"/>
          </w:tcPr>
          <w:p w14:paraId="5E72DC5A">
            <w:pPr>
              <w:spacing w:line="360" w:lineRule="auto"/>
              <w:outlineLvl w:val="9"/>
              <w:rPr>
                <w:rFonts w:hint="eastAsia" w:ascii="宋体" w:hAnsi="宋体" w:eastAsia="宋体" w:cs="宋体"/>
                <w:color w:val="auto"/>
              </w:rPr>
            </w:pPr>
          </w:p>
        </w:tc>
        <w:tc>
          <w:tcPr>
            <w:tcW w:w="1985" w:type="dxa"/>
            <w:gridSpan w:val="2"/>
            <w:noWrap w:val="0"/>
            <w:vAlign w:val="center"/>
          </w:tcPr>
          <w:p w14:paraId="31BC965D">
            <w:pPr>
              <w:keepNext w:val="0"/>
              <w:keepLines w:val="0"/>
              <w:pageBreakBefore w:val="0"/>
              <w:widowControl/>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应急保障措施预案</w:t>
            </w:r>
          </w:p>
          <w:p w14:paraId="33A561DD">
            <w:pPr>
              <w:keepNext w:val="0"/>
              <w:keepLines w:val="0"/>
              <w:pageBreakBefore w:val="0"/>
              <w:widowControl/>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8分</w:t>
            </w:r>
            <w:r>
              <w:rPr>
                <w:rFonts w:hint="eastAsia" w:ascii="宋体" w:hAnsi="宋体" w:eastAsia="宋体" w:cs="宋体"/>
                <w:color w:val="auto"/>
                <w:sz w:val="21"/>
                <w:szCs w:val="21"/>
                <w:lang w:eastAsia="zh-CN"/>
              </w:rPr>
              <w:t>）</w:t>
            </w:r>
          </w:p>
        </w:tc>
        <w:tc>
          <w:tcPr>
            <w:tcW w:w="5590" w:type="dxa"/>
            <w:gridSpan w:val="2"/>
            <w:noWrap w:val="0"/>
            <w:vAlign w:val="center"/>
          </w:tcPr>
          <w:p w14:paraId="5A35C389">
            <w:pPr>
              <w:bidi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根据供应商提供的应急保障措施预案：</w:t>
            </w:r>
          </w:p>
          <w:p w14:paraId="6AE30BC4">
            <w:pPr>
              <w:bidi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应急保障措施、应急服务响应时间、应急保障设备、 重大或突发事件的人员配合、控制失误及其他 相关应急服务等进行评分：</w:t>
            </w:r>
          </w:p>
          <w:p w14:paraId="3C327BC1">
            <w:pPr>
              <w:bidi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 ①方案结构严谨，内容完整详实，能够针对采 购项目内容要求而细化制定的得</w:t>
            </w:r>
            <w:r>
              <w:rPr>
                <w:rFonts w:hint="eastAsia" w:ascii="宋体" w:hAnsi="宋体" w:eastAsia="宋体" w:cs="宋体"/>
                <w:color w:val="auto"/>
                <w:sz w:val="21"/>
                <w:szCs w:val="21"/>
                <w:lang w:val="en-US" w:eastAsia="zh-CN"/>
              </w:rPr>
              <w:t>8</w:t>
            </w:r>
            <w:r>
              <w:rPr>
                <w:rFonts w:hint="eastAsia" w:ascii="宋体" w:hAnsi="宋体" w:eastAsia="宋体" w:cs="宋体"/>
                <w:color w:val="auto"/>
                <w:sz w:val="21"/>
                <w:szCs w:val="21"/>
              </w:rPr>
              <w:t xml:space="preserve"> 分； </w:t>
            </w:r>
          </w:p>
          <w:p w14:paraId="0C387686">
            <w:pPr>
              <w:bidi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②方案完整为本项目的实施要求而制定的措施较齐全，方案表述有一定偏差，但不影响实质 性意思表达的得 </w:t>
            </w:r>
            <w:r>
              <w:rPr>
                <w:rFonts w:hint="eastAsia" w:ascii="宋体" w:hAnsi="宋体" w:eastAsia="宋体" w:cs="宋体"/>
                <w:color w:val="auto"/>
                <w:sz w:val="21"/>
                <w:szCs w:val="21"/>
                <w:lang w:val="en-US" w:eastAsia="zh-CN"/>
              </w:rPr>
              <w:t>6</w:t>
            </w:r>
            <w:r>
              <w:rPr>
                <w:rFonts w:hint="eastAsia" w:ascii="宋体" w:hAnsi="宋体" w:eastAsia="宋体" w:cs="宋体"/>
                <w:color w:val="auto"/>
                <w:sz w:val="21"/>
                <w:szCs w:val="21"/>
              </w:rPr>
              <w:t xml:space="preserve"> 分； </w:t>
            </w:r>
          </w:p>
          <w:p w14:paraId="1CAE5595">
            <w:pPr>
              <w:bidi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③有方案，但方案内容一般，针对采购项目内 容要求不够细化描述的得</w:t>
            </w: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分；</w:t>
            </w:r>
          </w:p>
          <w:p w14:paraId="1963BBBD">
            <w:pPr>
              <w:bidi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④有方案，但方案内容笼统，针对采购项目内 容要求未细化制定的得 1 分；</w:t>
            </w:r>
          </w:p>
          <w:p w14:paraId="22D606BB">
            <w:pPr>
              <w:bidi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⑤未提供的不得分。</w:t>
            </w:r>
          </w:p>
        </w:tc>
      </w:tr>
      <w:tr w14:paraId="4B5C8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3" w:type="dxa"/>
          <w:trHeight w:val="1150" w:hRule="atLeast"/>
          <w:jc w:val="center"/>
        </w:trPr>
        <w:tc>
          <w:tcPr>
            <w:tcW w:w="1136" w:type="dxa"/>
            <w:gridSpan w:val="2"/>
            <w:vMerge w:val="continue"/>
            <w:noWrap w:val="0"/>
            <w:vAlign w:val="center"/>
          </w:tcPr>
          <w:p w14:paraId="25F7D536">
            <w:pPr>
              <w:widowControl w:val="0"/>
              <w:tabs>
                <w:tab w:val="center" w:pos="4153"/>
                <w:tab w:val="right" w:pos="8306"/>
              </w:tabs>
              <w:snapToGrid w:val="0"/>
              <w:spacing w:line="360" w:lineRule="auto"/>
              <w:jc w:val="center"/>
              <w:outlineLvl w:val="9"/>
              <w:rPr>
                <w:rFonts w:hint="eastAsia" w:ascii="宋体" w:hAnsi="宋体" w:eastAsia="宋体" w:cs="宋体"/>
                <w:color w:val="auto"/>
                <w:kern w:val="2"/>
                <w:sz w:val="21"/>
                <w:szCs w:val="21"/>
                <w:highlight w:val="none"/>
                <w:lang w:val="en-US" w:eastAsia="zh-CN" w:bidi="ar-SA"/>
              </w:rPr>
            </w:pPr>
          </w:p>
        </w:tc>
        <w:tc>
          <w:tcPr>
            <w:tcW w:w="7575" w:type="dxa"/>
            <w:gridSpan w:val="4"/>
            <w:noWrap w:val="0"/>
            <w:vAlign w:val="center"/>
          </w:tcPr>
          <w:p w14:paraId="29046D01">
            <w:pPr>
              <w:widowControl w:val="0"/>
              <w:spacing w:line="360" w:lineRule="auto"/>
              <w:ind w:firstLine="0" w:firstLineChars="0"/>
              <w:jc w:val="both"/>
              <w:outlineLvl w:val="9"/>
              <w:rPr>
                <w:rFonts w:hint="eastAsia" w:ascii="宋体" w:hAnsi="宋体" w:eastAsia="宋体" w:cs="宋体"/>
                <w:color w:val="auto"/>
                <w:kern w:val="2"/>
                <w:sz w:val="21"/>
                <w:szCs w:val="21"/>
                <w:highlight w:val="none"/>
                <w:lang w:val="en-US" w:eastAsia="zh-CN" w:bidi="ar-SA"/>
              </w:rPr>
            </w:pPr>
            <w:r>
              <w:rPr>
                <w:rStyle w:val="6"/>
                <w:rFonts w:hint="eastAsia" w:ascii="宋体" w:hAnsi="宋体" w:eastAsia="宋体" w:cs="宋体"/>
                <w:color w:val="auto"/>
                <w:sz w:val="21"/>
                <w:szCs w:val="21"/>
              </w:rPr>
              <w:t>本项目所涉及到的各种证明材料、业绩等须在</w:t>
            </w:r>
            <w:r>
              <w:rPr>
                <w:rStyle w:val="6"/>
                <w:rFonts w:hint="eastAsia" w:ascii="宋体" w:hAnsi="宋体" w:eastAsia="宋体" w:cs="宋体"/>
                <w:color w:val="auto"/>
                <w:sz w:val="21"/>
                <w:szCs w:val="21"/>
                <w:lang w:eastAsia="zh-CN"/>
              </w:rPr>
              <w:t>竞争性磋商响应文件</w:t>
            </w:r>
            <w:r>
              <w:rPr>
                <w:rStyle w:val="6"/>
                <w:rFonts w:hint="eastAsia" w:ascii="宋体" w:hAnsi="宋体" w:eastAsia="宋体" w:cs="宋体"/>
                <w:color w:val="auto"/>
                <w:sz w:val="21"/>
                <w:szCs w:val="21"/>
              </w:rPr>
              <w:t>中提供证明文件扫描件，因证明材料不清晰造成的后果</w:t>
            </w:r>
            <w:r>
              <w:rPr>
                <w:rStyle w:val="6"/>
                <w:rFonts w:hint="eastAsia" w:ascii="宋体" w:hAnsi="宋体" w:eastAsia="宋体" w:cs="宋体"/>
                <w:color w:val="auto"/>
                <w:sz w:val="21"/>
                <w:szCs w:val="21"/>
                <w:lang w:val="en-US" w:eastAsia="zh-CN"/>
              </w:rPr>
              <w:t>由</w:t>
            </w:r>
            <w:r>
              <w:rPr>
                <w:rStyle w:val="6"/>
                <w:rFonts w:hint="eastAsia" w:ascii="宋体" w:hAnsi="宋体" w:eastAsia="宋体" w:cs="宋体"/>
                <w:color w:val="auto"/>
                <w:sz w:val="21"/>
                <w:szCs w:val="21"/>
              </w:rPr>
              <w:t>投标人自负。任何时候若发现弄虚作假者，将取消投标或中标</w:t>
            </w:r>
            <w:r>
              <w:rPr>
                <w:rStyle w:val="6"/>
                <w:rFonts w:hint="eastAsia" w:ascii="宋体" w:hAnsi="宋体" w:eastAsia="宋体" w:cs="宋体"/>
                <w:color w:val="auto"/>
                <w:sz w:val="21"/>
                <w:szCs w:val="21"/>
                <w:lang w:eastAsia="zh-CN"/>
              </w:rPr>
              <w:t>（</w:t>
            </w:r>
            <w:r>
              <w:rPr>
                <w:rStyle w:val="6"/>
                <w:rFonts w:hint="eastAsia" w:ascii="宋体" w:hAnsi="宋体" w:eastAsia="宋体" w:cs="宋体"/>
                <w:color w:val="auto"/>
                <w:sz w:val="21"/>
                <w:szCs w:val="21"/>
                <w:lang w:val="en-US" w:eastAsia="zh-CN"/>
              </w:rPr>
              <w:t>成交</w:t>
            </w:r>
            <w:r>
              <w:rPr>
                <w:rStyle w:val="6"/>
                <w:rFonts w:hint="eastAsia" w:ascii="宋体" w:hAnsi="宋体" w:eastAsia="宋体" w:cs="宋体"/>
                <w:color w:val="auto"/>
                <w:sz w:val="21"/>
                <w:szCs w:val="21"/>
                <w:lang w:eastAsia="zh-CN"/>
              </w:rPr>
              <w:t>）</w:t>
            </w:r>
            <w:r>
              <w:rPr>
                <w:rStyle w:val="6"/>
                <w:rFonts w:hint="eastAsia" w:ascii="宋体" w:hAnsi="宋体" w:eastAsia="宋体" w:cs="宋体"/>
                <w:color w:val="auto"/>
                <w:sz w:val="21"/>
                <w:szCs w:val="21"/>
              </w:rPr>
              <w:t>资格并保留随时追究其相应经济和法律责任的权利。</w:t>
            </w:r>
          </w:p>
        </w:tc>
      </w:tr>
    </w:tbl>
    <w:p w14:paraId="1DA2C9F6">
      <w:pPr>
        <w:rPr>
          <w:color w:val="auto"/>
        </w:rPr>
      </w:pPr>
    </w:p>
    <w:p w14:paraId="56C08065">
      <w:pPr>
        <w:spacing w:line="360" w:lineRule="auto"/>
        <w:ind w:firstLine="420" w:firstLineChars="200"/>
        <w:outlineLvl w:val="9"/>
        <w:rPr>
          <w:rFonts w:ascii="宋体" w:hAnsi="宋体" w:eastAsia="宋体" w:cs="宋体"/>
          <w:color w:val="auto"/>
          <w:szCs w:val="21"/>
        </w:rPr>
      </w:pPr>
      <w:r>
        <w:rPr>
          <w:rFonts w:hint="eastAsia" w:ascii="宋体" w:hAnsi="宋体" w:eastAsia="宋体" w:cs="宋体"/>
          <w:color w:val="auto"/>
          <w:kern w:val="0"/>
          <w:szCs w:val="21"/>
        </w:rPr>
        <w:t>一、供应商在响应文件所提供的所有资料必须为真实有效的，采购人有权在任何时间核实其真实性。如提供虚</w:t>
      </w:r>
      <w:r>
        <w:rPr>
          <w:rFonts w:hint="eastAsia" w:ascii="宋体" w:hAnsi="宋体" w:eastAsia="宋体" w:cs="宋体"/>
          <w:color w:val="auto"/>
          <w:szCs w:val="21"/>
        </w:rPr>
        <w:t>假资料，供应商承担由此导致的一切不良后果并承担法律责任。</w:t>
      </w:r>
    </w:p>
    <w:p w14:paraId="036E866F">
      <w:pPr>
        <w:spacing w:line="360" w:lineRule="auto"/>
        <w:ind w:firstLine="420" w:firstLineChars="200"/>
        <w:outlineLvl w:val="9"/>
        <w:rPr>
          <w:rFonts w:ascii="宋体" w:hAnsi="宋体" w:eastAsia="宋体" w:cs="宋体"/>
          <w:color w:val="auto"/>
          <w:szCs w:val="21"/>
        </w:rPr>
      </w:pPr>
      <w:r>
        <w:rPr>
          <w:rFonts w:hint="eastAsia" w:ascii="宋体" w:hAnsi="宋体" w:eastAsia="宋体" w:cs="宋体"/>
          <w:color w:val="auto"/>
          <w:szCs w:val="21"/>
        </w:rPr>
        <w:t>二、最终得分的计算</w:t>
      </w:r>
    </w:p>
    <w:p w14:paraId="4D5175A6">
      <w:pPr>
        <w:spacing w:line="360" w:lineRule="auto"/>
        <w:ind w:firstLine="420" w:firstLineChars="200"/>
        <w:outlineLvl w:val="9"/>
        <w:rPr>
          <w:rFonts w:ascii="宋体" w:hAnsi="宋体" w:eastAsia="宋体" w:cs="宋体"/>
          <w:color w:val="auto"/>
          <w:szCs w:val="21"/>
        </w:rPr>
      </w:pPr>
      <w:r>
        <w:rPr>
          <w:rFonts w:hint="eastAsia" w:ascii="宋体" w:hAnsi="宋体" w:eastAsia="宋体" w:cs="宋体"/>
          <w:color w:val="auto"/>
          <w:szCs w:val="21"/>
        </w:rPr>
        <w:t>评标委员会成员评分=</w:t>
      </w:r>
      <w:r>
        <w:rPr>
          <w:rFonts w:hint="eastAsia" w:ascii="宋体" w:hAnsi="宋体" w:cs="宋体"/>
          <w:color w:val="auto"/>
          <w:szCs w:val="21"/>
          <w:lang w:val="en-US" w:eastAsia="zh-CN"/>
        </w:rPr>
        <w:t>报价</w:t>
      </w:r>
      <w:r>
        <w:rPr>
          <w:rFonts w:hint="eastAsia" w:ascii="宋体" w:hAnsi="宋体" w:eastAsia="宋体" w:cs="宋体"/>
          <w:color w:val="auto"/>
          <w:szCs w:val="21"/>
          <w:lang w:eastAsia="zh-CN"/>
        </w:rPr>
        <w:t>部分</w:t>
      </w:r>
      <w:r>
        <w:rPr>
          <w:rFonts w:hint="eastAsia" w:ascii="宋体" w:hAnsi="宋体" w:eastAsia="宋体" w:cs="宋体"/>
          <w:color w:val="auto"/>
          <w:szCs w:val="21"/>
          <w:lang w:val="en-US" w:eastAsia="zh-CN"/>
        </w:rPr>
        <w:t>+</w:t>
      </w:r>
      <w:r>
        <w:rPr>
          <w:rFonts w:hint="eastAsia" w:ascii="宋体" w:hAnsi="宋体" w:eastAsia="宋体" w:cs="宋体"/>
          <w:color w:val="auto"/>
          <w:szCs w:val="21"/>
        </w:rPr>
        <w:t>商务</w:t>
      </w:r>
      <w:r>
        <w:rPr>
          <w:rFonts w:hint="eastAsia" w:ascii="宋体" w:hAnsi="宋体" w:eastAsia="宋体" w:cs="宋体"/>
          <w:color w:val="auto"/>
          <w:szCs w:val="21"/>
          <w:lang w:eastAsia="zh-CN"/>
        </w:rPr>
        <w:t>部分</w:t>
      </w:r>
      <w:r>
        <w:rPr>
          <w:rFonts w:hint="eastAsia" w:ascii="宋体" w:hAnsi="宋体" w:eastAsia="宋体" w:cs="宋体"/>
          <w:color w:val="auto"/>
          <w:szCs w:val="21"/>
          <w:lang w:val="en-US" w:eastAsia="zh-CN"/>
        </w:rPr>
        <w:t>+</w:t>
      </w:r>
      <w:r>
        <w:rPr>
          <w:rFonts w:hint="eastAsia" w:ascii="宋体" w:hAnsi="宋体" w:eastAsia="宋体" w:cs="宋体"/>
          <w:color w:val="auto"/>
          <w:szCs w:val="21"/>
        </w:rPr>
        <w:t>技术</w:t>
      </w:r>
      <w:r>
        <w:rPr>
          <w:rFonts w:hint="eastAsia" w:ascii="宋体" w:hAnsi="宋体" w:eastAsia="宋体" w:cs="宋体"/>
          <w:color w:val="auto"/>
          <w:szCs w:val="21"/>
          <w:lang w:val="en-US" w:eastAsia="zh-CN"/>
        </w:rPr>
        <w:t>部分</w:t>
      </w:r>
      <w:r>
        <w:rPr>
          <w:rFonts w:hint="eastAsia" w:ascii="宋体" w:hAnsi="宋体" w:eastAsia="宋体" w:cs="宋体"/>
          <w:color w:val="auto"/>
          <w:szCs w:val="21"/>
        </w:rPr>
        <w:t>。</w:t>
      </w:r>
    </w:p>
    <w:p w14:paraId="092882E0">
      <w:pPr>
        <w:spacing w:line="360" w:lineRule="auto"/>
        <w:ind w:firstLine="420" w:firstLineChars="200"/>
        <w:outlineLvl w:val="9"/>
        <w:rPr>
          <w:rFonts w:ascii="宋体" w:hAnsi="宋体" w:eastAsia="宋体" w:cs="宋体"/>
          <w:color w:val="auto"/>
          <w:szCs w:val="21"/>
        </w:rPr>
      </w:pPr>
      <w:r>
        <w:rPr>
          <w:rFonts w:hint="eastAsia" w:ascii="宋体" w:hAnsi="宋体" w:eastAsia="宋体" w:cs="宋体"/>
          <w:color w:val="auto"/>
          <w:szCs w:val="21"/>
        </w:rPr>
        <w:t>评标总得分=所有评标委员合计评分的算术平均值</w:t>
      </w:r>
    </w:p>
    <w:p w14:paraId="6DCDF67E">
      <w:pPr>
        <w:pStyle w:val="2"/>
        <w:rPr>
          <w:color w:val="auto"/>
        </w:rPr>
      </w:pPr>
      <w:r>
        <w:rPr>
          <w:rFonts w:hint="eastAsia" w:ascii="宋体" w:hAnsi="宋体" w:cs="宋体"/>
          <w:color w:val="auto"/>
          <w:szCs w:val="21"/>
          <w:lang w:eastAsia="zh-CN"/>
        </w:rPr>
        <w:t>磋商小组</w:t>
      </w:r>
      <w:r>
        <w:rPr>
          <w:rFonts w:hint="eastAsia" w:ascii="宋体" w:hAnsi="宋体" w:eastAsia="宋体" w:cs="宋体"/>
          <w:color w:val="auto"/>
          <w:szCs w:val="21"/>
        </w:rPr>
        <w:t>按照经评审</w:t>
      </w:r>
      <w:r>
        <w:rPr>
          <w:rFonts w:hint="eastAsia" w:ascii="宋体" w:hAnsi="宋体" w:eastAsia="宋体" w:cs="宋体"/>
          <w:color w:val="auto"/>
          <w:kern w:val="0"/>
          <w:szCs w:val="21"/>
        </w:rPr>
        <w:t>的得分由高到低顺序推荐 1-3 名成交候选人，并标明推荐顺序。</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194AE3"/>
    <w:rsid w:val="05500244"/>
    <w:rsid w:val="08785F77"/>
    <w:rsid w:val="217D1266"/>
    <w:rsid w:val="2C5D1C45"/>
    <w:rsid w:val="341A0DB0"/>
    <w:rsid w:val="52CC4866"/>
    <w:rsid w:val="5EC12E5B"/>
    <w:rsid w:val="71194A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before="100" w:beforeLines="0" w:beforeAutospacing="1" w:after="120" w:afterLines="0"/>
    </w:pPr>
  </w:style>
  <w:style w:type="paragraph" w:styleId="3">
    <w:name w:val="Body Text 2"/>
    <w:basedOn w:val="1"/>
    <w:next w:val="2"/>
    <w:qFormat/>
    <w:uiPriority w:val="0"/>
    <w:pPr>
      <w:spacing w:after="120" w:afterLines="0" w:line="480" w:lineRule="auto"/>
    </w:pPr>
  </w:style>
  <w:style w:type="character" w:customStyle="1" w:styleId="6">
    <w:name w:val="17"/>
    <w:qFormat/>
    <w:uiPriority w:val="0"/>
    <w:rPr>
      <w:rFonts w:hint="default" w:ascii="Calibri" w:hAnsi="Calibri"/>
      <w:kern w:val="2"/>
      <w:sz w:val="21"/>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4032</Words>
  <Characters>4091</Characters>
  <Lines>0</Lines>
  <Paragraphs>0</Paragraphs>
  <TotalTime>0</TotalTime>
  <ScaleCrop>false</ScaleCrop>
  <LinksUpToDate>false</LinksUpToDate>
  <CharactersWithSpaces>4199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2026-09-16T03:51:00Z</dcterms:created>
  <dc:creator>zsq44</dc:creator>
  <cp:lastModifiedBy>张士奇</cp:lastModifiedBy>
  <dcterms:modified xsi:type="dcterms:W3CDTF">2026-09-20T03:07:59Z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9BE4F10AEF9F489ABDF93AE245F66E7F_13</vt:lpwstr>
  </property>
  <property fmtid="{D5CDD505-2E9C-101B-9397-08002B2CF9AE}" pid="4" name="KSOTemplateDocerSaveRecord">
    <vt:lpwstr>eyJoZGlkIjoiM2IxNTQ1YjRhZWQzMWJkOTdjMzIzNjZkYzMzMTI2NGMiLCJ1c2VySWQiOiI0NDE0MDg3MTQifQ==</vt:lpwstr>
  </property>
</Properties>
</file>