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8BF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微软雅黑" w:hAnsi="微软雅黑" w:eastAsia="微软雅黑" w:cs="微软雅黑"/>
          <w:b/>
          <w:bCs/>
          <w:i w:val="0"/>
          <w:iCs w:val="0"/>
          <w:caps w:val="0"/>
          <w:color w:val="auto"/>
          <w:spacing w:val="0"/>
          <w:sz w:val="27"/>
          <w:szCs w:val="27"/>
          <w:lang w:eastAsia="zh-CN"/>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采购</w:t>
      </w:r>
      <w:r>
        <w:rPr>
          <w:rFonts w:hint="eastAsia" w:ascii="微软雅黑" w:hAnsi="微软雅黑" w:eastAsia="微软雅黑" w:cs="微软雅黑"/>
          <w:b/>
          <w:bCs/>
          <w:i w:val="0"/>
          <w:iCs w:val="0"/>
          <w:caps w:val="0"/>
          <w:color w:val="auto"/>
          <w:spacing w:val="0"/>
          <w:sz w:val="27"/>
          <w:szCs w:val="27"/>
          <w:bdr w:val="none" w:color="auto" w:sz="0" w:space="0"/>
          <w:shd w:val="clear" w:fill="FFFFFF"/>
          <w:lang w:val="en-US" w:eastAsia="zh-CN"/>
        </w:rPr>
        <w:t>需求</w:t>
      </w:r>
    </w:p>
    <w:p w14:paraId="7F6AD8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12AE78A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采购包预算金额（元）: 1,108,000.00</w:t>
      </w:r>
      <w:bookmarkStart w:id="0" w:name="_GoBack"/>
      <w:bookmarkEnd w:id="0"/>
    </w:p>
    <w:p w14:paraId="68828F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采购包最高限价（元）: 1,108,000.00</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2"/>
        <w:gridCol w:w="777"/>
        <w:gridCol w:w="724"/>
        <w:gridCol w:w="1129"/>
        <w:gridCol w:w="1131"/>
        <w:gridCol w:w="724"/>
        <w:gridCol w:w="724"/>
        <w:gridCol w:w="724"/>
        <w:gridCol w:w="724"/>
        <w:gridCol w:w="653"/>
        <w:gridCol w:w="654"/>
      </w:tblGrid>
      <w:tr w14:paraId="04A1AE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14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64958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F1C7C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DE46B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998E0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w:t>
            </w:r>
            <w:r>
              <w:rPr>
                <w:rFonts w:ascii="宋体" w:hAnsi="宋体" w:eastAsia="宋体" w:cs="宋体"/>
                <w:b/>
                <w:bCs/>
                <w:color w:val="auto"/>
                <w:kern w:val="0"/>
                <w:sz w:val="24"/>
                <w:szCs w:val="24"/>
                <w:bdr w:val="none" w:color="auto" w:sz="0" w:space="0"/>
                <w:lang w:val="en-US" w:eastAsia="zh-CN" w:bidi="ar"/>
              </w:rPr>
              <w:br w:type="textWrapping"/>
            </w:r>
            <w:r>
              <w:rPr>
                <w:rFonts w:ascii="宋体" w:hAnsi="宋体" w:eastAsia="宋体" w:cs="宋体"/>
                <w:b/>
                <w:bCs/>
                <w:color w:val="auto"/>
                <w:kern w:val="0"/>
                <w:sz w:val="24"/>
                <w:szCs w:val="24"/>
                <w:bdr w:val="none" w:color="auto" w:sz="0" w:space="0"/>
                <w:lang w:val="en-US" w:eastAsia="zh-CN" w:bidi="ar"/>
              </w:rPr>
              <w:t>(计量单位)</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08E82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标的金额 （元）</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44971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所属行业</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40AF2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是否涉及核心产品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D0902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是否涉及采购进口产品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E0744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是否涉及强制采购节能产品</w:t>
            </w:r>
          </w:p>
        </w:tc>
        <w:tc>
          <w:tcPr>
            <w:tcW w:w="1598"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948AE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是否涉及优先采购节能产品</w:t>
            </w:r>
          </w:p>
        </w:tc>
        <w:tc>
          <w:tcPr>
            <w:tcW w:w="160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68983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是否涉及优先采购环境标志产品</w:t>
            </w:r>
          </w:p>
        </w:tc>
      </w:tr>
      <w:tr w14:paraId="1A10FE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0262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772B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C02060000 培训服务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2E9B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命题培训</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56A45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4222F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1,108,000.00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CFFF8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其他未列明行业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949CE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7CFC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51CED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87D6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93C5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bl>
    <w:p w14:paraId="1399DB6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是否适用本国产品标准：否</w:t>
      </w:r>
    </w:p>
    <w:p w14:paraId="5CE5B2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报价要求</w:t>
      </w:r>
    </w:p>
    <w:p w14:paraId="3A5554C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100"/>
        <w:gridCol w:w="1608"/>
        <w:gridCol w:w="1521"/>
        <w:gridCol w:w="1354"/>
        <w:gridCol w:w="1185"/>
        <w:gridCol w:w="1778"/>
      </w:tblGrid>
      <w:tr w14:paraId="15704F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56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0C54E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426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39338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报价内容</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6B7C5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数量（计量单位）</w:t>
            </w:r>
          </w:p>
        </w:tc>
        <w:tc>
          <w:tcPr>
            <w:tcW w:w="341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E87C5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最高限价</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9FB91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价款形式</w:t>
            </w:r>
          </w:p>
        </w:tc>
        <w:tc>
          <w:tcPr>
            <w:tcW w:w="48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1AEFB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报价说明</w:t>
            </w:r>
          </w:p>
        </w:tc>
      </w:tr>
      <w:tr w14:paraId="53BAE6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1AF00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E5863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命题培训</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26364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E41C8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1,108,000.00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E40A9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8213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51A7D4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★注：本采购包涉及采购货物的，供应商响应产品应当明确品牌和规格型号并指向唯一产品，不能指向唯一产品的，应通过报价表唯一产品说明栏补充说明。</w:t>
      </w:r>
    </w:p>
    <w:p w14:paraId="0611D5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本项目涉及核心产品：</w:t>
      </w:r>
    </w:p>
    <w:p w14:paraId="0DF6330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105618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0FE1C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8F819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69AE2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54EC2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7621E6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EA2CB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6C449D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注：涉及核心产品的，具体评审规定见第五章。</w:t>
      </w:r>
    </w:p>
    <w:p w14:paraId="6D4C5B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本项目涉及采购进口产品：</w:t>
      </w:r>
    </w:p>
    <w:p w14:paraId="0A18776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2D9E48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09EC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FD394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56261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B15B5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079D40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02A6B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298E79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★注：不涉及采购进口产品时，供应商不得提供进口产品进行响应；涉及采购进口产品时，如国产产品满足采购需求，也可提供国产产品进行响应。</w:t>
      </w:r>
    </w:p>
    <w:p w14:paraId="3FD39F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本项目涉及强制采购节能产品：</w:t>
      </w:r>
    </w:p>
    <w:p w14:paraId="5FE23B9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032188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8A081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3CA55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470B8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0A19D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69A43E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4C6CE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00CCAC8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响应产品属于《节能产品政府采购品目清单》中政府强制采购的产品，供应商应当提供由国家确定的认证机构出具的、处于有效期之内的节能产品认证证书的原件扫描件或“全国认证认可信息公共服务平台”（http://cx.cnca.cn）的认证信息截图，否则作无效响应处理。具体要求详见第五章符合性审查表。</w:t>
      </w:r>
    </w:p>
    <w:p w14:paraId="588A17C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本项目涉及优先采购节能产品：</w:t>
      </w:r>
    </w:p>
    <w:p w14:paraId="69F2346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32D33D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EC547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30C34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1BF47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4C3B4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234687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78785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71C1437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响应产品属于《节能产品政府采购品目清单》中优先采购的产品，供应商提供由国家确定的认证机构出具的、处于有效期之内的节能产品认证证书的原件扫描件或“全国认证认可信息公共服务平台”（http://cx.cnca.cn）的认证信息截图，可以享受优先采购政策。具体要求详见第五章规定。</w:t>
      </w:r>
    </w:p>
    <w:p w14:paraId="1D685D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本项目涉及优先采购环境标志产品：</w:t>
      </w:r>
    </w:p>
    <w:p w14:paraId="065664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1568E5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75107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0673A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BB11E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1B20F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2DA321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E5463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0F0CE4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响应产品属于《环境标志产品政府采购品目清单》中的产品，供应商提供由国家确定的认证机构出具的、处于有效期之内的环境标志产品认证证书的原件扫描件或“全国认证认可信息公共服务平台”（http://cx.cnca.cn）的认证信息截图，可以享受优先采购政策。具体要求详见第五章规定。</w:t>
      </w:r>
    </w:p>
    <w:p w14:paraId="1788C2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3.2.技术要求</w:t>
      </w:r>
    </w:p>
    <w:p w14:paraId="2AF5A88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47D4307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标的名称：命题培训</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32"/>
        <w:gridCol w:w="570"/>
        <w:gridCol w:w="779"/>
        <w:gridCol w:w="6665"/>
      </w:tblGrid>
      <w:tr w14:paraId="2ADFA5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6B51D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D0F24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3D438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2565C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B20AF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0E42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10B03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92B2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培训要求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A9A51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2"/>
              <w:rPr>
                <w:color w:val="auto"/>
                <w:sz w:val="24"/>
                <w:szCs w:val="24"/>
              </w:rPr>
            </w:pPr>
            <w:r>
              <w:rPr>
                <w:rStyle w:val="7"/>
                <w:rFonts w:ascii="仿宋_GB2312" w:eastAsia="仿宋_GB2312" w:cs="仿宋_GB2312"/>
                <w:color w:val="auto"/>
                <w:sz w:val="24"/>
                <w:szCs w:val="24"/>
                <w:bdr w:val="none" w:color="auto" w:sz="0" w:space="0"/>
              </w:rPr>
              <w:t>一、培训目标</w:t>
            </w:r>
          </w:p>
          <w:p w14:paraId="66C5014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eastAsia="仿宋_GB2312" w:cs="仿宋_GB2312"/>
                <w:color w:val="auto"/>
                <w:sz w:val="24"/>
                <w:szCs w:val="24"/>
                <w:bdr w:val="none" w:color="auto" w:sz="0" w:space="0"/>
              </w:rPr>
              <w:t>构建符合甘孜州中小学实际情况的命题研究体系，通过系统提升各学科教师在规范命题、科学命题以及原创命题方面的综合能力，培养一支具备专业素养的命题师资队伍。为学生的可持续发展提供科学的评价依据。</w:t>
            </w:r>
          </w:p>
          <w:p w14:paraId="6D0A55B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2"/>
              <w:rPr>
                <w:color w:val="auto"/>
                <w:sz w:val="24"/>
                <w:szCs w:val="24"/>
              </w:rPr>
            </w:pPr>
            <w:r>
              <w:rPr>
                <w:rFonts w:hint="default" w:ascii="仿宋_GB2312" w:eastAsia="仿宋_GB2312" w:cs="仿宋_GB2312"/>
                <w:color w:val="auto"/>
                <w:sz w:val="24"/>
                <w:szCs w:val="24"/>
                <w:bdr w:val="none" w:color="auto" w:sz="0" w:space="0"/>
              </w:rPr>
              <w:t>★</w:t>
            </w:r>
            <w:r>
              <w:rPr>
                <w:rStyle w:val="7"/>
                <w:rFonts w:hint="default" w:ascii="仿宋_GB2312" w:eastAsia="仿宋_GB2312" w:cs="仿宋_GB2312"/>
                <w:color w:val="auto"/>
                <w:sz w:val="24"/>
                <w:szCs w:val="24"/>
                <w:bdr w:val="none" w:color="auto" w:sz="0" w:space="0"/>
              </w:rPr>
              <w:t>二、参训对象</w:t>
            </w:r>
          </w:p>
          <w:p w14:paraId="6D2020B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color w:val="auto"/>
                <w:sz w:val="24"/>
                <w:szCs w:val="24"/>
              </w:rPr>
            </w:pPr>
            <w:r>
              <w:rPr>
                <w:rFonts w:hint="default" w:ascii="仿宋_GB2312" w:eastAsia="仿宋_GB2312" w:cs="仿宋_GB2312"/>
                <w:color w:val="auto"/>
                <w:sz w:val="24"/>
                <w:szCs w:val="24"/>
                <w:bdr w:val="none" w:color="auto" w:sz="0" w:space="0"/>
              </w:rPr>
              <w:t>甘孜州中小学各学科教研员、骨干教师、教研组长，共计300人。</w:t>
            </w:r>
          </w:p>
          <w:p w14:paraId="35844AC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2"/>
              <w:rPr>
                <w:color w:val="auto"/>
                <w:sz w:val="24"/>
                <w:szCs w:val="24"/>
              </w:rPr>
            </w:pPr>
            <w:r>
              <w:rPr>
                <w:rFonts w:hint="default" w:ascii="仿宋_GB2312" w:eastAsia="仿宋_GB2312" w:cs="仿宋_GB2312"/>
                <w:color w:val="auto"/>
                <w:sz w:val="24"/>
                <w:szCs w:val="24"/>
                <w:bdr w:val="none" w:color="auto" w:sz="0" w:space="0"/>
              </w:rPr>
              <w:t>★</w:t>
            </w:r>
            <w:r>
              <w:rPr>
                <w:rStyle w:val="7"/>
                <w:rFonts w:hint="default" w:ascii="仿宋_GB2312" w:eastAsia="仿宋_GB2312" w:cs="仿宋_GB2312"/>
                <w:color w:val="auto"/>
                <w:sz w:val="24"/>
                <w:szCs w:val="24"/>
                <w:bdr w:val="none" w:color="auto" w:sz="0" w:space="0"/>
              </w:rPr>
              <w:t>三、培训内容设置</w:t>
            </w:r>
          </w:p>
          <w:p w14:paraId="2DF7FC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color w:val="auto"/>
                <w:sz w:val="24"/>
                <w:szCs w:val="24"/>
              </w:rPr>
            </w:pPr>
            <w:r>
              <w:rPr>
                <w:rFonts w:hint="default" w:ascii="仿宋_GB2312" w:eastAsia="仿宋_GB2312" w:cs="仿宋_GB2312"/>
                <w:color w:val="auto"/>
                <w:sz w:val="24"/>
                <w:szCs w:val="24"/>
                <w:bdr w:val="none" w:color="auto" w:sz="0" w:space="0"/>
              </w:rPr>
              <w:t>此次培训共开设7个班，培训时长为7天：</w:t>
            </w:r>
          </w:p>
          <w:p w14:paraId="115079F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color w:val="auto"/>
                <w:sz w:val="24"/>
                <w:szCs w:val="24"/>
              </w:rPr>
            </w:pPr>
            <w:r>
              <w:rPr>
                <w:rFonts w:hint="default" w:ascii="仿宋_GB2312" w:eastAsia="仿宋_GB2312" w:cs="仿宋_GB2312"/>
                <w:color w:val="auto"/>
                <w:sz w:val="24"/>
                <w:szCs w:val="24"/>
                <w:bdr w:val="none" w:color="auto" w:sz="0" w:space="0"/>
              </w:rPr>
              <w:t>1.培训内容：培训研究围绕中小学全学科命题核心工作展开，涵盖理论研究、实操培训、实践命题、审核优化、资源建设五大板块，核心内容为为期7天的命题研究专项培训，兼顾理论讲授与实操演练，贴合学科专业特点与甘孜州当地学情。</w:t>
            </w:r>
          </w:p>
          <w:p w14:paraId="2AEF36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color w:val="auto"/>
                <w:sz w:val="24"/>
                <w:szCs w:val="24"/>
              </w:rPr>
            </w:pPr>
            <w:r>
              <w:rPr>
                <w:rFonts w:hint="default" w:ascii="仿宋_GB2312" w:eastAsia="仿宋_GB2312" w:cs="仿宋_GB2312"/>
                <w:color w:val="auto"/>
                <w:sz w:val="24"/>
                <w:szCs w:val="24"/>
                <w:bdr w:val="none" w:color="auto" w:sz="0" w:space="0"/>
              </w:rPr>
              <w:t>2.培训课程要求：</w:t>
            </w:r>
          </w:p>
          <w:tbl>
            <w:tblPr>
              <w:tblW w:w="0" w:type="auto"/>
              <w:tblInd w:w="-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51"/>
              <w:gridCol w:w="2670"/>
              <w:gridCol w:w="2475"/>
            </w:tblGrid>
            <w:tr w14:paraId="28A5C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tcBorders>
                    <w:top w:val="single" w:color="000000" w:sz="6" w:space="0"/>
                    <w:left w:val="single" w:color="000000" w:sz="6" w:space="0"/>
                    <w:bottom w:val="single" w:color="000000" w:sz="6" w:space="0"/>
                    <w:right w:val="single" w:color="000000" w:sz="6" w:space="0"/>
                  </w:tcBorders>
                  <w:shd w:val="clear"/>
                  <w:tcMar>
                    <w:left w:w="105" w:type="dxa"/>
                    <w:right w:w="105" w:type="dxa"/>
                  </w:tcMar>
                  <w:vAlign w:val="top"/>
                </w:tcPr>
                <w:p w14:paraId="000EAE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时段</w:t>
                  </w:r>
                </w:p>
              </w:tc>
              <w:tc>
                <w:tcPr>
                  <w:tcW w:w="2670" w:type="dxa"/>
                  <w:tcBorders>
                    <w:top w:val="single" w:color="auto" w:sz="6" w:space="0"/>
                    <w:left w:val="nil"/>
                    <w:bottom w:val="single" w:color="auto" w:sz="6" w:space="0"/>
                    <w:right w:val="single" w:color="auto" w:sz="6" w:space="0"/>
                  </w:tcBorders>
                  <w:shd w:val="clear"/>
                  <w:tcMar>
                    <w:left w:w="105" w:type="dxa"/>
                    <w:right w:w="105" w:type="dxa"/>
                  </w:tcMar>
                  <w:vAlign w:val="top"/>
                </w:tcPr>
                <w:p w14:paraId="268842F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课程内容</w:t>
                  </w:r>
                </w:p>
              </w:tc>
              <w:tc>
                <w:tcPr>
                  <w:tcW w:w="2475" w:type="dxa"/>
                  <w:tcBorders>
                    <w:top w:val="single" w:color="auto" w:sz="6" w:space="0"/>
                    <w:left w:val="nil"/>
                    <w:bottom w:val="single" w:color="auto" w:sz="6" w:space="0"/>
                    <w:right w:val="single" w:color="auto" w:sz="6" w:space="0"/>
                  </w:tcBorders>
                  <w:shd w:val="clear"/>
                  <w:tcMar>
                    <w:left w:w="105" w:type="dxa"/>
                    <w:right w:w="105" w:type="dxa"/>
                  </w:tcMar>
                  <w:vAlign w:val="top"/>
                </w:tcPr>
                <w:p w14:paraId="0F7F7F7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备注/说明</w:t>
                  </w:r>
                </w:p>
              </w:tc>
            </w:tr>
            <w:tr w14:paraId="464EE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6F4B479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全天</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3CB14FD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学员报到、入住</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49D220F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培训准备、资料发放</w:t>
                  </w:r>
                </w:p>
              </w:tc>
            </w:tr>
            <w:tr w14:paraId="78962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010706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上午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368BA12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开班仪式+命题质量培训</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5DE97AD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开班致辞、命题质量专题讲座</w:t>
                  </w:r>
                </w:p>
              </w:tc>
            </w:tr>
            <w:tr w14:paraId="0E4CA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1E3010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下午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7FA513B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解读命审题专家工作规范与保密纪律，掌握审题组卷全流程要点命题审题能力</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4CA90B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命题审题能力专题讲座</w:t>
                  </w:r>
                </w:p>
              </w:tc>
            </w:tr>
            <w:tr w14:paraId="35F5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70F6BD5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上午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0F6EBCC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把握评价改革方向，赋能中小学教师命题审卷专业能力</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28F39FF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评价改革方向专题讲座</w:t>
                  </w:r>
                </w:p>
              </w:tc>
            </w:tr>
            <w:tr w14:paraId="41080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5678E6C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下午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0FEE206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核心素养视域下中小学试题命制、审题实操能力提升</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2EEAAD0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试题命题制度、审题专题讲座</w:t>
                  </w:r>
                </w:p>
              </w:tc>
            </w:tr>
            <w:tr w14:paraId="0EC32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02388C8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上午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5E4FD0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小学命题经验分享。</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0FFE990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小学命题经验专题分享专题讲座。</w:t>
                  </w:r>
                </w:p>
              </w:tc>
            </w:tr>
            <w:tr w14:paraId="3F58A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1F616C9F">
                  <w:pPr>
                    <w:rPr>
                      <w:rFonts w:hint="default" w:ascii="Times New Roman" w:hAnsi="Times New Roman" w:cs="Times New Roman"/>
                      <w:color w:val="auto"/>
                      <w:sz w:val="24"/>
                      <w:szCs w:val="24"/>
                    </w:rPr>
                  </w:pP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23CB09B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初中命题经验分享。</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5AE0321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初中命题经验专题分享专题讲座。</w:t>
                  </w:r>
                </w:p>
              </w:tc>
            </w:tr>
            <w:tr w14:paraId="11C57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4945F790">
                  <w:pPr>
                    <w:rPr>
                      <w:rFonts w:hint="default" w:ascii="Times New Roman" w:hAnsi="Times New Roman" w:cs="Times New Roman"/>
                      <w:color w:val="auto"/>
                      <w:sz w:val="24"/>
                      <w:szCs w:val="24"/>
                    </w:rPr>
                  </w:pP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59EE02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高中命题经验分享。</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569EF8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高中命题经验专题分享专题讲座。</w:t>
                  </w:r>
                </w:p>
              </w:tc>
            </w:tr>
            <w:tr w14:paraId="3659B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0"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1AF3077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下午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00C7A49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小学命题经验本土化应用指导。</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3C8D983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小学命题经验本土化应用指导专题讲座。</w:t>
                  </w:r>
                </w:p>
              </w:tc>
            </w:tr>
            <w:tr w14:paraId="1B3B3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4278CC4F">
                  <w:pPr>
                    <w:rPr>
                      <w:rFonts w:hint="default" w:ascii="Times New Roman" w:hAnsi="Times New Roman" w:cs="Times New Roman"/>
                      <w:color w:val="auto"/>
                      <w:sz w:val="24"/>
                      <w:szCs w:val="24"/>
                    </w:rPr>
                  </w:pP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6524ADC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初中命题经验本土化应用指导。</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7594A5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初中命题经验本土化应用指导专题讲座。</w:t>
                  </w:r>
                </w:p>
              </w:tc>
            </w:tr>
            <w:tr w14:paraId="43FA7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0"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037624F7">
                  <w:pPr>
                    <w:rPr>
                      <w:rFonts w:hint="default" w:ascii="Times New Roman" w:hAnsi="Times New Roman" w:cs="Times New Roman"/>
                      <w:color w:val="auto"/>
                      <w:sz w:val="24"/>
                      <w:szCs w:val="24"/>
                    </w:rPr>
                  </w:pP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4B1BE72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高中命题经验本土化应用指导。</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42A21B4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Fonts w:hint="default" w:ascii="仿宋_GB2312" w:hAnsi="Times New Roman" w:eastAsia="仿宋_GB2312" w:cs="仿宋_GB2312"/>
                      <w:color w:val="auto"/>
                      <w:sz w:val="24"/>
                      <w:szCs w:val="24"/>
                      <w:bdr w:val="none" w:color="auto" w:sz="0" w:space="0"/>
                    </w:rPr>
                    <w:t>高中命题经验本土化应用指导专题讲座。</w:t>
                  </w:r>
                </w:p>
              </w:tc>
            </w:tr>
            <w:tr w14:paraId="7D361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63B4218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上午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08DCFF9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小学组分学科命题讲座</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2294A42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小学学科：道德与法治、语文、数学、藏语文、英语、科学、美术、体育与健康、科考点分布、题型设计、分值配比。</w:t>
                  </w:r>
                </w:p>
              </w:tc>
            </w:tr>
            <w:tr w14:paraId="5013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51C09CC2">
                  <w:pPr>
                    <w:rPr>
                      <w:rFonts w:hint="default" w:ascii="Times New Roman" w:hAnsi="Times New Roman" w:cs="Times New Roman"/>
                      <w:color w:val="auto"/>
                      <w:sz w:val="24"/>
                      <w:szCs w:val="24"/>
                    </w:rPr>
                  </w:pP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7699A24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初中组分学科命题讲座</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09AD3A5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初中组：道德与法治、语文、数学、藏语文、英语、历史、地理、物理、化学、生物、美术、体育与健康、音乐、信息科技学科考点分布、题型设计、分值配比。</w:t>
                  </w:r>
                </w:p>
              </w:tc>
            </w:tr>
            <w:tr w14:paraId="2BA2D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31F2F1B3">
                  <w:pPr>
                    <w:rPr>
                      <w:rFonts w:hint="default" w:ascii="Times New Roman" w:hAnsi="Times New Roman" w:cs="Times New Roman"/>
                      <w:color w:val="auto"/>
                      <w:sz w:val="24"/>
                      <w:szCs w:val="24"/>
                    </w:rPr>
                  </w:pP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5FDE1AF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高中组分学科命题讲座</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09E6C4E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高中组：政治、语文、数学、藏语文、英语、历史、地理、物理、化学、生物、美术、体育与健康、音乐、技术学科考点分布、题型设计、分值配比。</w:t>
                  </w:r>
                </w:p>
              </w:tc>
            </w:tr>
            <w:tr w14:paraId="45BF7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0BD6218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下午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72668F2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教师分组实操命题</w:t>
                  </w:r>
                </w:p>
                <w:p w14:paraId="48AC9B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分组自主命题（按小学、初中、高中分学科组）</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7BBEC78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学科工作坊：分学科分组研讨、专家指导</w:t>
                  </w:r>
                </w:p>
              </w:tc>
            </w:tr>
            <w:tr w14:paraId="3F33B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461258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上午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2BCF08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教师分组自主命题（按小学、初中、高中分学科组）成果展示与专家点评</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68F0F27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完成初步命题作品，提升原创与改编能力，实现先进经验与本地学情的融合。</w:t>
                  </w:r>
                </w:p>
              </w:tc>
            </w:tr>
            <w:tr w14:paraId="16FBC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58AD9C0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下午</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1033C4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培训总结与后续研究任务部署</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0E73068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明确甘孜州经验本土化应用的后续研究方向</w:t>
                  </w:r>
                </w:p>
              </w:tc>
            </w:tr>
            <w:tr w14:paraId="666FD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0" w:type="dxa"/>
                  <w:tcBorders>
                    <w:top w:val="nil"/>
                    <w:left w:val="single" w:color="auto" w:sz="6" w:space="0"/>
                    <w:bottom w:val="single" w:color="auto" w:sz="6" w:space="0"/>
                    <w:right w:val="single" w:color="auto" w:sz="6" w:space="0"/>
                  </w:tcBorders>
                  <w:shd w:val="clear"/>
                  <w:tcMar>
                    <w:left w:w="105" w:type="dxa"/>
                    <w:right w:w="105" w:type="dxa"/>
                  </w:tcMar>
                  <w:vAlign w:val="top"/>
                </w:tcPr>
                <w:p w14:paraId="41DE0E5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全天</w:t>
                  </w:r>
                </w:p>
              </w:tc>
              <w:tc>
                <w:tcPr>
                  <w:tcW w:w="2670" w:type="dxa"/>
                  <w:tcBorders>
                    <w:top w:val="nil"/>
                    <w:left w:val="nil"/>
                    <w:bottom w:val="single" w:color="auto" w:sz="6" w:space="0"/>
                    <w:right w:val="single" w:color="auto" w:sz="6" w:space="0"/>
                  </w:tcBorders>
                  <w:shd w:val="clear"/>
                  <w:tcMar>
                    <w:left w:w="105" w:type="dxa"/>
                    <w:right w:w="105" w:type="dxa"/>
                  </w:tcMar>
                  <w:vAlign w:val="top"/>
                </w:tcPr>
                <w:p w14:paraId="005580B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结业仪式，学员返程</w:t>
                  </w:r>
                </w:p>
              </w:tc>
              <w:tc>
                <w:tcPr>
                  <w:tcW w:w="2475" w:type="dxa"/>
                  <w:tcBorders>
                    <w:top w:val="nil"/>
                    <w:left w:val="nil"/>
                    <w:bottom w:val="single" w:color="auto" w:sz="6" w:space="0"/>
                    <w:right w:val="single" w:color="auto" w:sz="6" w:space="0"/>
                  </w:tcBorders>
                  <w:shd w:val="clear"/>
                  <w:tcMar>
                    <w:left w:w="105" w:type="dxa"/>
                    <w:right w:w="105" w:type="dxa"/>
                  </w:tcMar>
                  <w:vAlign w:val="top"/>
                </w:tcPr>
                <w:p w14:paraId="597F06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hAnsi="Times New Roman" w:eastAsia="仿宋_GB2312" w:cs="仿宋_GB2312"/>
                      <w:color w:val="auto"/>
                      <w:sz w:val="24"/>
                      <w:szCs w:val="24"/>
                      <w:bdr w:val="none" w:color="auto" w:sz="0" w:space="0"/>
                    </w:rPr>
                    <w:t>培训结束</w:t>
                  </w:r>
                </w:p>
              </w:tc>
            </w:tr>
          </w:tbl>
          <w:p w14:paraId="3717BB6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color w:val="auto"/>
                <w:sz w:val="24"/>
                <w:szCs w:val="24"/>
              </w:rPr>
            </w:pPr>
            <w:r>
              <w:rPr>
                <w:rFonts w:hint="default" w:ascii="仿宋_GB2312" w:eastAsia="仿宋_GB2312" w:cs="仿宋_GB2312"/>
                <w:color w:val="auto"/>
                <w:sz w:val="24"/>
                <w:szCs w:val="24"/>
                <w:bdr w:val="none" w:color="auto" w:sz="0" w:space="0"/>
              </w:rPr>
              <w:t>备注：课程顺序可调整，课程内容需做调整的，需通过采购人单位同意。</w:t>
            </w:r>
          </w:p>
          <w:p w14:paraId="067146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2"/>
              <w:rPr>
                <w:color w:val="auto"/>
                <w:sz w:val="24"/>
                <w:szCs w:val="24"/>
              </w:rPr>
            </w:pPr>
            <w:r>
              <w:rPr>
                <w:rStyle w:val="7"/>
                <w:rFonts w:hint="default" w:ascii="仿宋_GB2312" w:eastAsia="仿宋_GB2312" w:cs="仿宋_GB2312"/>
                <w:color w:val="auto"/>
                <w:sz w:val="24"/>
                <w:szCs w:val="24"/>
                <w:bdr w:val="none" w:color="auto" w:sz="0" w:space="0"/>
              </w:rPr>
              <w:t>四、培训方式</w:t>
            </w:r>
          </w:p>
          <w:p w14:paraId="167CDE4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Fonts w:hint="default" w:ascii="仿宋_GB2312" w:eastAsia="仿宋_GB2312" w:cs="仿宋_GB2312"/>
                <w:color w:val="auto"/>
                <w:sz w:val="24"/>
                <w:szCs w:val="24"/>
                <w:bdr w:val="none" w:color="auto" w:sz="0" w:space="0"/>
              </w:rPr>
              <w:t>以专家讲座与参与式研修为主。</w:t>
            </w:r>
          </w:p>
          <w:p w14:paraId="58C6AC6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Style w:val="7"/>
                <w:rFonts w:hint="default" w:ascii="仿宋_GB2312" w:eastAsia="仿宋_GB2312" w:cs="仿宋_GB2312"/>
                <w:color w:val="auto"/>
                <w:sz w:val="24"/>
                <w:szCs w:val="24"/>
                <w:bdr w:val="none" w:color="auto" w:sz="0" w:space="0"/>
              </w:rPr>
              <w:t>五、培训方案要求</w:t>
            </w:r>
          </w:p>
          <w:p w14:paraId="3FAB90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Fonts w:hint="default" w:ascii="仿宋_GB2312" w:eastAsia="仿宋_GB2312" w:cs="仿宋_GB2312"/>
                <w:color w:val="auto"/>
                <w:sz w:val="24"/>
                <w:szCs w:val="24"/>
                <w:bdr w:val="none" w:color="auto" w:sz="0" w:space="0"/>
              </w:rPr>
              <w:t>供应商需按要求，结合项目操作实际情况，以及培训对象情况、命（审）题特点，根据上述培训项目的目标和内容、培训对象特点、培训地点与时长等需求精心研制培训实施方案，要求目标明确，突出重点，细化措施，实操性强。</w:t>
            </w:r>
          </w:p>
          <w:p w14:paraId="4ADC6D1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Style w:val="7"/>
                <w:rFonts w:hint="default" w:ascii="仿宋_GB2312" w:eastAsia="仿宋_GB2312" w:cs="仿宋_GB2312"/>
                <w:color w:val="auto"/>
                <w:sz w:val="24"/>
                <w:szCs w:val="24"/>
                <w:bdr w:val="none" w:color="auto" w:sz="0" w:space="0"/>
              </w:rPr>
              <w:t>六、服务团队及人员能力要求</w:t>
            </w:r>
          </w:p>
          <w:p w14:paraId="2E196D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Fonts w:hint="default" w:ascii="仿宋_GB2312" w:eastAsia="仿宋_GB2312" w:cs="仿宋_GB2312"/>
                <w:color w:val="auto"/>
                <w:sz w:val="24"/>
                <w:szCs w:val="24"/>
                <w:bdr w:val="none" w:color="auto" w:sz="0" w:space="0"/>
              </w:rPr>
              <w:t>供应商拟投入本项目的授课专家人员：数量不低于20人（副高级职称及以上职称≥50%），其中：正高级专家（不少于2名）：正高级教师/教育类教授，累计4课时授课。</w:t>
            </w:r>
          </w:p>
          <w:p w14:paraId="786CF4D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Fonts w:hint="default" w:ascii="仿宋_GB2312" w:eastAsia="仿宋_GB2312" w:cs="仿宋_GB2312"/>
                <w:color w:val="auto"/>
                <w:sz w:val="24"/>
                <w:szCs w:val="24"/>
                <w:bdr w:val="none" w:color="auto" w:sz="0" w:space="0"/>
              </w:rPr>
              <w:t>拟投入本项目的服务人员：项目总负责人（1名，驻场全程跟进7天培训）：具备3年及以上教师培训、教育研学项目统筹管理经验，具有命题培训研修完整操盘案例；熟悉中小学教师专业发展培训体系，能独立完成课程统筹、专家对接、参观点位协调、突发情况处置；培训全程驻场，不得中途更换，24小时应急联络畅通。现场专职工作人员（不少于7名）：负责签到、教务、食宿、交通、参观引导、物资管理；具备教育服务接待经验，熟悉外出培训流程，全程陪同参观学习，负责参观现场组织、秩序维护；掌握基础应急处置（人员突发疾病、行程调整、物资缺失、交通延误）。</w:t>
            </w:r>
          </w:p>
          <w:p w14:paraId="07779E2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Style w:val="7"/>
                <w:rFonts w:hint="default" w:ascii="仿宋_GB2312" w:eastAsia="仿宋_GB2312" w:cs="仿宋_GB2312"/>
                <w:color w:val="auto"/>
                <w:sz w:val="24"/>
                <w:szCs w:val="24"/>
                <w:bdr w:val="none" w:color="auto" w:sz="0" w:space="0"/>
              </w:rPr>
              <w:t>七、服务质量监督检查</w:t>
            </w:r>
          </w:p>
          <w:p w14:paraId="6F99D34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Fonts w:hint="default" w:ascii="仿宋_GB2312" w:eastAsia="仿宋_GB2312" w:cs="仿宋_GB2312"/>
                <w:color w:val="auto"/>
                <w:sz w:val="24"/>
                <w:szCs w:val="24"/>
                <w:bdr w:val="none" w:color="auto" w:sz="0" w:space="0"/>
              </w:rPr>
              <w:t>采购人将不定期组织相关人员对供应商项目实施情况进行抽查；对存在下列情况之一的供应商，将视情节轻重责令限期整改。</w:t>
            </w:r>
          </w:p>
          <w:p w14:paraId="4938D5D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Fonts w:hint="default" w:ascii="仿宋_GB2312" w:eastAsia="仿宋_GB2312" w:cs="仿宋_GB2312"/>
                <w:color w:val="auto"/>
                <w:sz w:val="24"/>
                <w:szCs w:val="24"/>
                <w:bdr w:val="none" w:color="auto" w:sz="0" w:space="0"/>
              </w:rPr>
              <w:t>（1）违反国家及地方政府法律法规的；</w:t>
            </w:r>
          </w:p>
          <w:p w14:paraId="2527F50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rPr>
                <w:color w:val="auto"/>
                <w:sz w:val="24"/>
                <w:szCs w:val="24"/>
              </w:rPr>
            </w:pPr>
            <w:r>
              <w:rPr>
                <w:rFonts w:hint="default" w:ascii="仿宋_GB2312" w:eastAsia="仿宋_GB2312" w:cs="仿宋_GB2312"/>
                <w:color w:val="auto"/>
                <w:sz w:val="24"/>
                <w:szCs w:val="24"/>
                <w:bdr w:val="none" w:color="auto" w:sz="0" w:space="0"/>
              </w:rPr>
              <w:t>（2）培训管理无序，秩序混乱，学员旷课率达到总人数15%的；</w:t>
            </w:r>
          </w:p>
          <w:p w14:paraId="279E96D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4"/>
                <w:szCs w:val="24"/>
              </w:rPr>
            </w:pPr>
            <w:r>
              <w:rPr>
                <w:rFonts w:hint="default" w:ascii="仿宋_GB2312" w:eastAsia="仿宋_GB2312" w:cs="仿宋_GB2312"/>
                <w:color w:val="auto"/>
                <w:sz w:val="24"/>
                <w:szCs w:val="24"/>
                <w:bdr w:val="none" w:color="auto" w:sz="0" w:space="0"/>
              </w:rPr>
              <w:t>（3）培训质量测评满意率（培训满意度调查问卷）低于80%的。</w:t>
            </w:r>
          </w:p>
          <w:p w14:paraId="1317B57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4"/>
                <w:szCs w:val="24"/>
              </w:rPr>
            </w:pPr>
            <w:r>
              <w:rPr>
                <w:rFonts w:hint="default" w:ascii="仿宋_GB2312" w:eastAsia="仿宋_GB2312" w:cs="仿宋_GB2312"/>
                <w:color w:val="auto"/>
                <w:sz w:val="24"/>
                <w:szCs w:val="24"/>
                <w:bdr w:val="none" w:color="auto" w:sz="0" w:space="0"/>
              </w:rPr>
              <w:t>★</w:t>
            </w:r>
            <w:r>
              <w:rPr>
                <w:rStyle w:val="7"/>
                <w:rFonts w:hint="default" w:ascii="仿宋_GB2312" w:eastAsia="仿宋_GB2312" w:cs="仿宋_GB2312"/>
                <w:color w:val="auto"/>
                <w:sz w:val="24"/>
                <w:szCs w:val="24"/>
                <w:bdr w:val="none" w:color="auto" w:sz="0" w:space="0"/>
              </w:rPr>
              <w:t>八、交通、住宿、用餐安排</w:t>
            </w:r>
          </w:p>
          <w:p w14:paraId="18BDE1A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4"/>
                <w:szCs w:val="24"/>
              </w:rPr>
            </w:pPr>
            <w:r>
              <w:rPr>
                <w:rFonts w:hint="default" w:ascii="仿宋_GB2312" w:eastAsia="仿宋_GB2312" w:cs="仿宋_GB2312"/>
                <w:color w:val="auto"/>
                <w:sz w:val="24"/>
                <w:szCs w:val="24"/>
                <w:bdr w:val="none" w:color="auto" w:sz="0" w:space="0"/>
              </w:rPr>
              <w:t>（1）培训学员往返培训地车辆及交通费由各学员自行支付。</w:t>
            </w:r>
            <w:r>
              <w:rPr>
                <w:color w:val="auto"/>
                <w:sz w:val="24"/>
                <w:szCs w:val="24"/>
                <w:bdr w:val="none" w:color="auto" w:sz="0" w:space="0"/>
              </w:rPr>
              <w:br w:type="textWrapping"/>
            </w:r>
            <w:r>
              <w:rPr>
                <w:rFonts w:hint="default" w:ascii="仿宋_GB2312" w:eastAsia="仿宋_GB2312" w:cs="仿宋_GB2312"/>
                <w:color w:val="auto"/>
                <w:sz w:val="24"/>
                <w:szCs w:val="24"/>
                <w:bdr w:val="none" w:color="auto" w:sz="0" w:space="0"/>
              </w:rPr>
              <w:t>（2）成交供应商根据采购人确定的出行时间和行程表安排成都集中住宿酒店，商务标间不低于140元/人/天；</w:t>
            </w:r>
          </w:p>
          <w:p w14:paraId="5A8DA7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4"/>
                <w:szCs w:val="24"/>
              </w:rPr>
            </w:pPr>
            <w:r>
              <w:rPr>
                <w:rFonts w:hint="default" w:ascii="仿宋_GB2312" w:eastAsia="仿宋_GB2312" w:cs="仿宋_GB2312"/>
                <w:color w:val="auto"/>
                <w:sz w:val="24"/>
                <w:szCs w:val="24"/>
                <w:bdr w:val="none" w:color="auto" w:sz="0" w:space="0"/>
              </w:rPr>
              <w:t>（3）每天午餐和晚餐两餐，桌餐或自助餐，人均每天餐标不低于100元。</w:t>
            </w:r>
          </w:p>
          <w:p w14:paraId="081670D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4"/>
                <w:szCs w:val="24"/>
              </w:rPr>
            </w:pPr>
            <w:r>
              <w:rPr>
                <w:rFonts w:hint="default" w:ascii="仿宋_GB2312" w:eastAsia="仿宋_GB2312" w:cs="仿宋_GB2312"/>
                <w:color w:val="auto"/>
                <w:sz w:val="24"/>
                <w:szCs w:val="24"/>
                <w:bdr w:val="none" w:color="auto" w:sz="0" w:space="0"/>
              </w:rPr>
              <w:t>★</w:t>
            </w:r>
            <w:r>
              <w:rPr>
                <w:rStyle w:val="7"/>
                <w:rFonts w:hint="default" w:ascii="仿宋_GB2312" w:eastAsia="仿宋_GB2312" w:cs="仿宋_GB2312"/>
                <w:color w:val="auto"/>
                <w:sz w:val="24"/>
                <w:szCs w:val="24"/>
                <w:bdr w:val="none" w:color="auto" w:sz="0" w:space="0"/>
              </w:rPr>
              <w:t>九、人员安排及分班要求</w:t>
            </w:r>
          </w:p>
          <w:tbl>
            <w:tblPr>
              <w:tblW w:w="0" w:type="auto"/>
              <w:tblInd w:w="-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455"/>
              <w:gridCol w:w="870"/>
              <w:gridCol w:w="810"/>
              <w:gridCol w:w="810"/>
              <w:gridCol w:w="825"/>
              <w:gridCol w:w="810"/>
            </w:tblGrid>
            <w:tr w14:paraId="51E06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tcBorders>
                    <w:top w:val="single" w:color="000000" w:sz="6" w:space="0"/>
                    <w:left w:val="single" w:color="000000" w:sz="6" w:space="0"/>
                    <w:bottom w:val="single" w:color="000000" w:sz="6" w:space="0"/>
                    <w:right w:val="single" w:color="000000" w:sz="6" w:space="0"/>
                  </w:tcBorders>
                  <w:shd w:val="clear"/>
                  <w:tcMar>
                    <w:left w:w="105" w:type="dxa"/>
                    <w:right w:w="105" w:type="dxa"/>
                  </w:tcMar>
                  <w:vAlign w:val="top"/>
                </w:tcPr>
                <w:p w14:paraId="5395035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班级</w:t>
                  </w:r>
                </w:p>
              </w:tc>
              <w:tc>
                <w:tcPr>
                  <w:tcW w:w="870" w:type="dxa"/>
                  <w:tcBorders>
                    <w:top w:val="single" w:color="auto" w:sz="6" w:space="0"/>
                    <w:left w:val="nil"/>
                    <w:bottom w:val="single" w:color="auto" w:sz="6" w:space="0"/>
                    <w:right w:val="single" w:color="auto" w:sz="6" w:space="0"/>
                  </w:tcBorders>
                  <w:shd w:val="clear"/>
                  <w:tcMar>
                    <w:left w:w="105" w:type="dxa"/>
                    <w:right w:w="105" w:type="dxa"/>
                  </w:tcMar>
                  <w:vAlign w:val="top"/>
                </w:tcPr>
                <w:p w14:paraId="274BCCC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学科</w:t>
                  </w:r>
                </w:p>
              </w:tc>
              <w:tc>
                <w:tcPr>
                  <w:tcW w:w="810" w:type="dxa"/>
                  <w:tcBorders>
                    <w:top w:val="single" w:color="auto" w:sz="6" w:space="0"/>
                    <w:left w:val="nil"/>
                    <w:bottom w:val="single" w:color="auto" w:sz="6" w:space="0"/>
                    <w:right w:val="single" w:color="auto" w:sz="6" w:space="0"/>
                  </w:tcBorders>
                  <w:shd w:val="clear"/>
                  <w:tcMar>
                    <w:left w:w="105" w:type="dxa"/>
                    <w:right w:w="105" w:type="dxa"/>
                  </w:tcMar>
                  <w:vAlign w:val="top"/>
                </w:tcPr>
                <w:p w14:paraId="252ED92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小学</w:t>
                  </w:r>
                </w:p>
                <w:p w14:paraId="50A71DA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（人数）</w:t>
                  </w:r>
                </w:p>
              </w:tc>
              <w:tc>
                <w:tcPr>
                  <w:tcW w:w="810" w:type="dxa"/>
                  <w:tcBorders>
                    <w:top w:val="single" w:color="auto" w:sz="6" w:space="0"/>
                    <w:left w:val="nil"/>
                    <w:bottom w:val="single" w:color="auto" w:sz="6" w:space="0"/>
                    <w:right w:val="single" w:color="auto" w:sz="6" w:space="0"/>
                  </w:tcBorders>
                  <w:shd w:val="clear"/>
                  <w:tcMar>
                    <w:left w:w="105" w:type="dxa"/>
                    <w:right w:w="105" w:type="dxa"/>
                  </w:tcMar>
                  <w:vAlign w:val="top"/>
                </w:tcPr>
                <w:p w14:paraId="481036E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初中</w:t>
                  </w:r>
                </w:p>
                <w:p w14:paraId="7478257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（人数）</w:t>
                  </w:r>
                </w:p>
              </w:tc>
              <w:tc>
                <w:tcPr>
                  <w:tcW w:w="810" w:type="dxa"/>
                  <w:tcBorders>
                    <w:top w:val="single" w:color="auto" w:sz="6" w:space="0"/>
                    <w:left w:val="nil"/>
                    <w:bottom w:val="single" w:color="auto" w:sz="6" w:space="0"/>
                    <w:right w:val="single" w:color="auto" w:sz="6" w:space="0"/>
                  </w:tcBorders>
                  <w:shd w:val="clear"/>
                  <w:tcMar>
                    <w:left w:w="105" w:type="dxa"/>
                    <w:right w:w="105" w:type="dxa"/>
                  </w:tcMar>
                  <w:vAlign w:val="top"/>
                </w:tcPr>
                <w:p w14:paraId="4D3DF01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高中</w:t>
                  </w:r>
                </w:p>
                <w:p w14:paraId="612B6D6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（人数）</w:t>
                  </w:r>
                </w:p>
              </w:tc>
              <w:tc>
                <w:tcPr>
                  <w:tcW w:w="810" w:type="dxa"/>
                  <w:tcBorders>
                    <w:top w:val="single" w:color="auto" w:sz="6" w:space="0"/>
                    <w:left w:val="nil"/>
                    <w:bottom w:val="single" w:color="auto" w:sz="6" w:space="0"/>
                    <w:right w:val="single" w:color="auto" w:sz="6" w:space="0"/>
                  </w:tcBorders>
                  <w:shd w:val="clear"/>
                  <w:tcMar>
                    <w:left w:w="105" w:type="dxa"/>
                    <w:right w:w="105" w:type="dxa"/>
                  </w:tcMar>
                  <w:vAlign w:val="top"/>
                </w:tcPr>
                <w:p w14:paraId="37274A2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Style w:val="7"/>
                      <w:rFonts w:hint="default" w:ascii="仿宋_GB2312" w:hAnsi="Times New Roman" w:eastAsia="仿宋_GB2312" w:cs="仿宋_GB2312"/>
                      <w:color w:val="auto"/>
                      <w:sz w:val="24"/>
                      <w:szCs w:val="24"/>
                      <w:bdr w:val="none" w:color="auto" w:sz="0" w:space="0"/>
                    </w:rPr>
                    <w:t>合计</w:t>
                  </w:r>
                </w:p>
              </w:tc>
            </w:tr>
            <w:tr w14:paraId="65142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tcBorders>
                    <w:top w:val="nil"/>
                    <w:left w:val="single" w:color="auto" w:sz="6" w:space="0"/>
                    <w:bottom w:val="single" w:color="auto" w:sz="6" w:space="0"/>
                    <w:right w:val="single" w:color="auto" w:sz="6" w:space="0"/>
                  </w:tcBorders>
                  <w:shd w:val="clear"/>
                  <w:tcMar>
                    <w:left w:w="105" w:type="dxa"/>
                    <w:right w:w="105" w:type="dxa"/>
                  </w:tcMar>
                  <w:vAlign w:val="top"/>
                </w:tcPr>
                <w:p w14:paraId="1EF40F5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1民族班</w:t>
                  </w:r>
                </w:p>
              </w:tc>
              <w:tc>
                <w:tcPr>
                  <w:tcW w:w="870" w:type="dxa"/>
                  <w:tcBorders>
                    <w:top w:val="nil"/>
                    <w:left w:val="nil"/>
                    <w:bottom w:val="single" w:color="auto" w:sz="6" w:space="0"/>
                    <w:right w:val="single" w:color="auto" w:sz="6" w:space="0"/>
                  </w:tcBorders>
                  <w:shd w:val="clear"/>
                  <w:tcMar>
                    <w:left w:w="105" w:type="dxa"/>
                    <w:right w:w="105" w:type="dxa"/>
                  </w:tcMar>
                  <w:vAlign w:val="top"/>
                </w:tcPr>
                <w:p w14:paraId="64AA9DE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藏语文</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B9D53A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D45449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AA0A7A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368629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30</w:t>
                  </w:r>
                </w:p>
              </w:tc>
            </w:tr>
            <w:tr w14:paraId="391B6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1FDA40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2综合班</w:t>
                  </w:r>
                </w:p>
              </w:tc>
              <w:tc>
                <w:tcPr>
                  <w:tcW w:w="870" w:type="dxa"/>
                  <w:tcBorders>
                    <w:top w:val="nil"/>
                    <w:left w:val="nil"/>
                    <w:bottom w:val="single" w:color="auto" w:sz="6" w:space="0"/>
                    <w:right w:val="single" w:color="auto" w:sz="6" w:space="0"/>
                  </w:tcBorders>
                  <w:shd w:val="clear"/>
                  <w:tcMar>
                    <w:left w:w="105" w:type="dxa"/>
                    <w:right w:w="105" w:type="dxa"/>
                  </w:tcMar>
                  <w:vAlign w:val="top"/>
                </w:tcPr>
                <w:p w14:paraId="705D7D4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音乐</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0D2BD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8A7CE4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271D21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vMerge w:val="restart"/>
                  <w:tcBorders>
                    <w:top w:val="nil"/>
                    <w:left w:val="nil"/>
                    <w:bottom w:val="single" w:color="auto" w:sz="6" w:space="0"/>
                    <w:right w:val="single" w:color="auto" w:sz="6" w:space="0"/>
                  </w:tcBorders>
                  <w:shd w:val="clear"/>
                  <w:tcMar>
                    <w:left w:w="105" w:type="dxa"/>
                    <w:right w:w="105" w:type="dxa"/>
                  </w:tcMar>
                  <w:vAlign w:val="top"/>
                </w:tcPr>
                <w:p w14:paraId="1E41F9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39</w:t>
                  </w:r>
                </w:p>
              </w:tc>
            </w:tr>
            <w:tr w14:paraId="17515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660D5A7A">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3D9752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体育</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132F63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D281A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DB3CD5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03A5A35D">
                  <w:pPr>
                    <w:rPr>
                      <w:rFonts w:hint="default" w:ascii="Times New Roman" w:hAnsi="Times New Roman" w:cs="Times New Roman"/>
                      <w:color w:val="auto"/>
                      <w:sz w:val="24"/>
                      <w:szCs w:val="24"/>
                    </w:rPr>
                  </w:pPr>
                </w:p>
              </w:tc>
            </w:tr>
            <w:tr w14:paraId="12348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7012552F">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12839C8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美术</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5AAC30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482F59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77F3E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30CC9669">
                  <w:pPr>
                    <w:rPr>
                      <w:rFonts w:hint="default" w:ascii="Times New Roman" w:hAnsi="Times New Roman" w:cs="Times New Roman"/>
                      <w:color w:val="auto"/>
                      <w:sz w:val="24"/>
                      <w:szCs w:val="24"/>
                    </w:rPr>
                  </w:pPr>
                </w:p>
              </w:tc>
            </w:tr>
            <w:tr w14:paraId="51F3D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1069320F">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78D140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信息技术</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8A2AF9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C87D84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23D635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534472B5">
                  <w:pPr>
                    <w:rPr>
                      <w:rFonts w:hint="default" w:ascii="Times New Roman" w:hAnsi="Times New Roman" w:cs="Times New Roman"/>
                      <w:color w:val="auto"/>
                      <w:sz w:val="24"/>
                      <w:szCs w:val="24"/>
                    </w:rPr>
                  </w:pPr>
                </w:p>
              </w:tc>
            </w:tr>
            <w:tr w14:paraId="1FB0D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2064C96E">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0973C87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通用技术</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661D02B">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DCBD961">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04AFC16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6136C294">
                  <w:pPr>
                    <w:rPr>
                      <w:rFonts w:hint="default" w:ascii="Times New Roman" w:hAnsi="Times New Roman" w:cs="Times New Roman"/>
                      <w:color w:val="auto"/>
                      <w:sz w:val="24"/>
                      <w:szCs w:val="24"/>
                    </w:rPr>
                  </w:pPr>
                </w:p>
              </w:tc>
            </w:tr>
            <w:tr w14:paraId="3D80F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4A2B15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3小学</w:t>
                  </w:r>
                </w:p>
              </w:tc>
              <w:tc>
                <w:tcPr>
                  <w:tcW w:w="870" w:type="dxa"/>
                  <w:tcBorders>
                    <w:top w:val="nil"/>
                    <w:left w:val="nil"/>
                    <w:bottom w:val="single" w:color="auto" w:sz="6" w:space="0"/>
                    <w:right w:val="single" w:color="auto" w:sz="6" w:space="0"/>
                  </w:tcBorders>
                  <w:shd w:val="clear"/>
                  <w:tcMar>
                    <w:left w:w="105" w:type="dxa"/>
                    <w:right w:w="105" w:type="dxa"/>
                  </w:tcMar>
                  <w:vAlign w:val="top"/>
                </w:tcPr>
                <w:p w14:paraId="06BE385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小学语文</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CD63E8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45DD90F8">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3E2A456">
                  <w:pPr>
                    <w:rPr>
                      <w:rFonts w:hint="default" w:ascii="Times New Roman" w:hAnsi="Times New Roman" w:cs="Times New Roman"/>
                      <w:color w:val="auto"/>
                      <w:sz w:val="24"/>
                      <w:szCs w:val="24"/>
                    </w:rPr>
                  </w:pPr>
                </w:p>
              </w:tc>
              <w:tc>
                <w:tcPr>
                  <w:tcW w:w="810" w:type="dxa"/>
                  <w:vMerge w:val="restart"/>
                  <w:tcBorders>
                    <w:top w:val="nil"/>
                    <w:left w:val="nil"/>
                    <w:bottom w:val="single" w:color="auto" w:sz="6" w:space="0"/>
                    <w:right w:val="single" w:color="auto" w:sz="6" w:space="0"/>
                  </w:tcBorders>
                  <w:shd w:val="clear"/>
                  <w:tcMar>
                    <w:left w:w="105" w:type="dxa"/>
                    <w:right w:w="105" w:type="dxa"/>
                  </w:tcMar>
                  <w:vAlign w:val="top"/>
                </w:tcPr>
                <w:p w14:paraId="058B2C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40</w:t>
                  </w:r>
                </w:p>
              </w:tc>
            </w:tr>
            <w:tr w14:paraId="40B8E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758F79F7">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3D73670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小学数学</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C69AB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B7F3FA3">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44F785CA">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01BBE13A">
                  <w:pPr>
                    <w:rPr>
                      <w:rFonts w:hint="default" w:ascii="Times New Roman" w:hAnsi="Times New Roman" w:cs="Times New Roman"/>
                      <w:color w:val="auto"/>
                      <w:sz w:val="24"/>
                      <w:szCs w:val="24"/>
                    </w:rPr>
                  </w:pPr>
                </w:p>
              </w:tc>
            </w:tr>
            <w:tr w14:paraId="2EEF7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64535CFE">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20D1EAD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小学英语</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2799E12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4646DF70">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2A5F929B">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09578392">
                  <w:pPr>
                    <w:rPr>
                      <w:rFonts w:hint="default" w:ascii="Times New Roman" w:hAnsi="Times New Roman" w:cs="Times New Roman"/>
                      <w:color w:val="auto"/>
                      <w:sz w:val="24"/>
                      <w:szCs w:val="24"/>
                    </w:rPr>
                  </w:pPr>
                </w:p>
              </w:tc>
            </w:tr>
            <w:tr w14:paraId="2474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2D5CD840">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05D020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小学道法</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733FBF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5</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514A73E">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714132E">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102C3C63">
                  <w:pPr>
                    <w:rPr>
                      <w:rFonts w:hint="default" w:ascii="Times New Roman" w:hAnsi="Times New Roman" w:cs="Times New Roman"/>
                      <w:color w:val="auto"/>
                      <w:sz w:val="24"/>
                      <w:szCs w:val="24"/>
                    </w:rPr>
                  </w:pPr>
                </w:p>
              </w:tc>
            </w:tr>
            <w:tr w14:paraId="7785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7D7558E1">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1AAEB75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小学科学</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0D47B1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5</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22DAC9A3">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5F45E91">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7E795177">
                  <w:pPr>
                    <w:rPr>
                      <w:rFonts w:hint="default" w:ascii="Times New Roman" w:hAnsi="Times New Roman" w:cs="Times New Roman"/>
                      <w:color w:val="auto"/>
                      <w:sz w:val="24"/>
                      <w:szCs w:val="24"/>
                    </w:rPr>
                  </w:pPr>
                </w:p>
              </w:tc>
            </w:tr>
            <w:tr w14:paraId="0CFEF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73C39E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4初中（文）</w:t>
                  </w:r>
                </w:p>
              </w:tc>
              <w:tc>
                <w:tcPr>
                  <w:tcW w:w="870" w:type="dxa"/>
                  <w:tcBorders>
                    <w:top w:val="nil"/>
                    <w:left w:val="nil"/>
                    <w:bottom w:val="single" w:color="auto" w:sz="6" w:space="0"/>
                    <w:right w:val="single" w:color="auto" w:sz="6" w:space="0"/>
                  </w:tcBorders>
                  <w:shd w:val="clear"/>
                  <w:tcMar>
                    <w:left w:w="105" w:type="dxa"/>
                    <w:right w:w="105" w:type="dxa"/>
                  </w:tcMar>
                  <w:vAlign w:val="top"/>
                </w:tcPr>
                <w:p w14:paraId="5793C00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初中语文</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957C3B6">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E4B3F6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A436EF1">
                  <w:pPr>
                    <w:rPr>
                      <w:rFonts w:hint="default" w:ascii="Times New Roman" w:hAnsi="Times New Roman" w:cs="Times New Roman"/>
                      <w:color w:val="auto"/>
                      <w:sz w:val="24"/>
                      <w:szCs w:val="24"/>
                    </w:rPr>
                  </w:pPr>
                </w:p>
              </w:tc>
              <w:tc>
                <w:tcPr>
                  <w:tcW w:w="810" w:type="dxa"/>
                  <w:vMerge w:val="restart"/>
                  <w:tcBorders>
                    <w:top w:val="nil"/>
                    <w:left w:val="nil"/>
                    <w:bottom w:val="single" w:color="auto" w:sz="6" w:space="0"/>
                    <w:right w:val="single" w:color="auto" w:sz="6" w:space="0"/>
                  </w:tcBorders>
                  <w:shd w:val="clear"/>
                  <w:tcMar>
                    <w:left w:w="105" w:type="dxa"/>
                    <w:right w:w="105" w:type="dxa"/>
                  </w:tcMar>
                  <w:vAlign w:val="top"/>
                </w:tcPr>
                <w:p w14:paraId="1895D88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50</w:t>
                  </w:r>
                </w:p>
              </w:tc>
            </w:tr>
            <w:tr w14:paraId="7615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1175831F">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442E94E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初中英语</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B8C5D36">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3611F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8B32F6E">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4BAD8C5C">
                  <w:pPr>
                    <w:rPr>
                      <w:rFonts w:hint="default" w:ascii="Times New Roman" w:hAnsi="Times New Roman" w:cs="Times New Roman"/>
                      <w:color w:val="auto"/>
                      <w:sz w:val="24"/>
                      <w:szCs w:val="24"/>
                    </w:rPr>
                  </w:pPr>
                </w:p>
              </w:tc>
            </w:tr>
            <w:tr w14:paraId="7F42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482E1355">
                  <w:pPr>
                    <w:rPr>
                      <w:rFonts w:hint="default" w:ascii="Times New Roman" w:hAnsi="Times New Roman" w:cs="Times New Roman"/>
                      <w:color w:val="auto"/>
                      <w:sz w:val="24"/>
                      <w:szCs w:val="24"/>
                    </w:rPr>
                  </w:pPr>
                </w:p>
              </w:tc>
              <w:tc>
                <w:tcPr>
                  <w:tcW w:w="870" w:type="dxa"/>
                  <w:tcBorders>
                    <w:top w:val="single" w:color="000000" w:sz="6" w:space="0"/>
                    <w:left w:val="single" w:color="000000" w:sz="6" w:space="0"/>
                    <w:bottom w:val="single" w:color="000000" w:sz="6" w:space="0"/>
                    <w:right w:val="single" w:color="000000" w:sz="6" w:space="0"/>
                  </w:tcBorders>
                  <w:shd w:val="clear"/>
                  <w:tcMar>
                    <w:left w:w="105" w:type="dxa"/>
                    <w:right w:w="105" w:type="dxa"/>
                  </w:tcMar>
                  <w:vAlign w:val="top"/>
                </w:tcPr>
                <w:p w14:paraId="70FFF32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初中道法</w:t>
                  </w:r>
                </w:p>
              </w:tc>
              <w:tc>
                <w:tcPr>
                  <w:tcW w:w="810" w:type="dxa"/>
                  <w:tcBorders>
                    <w:top w:val="nil"/>
                    <w:left w:val="single" w:color="auto" w:sz="6" w:space="0"/>
                    <w:bottom w:val="single" w:color="auto" w:sz="6" w:space="0"/>
                    <w:right w:val="single" w:color="auto" w:sz="6" w:space="0"/>
                  </w:tcBorders>
                  <w:shd w:val="clear"/>
                  <w:tcMar>
                    <w:left w:w="105" w:type="dxa"/>
                    <w:right w:w="105" w:type="dxa"/>
                  </w:tcMar>
                  <w:vAlign w:val="top"/>
                </w:tcPr>
                <w:p w14:paraId="59DB988F">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043D0C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B5294D7">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43AD568D">
                  <w:pPr>
                    <w:rPr>
                      <w:rFonts w:hint="default" w:ascii="Times New Roman" w:hAnsi="Times New Roman" w:cs="Times New Roman"/>
                      <w:color w:val="auto"/>
                      <w:sz w:val="24"/>
                      <w:szCs w:val="24"/>
                    </w:rPr>
                  </w:pPr>
                </w:p>
              </w:tc>
            </w:tr>
            <w:tr w14:paraId="62B85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5BA8FFBF">
                  <w:pPr>
                    <w:rPr>
                      <w:rFonts w:hint="default" w:ascii="Times New Roman" w:hAnsi="Times New Roman" w:cs="Times New Roman"/>
                      <w:color w:val="auto"/>
                      <w:sz w:val="24"/>
                      <w:szCs w:val="24"/>
                    </w:rPr>
                  </w:pPr>
                </w:p>
              </w:tc>
              <w:tc>
                <w:tcPr>
                  <w:tcW w:w="870" w:type="dxa"/>
                  <w:tcBorders>
                    <w:top w:val="single" w:color="auto" w:sz="6" w:space="0"/>
                    <w:left w:val="nil"/>
                    <w:bottom w:val="single" w:color="auto" w:sz="6" w:space="0"/>
                    <w:right w:val="single" w:color="auto" w:sz="6" w:space="0"/>
                  </w:tcBorders>
                  <w:shd w:val="clear"/>
                  <w:tcMar>
                    <w:left w:w="105" w:type="dxa"/>
                    <w:right w:w="105" w:type="dxa"/>
                  </w:tcMar>
                  <w:vAlign w:val="top"/>
                </w:tcPr>
                <w:p w14:paraId="5913CCF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初中历史</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8F9CEE6">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2955457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D61C55B">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5DD71929">
                  <w:pPr>
                    <w:rPr>
                      <w:rFonts w:hint="default" w:ascii="Times New Roman" w:hAnsi="Times New Roman" w:cs="Times New Roman"/>
                      <w:color w:val="auto"/>
                      <w:sz w:val="24"/>
                      <w:szCs w:val="24"/>
                    </w:rPr>
                  </w:pPr>
                </w:p>
              </w:tc>
            </w:tr>
            <w:tr w14:paraId="01B85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312EB369">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2A4CDB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初中地理</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E6EF64C">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37F053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4DC59811">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65F8457A">
                  <w:pPr>
                    <w:rPr>
                      <w:rFonts w:hint="default" w:ascii="Times New Roman" w:hAnsi="Times New Roman" w:cs="Times New Roman"/>
                      <w:color w:val="auto"/>
                      <w:sz w:val="24"/>
                      <w:szCs w:val="24"/>
                    </w:rPr>
                  </w:pPr>
                </w:p>
              </w:tc>
            </w:tr>
            <w:tr w14:paraId="71CA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6AEA62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5初中（理）</w:t>
                  </w:r>
                </w:p>
              </w:tc>
              <w:tc>
                <w:tcPr>
                  <w:tcW w:w="870" w:type="dxa"/>
                  <w:tcBorders>
                    <w:top w:val="nil"/>
                    <w:left w:val="nil"/>
                    <w:bottom w:val="single" w:color="auto" w:sz="6" w:space="0"/>
                    <w:right w:val="single" w:color="auto" w:sz="6" w:space="0"/>
                  </w:tcBorders>
                  <w:shd w:val="clear"/>
                  <w:tcMar>
                    <w:left w:w="105" w:type="dxa"/>
                    <w:right w:w="105" w:type="dxa"/>
                  </w:tcMar>
                  <w:vAlign w:val="top"/>
                </w:tcPr>
                <w:p w14:paraId="7F6947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初中数学</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0A82015">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78AD6B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364E532">
                  <w:pPr>
                    <w:rPr>
                      <w:rFonts w:hint="default" w:ascii="Times New Roman" w:hAnsi="Times New Roman" w:cs="Times New Roman"/>
                      <w:color w:val="auto"/>
                      <w:sz w:val="24"/>
                      <w:szCs w:val="24"/>
                    </w:rPr>
                  </w:pPr>
                </w:p>
              </w:tc>
              <w:tc>
                <w:tcPr>
                  <w:tcW w:w="810" w:type="dxa"/>
                  <w:vMerge w:val="restart"/>
                  <w:tcBorders>
                    <w:top w:val="nil"/>
                    <w:left w:val="nil"/>
                    <w:bottom w:val="single" w:color="auto" w:sz="6" w:space="0"/>
                    <w:right w:val="single" w:color="auto" w:sz="6" w:space="0"/>
                  </w:tcBorders>
                  <w:shd w:val="clear"/>
                  <w:tcMar>
                    <w:left w:w="105" w:type="dxa"/>
                    <w:right w:w="105" w:type="dxa"/>
                  </w:tcMar>
                  <w:vAlign w:val="top"/>
                </w:tcPr>
                <w:p w14:paraId="09AA417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40</w:t>
                  </w:r>
                </w:p>
              </w:tc>
            </w:tr>
            <w:tr w14:paraId="79D41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229A7372">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62EB6A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初中物理</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4B216D6B">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50ECF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BF7C149">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16001B3F">
                  <w:pPr>
                    <w:rPr>
                      <w:rFonts w:hint="default" w:ascii="Times New Roman" w:hAnsi="Times New Roman" w:cs="Times New Roman"/>
                      <w:color w:val="auto"/>
                      <w:sz w:val="24"/>
                      <w:szCs w:val="24"/>
                    </w:rPr>
                  </w:pPr>
                </w:p>
              </w:tc>
            </w:tr>
            <w:tr w14:paraId="2AD65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08C1A765">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2ABA06D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初中化学</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8593FD3">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E01622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D752F10">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4A0B9833">
                  <w:pPr>
                    <w:rPr>
                      <w:rFonts w:hint="default" w:ascii="Times New Roman" w:hAnsi="Times New Roman" w:cs="Times New Roman"/>
                      <w:color w:val="auto"/>
                      <w:sz w:val="24"/>
                      <w:szCs w:val="24"/>
                    </w:rPr>
                  </w:pPr>
                </w:p>
              </w:tc>
            </w:tr>
            <w:tr w14:paraId="128CA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310A853E">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75C56DC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初中生物</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08754080">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566BB9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CB9E919">
                  <w:pPr>
                    <w:rPr>
                      <w:rFonts w:hint="default" w:ascii="Times New Roman" w:hAnsi="Times New Roman" w:cs="Times New Roman"/>
                      <w:color w:val="auto"/>
                      <w:sz w:val="24"/>
                      <w:szCs w:val="24"/>
                    </w:rPr>
                  </w:pP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0140EC74">
                  <w:pPr>
                    <w:rPr>
                      <w:rFonts w:hint="default" w:ascii="Times New Roman" w:hAnsi="Times New Roman" w:cs="Times New Roman"/>
                      <w:color w:val="auto"/>
                      <w:sz w:val="24"/>
                      <w:szCs w:val="24"/>
                    </w:rPr>
                  </w:pPr>
                </w:p>
              </w:tc>
            </w:tr>
            <w:tr w14:paraId="6A57A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4EF2AF4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6高中（文）</w:t>
                  </w:r>
                </w:p>
              </w:tc>
              <w:tc>
                <w:tcPr>
                  <w:tcW w:w="870" w:type="dxa"/>
                  <w:tcBorders>
                    <w:top w:val="nil"/>
                    <w:left w:val="nil"/>
                    <w:bottom w:val="single" w:color="auto" w:sz="6" w:space="0"/>
                    <w:right w:val="single" w:color="auto" w:sz="6" w:space="0"/>
                  </w:tcBorders>
                  <w:shd w:val="clear"/>
                  <w:tcMar>
                    <w:left w:w="105" w:type="dxa"/>
                    <w:right w:w="105" w:type="dxa"/>
                  </w:tcMar>
                  <w:vAlign w:val="top"/>
                </w:tcPr>
                <w:p w14:paraId="6C93F4C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高中语文</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A0ACB69">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997E328">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47ED6C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restart"/>
                  <w:tcBorders>
                    <w:top w:val="nil"/>
                    <w:left w:val="nil"/>
                    <w:bottom w:val="single" w:color="auto" w:sz="6" w:space="0"/>
                    <w:right w:val="single" w:color="auto" w:sz="6" w:space="0"/>
                  </w:tcBorders>
                  <w:shd w:val="clear"/>
                  <w:tcMar>
                    <w:left w:w="105" w:type="dxa"/>
                    <w:right w:w="105" w:type="dxa"/>
                  </w:tcMar>
                  <w:vAlign w:val="top"/>
                </w:tcPr>
                <w:p w14:paraId="566363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50</w:t>
                  </w:r>
                </w:p>
              </w:tc>
            </w:tr>
            <w:tr w14:paraId="3C8E1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60F28461">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6B8509C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高中英语</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DCDA3DE">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2C1C2B52">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25A2911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73D52E9D">
                  <w:pPr>
                    <w:rPr>
                      <w:rFonts w:hint="default" w:ascii="Times New Roman" w:hAnsi="Times New Roman" w:cs="Times New Roman"/>
                      <w:color w:val="auto"/>
                      <w:sz w:val="24"/>
                      <w:szCs w:val="24"/>
                    </w:rPr>
                  </w:pPr>
                </w:p>
              </w:tc>
            </w:tr>
            <w:tr w14:paraId="0563C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5B9A6633">
                  <w:pPr>
                    <w:rPr>
                      <w:rFonts w:hint="default" w:ascii="Times New Roman" w:hAnsi="Times New Roman" w:cs="Times New Roman"/>
                      <w:color w:val="auto"/>
                      <w:sz w:val="24"/>
                      <w:szCs w:val="24"/>
                    </w:rPr>
                  </w:pPr>
                </w:p>
              </w:tc>
              <w:tc>
                <w:tcPr>
                  <w:tcW w:w="870" w:type="dxa"/>
                  <w:tcBorders>
                    <w:top w:val="single" w:color="000000" w:sz="6" w:space="0"/>
                    <w:left w:val="single" w:color="000000" w:sz="6" w:space="0"/>
                    <w:bottom w:val="single" w:color="000000" w:sz="6" w:space="0"/>
                    <w:right w:val="single" w:color="000000" w:sz="6" w:space="0"/>
                  </w:tcBorders>
                  <w:shd w:val="clear"/>
                  <w:tcMar>
                    <w:left w:w="105" w:type="dxa"/>
                    <w:right w:w="105" w:type="dxa"/>
                  </w:tcMar>
                  <w:vAlign w:val="top"/>
                </w:tcPr>
                <w:p w14:paraId="56B2942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高中政治</w:t>
                  </w:r>
                </w:p>
              </w:tc>
              <w:tc>
                <w:tcPr>
                  <w:tcW w:w="810" w:type="dxa"/>
                  <w:tcBorders>
                    <w:top w:val="nil"/>
                    <w:left w:val="single" w:color="auto" w:sz="6" w:space="0"/>
                    <w:bottom w:val="single" w:color="auto" w:sz="6" w:space="0"/>
                    <w:right w:val="single" w:color="auto" w:sz="6" w:space="0"/>
                  </w:tcBorders>
                  <w:shd w:val="clear"/>
                  <w:tcMar>
                    <w:left w:w="105" w:type="dxa"/>
                    <w:right w:w="105" w:type="dxa"/>
                  </w:tcMar>
                  <w:vAlign w:val="top"/>
                </w:tcPr>
                <w:p w14:paraId="45D417BB">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64948F6">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793815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0432EA74">
                  <w:pPr>
                    <w:rPr>
                      <w:rFonts w:hint="default" w:ascii="Times New Roman" w:hAnsi="Times New Roman" w:cs="Times New Roman"/>
                      <w:color w:val="auto"/>
                      <w:sz w:val="24"/>
                      <w:szCs w:val="24"/>
                    </w:rPr>
                  </w:pPr>
                </w:p>
              </w:tc>
            </w:tr>
            <w:tr w14:paraId="180AF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56A604F4">
                  <w:pPr>
                    <w:rPr>
                      <w:rFonts w:hint="default" w:ascii="Times New Roman" w:hAnsi="Times New Roman" w:cs="Times New Roman"/>
                      <w:color w:val="auto"/>
                      <w:sz w:val="24"/>
                      <w:szCs w:val="24"/>
                    </w:rPr>
                  </w:pPr>
                </w:p>
              </w:tc>
              <w:tc>
                <w:tcPr>
                  <w:tcW w:w="870" w:type="dxa"/>
                  <w:tcBorders>
                    <w:top w:val="single" w:color="auto" w:sz="6" w:space="0"/>
                    <w:left w:val="nil"/>
                    <w:bottom w:val="single" w:color="auto" w:sz="6" w:space="0"/>
                    <w:right w:val="single" w:color="auto" w:sz="6" w:space="0"/>
                  </w:tcBorders>
                  <w:shd w:val="clear"/>
                  <w:tcMar>
                    <w:left w:w="105" w:type="dxa"/>
                    <w:right w:w="105" w:type="dxa"/>
                  </w:tcMar>
                  <w:vAlign w:val="top"/>
                </w:tcPr>
                <w:p w14:paraId="1AF18E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高中历史</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2A32089E">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44876A33">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D026B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38EA6CE1">
                  <w:pPr>
                    <w:rPr>
                      <w:rFonts w:hint="default" w:ascii="Times New Roman" w:hAnsi="Times New Roman" w:cs="Times New Roman"/>
                      <w:color w:val="auto"/>
                      <w:sz w:val="24"/>
                      <w:szCs w:val="24"/>
                    </w:rPr>
                  </w:pPr>
                </w:p>
              </w:tc>
            </w:tr>
            <w:tr w14:paraId="44545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26DCA0B4">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68B6A7C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高中地理</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81D853C">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03323426">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9F3C48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380B3A81">
                  <w:pPr>
                    <w:rPr>
                      <w:rFonts w:hint="default" w:ascii="Times New Roman" w:hAnsi="Times New Roman" w:cs="Times New Roman"/>
                      <w:color w:val="auto"/>
                      <w:sz w:val="24"/>
                      <w:szCs w:val="24"/>
                    </w:rPr>
                  </w:pPr>
                </w:p>
              </w:tc>
            </w:tr>
            <w:tr w14:paraId="36500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restart"/>
                  <w:tcBorders>
                    <w:top w:val="nil"/>
                    <w:left w:val="single" w:color="auto" w:sz="6" w:space="0"/>
                    <w:bottom w:val="single" w:color="auto" w:sz="6" w:space="0"/>
                    <w:right w:val="single" w:color="auto" w:sz="6" w:space="0"/>
                  </w:tcBorders>
                  <w:shd w:val="clear"/>
                  <w:tcMar>
                    <w:left w:w="105" w:type="dxa"/>
                    <w:right w:w="105" w:type="dxa"/>
                  </w:tcMar>
                  <w:vAlign w:val="top"/>
                </w:tcPr>
                <w:p w14:paraId="3BD5B6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7高中（理）</w:t>
                  </w:r>
                </w:p>
              </w:tc>
              <w:tc>
                <w:tcPr>
                  <w:tcW w:w="870" w:type="dxa"/>
                  <w:tcBorders>
                    <w:top w:val="nil"/>
                    <w:left w:val="nil"/>
                    <w:bottom w:val="single" w:color="auto" w:sz="6" w:space="0"/>
                    <w:right w:val="single" w:color="auto" w:sz="6" w:space="0"/>
                  </w:tcBorders>
                  <w:shd w:val="clear"/>
                  <w:tcMar>
                    <w:left w:w="105" w:type="dxa"/>
                    <w:right w:w="105" w:type="dxa"/>
                  </w:tcMar>
                  <w:vAlign w:val="top"/>
                </w:tcPr>
                <w:p w14:paraId="56E7F61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高中数学</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FE5020C">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E67CF3E">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A3B25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restart"/>
                  <w:tcBorders>
                    <w:top w:val="nil"/>
                    <w:left w:val="nil"/>
                    <w:bottom w:val="single" w:color="auto" w:sz="6" w:space="0"/>
                    <w:right w:val="single" w:color="auto" w:sz="6" w:space="0"/>
                  </w:tcBorders>
                  <w:shd w:val="clear"/>
                  <w:tcMar>
                    <w:left w:w="105" w:type="dxa"/>
                    <w:right w:w="105" w:type="dxa"/>
                  </w:tcMar>
                  <w:vAlign w:val="top"/>
                </w:tcPr>
                <w:p w14:paraId="7D7610A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40</w:t>
                  </w:r>
                </w:p>
              </w:tc>
            </w:tr>
            <w:tr w14:paraId="14459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11F447DF">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0F94F7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高中物理</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5C1C8E0">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4C4C5588">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3E81D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16F130EB">
                  <w:pPr>
                    <w:rPr>
                      <w:rFonts w:hint="default" w:ascii="Times New Roman" w:hAnsi="Times New Roman" w:cs="Times New Roman"/>
                      <w:color w:val="auto"/>
                      <w:sz w:val="24"/>
                      <w:szCs w:val="24"/>
                    </w:rPr>
                  </w:pPr>
                </w:p>
              </w:tc>
            </w:tr>
            <w:tr w14:paraId="57179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2B8F0B34">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71A16D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高中化学</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5730E6A4">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49C9F94E">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120E3F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3344322A">
                  <w:pPr>
                    <w:rPr>
                      <w:rFonts w:hint="default" w:ascii="Times New Roman" w:hAnsi="Times New Roman" w:cs="Times New Roman"/>
                      <w:color w:val="auto"/>
                      <w:sz w:val="24"/>
                      <w:szCs w:val="24"/>
                    </w:rPr>
                  </w:pPr>
                </w:p>
              </w:tc>
            </w:tr>
            <w:tr w14:paraId="2FCB1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55" w:type="dxa"/>
                  <w:vMerge w:val="continue"/>
                  <w:tcBorders>
                    <w:top w:val="nil"/>
                    <w:left w:val="single" w:color="auto" w:sz="6" w:space="0"/>
                    <w:bottom w:val="single" w:color="auto" w:sz="6" w:space="0"/>
                    <w:right w:val="single" w:color="auto" w:sz="6" w:space="0"/>
                  </w:tcBorders>
                  <w:shd w:val="clear"/>
                  <w:tcMar>
                    <w:left w:w="105" w:type="dxa"/>
                    <w:right w:w="105" w:type="dxa"/>
                  </w:tcMar>
                  <w:vAlign w:val="top"/>
                </w:tcPr>
                <w:p w14:paraId="21E64DBD">
                  <w:pPr>
                    <w:rPr>
                      <w:rFonts w:hint="default" w:ascii="Times New Roman" w:hAnsi="Times New Roman" w:cs="Times New Roman"/>
                      <w:color w:val="auto"/>
                      <w:sz w:val="24"/>
                      <w:szCs w:val="24"/>
                    </w:rPr>
                  </w:pPr>
                </w:p>
              </w:tc>
              <w:tc>
                <w:tcPr>
                  <w:tcW w:w="870" w:type="dxa"/>
                  <w:tcBorders>
                    <w:top w:val="nil"/>
                    <w:left w:val="nil"/>
                    <w:bottom w:val="single" w:color="auto" w:sz="6" w:space="0"/>
                    <w:right w:val="single" w:color="auto" w:sz="6" w:space="0"/>
                  </w:tcBorders>
                  <w:shd w:val="clear"/>
                  <w:tcMar>
                    <w:left w:w="105" w:type="dxa"/>
                    <w:right w:w="105" w:type="dxa"/>
                  </w:tcMar>
                  <w:vAlign w:val="top"/>
                </w:tcPr>
                <w:p w14:paraId="3777CBD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高中生物</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B9108A6">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25F315E">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0C32B19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10</w:t>
                  </w:r>
                </w:p>
              </w:tc>
              <w:tc>
                <w:tcPr>
                  <w:tcW w:w="810" w:type="dxa"/>
                  <w:vMerge w:val="continue"/>
                  <w:tcBorders>
                    <w:top w:val="nil"/>
                    <w:left w:val="nil"/>
                    <w:bottom w:val="single" w:color="auto" w:sz="6" w:space="0"/>
                    <w:right w:val="single" w:color="auto" w:sz="6" w:space="0"/>
                  </w:tcBorders>
                  <w:shd w:val="clear"/>
                  <w:tcMar>
                    <w:left w:w="105" w:type="dxa"/>
                    <w:right w:w="105" w:type="dxa"/>
                  </w:tcMar>
                  <w:vAlign w:val="top"/>
                </w:tcPr>
                <w:p w14:paraId="6B628A42">
                  <w:pPr>
                    <w:rPr>
                      <w:rFonts w:hint="default" w:ascii="Times New Roman" w:hAnsi="Times New Roman" w:cs="Times New Roman"/>
                      <w:color w:val="auto"/>
                      <w:sz w:val="24"/>
                      <w:szCs w:val="24"/>
                    </w:rPr>
                  </w:pPr>
                </w:p>
              </w:tc>
            </w:tr>
            <w:tr w14:paraId="0D90F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455" w:type="dxa"/>
                  <w:tcBorders>
                    <w:top w:val="nil"/>
                    <w:left w:val="single" w:color="auto" w:sz="6" w:space="0"/>
                    <w:bottom w:val="single" w:color="auto" w:sz="6" w:space="0"/>
                    <w:right w:val="single" w:color="auto" w:sz="6" w:space="0"/>
                  </w:tcBorders>
                  <w:shd w:val="clear"/>
                  <w:tcMar>
                    <w:left w:w="105" w:type="dxa"/>
                    <w:right w:w="105" w:type="dxa"/>
                  </w:tcMar>
                  <w:vAlign w:val="top"/>
                </w:tcPr>
                <w:p w14:paraId="14466FF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州教科所管理人员</w:t>
                  </w:r>
                </w:p>
              </w:tc>
              <w:tc>
                <w:tcPr>
                  <w:tcW w:w="870" w:type="dxa"/>
                  <w:tcBorders>
                    <w:top w:val="nil"/>
                    <w:left w:val="nil"/>
                    <w:bottom w:val="single" w:color="auto" w:sz="6" w:space="0"/>
                    <w:right w:val="single" w:color="auto" w:sz="6" w:space="0"/>
                  </w:tcBorders>
                  <w:shd w:val="clear"/>
                  <w:tcMar>
                    <w:left w:w="105" w:type="dxa"/>
                    <w:right w:w="105" w:type="dxa"/>
                  </w:tcMar>
                  <w:vAlign w:val="top"/>
                </w:tcPr>
                <w:p w14:paraId="2A79C48F">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84513E1">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7702172E">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26064E29">
                  <w:pPr>
                    <w:rPr>
                      <w:rFonts w:hint="default" w:ascii="Times New Roman" w:hAnsi="Times New Roman" w:cs="Times New Roman"/>
                      <w:color w:val="auto"/>
                      <w:sz w:val="24"/>
                      <w:szCs w:val="24"/>
                    </w:rPr>
                  </w:pPr>
                </w:p>
              </w:tc>
              <w:tc>
                <w:tcPr>
                  <w:tcW w:w="810" w:type="dxa"/>
                  <w:tcBorders>
                    <w:top w:val="nil"/>
                    <w:left w:val="nil"/>
                    <w:bottom w:val="single" w:color="auto" w:sz="6" w:space="0"/>
                    <w:right w:val="single" w:color="auto" w:sz="6" w:space="0"/>
                  </w:tcBorders>
                  <w:shd w:val="clear"/>
                  <w:tcMar>
                    <w:left w:w="105" w:type="dxa"/>
                    <w:right w:w="105" w:type="dxa"/>
                  </w:tcMar>
                  <w:vAlign w:val="top"/>
                </w:tcPr>
                <w:p w14:paraId="6E3CB3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11</w:t>
                  </w:r>
                </w:p>
              </w:tc>
            </w:tr>
            <w:tr w14:paraId="3E77D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770" w:type="dxa"/>
                  <w:gridSpan w:val="5"/>
                  <w:tcBorders>
                    <w:top w:val="nil"/>
                    <w:left w:val="single" w:color="auto" w:sz="6" w:space="0"/>
                    <w:bottom w:val="single" w:color="auto" w:sz="6" w:space="0"/>
                    <w:right w:val="single" w:color="auto" w:sz="6" w:space="0"/>
                  </w:tcBorders>
                  <w:shd w:val="clear"/>
                  <w:tcMar>
                    <w:left w:w="105" w:type="dxa"/>
                    <w:right w:w="105" w:type="dxa"/>
                  </w:tcMar>
                  <w:vAlign w:val="top"/>
                </w:tcPr>
                <w:p w14:paraId="1C5DCEB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 共计</w:t>
                  </w:r>
                </w:p>
              </w:tc>
              <w:tc>
                <w:tcPr>
                  <w:tcW w:w="810" w:type="dxa"/>
                  <w:tcBorders>
                    <w:top w:val="nil"/>
                    <w:left w:val="nil"/>
                    <w:bottom w:val="single" w:color="auto" w:sz="6" w:space="0"/>
                    <w:right w:val="single" w:color="auto" w:sz="6" w:space="0"/>
                  </w:tcBorders>
                  <w:shd w:val="clear"/>
                  <w:tcMar>
                    <w:left w:w="105" w:type="dxa"/>
                    <w:right w:w="105" w:type="dxa"/>
                  </w:tcMar>
                  <w:vAlign w:val="top"/>
                </w:tcPr>
                <w:p w14:paraId="32AF33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color w:val="auto"/>
                      <w:sz w:val="24"/>
                      <w:szCs w:val="24"/>
                    </w:rPr>
                  </w:pPr>
                  <w:r>
                    <w:rPr>
                      <w:rFonts w:hint="default" w:ascii="仿宋_GB2312" w:hAnsi="Times New Roman" w:eastAsia="仿宋_GB2312" w:cs="仿宋_GB2312"/>
                      <w:color w:val="auto"/>
                      <w:sz w:val="24"/>
                      <w:szCs w:val="24"/>
                      <w:bdr w:val="none" w:color="auto" w:sz="0" w:space="0"/>
                    </w:rPr>
                    <w:t>300</w:t>
                  </w:r>
                </w:p>
              </w:tc>
            </w:tr>
          </w:tbl>
          <w:p w14:paraId="5373D00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w:t>
            </w:r>
            <w:r>
              <w:rPr>
                <w:rStyle w:val="7"/>
                <w:rFonts w:hint="default" w:ascii="仿宋_GB2312" w:eastAsia="仿宋_GB2312" w:cs="仿宋_GB2312"/>
                <w:color w:val="auto"/>
                <w:sz w:val="24"/>
                <w:szCs w:val="24"/>
                <w:bdr w:val="none" w:color="auto" w:sz="0" w:space="0"/>
              </w:rPr>
              <w:t>十、服务成果及其他要求</w:t>
            </w:r>
          </w:p>
          <w:p w14:paraId="0D75132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eastAsia="仿宋_GB2312" w:cs="仿宋_GB2312"/>
                <w:color w:val="auto"/>
                <w:sz w:val="24"/>
                <w:szCs w:val="24"/>
                <w:bdr w:val="none" w:color="auto" w:sz="0" w:space="0"/>
              </w:rPr>
              <w:t>  （1）项目结束后形成培训成果两份，包括成果汇编，培训期间的工作简报，图片、音像资料（纸质+电子档）、考勤表、学员学习成果、满意度问卷。</w:t>
            </w:r>
            <w:r>
              <w:rPr>
                <w:rStyle w:val="7"/>
                <w:rFonts w:hint="default" w:ascii="仿宋_GB2312" w:eastAsia="仿宋_GB2312" w:cs="仿宋_GB2312"/>
                <w:color w:val="auto"/>
                <w:sz w:val="24"/>
                <w:szCs w:val="24"/>
                <w:bdr w:val="none" w:color="auto" w:sz="0" w:space="0"/>
              </w:rPr>
              <w:t>（提供承诺函，格式自拟）</w:t>
            </w:r>
          </w:p>
          <w:p w14:paraId="55B867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eastAsia="仿宋_GB2312" w:cs="仿宋_GB2312"/>
                <w:color w:val="auto"/>
                <w:sz w:val="24"/>
                <w:szCs w:val="24"/>
                <w:bdr w:val="none" w:color="auto" w:sz="0" w:space="0"/>
              </w:rPr>
              <w:t>  （2）成交人在提供服务过程中，获得或者产生的与本项目有关或因合作产生的包括但不限于资料、信息、材料、音频、视频、图片、备份材料等一切资料、信息、数据（以下简称“数据”），无论以何种形式或载于何种载体，无论在披露时是否以口头、图像或以书面方式表明其仅属于采购人（属于甘孜州教科所），未经采购人书面同意，成交人不得使用（不仅包含：整理、分析、披露）或者授权第三人使用该数据，否则，采购人保留追究成交人经济和法律责任的权利，造成采购人损失的，成交人应当全额赔偿。上述信息可以以数据、文字及记载上述内容的资料、光盘、软件、图书等有形媒介体现，也可通过口头等视听形式传递。未经甘孜州教科所书面许可，成交人不得对上述任何信息进行整理、分析及披露。</w:t>
            </w:r>
            <w:r>
              <w:rPr>
                <w:rStyle w:val="7"/>
                <w:rFonts w:hint="default" w:ascii="仿宋_GB2312" w:eastAsia="仿宋_GB2312" w:cs="仿宋_GB2312"/>
                <w:color w:val="auto"/>
                <w:sz w:val="24"/>
                <w:szCs w:val="24"/>
                <w:bdr w:val="none" w:color="auto" w:sz="0" w:space="0"/>
              </w:rPr>
              <w:t>（提供承诺函，格式自拟）</w:t>
            </w:r>
          </w:p>
          <w:p w14:paraId="01E492B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仿宋_GB2312" w:eastAsia="仿宋_GB2312" w:cs="仿宋_GB2312"/>
                <w:color w:val="auto"/>
                <w:sz w:val="24"/>
                <w:szCs w:val="24"/>
                <w:bdr w:val="none" w:color="auto" w:sz="0" w:space="0"/>
              </w:rPr>
              <w:t>  （3）合同履约过程中成交服务商须配备随行安全员，统筹交通、场地、食宿安全；统一为全体参训人员购买人身意外险；具备应急处置预案，处理参训人员身体不适、行程变更、极端天气等突发状况。成交人在合同履约期间，须对全体学员及相关工作人员做好安全保障措施，因合同履约期间发生的任何纠纷和安全责任事故等均由成交人全权负责和处理。</w:t>
            </w:r>
            <w:r>
              <w:rPr>
                <w:rStyle w:val="7"/>
                <w:rFonts w:hint="default" w:ascii="仿宋_GB2312" w:eastAsia="仿宋_GB2312" w:cs="仿宋_GB2312"/>
                <w:color w:val="auto"/>
                <w:sz w:val="24"/>
                <w:szCs w:val="24"/>
                <w:bdr w:val="none" w:color="auto" w:sz="0" w:space="0"/>
              </w:rPr>
              <w:t>（提供承诺函，格式自拟）</w:t>
            </w:r>
          </w:p>
          <w:p w14:paraId="5D5ECCC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2"/>
              <w:rPr>
                <w:color w:val="auto"/>
                <w:sz w:val="24"/>
                <w:szCs w:val="24"/>
              </w:rPr>
            </w:pPr>
            <w:r>
              <w:rPr>
                <w:rFonts w:hint="default" w:ascii="仿宋_GB2312" w:eastAsia="仿宋_GB2312" w:cs="仿宋_GB2312"/>
                <w:color w:val="auto"/>
                <w:sz w:val="24"/>
                <w:szCs w:val="24"/>
                <w:bdr w:val="none" w:color="auto" w:sz="0" w:space="0"/>
              </w:rPr>
              <w:t>  （4）报价应是最终采购人验收合格后的一切费用和磋商文件规定的其它一切费用。采购人不再另行支付。</w:t>
            </w:r>
            <w:r>
              <w:rPr>
                <w:rStyle w:val="7"/>
                <w:rFonts w:hint="default" w:ascii="仿宋_GB2312" w:eastAsia="仿宋_GB2312" w:cs="仿宋_GB2312"/>
                <w:color w:val="auto"/>
                <w:sz w:val="24"/>
                <w:szCs w:val="24"/>
                <w:bdr w:val="none" w:color="auto" w:sz="0" w:space="0"/>
              </w:rPr>
              <w:t>（提供承诺函，格式自拟）</w:t>
            </w:r>
          </w:p>
        </w:tc>
      </w:tr>
    </w:tbl>
    <w:p w14:paraId="00C69E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3.3.服务要求</w:t>
      </w:r>
    </w:p>
    <w:p w14:paraId="4CE565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3.3.1服务内容要求</w:t>
      </w:r>
    </w:p>
    <w:p w14:paraId="6A7F4D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7"/>
        <w:gridCol w:w="823"/>
        <w:gridCol w:w="1625"/>
        <w:gridCol w:w="5421"/>
      </w:tblGrid>
      <w:tr w14:paraId="15AEB1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BF912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F6779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832B7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A10FF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服务要求内容</w:t>
            </w:r>
          </w:p>
        </w:tc>
      </w:tr>
      <w:tr w14:paraId="752AC0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B684F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67E0E3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3.3.2.商务要求</w:t>
      </w:r>
    </w:p>
    <w:p w14:paraId="25F7BB3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54"/>
        <w:gridCol w:w="855"/>
        <w:gridCol w:w="2137"/>
        <w:gridCol w:w="4700"/>
      </w:tblGrid>
      <w:tr w14:paraId="772E14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746E00">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0E1931">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12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4E56FD">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商务要求名称</w:t>
            </w:r>
          </w:p>
        </w:tc>
        <w:tc>
          <w:tcPr>
            <w:tcW w:w="27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B3A385">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商务要求内容</w:t>
            </w:r>
          </w:p>
        </w:tc>
      </w:tr>
      <w:tr w14:paraId="55D187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34A7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BF5B4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C0DE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服务期限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BA5F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2026年11月30日前完成。</w:t>
            </w:r>
          </w:p>
        </w:tc>
      </w:tr>
      <w:tr w14:paraId="4FEF61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AA38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8C7C1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5D572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服务地点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B0F0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成都市区内，采购人指定地点。服从采购人工作安排。</w:t>
            </w:r>
          </w:p>
        </w:tc>
      </w:tr>
      <w:tr w14:paraId="3FD2B9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069E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B977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A0AD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验收、交付标准和方法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FAC42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严格按照《财政部关于进一步加强政府采购需求和履约验收管理的指导意见》（财库〔2016〕205号）的要求、采购文件的服务要求和技术指标、成交供应商的响应文件及承诺以及合同约定标准进行验收。</w:t>
            </w:r>
          </w:p>
        </w:tc>
      </w:tr>
      <w:tr w14:paraId="3A3012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5724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FDAF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ECE9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支付方式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478E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分期付款</w:t>
            </w:r>
          </w:p>
        </w:tc>
      </w:tr>
      <w:tr w14:paraId="159960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ECC3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C70C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BAB8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付款进度安排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94399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1付款条件：合同签订次日起，达到该付款条件起10个工作日内，支付合同总金额的60.00%</w:t>
            </w:r>
          </w:p>
          <w:p w14:paraId="619A00F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2付款条件：验收合格次日起，达到该付款条件起10个工作日内，支付合同总金额的40.00%</w:t>
            </w:r>
          </w:p>
        </w:tc>
      </w:tr>
      <w:tr w14:paraId="538E8E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22D3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F461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67BA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违约责任与解决争议的方法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69DF8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违约责任：1、成交供应商必须遵守采购合同并执行合同中的各项规定，保证采购合同的正常履行。2、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解决争议的方法：1、合同履行期间，若双方发生争议，可协商或由有关部门调解解决，协商或调解不成的，向项目所在地法院判决。2、法院判决应为最终决定，并对双方具有约束力。3、除另有判决外，判决费应由败诉方负担。4、在判决期间，除正在进行判决部分外，合同其他部分继续执行。</w:t>
            </w:r>
          </w:p>
        </w:tc>
      </w:tr>
    </w:tbl>
    <w:p w14:paraId="0D39AB5B">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5A1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2026-09-21T04:00:20Z</dcterms:created>
  <dc:creator>Dell</dc:creator>
  <cp:lastModifiedBy>小fan</cp:lastModifiedBy>
  <dcterms:modified xsi:type="dcterms:W3CDTF">2026-09-21T04:00:36Z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eyJoZGlkIjoiN2IxMzMwOTQ1MjRiOTI4NjRhYjg4YTc3NjQ1Y2E5NGEiLCJ1c2VySWQiOiI0OTEzMjE2MTIifQ==</vt:lpwstr>
  </property>
  <property fmtid="{D5CDD505-2E9C-101B-9397-08002B2CF9AE}" pid="4" name="ICV">
    <vt:lpwstr>D8CF2F3809A743BA9B5259E4CA02ED4B_12</vt:lpwstr>
  </property>
</Properties>
</file>