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87BB8">
      <w:pPr>
        <w:spacing w:line="720" w:lineRule="auto"/>
        <w:jc w:val="center"/>
        <w:rPr>
          <w:rFonts w:hint="default" w:ascii="宋体" w:hAnsi="宋体" w:eastAsia="宋体"/>
          <w:b/>
          <w:color w:val="auto"/>
          <w:sz w:val="36"/>
          <w:szCs w:val="36"/>
          <w:highlight w:val="none"/>
          <w:lang w:val="en-US" w:eastAsia="zh-CN"/>
        </w:rPr>
      </w:pPr>
      <w:r>
        <w:rPr>
          <w:rFonts w:hint="eastAsia"/>
          <w:b/>
          <w:color w:val="auto"/>
          <w:sz w:val="36"/>
          <w:szCs w:val="36"/>
          <w:highlight w:val="none"/>
          <w:lang w:val="en-US" w:eastAsia="zh-CN"/>
        </w:rPr>
        <w:t>杞县农业农村局2026年农业社会化服务项目</w:t>
      </w:r>
    </w:p>
    <w:p w14:paraId="785262EB">
      <w:pPr>
        <w:spacing w:line="360" w:lineRule="auto"/>
        <w:jc w:val="center"/>
        <w:rPr>
          <w:rFonts w:ascii="宋体" w:hAnsi="宋体"/>
          <w:b/>
          <w:color w:val="auto"/>
          <w:sz w:val="72"/>
          <w:szCs w:val="72"/>
          <w:highlight w:val="none"/>
        </w:rPr>
      </w:pPr>
    </w:p>
    <w:p w14:paraId="5ED46EDE">
      <w:pPr>
        <w:spacing w:line="360" w:lineRule="auto"/>
        <w:jc w:val="center"/>
        <w:rPr>
          <w:rFonts w:hint="eastAsia" w:ascii="宋体" w:hAnsi="宋体" w:cs="Arial Unicode MS"/>
          <w:b/>
          <w:color w:val="auto"/>
          <w:sz w:val="24"/>
          <w:highlight w:val="none"/>
        </w:rPr>
      </w:pPr>
      <w:r>
        <w:rPr>
          <w:rFonts w:hint="eastAsia" w:ascii="宋体" w:hAnsi="宋体"/>
          <w:b/>
          <w:color w:val="auto"/>
          <w:sz w:val="84"/>
          <w:szCs w:val="84"/>
          <w:highlight w:val="none"/>
          <w:lang w:val="en-US" w:eastAsia="zh-CN"/>
        </w:rPr>
        <w:t>招标</w:t>
      </w:r>
      <w:r>
        <w:rPr>
          <w:rFonts w:hint="eastAsia" w:ascii="宋体" w:hAnsi="宋体"/>
          <w:b/>
          <w:color w:val="auto"/>
          <w:sz w:val="84"/>
          <w:szCs w:val="84"/>
          <w:highlight w:val="none"/>
        </w:rPr>
        <w:t>文件</w:t>
      </w:r>
    </w:p>
    <w:p w14:paraId="5CA60F74">
      <w:pPr>
        <w:spacing w:line="360" w:lineRule="auto"/>
        <w:jc w:val="center"/>
        <w:rPr>
          <w:rFonts w:ascii="宋体" w:hAnsi="宋体" w:cs="Arial Unicode MS"/>
          <w:b/>
          <w:bCs w:val="0"/>
          <w:color w:val="auto"/>
          <w:sz w:val="28"/>
          <w:szCs w:val="28"/>
          <w:highlight w:val="none"/>
        </w:rPr>
      </w:pPr>
      <w:r>
        <w:rPr>
          <w:rFonts w:hint="eastAsia" w:ascii="宋体" w:hAnsi="宋体" w:cs="Arial Unicode MS"/>
          <w:b/>
          <w:bCs w:val="0"/>
          <w:color w:val="auto"/>
          <w:sz w:val="28"/>
          <w:szCs w:val="28"/>
          <w:highlight w:val="none"/>
          <w:lang w:val="en-US" w:eastAsia="zh-CN"/>
        </w:rPr>
        <w:t>项目</w:t>
      </w:r>
      <w:r>
        <w:rPr>
          <w:rFonts w:hint="eastAsia" w:ascii="宋体" w:hAnsi="宋体" w:cs="Arial Unicode MS"/>
          <w:b/>
          <w:bCs w:val="0"/>
          <w:color w:val="auto"/>
          <w:sz w:val="28"/>
          <w:szCs w:val="28"/>
          <w:highlight w:val="none"/>
        </w:rPr>
        <w:t>编号：</w:t>
      </w:r>
      <w:r>
        <w:rPr>
          <w:rFonts w:hint="eastAsia" w:ascii="宋体" w:hAnsi="宋体" w:cs="Times New Roman"/>
          <w:b/>
          <w:bCs w:val="0"/>
          <w:color w:val="auto"/>
          <w:sz w:val="28"/>
          <w:szCs w:val="28"/>
          <w:highlight w:val="none"/>
          <w:lang w:val="en-US" w:eastAsia="zh-CN"/>
        </w:rPr>
        <w:t>汴杞财招标采购-2026-26</w:t>
      </w:r>
    </w:p>
    <w:p w14:paraId="270E4AC9">
      <w:pPr>
        <w:spacing w:line="360" w:lineRule="auto"/>
        <w:jc w:val="center"/>
        <w:rPr>
          <w:rFonts w:ascii="宋体" w:hAnsi="宋体" w:cs="Arial Unicode MS"/>
          <w:b/>
          <w:color w:val="auto"/>
          <w:sz w:val="24"/>
          <w:highlight w:val="none"/>
        </w:rPr>
      </w:pPr>
    </w:p>
    <w:p w14:paraId="7F9C0DAB">
      <w:pPr>
        <w:pStyle w:val="10"/>
        <w:rPr>
          <w:color w:val="auto"/>
          <w:highlight w:val="none"/>
        </w:rPr>
      </w:pPr>
    </w:p>
    <w:p w14:paraId="7721B47C">
      <w:pPr>
        <w:pStyle w:val="10"/>
        <w:rPr>
          <w:rFonts w:hint="eastAsia"/>
          <w:color w:val="auto"/>
          <w:highlight w:val="none"/>
        </w:rPr>
      </w:pPr>
    </w:p>
    <w:p w14:paraId="7E9DB06F">
      <w:pPr>
        <w:spacing w:line="360" w:lineRule="auto"/>
        <w:jc w:val="center"/>
        <w:rPr>
          <w:rFonts w:hint="eastAsia" w:ascii="宋体" w:hAnsi="宋体"/>
          <w:b/>
          <w:color w:val="auto"/>
          <w:sz w:val="84"/>
          <w:szCs w:val="84"/>
          <w:highlight w:val="none"/>
        </w:rPr>
      </w:pPr>
    </w:p>
    <w:p w14:paraId="290B557B">
      <w:pPr>
        <w:spacing w:line="360" w:lineRule="auto"/>
        <w:rPr>
          <w:rFonts w:hint="eastAsia" w:ascii="宋体" w:hAnsi="宋体"/>
          <w:b/>
          <w:color w:val="auto"/>
          <w:sz w:val="28"/>
          <w:szCs w:val="28"/>
          <w:highlight w:val="none"/>
        </w:rPr>
      </w:pPr>
    </w:p>
    <w:p w14:paraId="38A19759">
      <w:pPr>
        <w:spacing w:line="360" w:lineRule="auto"/>
        <w:ind w:firstLine="2129" w:firstLineChars="707"/>
        <w:rPr>
          <w:rFonts w:hint="eastAsia" w:ascii="宋体" w:hAnsi="宋体"/>
          <w:b/>
          <w:color w:val="auto"/>
          <w:sz w:val="30"/>
          <w:szCs w:val="30"/>
          <w:highlight w:val="none"/>
        </w:rPr>
      </w:pPr>
    </w:p>
    <w:p w14:paraId="1EB0BB8B">
      <w:pPr>
        <w:spacing w:line="360" w:lineRule="auto"/>
        <w:rPr>
          <w:rFonts w:hint="eastAsia" w:ascii="宋体" w:hAnsi="宋体"/>
          <w:b/>
          <w:color w:val="auto"/>
          <w:sz w:val="30"/>
          <w:szCs w:val="30"/>
          <w:highlight w:val="none"/>
        </w:rPr>
      </w:pPr>
    </w:p>
    <w:p w14:paraId="3453C18E">
      <w:pPr>
        <w:spacing w:line="360" w:lineRule="auto"/>
        <w:ind w:firstLine="1813" w:firstLineChars="645"/>
        <w:rPr>
          <w:rFonts w:hint="eastAsia" w:ascii="宋体" w:hAnsi="宋体" w:eastAsia="宋体" w:cs="Arial Unicode MS"/>
          <w:b/>
          <w:bCs/>
          <w:color w:val="auto"/>
          <w:sz w:val="28"/>
          <w:szCs w:val="28"/>
          <w:highlight w:val="none"/>
          <w:lang w:eastAsia="zh-CN"/>
        </w:rPr>
      </w:pPr>
      <w:r>
        <w:rPr>
          <w:rFonts w:hint="eastAsia" w:ascii="宋体" w:hAnsi="宋体" w:cs="Arial Unicode MS"/>
          <w:b/>
          <w:bCs/>
          <w:color w:val="auto"/>
          <w:sz w:val="28"/>
          <w:szCs w:val="28"/>
          <w:highlight w:val="none"/>
        </w:rPr>
        <w:t>采   购   人：杞县农业农村局</w:t>
      </w:r>
    </w:p>
    <w:p w14:paraId="3E1509ED">
      <w:pPr>
        <w:spacing w:line="360" w:lineRule="auto"/>
        <w:ind w:firstLine="1813" w:firstLineChars="645"/>
        <w:rPr>
          <w:rFonts w:hint="eastAsia" w:ascii="宋体" w:hAnsi="宋体" w:cs="Arial Unicode MS"/>
          <w:b/>
          <w:bCs/>
          <w:color w:val="auto"/>
          <w:sz w:val="28"/>
          <w:szCs w:val="28"/>
          <w:highlight w:val="none"/>
        </w:rPr>
      </w:pPr>
      <w:r>
        <w:rPr>
          <w:rFonts w:hint="eastAsia" w:ascii="宋体" w:hAnsi="宋体" w:cs="Arial Unicode MS"/>
          <w:b/>
          <w:bCs/>
          <w:color w:val="auto"/>
          <w:sz w:val="28"/>
          <w:szCs w:val="28"/>
          <w:highlight w:val="none"/>
        </w:rPr>
        <w:t>采购代理机构：中海域安项目管理咨询有限公司</w:t>
      </w:r>
    </w:p>
    <w:p w14:paraId="18A9D410">
      <w:pPr>
        <w:spacing w:line="360" w:lineRule="auto"/>
        <w:ind w:firstLine="1813" w:firstLineChars="645"/>
        <w:rPr>
          <w:rFonts w:ascii="宋体" w:hAnsi="宋体" w:cs="宋体"/>
          <w:bCs/>
          <w:color w:val="auto"/>
          <w:sz w:val="32"/>
          <w:szCs w:val="36"/>
          <w:highlight w:val="none"/>
        </w:rPr>
      </w:pPr>
      <w:r>
        <w:rPr>
          <w:rFonts w:hint="eastAsia" w:ascii="宋体" w:hAnsi="宋体" w:cs="Arial Unicode MS"/>
          <w:b/>
          <w:bCs/>
          <w:color w:val="auto"/>
          <w:sz w:val="28"/>
          <w:szCs w:val="28"/>
          <w:highlight w:val="none"/>
        </w:rPr>
        <w:t>日</w:t>
      </w:r>
      <w:r>
        <w:rPr>
          <w:rFonts w:hint="eastAsia" w:ascii="宋体" w:hAnsi="宋体" w:cs="Arial Unicode MS"/>
          <w:b/>
          <w:bCs/>
          <w:color w:val="auto"/>
          <w:sz w:val="28"/>
          <w:szCs w:val="28"/>
          <w:highlight w:val="none"/>
          <w:lang w:val="en-US" w:eastAsia="zh-CN"/>
        </w:rPr>
        <w:t xml:space="preserve">        </w:t>
      </w:r>
      <w:r>
        <w:rPr>
          <w:rFonts w:hint="eastAsia" w:ascii="宋体" w:hAnsi="宋体" w:cs="Arial Unicode MS"/>
          <w:b/>
          <w:bCs/>
          <w:color w:val="auto"/>
          <w:sz w:val="28"/>
          <w:szCs w:val="28"/>
          <w:highlight w:val="none"/>
        </w:rPr>
        <w:t>期：二〇二</w:t>
      </w:r>
      <w:r>
        <w:rPr>
          <w:rFonts w:hint="eastAsia" w:ascii="宋体" w:hAnsi="宋体" w:cs="Arial Unicode MS"/>
          <w:b/>
          <w:bCs/>
          <w:color w:val="auto"/>
          <w:sz w:val="28"/>
          <w:szCs w:val="28"/>
          <w:highlight w:val="none"/>
          <w:lang w:val="en-US" w:eastAsia="zh-CN"/>
        </w:rPr>
        <w:t>六</w:t>
      </w:r>
      <w:r>
        <w:rPr>
          <w:rFonts w:hint="eastAsia" w:ascii="宋体" w:hAnsi="宋体" w:cs="Arial Unicode MS"/>
          <w:b/>
          <w:bCs/>
          <w:color w:val="auto"/>
          <w:sz w:val="28"/>
          <w:szCs w:val="28"/>
          <w:highlight w:val="none"/>
        </w:rPr>
        <w:t>年</w:t>
      </w:r>
      <w:r>
        <w:rPr>
          <w:rFonts w:hint="eastAsia" w:ascii="宋体" w:hAnsi="宋体" w:cs="Arial Unicode MS"/>
          <w:b/>
          <w:bCs/>
          <w:color w:val="auto"/>
          <w:sz w:val="28"/>
          <w:szCs w:val="28"/>
          <w:highlight w:val="none"/>
          <w:lang w:val="en-US" w:eastAsia="zh-CN"/>
        </w:rPr>
        <w:t>八</w:t>
      </w:r>
      <w:r>
        <w:rPr>
          <w:rFonts w:hint="eastAsia" w:ascii="宋体" w:hAnsi="宋体" w:cs="Arial Unicode MS"/>
          <w:b/>
          <w:bCs/>
          <w:color w:val="auto"/>
          <w:sz w:val="28"/>
          <w:szCs w:val="28"/>
          <w:highlight w:val="none"/>
        </w:rPr>
        <w:t>月</w:t>
      </w:r>
    </w:p>
    <w:p w14:paraId="56BAAE77">
      <w:pPr>
        <w:spacing w:line="360" w:lineRule="auto"/>
        <w:rPr>
          <w:rFonts w:hint="default" w:eastAsia="宋体"/>
          <w:color w:val="auto"/>
          <w:highlight w:val="none"/>
          <w:lang w:val="en-US" w:eastAsia="zh-CN"/>
        </w:rPr>
      </w:pPr>
      <w:r>
        <w:rPr>
          <w:color w:val="auto"/>
          <w:highlight w:val="none"/>
        </w:rPr>
        <w:br w:type="page"/>
      </w:r>
    </w:p>
    <w:p w14:paraId="4F4E249C">
      <w:pPr>
        <w:pStyle w:val="14"/>
        <w:tabs>
          <w:tab w:val="right" w:leader="dot" w:pos="8844"/>
          <w:tab w:val="clear" w:pos="8834"/>
        </w:tabs>
        <w:spacing w:line="360" w:lineRule="auto"/>
        <w:rPr>
          <w:rFonts w:hint="eastAsia" w:ascii="宋体" w:hAnsi="宋体" w:eastAsia="宋体" w:cs="宋体"/>
          <w:b/>
          <w:color w:val="auto"/>
          <w:sz w:val="44"/>
          <w:szCs w:val="44"/>
          <w:highlight w:val="none"/>
          <w:lang w:eastAsia="zh-CN"/>
        </w:rPr>
      </w:pPr>
      <w:r>
        <w:rPr>
          <w:rFonts w:hint="eastAsia" w:ascii="宋体" w:hAnsi="宋体" w:eastAsia="宋体" w:cs="宋体"/>
          <w:b/>
          <w:color w:val="auto"/>
          <w:sz w:val="44"/>
          <w:szCs w:val="44"/>
          <w:highlight w:val="none"/>
          <w:lang w:eastAsia="zh-CN"/>
        </w:rPr>
        <w:drawing>
          <wp:inline distT="0" distB="0" distL="114300" distR="114300">
            <wp:extent cx="5570220" cy="7885430"/>
            <wp:effectExtent l="0" t="0" r="11430" b="1270"/>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9"/>
                    <a:stretch>
                      <a:fillRect/>
                    </a:stretch>
                  </pic:blipFill>
                  <pic:spPr>
                    <a:xfrm>
                      <a:off x="0" y="0"/>
                      <a:ext cx="5570220" cy="7885430"/>
                    </a:xfrm>
                    <a:prstGeom prst="rect">
                      <a:avLst/>
                    </a:prstGeom>
                  </pic:spPr>
                </pic:pic>
              </a:graphicData>
            </a:graphic>
          </wp:inline>
        </w:drawing>
      </w:r>
    </w:p>
    <w:p w14:paraId="0881F18D">
      <w:pPr>
        <w:pStyle w:val="14"/>
        <w:tabs>
          <w:tab w:val="right" w:leader="dot" w:pos="8844"/>
          <w:tab w:val="clear" w:pos="8834"/>
        </w:tabs>
        <w:spacing w:line="360" w:lineRule="auto"/>
        <w:rPr>
          <w:rFonts w:hint="eastAsia" w:ascii="宋体" w:hAnsi="宋体" w:cs="宋体"/>
          <w:b/>
          <w:color w:val="auto"/>
          <w:sz w:val="44"/>
          <w:szCs w:val="44"/>
          <w:highlight w:val="none"/>
        </w:rPr>
        <w:sectPr>
          <w:headerReference r:id="rId4" w:type="first"/>
          <w:footerReference r:id="rId6" w:type="first"/>
          <w:headerReference r:id="rId3" w:type="default"/>
          <w:footerReference r:id="rId5" w:type="default"/>
          <w:pgSz w:w="11906" w:h="16838"/>
          <w:pgMar w:top="1560" w:right="1559" w:bottom="1560" w:left="1559" w:header="851" w:footer="684" w:gutter="0"/>
          <w:pgNumType w:fmt="decimal" w:start="0"/>
          <w:cols w:space="720" w:num="1"/>
          <w:docGrid w:type="lines" w:linePitch="321" w:charSpace="0"/>
        </w:sectPr>
      </w:pPr>
    </w:p>
    <w:p w14:paraId="6966ED52">
      <w:pPr>
        <w:pStyle w:val="14"/>
        <w:tabs>
          <w:tab w:val="right" w:leader="dot" w:pos="8844"/>
          <w:tab w:val="clear" w:pos="8834"/>
        </w:tabs>
        <w:spacing w:line="360" w:lineRule="auto"/>
        <w:rPr>
          <w:rFonts w:ascii="宋体" w:hAnsi="宋体" w:cs="宋体"/>
          <w:b/>
          <w:color w:val="auto"/>
          <w:sz w:val="44"/>
          <w:szCs w:val="44"/>
          <w:highlight w:val="none"/>
        </w:rPr>
      </w:pPr>
      <w:r>
        <w:rPr>
          <w:rFonts w:hint="eastAsia" w:ascii="宋体" w:hAnsi="宋体" w:cs="宋体"/>
          <w:b/>
          <w:color w:val="auto"/>
          <w:sz w:val="44"/>
          <w:szCs w:val="44"/>
          <w:highlight w:val="none"/>
        </w:rPr>
        <w:t>目 录</w:t>
      </w:r>
    </w:p>
    <w:p w14:paraId="483A24E9">
      <w:pPr>
        <w:pStyle w:val="14"/>
        <w:spacing w:line="360" w:lineRule="auto"/>
        <w:rPr>
          <w:rFonts w:ascii="宋体" w:hAnsi="宋体" w:cs="宋体"/>
          <w:b/>
          <w:color w:val="auto"/>
          <w:sz w:val="32"/>
          <w:szCs w:val="32"/>
          <w:highlight w:val="none"/>
        </w:rPr>
      </w:pPr>
    </w:p>
    <w:p w14:paraId="23708858">
      <w:pPr>
        <w:pStyle w:val="14"/>
        <w:tabs>
          <w:tab w:val="right" w:leader="dot" w:pos="9746"/>
          <w:tab w:val="clear" w:pos="1260"/>
          <w:tab w:val="clear" w:pos="8834"/>
        </w:tabs>
        <w:rPr>
          <w:color w:val="auto"/>
          <w:highlight w:val="none"/>
        </w:rPr>
      </w:pPr>
      <w:r>
        <w:rPr>
          <w:rFonts w:hint="eastAsia" w:ascii="宋体" w:hAnsi="宋体" w:cs="宋体"/>
          <w:b/>
          <w:color w:val="auto"/>
          <w:sz w:val="24"/>
          <w:highlight w:val="none"/>
        </w:rPr>
        <w:fldChar w:fldCharType="begin"/>
      </w:r>
      <w:r>
        <w:rPr>
          <w:rFonts w:hint="eastAsia" w:ascii="宋体" w:hAnsi="宋体" w:cs="宋体"/>
          <w:b/>
          <w:color w:val="auto"/>
          <w:sz w:val="24"/>
          <w:highlight w:val="none"/>
        </w:rPr>
        <w:instrText xml:space="preserve">TOC \o "1-3" \t "" \h \z \u </w:instrText>
      </w:r>
      <w:r>
        <w:rPr>
          <w:rFonts w:hint="eastAsia" w:ascii="宋体" w:hAnsi="宋体" w:cs="宋体"/>
          <w:b/>
          <w:color w:val="auto"/>
          <w:sz w:val="24"/>
          <w:highlight w:val="none"/>
        </w:rPr>
        <w:fldChar w:fldCharType="separate"/>
      </w:r>
      <w:r>
        <w:rPr>
          <w:rFonts w:hint="eastAsia" w:ascii="宋体" w:hAnsi="宋体" w:cs="宋体"/>
          <w:color w:val="auto"/>
          <w:highlight w:val="none"/>
        </w:rPr>
        <w:fldChar w:fldCharType="begin"/>
      </w:r>
      <w:r>
        <w:rPr>
          <w:rFonts w:hint="eastAsia" w:ascii="宋体" w:hAnsi="宋体" w:cs="宋体"/>
          <w:color w:val="auto"/>
          <w:highlight w:val="none"/>
        </w:rPr>
        <w:instrText xml:space="preserve"> HYPERLINK \l _Toc5036 </w:instrText>
      </w:r>
      <w:r>
        <w:rPr>
          <w:rFonts w:hint="eastAsia" w:ascii="宋体" w:hAnsi="宋体" w:cs="宋体"/>
          <w:color w:val="auto"/>
          <w:highlight w:val="none"/>
        </w:rPr>
        <w:fldChar w:fldCharType="separate"/>
      </w:r>
      <w:r>
        <w:rPr>
          <w:rFonts w:hint="eastAsia" w:ascii="宋体" w:hAnsi="宋体" w:cs="宋体"/>
          <w:bCs/>
          <w:color w:val="auto"/>
          <w:highlight w:val="none"/>
        </w:rPr>
        <w:t>第一章</w:t>
      </w:r>
      <w:r>
        <w:rPr>
          <w:rFonts w:hint="eastAsia" w:ascii="宋体" w:hAnsi="宋体" w:cs="宋体"/>
          <w:bCs/>
          <w:color w:val="auto"/>
          <w:highlight w:val="none"/>
          <w:lang w:val="en-US" w:eastAsia="zh-CN"/>
        </w:rPr>
        <w:t xml:space="preserve"> </w:t>
      </w:r>
      <w:r>
        <w:rPr>
          <w:rFonts w:hint="eastAsia" w:ascii="宋体" w:hAnsi="宋体" w:cs="宋体"/>
          <w:bCs/>
          <w:color w:val="auto"/>
          <w:highlight w:val="none"/>
        </w:rPr>
        <w:t>招标公告</w:t>
      </w:r>
      <w:r>
        <w:rPr>
          <w:color w:val="auto"/>
          <w:highlight w:val="none"/>
        </w:rPr>
        <w:tab/>
      </w:r>
      <w:r>
        <w:rPr>
          <w:color w:val="auto"/>
          <w:highlight w:val="none"/>
        </w:rPr>
        <w:fldChar w:fldCharType="begin"/>
      </w:r>
      <w:r>
        <w:rPr>
          <w:color w:val="auto"/>
          <w:highlight w:val="none"/>
        </w:rPr>
        <w:instrText xml:space="preserve"> PAGEREF _Toc5036 \h </w:instrText>
      </w:r>
      <w:r>
        <w:rPr>
          <w:color w:val="auto"/>
          <w:highlight w:val="none"/>
        </w:rPr>
        <w:fldChar w:fldCharType="separate"/>
      </w:r>
      <w:r>
        <w:rPr>
          <w:color w:val="auto"/>
          <w:highlight w:val="none"/>
        </w:rPr>
        <w:t>3</w:t>
      </w:r>
      <w:r>
        <w:rPr>
          <w:color w:val="auto"/>
          <w:highlight w:val="none"/>
        </w:rPr>
        <w:fldChar w:fldCharType="end"/>
      </w:r>
      <w:r>
        <w:rPr>
          <w:rFonts w:hint="eastAsia" w:ascii="宋体" w:hAnsi="宋体" w:cs="宋体"/>
          <w:color w:val="auto"/>
          <w:highlight w:val="none"/>
        </w:rPr>
        <w:fldChar w:fldCharType="end"/>
      </w:r>
    </w:p>
    <w:p w14:paraId="64C24069">
      <w:pPr>
        <w:pStyle w:val="14"/>
        <w:tabs>
          <w:tab w:val="right" w:leader="dot" w:pos="9746"/>
          <w:tab w:val="clear" w:pos="1260"/>
          <w:tab w:val="clear" w:pos="8834"/>
        </w:tabs>
        <w:rPr>
          <w:color w:val="auto"/>
          <w:highlight w:val="none"/>
        </w:rPr>
      </w:pPr>
      <w:r>
        <w:rPr>
          <w:rFonts w:hint="eastAsia"/>
          <w:color w:val="auto"/>
          <w:highlight w:val="none"/>
        </w:rPr>
        <w:fldChar w:fldCharType="begin"/>
      </w:r>
      <w:r>
        <w:rPr>
          <w:rFonts w:hint="eastAsia"/>
          <w:color w:val="auto"/>
          <w:highlight w:val="none"/>
        </w:rPr>
        <w:instrText xml:space="preserve"> HYPERLINK \l _Toc9175 </w:instrText>
      </w:r>
      <w:r>
        <w:rPr>
          <w:rFonts w:hint="eastAsia"/>
          <w:color w:val="auto"/>
          <w:highlight w:val="none"/>
        </w:rPr>
        <w:fldChar w:fldCharType="separate"/>
      </w:r>
      <w:r>
        <w:rPr>
          <w:rFonts w:hint="eastAsia" w:ascii="宋体" w:hAnsi="宋体" w:cs="宋体"/>
          <w:color w:val="auto"/>
          <w:highlight w:val="none"/>
        </w:rPr>
        <w:t>第二章</w:t>
      </w:r>
      <w:r>
        <w:rPr>
          <w:rFonts w:hint="eastAsia" w:ascii="宋体" w:hAnsi="宋体" w:cs="宋体"/>
          <w:color w:val="auto"/>
          <w:highlight w:val="none"/>
          <w:lang w:val="en-US" w:eastAsia="zh-CN"/>
        </w:rPr>
        <w:t xml:space="preserve"> </w:t>
      </w:r>
      <w:r>
        <w:rPr>
          <w:rFonts w:hint="eastAsia" w:ascii="宋体" w:hAnsi="宋体" w:cs="宋体"/>
          <w:color w:val="auto"/>
          <w:highlight w:val="none"/>
        </w:rPr>
        <w:t>投标人须知</w:t>
      </w:r>
      <w:r>
        <w:rPr>
          <w:color w:val="auto"/>
          <w:highlight w:val="none"/>
        </w:rPr>
        <w:tab/>
      </w:r>
      <w:r>
        <w:rPr>
          <w:color w:val="auto"/>
          <w:highlight w:val="none"/>
        </w:rPr>
        <w:fldChar w:fldCharType="begin"/>
      </w:r>
      <w:r>
        <w:rPr>
          <w:color w:val="auto"/>
          <w:highlight w:val="none"/>
        </w:rPr>
        <w:instrText xml:space="preserve"> PAGEREF _Toc9175 \h </w:instrText>
      </w:r>
      <w:r>
        <w:rPr>
          <w:color w:val="auto"/>
          <w:highlight w:val="none"/>
        </w:rPr>
        <w:fldChar w:fldCharType="separate"/>
      </w:r>
      <w:r>
        <w:rPr>
          <w:color w:val="auto"/>
          <w:highlight w:val="none"/>
        </w:rPr>
        <w:t>7</w:t>
      </w:r>
      <w:r>
        <w:rPr>
          <w:color w:val="auto"/>
          <w:highlight w:val="none"/>
        </w:rPr>
        <w:fldChar w:fldCharType="end"/>
      </w:r>
      <w:r>
        <w:rPr>
          <w:rFonts w:hint="eastAsia"/>
          <w:color w:val="auto"/>
          <w:highlight w:val="none"/>
        </w:rPr>
        <w:fldChar w:fldCharType="end"/>
      </w:r>
    </w:p>
    <w:p w14:paraId="1CEE3D82">
      <w:pPr>
        <w:pStyle w:val="14"/>
        <w:tabs>
          <w:tab w:val="right" w:leader="dot" w:pos="9746"/>
          <w:tab w:val="clear" w:pos="1260"/>
          <w:tab w:val="clear" w:pos="8834"/>
        </w:tabs>
        <w:rPr>
          <w:color w:val="auto"/>
          <w:highlight w:val="none"/>
        </w:rPr>
      </w:pPr>
      <w:r>
        <w:rPr>
          <w:rFonts w:hint="eastAsia"/>
          <w:color w:val="auto"/>
          <w:highlight w:val="none"/>
        </w:rPr>
        <w:fldChar w:fldCharType="begin"/>
      </w:r>
      <w:r>
        <w:rPr>
          <w:rFonts w:hint="eastAsia"/>
          <w:color w:val="auto"/>
          <w:highlight w:val="none"/>
        </w:rPr>
        <w:instrText xml:space="preserve"> HYPERLINK \l _Toc28401 </w:instrText>
      </w:r>
      <w:r>
        <w:rPr>
          <w:rFonts w:hint="eastAsia"/>
          <w:color w:val="auto"/>
          <w:highlight w:val="none"/>
        </w:rPr>
        <w:fldChar w:fldCharType="separate"/>
      </w:r>
      <w:r>
        <w:rPr>
          <w:rFonts w:hint="eastAsia" w:ascii="宋体" w:hAnsi="宋体" w:cs="宋体"/>
          <w:bCs w:val="0"/>
          <w:color w:val="auto"/>
          <w:highlight w:val="none"/>
        </w:rPr>
        <w:t>第三章</w:t>
      </w:r>
      <w:r>
        <w:rPr>
          <w:rFonts w:hint="eastAsia" w:ascii="宋体" w:hAnsi="宋体" w:cs="宋体"/>
          <w:bCs w:val="0"/>
          <w:color w:val="auto"/>
          <w:highlight w:val="none"/>
          <w:lang w:val="en-US" w:eastAsia="zh-CN"/>
        </w:rPr>
        <w:t xml:space="preserve"> </w:t>
      </w:r>
      <w:r>
        <w:rPr>
          <w:rFonts w:hint="eastAsia" w:ascii="宋体" w:hAnsi="宋体" w:cs="宋体"/>
          <w:bCs w:val="0"/>
          <w:color w:val="auto"/>
          <w:highlight w:val="none"/>
        </w:rPr>
        <w:t>评标办法</w:t>
      </w:r>
      <w:r>
        <w:rPr>
          <w:color w:val="auto"/>
          <w:highlight w:val="none"/>
        </w:rPr>
        <w:tab/>
      </w:r>
      <w:r>
        <w:rPr>
          <w:color w:val="auto"/>
          <w:highlight w:val="none"/>
        </w:rPr>
        <w:fldChar w:fldCharType="begin"/>
      </w:r>
      <w:r>
        <w:rPr>
          <w:color w:val="auto"/>
          <w:highlight w:val="none"/>
        </w:rPr>
        <w:instrText xml:space="preserve"> PAGEREF _Toc28401 \h </w:instrText>
      </w:r>
      <w:r>
        <w:rPr>
          <w:color w:val="auto"/>
          <w:highlight w:val="none"/>
        </w:rPr>
        <w:fldChar w:fldCharType="separate"/>
      </w:r>
      <w:r>
        <w:rPr>
          <w:color w:val="auto"/>
          <w:highlight w:val="none"/>
        </w:rPr>
        <w:t>22</w:t>
      </w:r>
      <w:r>
        <w:rPr>
          <w:color w:val="auto"/>
          <w:highlight w:val="none"/>
        </w:rPr>
        <w:fldChar w:fldCharType="end"/>
      </w:r>
      <w:r>
        <w:rPr>
          <w:rFonts w:hint="eastAsia"/>
          <w:color w:val="auto"/>
          <w:highlight w:val="none"/>
        </w:rPr>
        <w:fldChar w:fldCharType="end"/>
      </w:r>
    </w:p>
    <w:p w14:paraId="5F28C0FC">
      <w:pPr>
        <w:pStyle w:val="14"/>
        <w:tabs>
          <w:tab w:val="right" w:leader="dot" w:pos="9746"/>
          <w:tab w:val="clear" w:pos="1260"/>
          <w:tab w:val="clear" w:pos="8834"/>
        </w:tabs>
        <w:rPr>
          <w:color w:val="auto"/>
          <w:highlight w:val="none"/>
        </w:rPr>
      </w:pPr>
      <w:r>
        <w:rPr>
          <w:rFonts w:hint="eastAsia"/>
          <w:color w:val="auto"/>
          <w:highlight w:val="none"/>
        </w:rPr>
        <w:fldChar w:fldCharType="begin"/>
      </w:r>
      <w:r>
        <w:rPr>
          <w:rFonts w:hint="eastAsia"/>
          <w:color w:val="auto"/>
          <w:highlight w:val="none"/>
        </w:rPr>
        <w:instrText xml:space="preserve"> HYPERLINK \l _Toc9470 </w:instrText>
      </w:r>
      <w:r>
        <w:rPr>
          <w:rFonts w:hint="eastAsia"/>
          <w:color w:val="auto"/>
          <w:highlight w:val="none"/>
        </w:rPr>
        <w:fldChar w:fldCharType="separate"/>
      </w:r>
      <w:r>
        <w:rPr>
          <w:rFonts w:hint="eastAsia" w:ascii="宋体" w:hAnsi="宋体" w:cs="宋体"/>
          <w:color w:val="auto"/>
          <w:highlight w:val="none"/>
        </w:rPr>
        <w:t>第四章</w:t>
      </w:r>
      <w:r>
        <w:rPr>
          <w:rFonts w:hint="eastAsia" w:ascii="宋体" w:hAnsi="宋体" w:cs="宋体"/>
          <w:color w:val="auto"/>
          <w:highlight w:val="none"/>
          <w:lang w:val="en-US" w:eastAsia="zh-CN"/>
        </w:rPr>
        <w:t xml:space="preserve"> </w:t>
      </w:r>
      <w:r>
        <w:rPr>
          <w:rFonts w:hint="eastAsia" w:ascii="宋体" w:hAnsi="宋体" w:cs="宋体"/>
          <w:color w:val="auto"/>
          <w:highlight w:val="none"/>
        </w:rPr>
        <w:t>政府采购合同</w:t>
      </w:r>
      <w:r>
        <w:rPr>
          <w:color w:val="auto"/>
          <w:highlight w:val="none"/>
        </w:rPr>
        <w:tab/>
      </w:r>
      <w:r>
        <w:rPr>
          <w:color w:val="auto"/>
          <w:highlight w:val="none"/>
        </w:rPr>
        <w:fldChar w:fldCharType="begin"/>
      </w:r>
      <w:r>
        <w:rPr>
          <w:color w:val="auto"/>
          <w:highlight w:val="none"/>
        </w:rPr>
        <w:instrText xml:space="preserve"> PAGEREF _Toc9470 \h </w:instrText>
      </w:r>
      <w:r>
        <w:rPr>
          <w:color w:val="auto"/>
          <w:highlight w:val="none"/>
        </w:rPr>
        <w:fldChar w:fldCharType="separate"/>
      </w:r>
      <w:r>
        <w:rPr>
          <w:color w:val="auto"/>
          <w:highlight w:val="none"/>
        </w:rPr>
        <w:t>28</w:t>
      </w:r>
      <w:r>
        <w:rPr>
          <w:color w:val="auto"/>
          <w:highlight w:val="none"/>
        </w:rPr>
        <w:fldChar w:fldCharType="end"/>
      </w:r>
      <w:r>
        <w:rPr>
          <w:rFonts w:hint="eastAsia"/>
          <w:color w:val="auto"/>
          <w:highlight w:val="none"/>
        </w:rPr>
        <w:fldChar w:fldCharType="end"/>
      </w:r>
    </w:p>
    <w:p w14:paraId="2800F93F">
      <w:pPr>
        <w:pStyle w:val="14"/>
        <w:tabs>
          <w:tab w:val="right" w:leader="dot" w:pos="9746"/>
          <w:tab w:val="clear" w:pos="1260"/>
          <w:tab w:val="clear" w:pos="8834"/>
        </w:tabs>
        <w:rPr>
          <w:color w:val="auto"/>
          <w:highlight w:val="none"/>
        </w:rPr>
      </w:pPr>
      <w:r>
        <w:rPr>
          <w:rFonts w:hint="eastAsia"/>
          <w:color w:val="auto"/>
          <w:highlight w:val="none"/>
        </w:rPr>
        <w:fldChar w:fldCharType="begin"/>
      </w:r>
      <w:r>
        <w:rPr>
          <w:rFonts w:hint="eastAsia"/>
          <w:color w:val="auto"/>
          <w:highlight w:val="none"/>
        </w:rPr>
        <w:instrText xml:space="preserve"> HYPERLINK \l _Toc24122 </w:instrText>
      </w:r>
      <w:r>
        <w:rPr>
          <w:rFonts w:hint="eastAsia"/>
          <w:color w:val="auto"/>
          <w:highlight w:val="none"/>
        </w:rPr>
        <w:fldChar w:fldCharType="separate"/>
      </w:r>
      <w:r>
        <w:rPr>
          <w:rFonts w:hint="eastAsia" w:ascii="宋体" w:hAnsi="宋体" w:cs="宋体"/>
          <w:bCs/>
          <w:color w:val="auto"/>
          <w:highlight w:val="none"/>
        </w:rPr>
        <w:t>第五章</w:t>
      </w:r>
      <w:r>
        <w:rPr>
          <w:rFonts w:hint="eastAsia" w:ascii="宋体" w:hAnsi="宋体" w:cs="宋体"/>
          <w:bCs/>
          <w:color w:val="auto"/>
          <w:highlight w:val="none"/>
          <w:lang w:val="en-US" w:eastAsia="zh-CN"/>
        </w:rPr>
        <w:t xml:space="preserve"> </w:t>
      </w:r>
      <w:r>
        <w:rPr>
          <w:rFonts w:hint="eastAsia" w:ascii="宋体" w:hAnsi="宋体" w:cs="宋体"/>
          <w:bCs/>
          <w:color w:val="auto"/>
          <w:highlight w:val="none"/>
        </w:rPr>
        <w:t>项目</w:t>
      </w:r>
      <w:r>
        <w:rPr>
          <w:rFonts w:ascii="宋体" w:hAnsi="宋体" w:cs="宋体"/>
          <w:bCs/>
          <w:color w:val="auto"/>
          <w:highlight w:val="none"/>
        </w:rPr>
        <w:t>服务内容</w:t>
      </w:r>
      <w:r>
        <w:rPr>
          <w:rFonts w:hint="eastAsia" w:ascii="宋体" w:hAnsi="宋体" w:cs="宋体"/>
          <w:bCs/>
          <w:color w:val="auto"/>
          <w:highlight w:val="none"/>
        </w:rPr>
        <w:t>及要求</w:t>
      </w:r>
      <w:r>
        <w:rPr>
          <w:color w:val="auto"/>
          <w:highlight w:val="none"/>
        </w:rPr>
        <w:tab/>
      </w:r>
      <w:r>
        <w:rPr>
          <w:color w:val="auto"/>
          <w:highlight w:val="none"/>
        </w:rPr>
        <w:fldChar w:fldCharType="begin"/>
      </w:r>
      <w:r>
        <w:rPr>
          <w:color w:val="auto"/>
          <w:highlight w:val="none"/>
        </w:rPr>
        <w:instrText xml:space="preserve"> PAGEREF _Toc24122 \h </w:instrText>
      </w:r>
      <w:r>
        <w:rPr>
          <w:color w:val="auto"/>
          <w:highlight w:val="none"/>
        </w:rPr>
        <w:fldChar w:fldCharType="separate"/>
      </w:r>
      <w:r>
        <w:rPr>
          <w:color w:val="auto"/>
          <w:highlight w:val="none"/>
        </w:rPr>
        <w:t>29</w:t>
      </w:r>
      <w:r>
        <w:rPr>
          <w:color w:val="auto"/>
          <w:highlight w:val="none"/>
        </w:rPr>
        <w:fldChar w:fldCharType="end"/>
      </w:r>
      <w:r>
        <w:rPr>
          <w:rFonts w:hint="eastAsia"/>
          <w:color w:val="auto"/>
          <w:highlight w:val="none"/>
        </w:rPr>
        <w:fldChar w:fldCharType="end"/>
      </w:r>
    </w:p>
    <w:p w14:paraId="22FD5D41">
      <w:pPr>
        <w:pStyle w:val="14"/>
        <w:tabs>
          <w:tab w:val="right" w:leader="dot" w:pos="9746"/>
          <w:tab w:val="clear" w:pos="1260"/>
          <w:tab w:val="clear" w:pos="8834"/>
        </w:tabs>
        <w:rPr>
          <w:color w:val="auto"/>
          <w:highlight w:val="none"/>
        </w:rPr>
      </w:pPr>
      <w:r>
        <w:rPr>
          <w:rFonts w:hint="eastAsia"/>
          <w:color w:val="auto"/>
          <w:highlight w:val="none"/>
        </w:rPr>
        <w:fldChar w:fldCharType="begin"/>
      </w:r>
      <w:r>
        <w:rPr>
          <w:rFonts w:hint="eastAsia"/>
          <w:color w:val="auto"/>
          <w:highlight w:val="none"/>
        </w:rPr>
        <w:instrText xml:space="preserve"> HYPERLINK \l _Toc31758 </w:instrText>
      </w:r>
      <w:r>
        <w:rPr>
          <w:rFonts w:hint="eastAsia"/>
          <w:color w:val="auto"/>
          <w:highlight w:val="none"/>
        </w:rPr>
        <w:fldChar w:fldCharType="separate"/>
      </w:r>
      <w:r>
        <w:rPr>
          <w:rFonts w:hint="eastAsia"/>
          <w:bCs/>
          <w:color w:val="auto"/>
          <w:highlight w:val="none"/>
        </w:rPr>
        <w:t>第六章</w:t>
      </w:r>
      <w:r>
        <w:rPr>
          <w:rFonts w:hint="eastAsia"/>
          <w:bCs/>
          <w:color w:val="auto"/>
          <w:highlight w:val="none"/>
          <w:lang w:val="en-US" w:eastAsia="zh-CN"/>
        </w:rPr>
        <w:t xml:space="preserve"> </w:t>
      </w:r>
      <w:r>
        <w:rPr>
          <w:rFonts w:hint="eastAsia"/>
          <w:bCs/>
          <w:color w:val="auto"/>
          <w:highlight w:val="none"/>
        </w:rPr>
        <w:t>投标文件格式</w:t>
      </w:r>
      <w:r>
        <w:rPr>
          <w:color w:val="auto"/>
          <w:highlight w:val="none"/>
        </w:rPr>
        <w:tab/>
      </w:r>
      <w:r>
        <w:rPr>
          <w:color w:val="auto"/>
          <w:highlight w:val="none"/>
        </w:rPr>
        <w:fldChar w:fldCharType="begin"/>
      </w:r>
      <w:r>
        <w:rPr>
          <w:color w:val="auto"/>
          <w:highlight w:val="none"/>
        </w:rPr>
        <w:instrText xml:space="preserve"> PAGEREF _Toc31758 \h </w:instrText>
      </w:r>
      <w:r>
        <w:rPr>
          <w:color w:val="auto"/>
          <w:highlight w:val="none"/>
        </w:rPr>
        <w:fldChar w:fldCharType="separate"/>
      </w:r>
      <w:r>
        <w:rPr>
          <w:color w:val="auto"/>
          <w:highlight w:val="none"/>
        </w:rPr>
        <w:t>31</w:t>
      </w:r>
      <w:r>
        <w:rPr>
          <w:color w:val="auto"/>
          <w:highlight w:val="none"/>
        </w:rPr>
        <w:fldChar w:fldCharType="end"/>
      </w:r>
      <w:r>
        <w:rPr>
          <w:rFonts w:hint="eastAsia"/>
          <w:color w:val="auto"/>
          <w:highlight w:val="none"/>
        </w:rPr>
        <w:fldChar w:fldCharType="end"/>
      </w:r>
    </w:p>
    <w:p w14:paraId="25D9E2C4">
      <w:pPr>
        <w:pStyle w:val="15"/>
        <w:tabs>
          <w:tab w:val="right" w:leader="dot" w:pos="9746"/>
        </w:tabs>
        <w:rPr>
          <w:color w:val="auto"/>
          <w:highlight w:val="none"/>
        </w:rPr>
      </w:pPr>
      <w:r>
        <w:rPr>
          <w:rFonts w:hint="eastAsia"/>
          <w:color w:val="auto"/>
          <w:highlight w:val="none"/>
        </w:rPr>
        <w:fldChar w:fldCharType="begin"/>
      </w:r>
      <w:r>
        <w:rPr>
          <w:rFonts w:hint="eastAsia"/>
          <w:color w:val="auto"/>
          <w:highlight w:val="none"/>
        </w:rPr>
        <w:instrText xml:space="preserve"> HYPERLINK \l _Toc29421 </w:instrText>
      </w:r>
      <w:r>
        <w:rPr>
          <w:rFonts w:hint="eastAsia"/>
          <w:color w:val="auto"/>
          <w:highlight w:val="none"/>
        </w:rPr>
        <w:fldChar w:fldCharType="separate"/>
      </w:r>
      <w:r>
        <w:rPr>
          <w:rFonts w:hint="eastAsia" w:ascii="宋体" w:hAnsi="宋体" w:cs="宋体"/>
          <w:color w:val="auto"/>
          <w:highlight w:val="none"/>
        </w:rPr>
        <w:t>一、投标函及开标一览表</w:t>
      </w:r>
      <w:r>
        <w:rPr>
          <w:color w:val="auto"/>
          <w:highlight w:val="none"/>
        </w:rPr>
        <w:tab/>
      </w:r>
      <w:r>
        <w:rPr>
          <w:color w:val="auto"/>
          <w:highlight w:val="none"/>
        </w:rPr>
        <w:fldChar w:fldCharType="begin"/>
      </w:r>
      <w:r>
        <w:rPr>
          <w:color w:val="auto"/>
          <w:highlight w:val="none"/>
        </w:rPr>
        <w:instrText xml:space="preserve"> PAGEREF _Toc29421 \h </w:instrText>
      </w:r>
      <w:r>
        <w:rPr>
          <w:color w:val="auto"/>
          <w:highlight w:val="none"/>
        </w:rPr>
        <w:fldChar w:fldCharType="separate"/>
      </w:r>
      <w:r>
        <w:rPr>
          <w:color w:val="auto"/>
          <w:highlight w:val="none"/>
        </w:rPr>
        <w:t>33</w:t>
      </w:r>
      <w:r>
        <w:rPr>
          <w:color w:val="auto"/>
          <w:highlight w:val="none"/>
        </w:rPr>
        <w:fldChar w:fldCharType="end"/>
      </w:r>
      <w:r>
        <w:rPr>
          <w:rFonts w:hint="eastAsia"/>
          <w:color w:val="auto"/>
          <w:highlight w:val="none"/>
        </w:rPr>
        <w:fldChar w:fldCharType="end"/>
      </w:r>
    </w:p>
    <w:p w14:paraId="656E7C45">
      <w:pPr>
        <w:pStyle w:val="15"/>
        <w:tabs>
          <w:tab w:val="right" w:leader="dot" w:pos="9746"/>
        </w:tabs>
        <w:rPr>
          <w:color w:val="auto"/>
          <w:highlight w:val="none"/>
        </w:rPr>
      </w:pPr>
      <w:r>
        <w:rPr>
          <w:rFonts w:hint="eastAsia"/>
          <w:color w:val="auto"/>
          <w:highlight w:val="none"/>
        </w:rPr>
        <w:fldChar w:fldCharType="begin"/>
      </w:r>
      <w:r>
        <w:rPr>
          <w:rFonts w:hint="eastAsia"/>
          <w:color w:val="auto"/>
          <w:highlight w:val="none"/>
        </w:rPr>
        <w:instrText xml:space="preserve"> HYPERLINK \l _Toc22122 </w:instrText>
      </w:r>
      <w:r>
        <w:rPr>
          <w:rFonts w:hint="eastAsia"/>
          <w:color w:val="auto"/>
          <w:highlight w:val="none"/>
        </w:rPr>
        <w:fldChar w:fldCharType="separate"/>
      </w:r>
      <w:r>
        <w:rPr>
          <w:rFonts w:hint="eastAsia" w:ascii="宋体" w:hAnsi="宋体" w:cs="宋体"/>
          <w:color w:val="auto"/>
          <w:szCs w:val="28"/>
          <w:highlight w:val="none"/>
        </w:rPr>
        <w:t>三、法人授权委托书</w:t>
      </w:r>
      <w:r>
        <w:rPr>
          <w:color w:val="auto"/>
          <w:highlight w:val="none"/>
        </w:rPr>
        <w:tab/>
      </w:r>
      <w:r>
        <w:rPr>
          <w:color w:val="auto"/>
          <w:highlight w:val="none"/>
        </w:rPr>
        <w:fldChar w:fldCharType="begin"/>
      </w:r>
      <w:r>
        <w:rPr>
          <w:color w:val="auto"/>
          <w:highlight w:val="none"/>
        </w:rPr>
        <w:instrText xml:space="preserve"> PAGEREF _Toc22122 \h </w:instrText>
      </w:r>
      <w:r>
        <w:rPr>
          <w:color w:val="auto"/>
          <w:highlight w:val="none"/>
        </w:rPr>
        <w:fldChar w:fldCharType="separate"/>
      </w:r>
      <w:r>
        <w:rPr>
          <w:color w:val="auto"/>
          <w:highlight w:val="none"/>
        </w:rPr>
        <w:t>36</w:t>
      </w:r>
      <w:r>
        <w:rPr>
          <w:color w:val="auto"/>
          <w:highlight w:val="none"/>
        </w:rPr>
        <w:fldChar w:fldCharType="end"/>
      </w:r>
      <w:r>
        <w:rPr>
          <w:rFonts w:hint="eastAsia"/>
          <w:color w:val="auto"/>
          <w:highlight w:val="none"/>
        </w:rPr>
        <w:fldChar w:fldCharType="end"/>
      </w:r>
    </w:p>
    <w:p w14:paraId="60445CD2">
      <w:pPr>
        <w:pStyle w:val="15"/>
        <w:tabs>
          <w:tab w:val="right" w:leader="dot" w:pos="9746"/>
        </w:tabs>
        <w:rPr>
          <w:color w:val="auto"/>
          <w:highlight w:val="none"/>
        </w:rPr>
      </w:pPr>
      <w:r>
        <w:rPr>
          <w:rFonts w:hint="eastAsia"/>
          <w:color w:val="auto"/>
          <w:highlight w:val="none"/>
        </w:rPr>
        <w:fldChar w:fldCharType="begin"/>
      </w:r>
      <w:r>
        <w:rPr>
          <w:rFonts w:hint="eastAsia"/>
          <w:color w:val="auto"/>
          <w:highlight w:val="none"/>
        </w:rPr>
        <w:instrText xml:space="preserve"> HYPERLINK \l _Toc26644 </w:instrText>
      </w:r>
      <w:r>
        <w:rPr>
          <w:rFonts w:hint="eastAsia"/>
          <w:color w:val="auto"/>
          <w:highlight w:val="none"/>
        </w:rPr>
        <w:fldChar w:fldCharType="separate"/>
      </w:r>
      <w:r>
        <w:rPr>
          <w:rFonts w:hint="eastAsia" w:ascii="宋体" w:hAnsi="宋体" w:cs="宋体"/>
          <w:color w:val="auto"/>
          <w:szCs w:val="28"/>
          <w:highlight w:val="none"/>
        </w:rPr>
        <w:t>四、技术偏差表</w:t>
      </w:r>
      <w:r>
        <w:rPr>
          <w:color w:val="auto"/>
          <w:highlight w:val="none"/>
        </w:rPr>
        <w:tab/>
      </w:r>
      <w:r>
        <w:rPr>
          <w:color w:val="auto"/>
          <w:highlight w:val="none"/>
        </w:rPr>
        <w:fldChar w:fldCharType="begin"/>
      </w:r>
      <w:r>
        <w:rPr>
          <w:color w:val="auto"/>
          <w:highlight w:val="none"/>
        </w:rPr>
        <w:instrText xml:space="preserve"> PAGEREF _Toc26644 \h </w:instrText>
      </w:r>
      <w:r>
        <w:rPr>
          <w:color w:val="auto"/>
          <w:highlight w:val="none"/>
        </w:rPr>
        <w:fldChar w:fldCharType="separate"/>
      </w:r>
      <w:r>
        <w:rPr>
          <w:color w:val="auto"/>
          <w:highlight w:val="none"/>
        </w:rPr>
        <w:t>37</w:t>
      </w:r>
      <w:r>
        <w:rPr>
          <w:color w:val="auto"/>
          <w:highlight w:val="none"/>
        </w:rPr>
        <w:fldChar w:fldCharType="end"/>
      </w:r>
      <w:r>
        <w:rPr>
          <w:rFonts w:hint="eastAsia"/>
          <w:color w:val="auto"/>
          <w:highlight w:val="none"/>
        </w:rPr>
        <w:fldChar w:fldCharType="end"/>
      </w:r>
    </w:p>
    <w:p w14:paraId="1BA3D587">
      <w:pPr>
        <w:pStyle w:val="15"/>
        <w:tabs>
          <w:tab w:val="right" w:leader="dot" w:pos="9746"/>
        </w:tabs>
        <w:rPr>
          <w:color w:val="auto"/>
          <w:highlight w:val="none"/>
        </w:rPr>
      </w:pPr>
      <w:r>
        <w:rPr>
          <w:rFonts w:hint="eastAsia"/>
          <w:color w:val="auto"/>
          <w:highlight w:val="none"/>
        </w:rPr>
        <w:fldChar w:fldCharType="begin"/>
      </w:r>
      <w:r>
        <w:rPr>
          <w:rFonts w:hint="eastAsia"/>
          <w:color w:val="auto"/>
          <w:highlight w:val="none"/>
        </w:rPr>
        <w:instrText xml:space="preserve"> HYPERLINK \l _Toc355 </w:instrText>
      </w:r>
      <w:r>
        <w:rPr>
          <w:rFonts w:hint="eastAsia"/>
          <w:color w:val="auto"/>
          <w:highlight w:val="none"/>
        </w:rPr>
        <w:fldChar w:fldCharType="separate"/>
      </w:r>
      <w:r>
        <w:rPr>
          <w:rFonts w:hint="eastAsia" w:ascii="宋体" w:hAnsi="宋体" w:cs="宋体"/>
          <w:color w:val="auto"/>
          <w:szCs w:val="28"/>
          <w:highlight w:val="none"/>
        </w:rPr>
        <w:t>五、服务方案</w:t>
      </w:r>
      <w:r>
        <w:rPr>
          <w:color w:val="auto"/>
          <w:highlight w:val="none"/>
        </w:rPr>
        <w:tab/>
      </w:r>
      <w:r>
        <w:rPr>
          <w:color w:val="auto"/>
          <w:highlight w:val="none"/>
        </w:rPr>
        <w:fldChar w:fldCharType="begin"/>
      </w:r>
      <w:r>
        <w:rPr>
          <w:color w:val="auto"/>
          <w:highlight w:val="none"/>
        </w:rPr>
        <w:instrText xml:space="preserve"> PAGEREF _Toc355 \h </w:instrText>
      </w:r>
      <w:r>
        <w:rPr>
          <w:color w:val="auto"/>
          <w:highlight w:val="none"/>
        </w:rPr>
        <w:fldChar w:fldCharType="separate"/>
      </w:r>
      <w:r>
        <w:rPr>
          <w:color w:val="auto"/>
          <w:highlight w:val="none"/>
        </w:rPr>
        <w:t>38</w:t>
      </w:r>
      <w:r>
        <w:rPr>
          <w:color w:val="auto"/>
          <w:highlight w:val="none"/>
        </w:rPr>
        <w:fldChar w:fldCharType="end"/>
      </w:r>
      <w:r>
        <w:rPr>
          <w:rFonts w:hint="eastAsia"/>
          <w:color w:val="auto"/>
          <w:highlight w:val="none"/>
        </w:rPr>
        <w:fldChar w:fldCharType="end"/>
      </w:r>
    </w:p>
    <w:p w14:paraId="78BF61FC">
      <w:pPr>
        <w:pStyle w:val="15"/>
        <w:tabs>
          <w:tab w:val="right" w:leader="dot" w:pos="9746"/>
        </w:tabs>
        <w:rPr>
          <w:color w:val="auto"/>
          <w:highlight w:val="none"/>
        </w:rPr>
      </w:pPr>
      <w:r>
        <w:rPr>
          <w:rFonts w:hint="eastAsia"/>
          <w:color w:val="auto"/>
          <w:highlight w:val="none"/>
        </w:rPr>
        <w:fldChar w:fldCharType="begin"/>
      </w:r>
      <w:r>
        <w:rPr>
          <w:rFonts w:hint="eastAsia"/>
          <w:color w:val="auto"/>
          <w:highlight w:val="none"/>
        </w:rPr>
        <w:instrText xml:space="preserve"> HYPERLINK \l _Toc640 </w:instrText>
      </w:r>
      <w:r>
        <w:rPr>
          <w:rFonts w:hint="eastAsia"/>
          <w:color w:val="auto"/>
          <w:highlight w:val="none"/>
        </w:rPr>
        <w:fldChar w:fldCharType="separate"/>
      </w:r>
      <w:r>
        <w:rPr>
          <w:rFonts w:hint="eastAsia" w:ascii="宋体" w:hAnsi="宋体" w:cs="宋体"/>
          <w:color w:val="auto"/>
          <w:kern w:val="1"/>
          <w:szCs w:val="28"/>
          <w:highlight w:val="none"/>
        </w:rPr>
        <w:t>六、</w:t>
      </w:r>
      <w:r>
        <w:rPr>
          <w:rFonts w:hint="eastAsia" w:ascii="宋体" w:hAnsi="宋体" w:cs="宋体"/>
          <w:color w:val="auto"/>
          <w:szCs w:val="28"/>
          <w:highlight w:val="none"/>
        </w:rPr>
        <w:t>拟投入本项目专业技术人员情况表及主要设备表</w:t>
      </w:r>
      <w:r>
        <w:rPr>
          <w:color w:val="auto"/>
          <w:highlight w:val="none"/>
        </w:rPr>
        <w:tab/>
      </w:r>
      <w:r>
        <w:rPr>
          <w:color w:val="auto"/>
          <w:highlight w:val="none"/>
        </w:rPr>
        <w:fldChar w:fldCharType="begin"/>
      </w:r>
      <w:r>
        <w:rPr>
          <w:color w:val="auto"/>
          <w:highlight w:val="none"/>
        </w:rPr>
        <w:instrText xml:space="preserve"> PAGEREF _Toc640 \h </w:instrText>
      </w:r>
      <w:r>
        <w:rPr>
          <w:color w:val="auto"/>
          <w:highlight w:val="none"/>
        </w:rPr>
        <w:fldChar w:fldCharType="separate"/>
      </w:r>
      <w:r>
        <w:rPr>
          <w:color w:val="auto"/>
          <w:highlight w:val="none"/>
        </w:rPr>
        <w:t>39</w:t>
      </w:r>
      <w:r>
        <w:rPr>
          <w:color w:val="auto"/>
          <w:highlight w:val="none"/>
        </w:rPr>
        <w:fldChar w:fldCharType="end"/>
      </w:r>
      <w:r>
        <w:rPr>
          <w:rFonts w:hint="eastAsia"/>
          <w:color w:val="auto"/>
          <w:highlight w:val="none"/>
        </w:rPr>
        <w:fldChar w:fldCharType="end"/>
      </w:r>
    </w:p>
    <w:p w14:paraId="333755C8">
      <w:pPr>
        <w:pStyle w:val="15"/>
        <w:tabs>
          <w:tab w:val="right" w:leader="dot" w:pos="9746"/>
        </w:tabs>
        <w:rPr>
          <w:color w:val="auto"/>
          <w:highlight w:val="none"/>
        </w:rPr>
      </w:pPr>
      <w:r>
        <w:rPr>
          <w:rFonts w:hint="eastAsia"/>
          <w:color w:val="auto"/>
          <w:highlight w:val="none"/>
        </w:rPr>
        <w:fldChar w:fldCharType="begin"/>
      </w:r>
      <w:r>
        <w:rPr>
          <w:rFonts w:hint="eastAsia"/>
          <w:color w:val="auto"/>
          <w:highlight w:val="none"/>
        </w:rPr>
        <w:instrText xml:space="preserve"> HYPERLINK \l _Toc12350 </w:instrText>
      </w:r>
      <w:r>
        <w:rPr>
          <w:rFonts w:hint="eastAsia"/>
          <w:color w:val="auto"/>
          <w:highlight w:val="none"/>
        </w:rPr>
        <w:fldChar w:fldCharType="separate"/>
      </w:r>
      <w:r>
        <w:rPr>
          <w:rFonts w:hint="eastAsia" w:ascii="宋体" w:hAnsi="宋体" w:cs="宋体"/>
          <w:bCs/>
          <w:color w:val="auto"/>
          <w:kern w:val="1"/>
          <w:szCs w:val="28"/>
          <w:highlight w:val="none"/>
        </w:rPr>
        <w:t>七、资格审查资料</w:t>
      </w:r>
      <w:r>
        <w:rPr>
          <w:color w:val="auto"/>
          <w:highlight w:val="none"/>
        </w:rPr>
        <w:tab/>
      </w:r>
      <w:r>
        <w:rPr>
          <w:color w:val="auto"/>
          <w:highlight w:val="none"/>
        </w:rPr>
        <w:fldChar w:fldCharType="begin"/>
      </w:r>
      <w:r>
        <w:rPr>
          <w:color w:val="auto"/>
          <w:highlight w:val="none"/>
        </w:rPr>
        <w:instrText xml:space="preserve"> PAGEREF _Toc12350 \h </w:instrText>
      </w:r>
      <w:r>
        <w:rPr>
          <w:color w:val="auto"/>
          <w:highlight w:val="none"/>
        </w:rPr>
        <w:fldChar w:fldCharType="separate"/>
      </w:r>
      <w:r>
        <w:rPr>
          <w:color w:val="auto"/>
          <w:highlight w:val="none"/>
        </w:rPr>
        <w:t>41</w:t>
      </w:r>
      <w:r>
        <w:rPr>
          <w:color w:val="auto"/>
          <w:highlight w:val="none"/>
        </w:rPr>
        <w:fldChar w:fldCharType="end"/>
      </w:r>
      <w:r>
        <w:rPr>
          <w:rFonts w:hint="eastAsia"/>
          <w:color w:val="auto"/>
          <w:highlight w:val="none"/>
        </w:rPr>
        <w:fldChar w:fldCharType="end"/>
      </w:r>
    </w:p>
    <w:p w14:paraId="3423D743">
      <w:pPr>
        <w:pStyle w:val="15"/>
        <w:tabs>
          <w:tab w:val="right" w:leader="dot" w:pos="9746"/>
        </w:tabs>
        <w:rPr>
          <w:color w:val="auto"/>
          <w:highlight w:val="none"/>
        </w:rPr>
      </w:pPr>
      <w:r>
        <w:rPr>
          <w:rFonts w:hint="eastAsia"/>
          <w:color w:val="auto"/>
          <w:highlight w:val="none"/>
        </w:rPr>
        <w:fldChar w:fldCharType="begin"/>
      </w:r>
      <w:r>
        <w:rPr>
          <w:rFonts w:hint="eastAsia"/>
          <w:color w:val="auto"/>
          <w:highlight w:val="none"/>
        </w:rPr>
        <w:instrText xml:space="preserve"> HYPERLINK \l _Toc2863 </w:instrText>
      </w:r>
      <w:r>
        <w:rPr>
          <w:rFonts w:hint="eastAsia"/>
          <w:color w:val="auto"/>
          <w:highlight w:val="none"/>
        </w:rPr>
        <w:fldChar w:fldCharType="separate"/>
      </w:r>
      <w:r>
        <w:rPr>
          <w:rFonts w:hint="eastAsia" w:ascii="宋体" w:hAnsi="宋体" w:cs="宋体"/>
          <w:color w:val="auto"/>
          <w:kern w:val="0"/>
          <w:szCs w:val="28"/>
          <w:highlight w:val="none"/>
        </w:rPr>
        <w:t>八、</w:t>
      </w:r>
      <w:r>
        <w:rPr>
          <w:rFonts w:hint="eastAsia" w:ascii="宋体" w:hAnsi="宋体" w:eastAsia="宋体" w:cs="宋体"/>
          <w:bCs/>
          <w:color w:val="auto"/>
          <w:kern w:val="1"/>
          <w:szCs w:val="28"/>
          <w:highlight w:val="none"/>
        </w:rPr>
        <w:t>承诺书</w:t>
      </w:r>
      <w:r>
        <w:rPr>
          <w:color w:val="auto"/>
          <w:highlight w:val="none"/>
        </w:rPr>
        <w:tab/>
      </w:r>
      <w:r>
        <w:rPr>
          <w:color w:val="auto"/>
          <w:highlight w:val="none"/>
        </w:rPr>
        <w:fldChar w:fldCharType="begin"/>
      </w:r>
      <w:r>
        <w:rPr>
          <w:color w:val="auto"/>
          <w:highlight w:val="none"/>
        </w:rPr>
        <w:instrText xml:space="preserve"> PAGEREF _Toc2863 \h </w:instrText>
      </w:r>
      <w:r>
        <w:rPr>
          <w:color w:val="auto"/>
          <w:highlight w:val="none"/>
        </w:rPr>
        <w:fldChar w:fldCharType="separate"/>
      </w:r>
      <w:r>
        <w:rPr>
          <w:color w:val="auto"/>
          <w:highlight w:val="none"/>
        </w:rPr>
        <w:t>43</w:t>
      </w:r>
      <w:r>
        <w:rPr>
          <w:color w:val="auto"/>
          <w:highlight w:val="none"/>
        </w:rPr>
        <w:fldChar w:fldCharType="end"/>
      </w:r>
      <w:r>
        <w:rPr>
          <w:rFonts w:hint="eastAsia"/>
          <w:color w:val="auto"/>
          <w:highlight w:val="none"/>
        </w:rPr>
        <w:fldChar w:fldCharType="end"/>
      </w:r>
    </w:p>
    <w:p w14:paraId="4732DA20">
      <w:pPr>
        <w:pStyle w:val="15"/>
        <w:tabs>
          <w:tab w:val="right" w:leader="dot" w:pos="9746"/>
        </w:tabs>
        <w:rPr>
          <w:color w:val="auto"/>
          <w:highlight w:val="none"/>
        </w:rPr>
      </w:pPr>
      <w:r>
        <w:rPr>
          <w:rFonts w:hint="eastAsia"/>
          <w:color w:val="auto"/>
          <w:highlight w:val="none"/>
        </w:rPr>
        <w:fldChar w:fldCharType="begin"/>
      </w:r>
      <w:r>
        <w:rPr>
          <w:rFonts w:hint="eastAsia"/>
          <w:color w:val="auto"/>
          <w:highlight w:val="none"/>
        </w:rPr>
        <w:instrText xml:space="preserve"> HYPERLINK \l _Toc10124 </w:instrText>
      </w:r>
      <w:r>
        <w:rPr>
          <w:rFonts w:hint="eastAsia"/>
          <w:color w:val="auto"/>
          <w:highlight w:val="none"/>
        </w:rPr>
        <w:fldChar w:fldCharType="separate"/>
      </w:r>
      <w:r>
        <w:rPr>
          <w:rFonts w:hint="eastAsia" w:ascii="宋体" w:hAnsi="宋体" w:cs="宋体"/>
          <w:color w:val="auto"/>
          <w:kern w:val="0"/>
          <w:szCs w:val="28"/>
          <w:highlight w:val="none"/>
        </w:rPr>
        <w:t>九</w:t>
      </w:r>
      <w:r>
        <w:rPr>
          <w:rFonts w:hint="eastAsia" w:ascii="宋体" w:hAnsi="宋体" w:cs="宋体"/>
          <w:color w:val="auto"/>
          <w:szCs w:val="28"/>
          <w:highlight w:val="none"/>
        </w:rPr>
        <w:t>、其他材料</w:t>
      </w:r>
      <w:r>
        <w:rPr>
          <w:color w:val="auto"/>
          <w:highlight w:val="none"/>
        </w:rPr>
        <w:tab/>
      </w:r>
      <w:r>
        <w:rPr>
          <w:color w:val="auto"/>
          <w:highlight w:val="none"/>
        </w:rPr>
        <w:fldChar w:fldCharType="begin"/>
      </w:r>
      <w:r>
        <w:rPr>
          <w:color w:val="auto"/>
          <w:highlight w:val="none"/>
        </w:rPr>
        <w:instrText xml:space="preserve"> PAGEREF _Toc10124 \h </w:instrText>
      </w:r>
      <w:r>
        <w:rPr>
          <w:color w:val="auto"/>
          <w:highlight w:val="none"/>
        </w:rPr>
        <w:fldChar w:fldCharType="separate"/>
      </w:r>
      <w:r>
        <w:rPr>
          <w:color w:val="auto"/>
          <w:highlight w:val="none"/>
        </w:rPr>
        <w:t>45</w:t>
      </w:r>
      <w:r>
        <w:rPr>
          <w:color w:val="auto"/>
          <w:highlight w:val="none"/>
        </w:rPr>
        <w:fldChar w:fldCharType="end"/>
      </w:r>
      <w:r>
        <w:rPr>
          <w:rFonts w:hint="eastAsia"/>
          <w:color w:val="auto"/>
          <w:highlight w:val="none"/>
        </w:rPr>
        <w:fldChar w:fldCharType="end"/>
      </w:r>
    </w:p>
    <w:p w14:paraId="3A5BC335">
      <w:pPr>
        <w:spacing w:line="360" w:lineRule="auto"/>
        <w:rPr>
          <w:color w:val="auto"/>
          <w:highlight w:val="none"/>
        </w:rPr>
      </w:pPr>
      <w:r>
        <w:rPr>
          <w:rFonts w:hint="eastAsia"/>
          <w:color w:val="auto"/>
          <w:highlight w:val="none"/>
        </w:rPr>
        <w:fldChar w:fldCharType="end"/>
      </w:r>
    </w:p>
    <w:p w14:paraId="3733CFAB">
      <w:pPr>
        <w:spacing w:line="360" w:lineRule="auto"/>
        <w:rPr>
          <w:rFonts w:ascii="宋体" w:hAnsi="宋体" w:cs="宋体"/>
          <w:color w:val="auto"/>
          <w:szCs w:val="21"/>
          <w:highlight w:val="none"/>
        </w:rPr>
      </w:pPr>
    </w:p>
    <w:p w14:paraId="4CB5266E">
      <w:pPr>
        <w:spacing w:line="360" w:lineRule="auto"/>
        <w:jc w:val="center"/>
        <w:rPr>
          <w:rFonts w:ascii="宋体" w:hAnsi="宋体" w:cs="宋体"/>
          <w:color w:val="auto"/>
          <w:szCs w:val="21"/>
          <w:highlight w:val="none"/>
        </w:rPr>
      </w:pPr>
    </w:p>
    <w:p w14:paraId="316084C4">
      <w:pPr>
        <w:pStyle w:val="23"/>
        <w:spacing w:line="360" w:lineRule="auto"/>
        <w:ind w:firstLine="210"/>
        <w:rPr>
          <w:color w:val="auto"/>
          <w:highlight w:val="none"/>
        </w:rPr>
      </w:pPr>
    </w:p>
    <w:p w14:paraId="76AB3F71">
      <w:pPr>
        <w:widowControl/>
        <w:spacing w:line="360" w:lineRule="auto"/>
        <w:jc w:val="left"/>
        <w:rPr>
          <w:rFonts w:ascii="宋体" w:hAnsi="宋体" w:cs="宋体"/>
          <w:b/>
          <w:bCs/>
          <w:color w:val="auto"/>
          <w:kern w:val="44"/>
          <w:sz w:val="44"/>
          <w:szCs w:val="44"/>
          <w:highlight w:val="none"/>
        </w:rPr>
      </w:pPr>
      <w:bookmarkStart w:id="0" w:name="_Toc10320"/>
      <w:bookmarkStart w:id="1" w:name="_Toc3016"/>
      <w:bookmarkStart w:id="2" w:name="_Toc12790"/>
      <w:bookmarkStart w:id="3" w:name="_Toc23715"/>
      <w:bookmarkStart w:id="4" w:name="_Toc10593"/>
      <w:bookmarkStart w:id="5" w:name="_Toc184635053"/>
    </w:p>
    <w:p w14:paraId="4E039A95">
      <w:pPr>
        <w:pStyle w:val="3"/>
        <w:numPr>
          <w:ilvl w:val="0"/>
          <w:numId w:val="1"/>
        </w:numPr>
        <w:spacing w:line="360" w:lineRule="auto"/>
        <w:ind w:left="0" w:firstLine="0"/>
        <w:jc w:val="center"/>
        <w:rPr>
          <w:rFonts w:hint="eastAsia" w:ascii="宋体" w:hAnsi="宋体" w:cs="宋体"/>
          <w:b/>
          <w:bCs/>
          <w:color w:val="auto"/>
          <w:highlight w:val="none"/>
        </w:rPr>
      </w:pPr>
      <w:r>
        <w:rPr>
          <w:rFonts w:ascii="宋体" w:hAnsi="宋体" w:cs="宋体"/>
          <w:color w:val="auto"/>
          <w:highlight w:val="none"/>
        </w:rPr>
        <w:br w:type="page"/>
      </w:r>
      <w:bookmarkEnd w:id="0"/>
      <w:bookmarkEnd w:id="1"/>
      <w:bookmarkEnd w:id="2"/>
      <w:bookmarkEnd w:id="3"/>
      <w:bookmarkEnd w:id="4"/>
      <w:bookmarkEnd w:id="5"/>
      <w:bookmarkStart w:id="6" w:name="_Toc5036"/>
      <w:r>
        <w:rPr>
          <w:rFonts w:hint="eastAsia" w:ascii="宋体" w:hAnsi="宋体" w:cs="宋体"/>
          <w:b/>
          <w:bCs/>
          <w:color w:val="auto"/>
          <w:highlight w:val="none"/>
        </w:rPr>
        <w:t>招标公告</w:t>
      </w:r>
      <w:bookmarkEnd w:id="6"/>
    </w:p>
    <w:p w14:paraId="7BCDD159">
      <w:pPr>
        <w:numPr>
          <w:numId w:val="0"/>
        </w:numPr>
        <w:jc w:val="center"/>
        <w:rPr>
          <w:rFonts w:hint="default"/>
          <w:sz w:val="28"/>
          <w:szCs w:val="28"/>
          <w:u w:val="none"/>
          <w:lang w:val="en-US"/>
        </w:rPr>
      </w:pPr>
      <w:r>
        <w:rPr>
          <w:rFonts w:hint="eastAsia" w:ascii="宋体" w:hAnsi="宋体"/>
          <w:b/>
          <w:color w:val="auto"/>
          <w:sz w:val="28"/>
          <w:szCs w:val="28"/>
          <w:highlight w:val="none"/>
          <w:u w:val="none"/>
          <w:lang w:eastAsia="zh-CN"/>
        </w:rPr>
        <w:t>杞县农业农村局2026年农业社会化服务项目</w:t>
      </w:r>
      <w:r>
        <w:rPr>
          <w:rFonts w:hint="eastAsia" w:ascii="宋体" w:hAnsi="宋体"/>
          <w:b/>
          <w:color w:val="auto"/>
          <w:sz w:val="28"/>
          <w:szCs w:val="28"/>
          <w:highlight w:val="none"/>
          <w:u w:val="none"/>
          <w:lang w:val="en-US" w:eastAsia="zh-CN"/>
        </w:rPr>
        <w:t>招标公告</w:t>
      </w:r>
    </w:p>
    <w:tbl>
      <w:tblPr>
        <w:tblStyle w:val="16"/>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8"/>
      </w:tblGrid>
      <w:tr w14:paraId="4A64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98" w:type="dxa"/>
            <w:noWrap w:val="0"/>
            <w:vAlign w:val="top"/>
          </w:tcPr>
          <w:p w14:paraId="1D75E94A">
            <w:pPr>
              <w:spacing w:line="360" w:lineRule="auto"/>
              <w:rPr>
                <w:rFonts w:ascii="宋体" w:hAnsi="宋体"/>
                <w:b/>
                <w:color w:val="auto"/>
                <w:sz w:val="24"/>
                <w:highlight w:val="none"/>
              </w:rPr>
            </w:pPr>
            <w:bookmarkStart w:id="7" w:name="_Toc20641"/>
            <w:bookmarkStart w:id="8" w:name="_Toc32717"/>
            <w:bookmarkStart w:id="9" w:name="_Toc26958"/>
            <w:bookmarkStart w:id="10" w:name="_Toc6778"/>
            <w:bookmarkStart w:id="11" w:name="_Toc31216"/>
            <w:bookmarkStart w:id="12" w:name="_Toc30589"/>
            <w:bookmarkStart w:id="13" w:name="_Toc31524"/>
            <w:r>
              <w:rPr>
                <w:rFonts w:hint="eastAsia" w:ascii="宋体" w:hAnsi="宋体"/>
                <w:b/>
                <w:color w:val="auto"/>
                <w:sz w:val="24"/>
                <w:highlight w:val="none"/>
              </w:rPr>
              <w:t>项目概况</w:t>
            </w:r>
          </w:p>
          <w:p w14:paraId="2B93367B">
            <w:pPr>
              <w:spacing w:line="360" w:lineRule="auto"/>
              <w:ind w:firstLine="472" w:firstLineChars="196"/>
              <w:rPr>
                <w:rFonts w:ascii="宋体" w:hAnsi="宋体"/>
                <w:b/>
                <w:color w:val="auto"/>
                <w:sz w:val="24"/>
                <w:highlight w:val="none"/>
                <w:u w:val="single"/>
              </w:rPr>
            </w:pPr>
            <w:r>
              <w:rPr>
                <w:rFonts w:hint="eastAsia" w:ascii="宋体" w:hAnsi="宋体"/>
                <w:b/>
                <w:color w:val="auto"/>
                <w:sz w:val="24"/>
                <w:highlight w:val="none"/>
                <w:u w:val="single"/>
                <w:lang w:eastAsia="zh-CN"/>
              </w:rPr>
              <w:t>杞县农业农村局2026年农业社会化服务项目</w:t>
            </w:r>
            <w:r>
              <w:rPr>
                <w:rFonts w:hint="eastAsia" w:ascii="宋体" w:hAnsi="宋体"/>
                <w:b/>
                <w:color w:val="auto"/>
                <w:sz w:val="24"/>
                <w:highlight w:val="none"/>
                <w:u w:val="single"/>
              </w:rPr>
              <w:t xml:space="preserve"> </w:t>
            </w:r>
            <w:r>
              <w:rPr>
                <w:rFonts w:hint="eastAsia" w:ascii="宋体" w:hAnsi="宋体"/>
                <w:color w:val="auto"/>
                <w:sz w:val="24"/>
                <w:highlight w:val="none"/>
              </w:rPr>
              <w:t>招标项目的潜在投标人应在</w:t>
            </w:r>
            <w:r>
              <w:rPr>
                <w:rFonts w:hint="eastAsia" w:ascii="宋体" w:hAnsi="宋体"/>
                <w:b/>
                <w:color w:val="auto"/>
                <w:sz w:val="24"/>
                <w:highlight w:val="none"/>
                <w:u w:val="single"/>
              </w:rPr>
              <w:t>开封市公共资源交易信息网</w:t>
            </w:r>
            <w:r>
              <w:rPr>
                <w:rFonts w:hint="eastAsia" w:ascii="宋体" w:hAnsi="宋体"/>
                <w:color w:val="auto"/>
                <w:sz w:val="24"/>
                <w:highlight w:val="none"/>
              </w:rPr>
              <w:t>获取招标文件，并于</w:t>
            </w:r>
            <w:r>
              <w:rPr>
                <w:rFonts w:hint="eastAsia" w:ascii="宋体" w:hAnsi="宋体"/>
                <w:b/>
                <w:color w:val="auto"/>
                <w:sz w:val="24"/>
                <w:highlight w:val="none"/>
                <w:u w:val="single"/>
              </w:rPr>
              <w:t>202</w:t>
            </w:r>
            <w:r>
              <w:rPr>
                <w:rFonts w:hint="eastAsia" w:ascii="宋体" w:hAnsi="宋体"/>
                <w:b/>
                <w:color w:val="auto"/>
                <w:sz w:val="24"/>
                <w:highlight w:val="none"/>
                <w:u w:val="single"/>
                <w:lang w:val="en-US" w:eastAsia="zh-CN"/>
              </w:rPr>
              <w:t>6</w:t>
            </w:r>
            <w:r>
              <w:rPr>
                <w:rFonts w:hint="eastAsia" w:ascii="宋体" w:hAnsi="宋体"/>
                <w:b/>
                <w:color w:val="auto"/>
                <w:sz w:val="24"/>
                <w:highlight w:val="none"/>
                <w:u w:val="single"/>
              </w:rPr>
              <w:t>年</w:t>
            </w:r>
            <w:r>
              <w:rPr>
                <w:rFonts w:hint="eastAsia" w:ascii="宋体" w:hAnsi="宋体"/>
                <w:b/>
                <w:color w:val="auto"/>
                <w:sz w:val="24"/>
                <w:highlight w:val="none"/>
                <w:u w:val="single"/>
                <w:lang w:val="en-US" w:eastAsia="zh-CN"/>
              </w:rPr>
              <w:t>09</w:t>
            </w:r>
            <w:r>
              <w:rPr>
                <w:rFonts w:hint="eastAsia" w:ascii="宋体" w:hAnsi="宋体"/>
                <w:b/>
                <w:color w:val="auto"/>
                <w:sz w:val="24"/>
                <w:highlight w:val="none"/>
                <w:u w:val="single"/>
              </w:rPr>
              <w:t>月</w:t>
            </w:r>
            <w:r>
              <w:rPr>
                <w:rFonts w:hint="eastAsia" w:ascii="宋体" w:hAnsi="宋体"/>
                <w:b/>
                <w:color w:val="auto"/>
                <w:sz w:val="24"/>
                <w:highlight w:val="none"/>
                <w:u w:val="single"/>
                <w:lang w:val="en-US" w:eastAsia="zh-CN"/>
              </w:rPr>
              <w:t>20</w:t>
            </w:r>
            <w:r>
              <w:rPr>
                <w:rFonts w:hint="eastAsia" w:ascii="宋体" w:hAnsi="宋体"/>
                <w:b/>
                <w:color w:val="auto"/>
                <w:sz w:val="24"/>
                <w:highlight w:val="none"/>
                <w:u w:val="single"/>
              </w:rPr>
              <w:t>日</w:t>
            </w:r>
            <w:r>
              <w:rPr>
                <w:rFonts w:hint="eastAsia" w:ascii="宋体" w:hAnsi="宋体"/>
                <w:b/>
                <w:color w:val="auto"/>
                <w:sz w:val="24"/>
                <w:highlight w:val="none"/>
                <w:u w:val="single"/>
                <w:lang w:eastAsia="zh-CN"/>
              </w:rPr>
              <w:t>10时00分</w:t>
            </w:r>
            <w:r>
              <w:rPr>
                <w:rFonts w:hint="eastAsia" w:ascii="宋体" w:hAnsi="宋体"/>
                <w:b/>
                <w:color w:val="auto"/>
                <w:sz w:val="24"/>
                <w:highlight w:val="none"/>
                <w:u w:val="single"/>
              </w:rPr>
              <w:t>（北京时间）</w:t>
            </w:r>
            <w:r>
              <w:rPr>
                <w:rFonts w:hint="eastAsia" w:ascii="宋体" w:hAnsi="宋体"/>
                <w:color w:val="auto"/>
                <w:sz w:val="24"/>
                <w:highlight w:val="none"/>
              </w:rPr>
              <w:t>前递交投标文件。</w:t>
            </w:r>
          </w:p>
        </w:tc>
      </w:tr>
    </w:tbl>
    <w:p w14:paraId="139C115D">
      <w:pPr>
        <w:spacing w:line="360" w:lineRule="auto"/>
        <w:rPr>
          <w:rFonts w:ascii="宋体" w:hAnsi="宋体"/>
          <w:color w:val="auto"/>
          <w:sz w:val="24"/>
          <w:highlight w:val="none"/>
        </w:rPr>
      </w:pPr>
      <w:r>
        <w:rPr>
          <w:rFonts w:hint="eastAsia" w:ascii="宋体" w:hAnsi="宋体"/>
          <w:b/>
          <w:color w:val="auto"/>
          <w:sz w:val="24"/>
          <w:highlight w:val="none"/>
        </w:rPr>
        <w:t>一、项目基本情况</w:t>
      </w:r>
    </w:p>
    <w:p w14:paraId="426C679D">
      <w:pPr>
        <w:spacing w:line="360" w:lineRule="auto"/>
        <w:ind w:firstLine="480" w:firstLineChars="2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rPr>
        <w:t>1、项目</w:t>
      </w:r>
      <w:r>
        <w:rPr>
          <w:rFonts w:hint="eastAsia" w:ascii="宋体" w:hAnsi="宋体" w:cs="Times New Roman"/>
          <w:color w:val="auto"/>
          <w:sz w:val="24"/>
          <w:highlight w:val="none"/>
          <w:lang w:eastAsia="zh-CN"/>
        </w:rPr>
        <w:t>编号：</w:t>
      </w:r>
      <w:r>
        <w:rPr>
          <w:rFonts w:hint="eastAsia" w:ascii="宋体" w:hAnsi="宋体" w:cs="Times New Roman"/>
          <w:color w:val="auto"/>
          <w:sz w:val="24"/>
          <w:highlight w:val="none"/>
          <w:lang w:val="en-US" w:eastAsia="zh-CN"/>
        </w:rPr>
        <w:t>汴杞财招标采购-2026-26</w:t>
      </w:r>
    </w:p>
    <w:p w14:paraId="5B5658FF">
      <w:pPr>
        <w:spacing w:line="360" w:lineRule="auto"/>
        <w:ind w:firstLine="480" w:firstLineChars="200"/>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rPr>
        <w:t>2、项目名称：</w:t>
      </w:r>
      <w:r>
        <w:rPr>
          <w:rFonts w:hint="eastAsia" w:ascii="宋体" w:hAnsi="宋体" w:eastAsia="宋体" w:cs="Times New Roman"/>
          <w:color w:val="auto"/>
          <w:sz w:val="24"/>
          <w:highlight w:val="none"/>
          <w:lang w:eastAsia="zh-CN"/>
        </w:rPr>
        <w:t>杞县农业农村局2026年农业社会化服务项目</w:t>
      </w:r>
    </w:p>
    <w:p w14:paraId="49256986">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3、采购方式：公开招标</w:t>
      </w:r>
    </w:p>
    <w:p w14:paraId="6A2A8945">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4、预算金额：</w:t>
      </w:r>
      <w:r>
        <w:rPr>
          <w:rFonts w:hint="eastAsia" w:ascii="宋体" w:hAnsi="宋体" w:cs="Times New Roman"/>
          <w:color w:val="auto"/>
          <w:sz w:val="24"/>
          <w:highlight w:val="none"/>
          <w:lang w:val="en-US" w:eastAsia="zh-CN"/>
        </w:rPr>
        <w:t>10680000.00</w:t>
      </w:r>
      <w:r>
        <w:rPr>
          <w:rFonts w:hint="eastAsia" w:ascii="宋体" w:hAnsi="宋体" w:eastAsia="宋体" w:cs="Times New Roman"/>
          <w:color w:val="auto"/>
          <w:kern w:val="2"/>
          <w:sz w:val="24"/>
          <w:szCs w:val="24"/>
          <w:highlight w:val="none"/>
          <w:lang w:val="en-US" w:eastAsia="zh-CN" w:bidi="ar-SA"/>
        </w:rPr>
        <w:t>元</w:t>
      </w:r>
    </w:p>
    <w:p w14:paraId="1DA10ACA">
      <w:pPr>
        <w:pStyle w:val="23"/>
        <w:spacing w:line="360" w:lineRule="auto"/>
        <w:ind w:firstLine="480" w:firstLineChars="200"/>
        <w:rPr>
          <w:color w:val="auto"/>
          <w:sz w:val="24"/>
          <w:highlight w:val="none"/>
          <w:lang w:eastAsia="zh-CN"/>
        </w:rPr>
      </w:pPr>
      <w:r>
        <w:rPr>
          <w:rFonts w:hint="eastAsia"/>
          <w:color w:val="auto"/>
          <w:sz w:val="24"/>
          <w:highlight w:val="none"/>
          <w:lang w:eastAsia="zh-CN"/>
        </w:rPr>
        <w:t>最高限价：</w:t>
      </w:r>
      <w:r>
        <w:rPr>
          <w:rFonts w:hint="eastAsia" w:ascii="宋体" w:hAnsi="宋体" w:cs="Times New Roman"/>
          <w:color w:val="auto"/>
          <w:sz w:val="24"/>
          <w:highlight w:val="none"/>
          <w:lang w:val="en-US" w:eastAsia="zh-CN"/>
        </w:rPr>
        <w:t>9148620.00</w:t>
      </w:r>
      <w:r>
        <w:rPr>
          <w:rFonts w:hint="eastAsia"/>
          <w:color w:val="auto"/>
          <w:sz w:val="24"/>
          <w:highlight w:val="none"/>
          <w:lang w:eastAsia="zh-CN"/>
        </w:rPr>
        <w:t>元</w:t>
      </w:r>
    </w:p>
    <w:tbl>
      <w:tblPr>
        <w:tblStyle w:val="16"/>
        <w:tblW w:w="983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7"/>
        <w:gridCol w:w="1341"/>
        <w:gridCol w:w="1625"/>
        <w:gridCol w:w="1528"/>
        <w:gridCol w:w="1436"/>
        <w:gridCol w:w="1416"/>
        <w:gridCol w:w="1913"/>
      </w:tblGrid>
      <w:tr w14:paraId="63130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7" w:hRule="atLeast"/>
          <w:jc w:val="center"/>
        </w:trPr>
        <w:tc>
          <w:tcPr>
            <w:tcW w:w="577" w:type="dxa"/>
            <w:noWrap w:val="0"/>
            <w:vAlign w:val="center"/>
          </w:tcPr>
          <w:p w14:paraId="14386F61">
            <w:pPr>
              <w:pStyle w:val="9"/>
              <w:keepNext w:val="0"/>
              <w:keepLines w:val="0"/>
              <w:pageBreakBefore w:val="0"/>
              <w:widowControl w:val="0"/>
              <w:kinsoku/>
              <w:wordWrap/>
              <w:overflowPunct/>
              <w:topLinePunct w:val="0"/>
              <w:bidi w:val="0"/>
              <w:adjustRightInd/>
              <w:snapToGrid w:val="0"/>
              <w:spacing w:line="360" w:lineRule="auto"/>
              <w:jc w:val="center"/>
              <w:textAlignment w:val="auto"/>
              <w:rPr>
                <w:rFonts w:hint="eastAsia"/>
                <w:color w:val="auto"/>
                <w:spacing w:val="11"/>
                <w:sz w:val="21"/>
                <w:szCs w:val="21"/>
                <w:highlight w:val="none"/>
              </w:rPr>
            </w:pPr>
            <w:r>
              <w:rPr>
                <w:rFonts w:hint="eastAsia"/>
                <w:color w:val="auto"/>
                <w:spacing w:val="11"/>
                <w:sz w:val="21"/>
                <w:szCs w:val="21"/>
                <w:highlight w:val="none"/>
              </w:rPr>
              <w:t>序号</w:t>
            </w:r>
          </w:p>
        </w:tc>
        <w:tc>
          <w:tcPr>
            <w:tcW w:w="1341" w:type="dxa"/>
            <w:noWrap w:val="0"/>
            <w:vAlign w:val="center"/>
          </w:tcPr>
          <w:p w14:paraId="055E61A3">
            <w:pPr>
              <w:pStyle w:val="9"/>
              <w:keepNext w:val="0"/>
              <w:keepLines w:val="0"/>
              <w:pageBreakBefore w:val="0"/>
              <w:widowControl w:val="0"/>
              <w:kinsoku/>
              <w:wordWrap/>
              <w:overflowPunct/>
              <w:topLinePunct w:val="0"/>
              <w:bidi w:val="0"/>
              <w:adjustRightInd/>
              <w:snapToGrid w:val="0"/>
              <w:spacing w:line="360" w:lineRule="auto"/>
              <w:jc w:val="center"/>
              <w:textAlignment w:val="auto"/>
              <w:rPr>
                <w:rFonts w:hint="eastAsia"/>
                <w:color w:val="auto"/>
                <w:spacing w:val="11"/>
                <w:sz w:val="21"/>
                <w:szCs w:val="21"/>
                <w:highlight w:val="none"/>
              </w:rPr>
            </w:pPr>
            <w:r>
              <w:rPr>
                <w:rFonts w:hint="eastAsia"/>
                <w:color w:val="auto"/>
                <w:spacing w:val="11"/>
                <w:sz w:val="21"/>
                <w:szCs w:val="21"/>
                <w:highlight w:val="none"/>
              </w:rPr>
              <w:t>包号</w:t>
            </w:r>
          </w:p>
        </w:tc>
        <w:tc>
          <w:tcPr>
            <w:tcW w:w="1625" w:type="dxa"/>
            <w:noWrap w:val="0"/>
            <w:vAlign w:val="center"/>
          </w:tcPr>
          <w:p w14:paraId="61E272EC">
            <w:pPr>
              <w:pStyle w:val="9"/>
              <w:keepNext w:val="0"/>
              <w:keepLines w:val="0"/>
              <w:pageBreakBefore w:val="0"/>
              <w:widowControl w:val="0"/>
              <w:kinsoku/>
              <w:wordWrap/>
              <w:overflowPunct/>
              <w:topLinePunct w:val="0"/>
              <w:bidi w:val="0"/>
              <w:adjustRightInd/>
              <w:snapToGrid w:val="0"/>
              <w:spacing w:line="360" w:lineRule="auto"/>
              <w:jc w:val="center"/>
              <w:textAlignment w:val="auto"/>
              <w:rPr>
                <w:rFonts w:hint="eastAsia"/>
                <w:color w:val="auto"/>
                <w:spacing w:val="11"/>
                <w:sz w:val="21"/>
                <w:szCs w:val="21"/>
                <w:highlight w:val="none"/>
              </w:rPr>
            </w:pPr>
            <w:r>
              <w:rPr>
                <w:rFonts w:hint="eastAsia"/>
                <w:color w:val="auto"/>
                <w:spacing w:val="11"/>
                <w:sz w:val="21"/>
                <w:szCs w:val="21"/>
                <w:highlight w:val="none"/>
              </w:rPr>
              <w:t>包名称</w:t>
            </w:r>
          </w:p>
        </w:tc>
        <w:tc>
          <w:tcPr>
            <w:tcW w:w="1528" w:type="dxa"/>
            <w:noWrap w:val="0"/>
            <w:vAlign w:val="center"/>
          </w:tcPr>
          <w:p w14:paraId="07663C03">
            <w:pPr>
              <w:pStyle w:val="9"/>
              <w:keepNext w:val="0"/>
              <w:keepLines w:val="0"/>
              <w:pageBreakBefore w:val="0"/>
              <w:widowControl w:val="0"/>
              <w:kinsoku/>
              <w:wordWrap/>
              <w:overflowPunct/>
              <w:topLinePunct w:val="0"/>
              <w:bidi w:val="0"/>
              <w:adjustRightInd/>
              <w:snapToGrid w:val="0"/>
              <w:spacing w:line="360" w:lineRule="auto"/>
              <w:jc w:val="both"/>
              <w:textAlignment w:val="auto"/>
              <w:rPr>
                <w:rFonts w:hint="eastAsia"/>
                <w:color w:val="auto"/>
                <w:spacing w:val="11"/>
                <w:sz w:val="21"/>
                <w:szCs w:val="21"/>
                <w:highlight w:val="none"/>
              </w:rPr>
            </w:pPr>
            <w:r>
              <w:rPr>
                <w:rFonts w:hint="eastAsia"/>
                <w:color w:val="auto"/>
                <w:spacing w:val="11"/>
                <w:sz w:val="21"/>
                <w:szCs w:val="21"/>
                <w:highlight w:val="none"/>
              </w:rPr>
              <w:t>包预算（元）</w:t>
            </w:r>
          </w:p>
        </w:tc>
        <w:tc>
          <w:tcPr>
            <w:tcW w:w="1436" w:type="dxa"/>
            <w:noWrap w:val="0"/>
            <w:vAlign w:val="center"/>
          </w:tcPr>
          <w:p w14:paraId="0474C889">
            <w:pPr>
              <w:pStyle w:val="9"/>
              <w:keepNext w:val="0"/>
              <w:keepLines w:val="0"/>
              <w:pageBreakBefore w:val="0"/>
              <w:widowControl w:val="0"/>
              <w:kinsoku/>
              <w:wordWrap/>
              <w:overflowPunct/>
              <w:topLinePunct w:val="0"/>
              <w:bidi w:val="0"/>
              <w:adjustRightInd/>
              <w:snapToGrid w:val="0"/>
              <w:spacing w:line="360" w:lineRule="auto"/>
              <w:jc w:val="center"/>
              <w:textAlignment w:val="auto"/>
              <w:rPr>
                <w:rFonts w:hint="eastAsia"/>
                <w:color w:val="auto"/>
                <w:spacing w:val="11"/>
                <w:sz w:val="21"/>
                <w:szCs w:val="21"/>
                <w:highlight w:val="none"/>
              </w:rPr>
            </w:pPr>
            <w:r>
              <w:rPr>
                <w:rFonts w:hint="eastAsia"/>
                <w:color w:val="auto"/>
                <w:spacing w:val="11"/>
                <w:sz w:val="21"/>
                <w:szCs w:val="21"/>
                <w:highlight w:val="none"/>
              </w:rPr>
              <w:t>包最高限价（元）</w:t>
            </w:r>
          </w:p>
        </w:tc>
        <w:tc>
          <w:tcPr>
            <w:tcW w:w="1416" w:type="dxa"/>
            <w:noWrap w:val="0"/>
            <w:vAlign w:val="center"/>
          </w:tcPr>
          <w:p w14:paraId="0E12BB47">
            <w:pPr>
              <w:pStyle w:val="24"/>
              <w:keepNext w:val="0"/>
              <w:keepLines w:val="0"/>
              <w:pageBreakBefore w:val="0"/>
              <w:kinsoku/>
              <w:wordWrap/>
              <w:overflowPunct/>
              <w:topLinePunct w:val="0"/>
              <w:bidi w:val="0"/>
              <w:snapToGrid w:val="0"/>
              <w:spacing w:line="360" w:lineRule="auto"/>
              <w:jc w:val="center"/>
              <w:textAlignment w:val="auto"/>
              <w:rPr>
                <w:rFonts w:hint="eastAsia"/>
                <w:color w:val="auto"/>
                <w:sz w:val="21"/>
                <w:szCs w:val="21"/>
                <w:highlight w:val="none"/>
                <w:lang w:val="en-US" w:eastAsia="zh-CN" w:bidi="ar-SA"/>
              </w:rPr>
            </w:pPr>
            <w:r>
              <w:rPr>
                <w:rFonts w:hint="eastAsia"/>
                <w:color w:val="auto"/>
                <w:sz w:val="21"/>
                <w:szCs w:val="21"/>
                <w:highlight w:val="none"/>
              </w:rPr>
              <w:t>是否专门面向中小企业</w:t>
            </w:r>
          </w:p>
        </w:tc>
        <w:tc>
          <w:tcPr>
            <w:tcW w:w="1913" w:type="dxa"/>
            <w:noWrap w:val="0"/>
            <w:vAlign w:val="center"/>
          </w:tcPr>
          <w:p w14:paraId="0ED4C74F">
            <w:pPr>
              <w:pStyle w:val="24"/>
              <w:keepNext w:val="0"/>
              <w:keepLines w:val="0"/>
              <w:pageBreakBefore w:val="0"/>
              <w:kinsoku/>
              <w:wordWrap/>
              <w:overflowPunct/>
              <w:topLinePunct w:val="0"/>
              <w:bidi w:val="0"/>
              <w:snapToGrid w:val="0"/>
              <w:spacing w:line="360" w:lineRule="auto"/>
              <w:jc w:val="center"/>
              <w:textAlignment w:val="auto"/>
              <w:rPr>
                <w:rFonts w:hint="eastAsia"/>
                <w:color w:val="auto"/>
                <w:sz w:val="21"/>
                <w:szCs w:val="21"/>
                <w:highlight w:val="none"/>
                <w:lang w:val="en-US" w:eastAsia="zh-CN" w:bidi="ar-SA"/>
              </w:rPr>
            </w:pPr>
            <w:r>
              <w:rPr>
                <w:rFonts w:hint="eastAsia"/>
                <w:color w:val="auto"/>
                <w:sz w:val="21"/>
                <w:szCs w:val="21"/>
                <w:highlight w:val="none"/>
              </w:rPr>
              <w:t>采购预留金额（元）</w:t>
            </w:r>
          </w:p>
        </w:tc>
      </w:tr>
      <w:tr w14:paraId="08C0A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2" w:hRule="atLeast"/>
          <w:jc w:val="center"/>
        </w:trPr>
        <w:tc>
          <w:tcPr>
            <w:tcW w:w="577" w:type="dxa"/>
            <w:noWrap w:val="0"/>
            <w:vAlign w:val="center"/>
          </w:tcPr>
          <w:p w14:paraId="7578AD6D">
            <w:pPr>
              <w:pStyle w:val="9"/>
              <w:keepNext w:val="0"/>
              <w:keepLines w:val="0"/>
              <w:pageBreakBefore w:val="0"/>
              <w:widowControl w:val="0"/>
              <w:kinsoku/>
              <w:wordWrap/>
              <w:overflowPunct/>
              <w:topLinePunct w:val="0"/>
              <w:bidi w:val="0"/>
              <w:adjustRightInd/>
              <w:snapToGrid w:val="0"/>
              <w:spacing w:line="360" w:lineRule="auto"/>
              <w:jc w:val="center"/>
              <w:textAlignment w:val="auto"/>
              <w:rPr>
                <w:rFonts w:hint="eastAsia" w:ascii="宋体" w:hAnsi="宋体" w:eastAsia="宋体" w:cs="宋体"/>
                <w:color w:val="auto"/>
                <w:spacing w:val="11"/>
                <w:sz w:val="21"/>
                <w:szCs w:val="21"/>
                <w:highlight w:val="none"/>
              </w:rPr>
            </w:pPr>
            <w:r>
              <w:rPr>
                <w:rFonts w:hint="eastAsia" w:ascii="宋体" w:hAnsi="宋体" w:eastAsia="宋体" w:cs="宋体"/>
                <w:color w:val="auto"/>
                <w:spacing w:val="11"/>
                <w:sz w:val="21"/>
                <w:szCs w:val="21"/>
                <w:highlight w:val="none"/>
              </w:rPr>
              <w:t>1</w:t>
            </w:r>
          </w:p>
        </w:tc>
        <w:tc>
          <w:tcPr>
            <w:tcW w:w="1341" w:type="dxa"/>
            <w:noWrap w:val="0"/>
            <w:vAlign w:val="center"/>
          </w:tcPr>
          <w:p w14:paraId="67D3B87A">
            <w:pPr>
              <w:pStyle w:val="9"/>
              <w:keepNext w:val="0"/>
              <w:keepLines w:val="0"/>
              <w:pageBreakBefore w:val="0"/>
              <w:widowControl w:val="0"/>
              <w:kinsoku/>
              <w:wordWrap/>
              <w:overflowPunct/>
              <w:topLinePunct w:val="0"/>
              <w:bidi w:val="0"/>
              <w:adjustRightInd/>
              <w:snapToGrid w:val="0"/>
              <w:spacing w:line="360" w:lineRule="auto"/>
              <w:jc w:val="center"/>
              <w:textAlignment w:val="auto"/>
              <w:rPr>
                <w:rFonts w:hint="eastAsia" w:ascii="宋体" w:hAnsi="宋体" w:eastAsia="宋体" w:cs="宋体"/>
                <w:color w:val="auto"/>
                <w:spacing w:val="11"/>
                <w:sz w:val="21"/>
                <w:szCs w:val="21"/>
                <w:highlight w:val="none"/>
              </w:rPr>
            </w:pPr>
            <w:r>
              <w:rPr>
                <w:rFonts w:hint="eastAsia" w:cs="宋体"/>
                <w:color w:val="auto"/>
                <w:spacing w:val="11"/>
                <w:sz w:val="21"/>
                <w:szCs w:val="21"/>
                <w:highlight w:val="none"/>
                <w:lang w:val="en-US" w:eastAsia="zh-CN"/>
              </w:rPr>
              <w:t>汴杞财招标采购-2026-26-1</w:t>
            </w:r>
          </w:p>
        </w:tc>
        <w:tc>
          <w:tcPr>
            <w:tcW w:w="1625" w:type="dxa"/>
            <w:noWrap w:val="0"/>
            <w:vAlign w:val="center"/>
          </w:tcPr>
          <w:p w14:paraId="1C0C8F4E">
            <w:pPr>
              <w:pStyle w:val="9"/>
              <w:keepNext w:val="0"/>
              <w:keepLines w:val="0"/>
              <w:pageBreakBefore w:val="0"/>
              <w:widowControl w:val="0"/>
              <w:kinsoku/>
              <w:wordWrap/>
              <w:overflowPunct/>
              <w:topLinePunct w:val="0"/>
              <w:bidi w:val="0"/>
              <w:adjustRightInd/>
              <w:snapToGrid w:val="0"/>
              <w:spacing w:line="360" w:lineRule="auto"/>
              <w:jc w:val="center"/>
              <w:textAlignment w:val="auto"/>
              <w:rPr>
                <w:rFonts w:hint="default" w:ascii="宋体" w:hAnsi="宋体" w:eastAsia="宋体" w:cs="宋体"/>
                <w:color w:val="auto"/>
                <w:spacing w:val="11"/>
                <w:sz w:val="21"/>
                <w:szCs w:val="21"/>
                <w:highlight w:val="none"/>
                <w:lang w:val="en-US" w:eastAsia="zh-CN"/>
              </w:rPr>
            </w:pPr>
            <w:r>
              <w:rPr>
                <w:rFonts w:hint="eastAsia" w:hAnsi="宋体" w:cs="Times New Roman"/>
                <w:color w:val="auto"/>
                <w:sz w:val="21"/>
                <w:szCs w:val="21"/>
                <w:highlight w:val="none"/>
                <w:lang w:val="en-US" w:eastAsia="zh-CN"/>
              </w:rPr>
              <w:t>一包段：傅集镇、宗店乡、板木乡、竹林乡农业社会化服务</w:t>
            </w:r>
          </w:p>
        </w:tc>
        <w:tc>
          <w:tcPr>
            <w:tcW w:w="1528" w:type="dxa"/>
            <w:noWrap w:val="0"/>
            <w:vAlign w:val="center"/>
          </w:tcPr>
          <w:p w14:paraId="47490E77">
            <w:pPr>
              <w:pStyle w:val="9"/>
              <w:keepNext w:val="0"/>
              <w:keepLines w:val="0"/>
              <w:pageBreakBefore w:val="0"/>
              <w:widowControl w:val="0"/>
              <w:kinsoku/>
              <w:wordWrap/>
              <w:overflowPunct/>
              <w:topLinePunct w:val="0"/>
              <w:bidi w:val="0"/>
              <w:adjustRightInd/>
              <w:snapToGrid w:val="0"/>
              <w:spacing w:line="360" w:lineRule="auto"/>
              <w:jc w:val="center"/>
              <w:textAlignment w:val="auto"/>
              <w:rPr>
                <w:rFonts w:hint="default" w:ascii="宋体" w:hAnsi="宋体" w:eastAsia="宋体" w:cs="宋体"/>
                <w:color w:val="auto"/>
                <w:spacing w:val="11"/>
                <w:sz w:val="21"/>
                <w:szCs w:val="21"/>
                <w:highlight w:val="none"/>
                <w:lang w:val="en-US" w:eastAsia="zh-CN"/>
              </w:rPr>
            </w:pPr>
            <w:r>
              <w:rPr>
                <w:rFonts w:hint="eastAsia" w:cs="Times New Roman"/>
                <w:color w:val="auto"/>
                <w:sz w:val="24"/>
                <w:highlight w:val="none"/>
                <w:lang w:val="en-US" w:eastAsia="zh-CN"/>
              </w:rPr>
              <w:t>5340000.00</w:t>
            </w:r>
          </w:p>
        </w:tc>
        <w:tc>
          <w:tcPr>
            <w:tcW w:w="1436" w:type="dxa"/>
            <w:noWrap w:val="0"/>
            <w:vAlign w:val="center"/>
          </w:tcPr>
          <w:p w14:paraId="66FFB85C">
            <w:pPr>
              <w:pStyle w:val="9"/>
              <w:keepNext w:val="0"/>
              <w:keepLines w:val="0"/>
              <w:pageBreakBefore w:val="0"/>
              <w:widowControl w:val="0"/>
              <w:kinsoku/>
              <w:wordWrap/>
              <w:overflowPunct/>
              <w:topLinePunct w:val="0"/>
              <w:bidi w:val="0"/>
              <w:adjustRightInd/>
              <w:snapToGrid w:val="0"/>
              <w:spacing w:line="360" w:lineRule="auto"/>
              <w:jc w:val="center"/>
              <w:textAlignment w:val="auto"/>
              <w:rPr>
                <w:rFonts w:hint="eastAsia" w:ascii="宋体" w:hAnsi="宋体" w:eastAsia="宋体" w:cs="宋体"/>
                <w:color w:val="auto"/>
                <w:spacing w:val="11"/>
                <w:sz w:val="21"/>
                <w:szCs w:val="21"/>
                <w:highlight w:val="none"/>
                <w:lang w:val="en-US" w:eastAsia="zh-CN"/>
              </w:rPr>
            </w:pPr>
            <w:r>
              <w:rPr>
                <w:rFonts w:hint="eastAsia" w:cs="Times New Roman"/>
                <w:color w:val="auto"/>
                <w:sz w:val="24"/>
                <w:highlight w:val="none"/>
                <w:lang w:val="en-US" w:eastAsia="zh-CN"/>
              </w:rPr>
              <w:t>4574310.00</w:t>
            </w:r>
          </w:p>
        </w:tc>
        <w:tc>
          <w:tcPr>
            <w:tcW w:w="1416" w:type="dxa"/>
            <w:noWrap w:val="0"/>
            <w:vAlign w:val="center"/>
          </w:tcPr>
          <w:p w14:paraId="75617B1E">
            <w:pPr>
              <w:pStyle w:val="9"/>
              <w:keepNext w:val="0"/>
              <w:keepLines w:val="0"/>
              <w:pageBreakBefore w:val="0"/>
              <w:widowControl w:val="0"/>
              <w:kinsoku/>
              <w:wordWrap/>
              <w:overflowPunct/>
              <w:topLinePunct w:val="0"/>
              <w:bidi w:val="0"/>
              <w:adjustRightInd/>
              <w:snapToGrid w:val="0"/>
              <w:spacing w:line="360" w:lineRule="auto"/>
              <w:jc w:val="center"/>
              <w:textAlignment w:val="auto"/>
              <w:rPr>
                <w:rFonts w:hint="eastAsia" w:ascii="宋体" w:hAnsi="宋体" w:eastAsia="宋体" w:cs="宋体"/>
                <w:color w:val="auto"/>
                <w:spacing w:val="11"/>
                <w:sz w:val="21"/>
                <w:szCs w:val="21"/>
                <w:highlight w:val="none"/>
                <w:lang w:val="en-US" w:eastAsia="zh-CN"/>
              </w:rPr>
            </w:pPr>
            <w:r>
              <w:rPr>
                <w:rFonts w:hint="eastAsia" w:ascii="宋体" w:hAnsi="宋体" w:eastAsia="宋体" w:cs="宋体"/>
                <w:color w:val="auto"/>
                <w:spacing w:val="11"/>
                <w:sz w:val="21"/>
                <w:szCs w:val="21"/>
                <w:highlight w:val="none"/>
                <w:lang w:val="en-US" w:eastAsia="zh-CN"/>
              </w:rPr>
              <w:t>是</w:t>
            </w:r>
          </w:p>
        </w:tc>
        <w:tc>
          <w:tcPr>
            <w:tcW w:w="1913" w:type="dxa"/>
            <w:noWrap w:val="0"/>
            <w:vAlign w:val="center"/>
          </w:tcPr>
          <w:p w14:paraId="57DAF6F2">
            <w:pPr>
              <w:pStyle w:val="9"/>
              <w:keepNext w:val="0"/>
              <w:keepLines w:val="0"/>
              <w:pageBreakBefore w:val="0"/>
              <w:widowControl w:val="0"/>
              <w:kinsoku/>
              <w:wordWrap/>
              <w:overflowPunct/>
              <w:topLinePunct w:val="0"/>
              <w:bidi w:val="0"/>
              <w:adjustRightInd/>
              <w:snapToGrid w:val="0"/>
              <w:spacing w:line="360" w:lineRule="auto"/>
              <w:jc w:val="center"/>
              <w:textAlignment w:val="auto"/>
              <w:rPr>
                <w:rFonts w:hint="eastAsia"/>
                <w:color w:val="auto"/>
                <w:highlight w:val="none"/>
                <w:lang w:val="en-US" w:eastAsia="zh-CN"/>
              </w:rPr>
            </w:pPr>
            <w:r>
              <w:rPr>
                <w:rFonts w:hint="eastAsia" w:cs="Times New Roman"/>
                <w:color w:val="auto"/>
                <w:sz w:val="24"/>
                <w:highlight w:val="none"/>
                <w:lang w:val="en-US" w:eastAsia="zh-CN"/>
              </w:rPr>
              <w:t>4574310.00</w:t>
            </w:r>
            <w:r>
              <w:rPr>
                <w:rFonts w:ascii="宋体" w:hAnsi="宋体" w:eastAsia="宋体" w:cs="宋体"/>
                <w:color w:val="auto"/>
                <w:sz w:val="24"/>
                <w:szCs w:val="24"/>
                <w:highlight w:val="none"/>
              </w:rPr>
              <w:t>，其中小微企业采购金额：</w:t>
            </w:r>
            <w:r>
              <w:rPr>
                <w:rFonts w:hint="eastAsia" w:cs="Times New Roman"/>
                <w:color w:val="auto"/>
                <w:sz w:val="24"/>
                <w:highlight w:val="none"/>
                <w:lang w:val="en-US" w:eastAsia="zh-CN"/>
              </w:rPr>
              <w:t>0</w:t>
            </w:r>
          </w:p>
        </w:tc>
      </w:tr>
      <w:tr w14:paraId="331D0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2" w:hRule="atLeast"/>
          <w:jc w:val="center"/>
        </w:trPr>
        <w:tc>
          <w:tcPr>
            <w:tcW w:w="577" w:type="dxa"/>
            <w:noWrap w:val="0"/>
            <w:vAlign w:val="center"/>
          </w:tcPr>
          <w:p w14:paraId="489B9DD5">
            <w:pPr>
              <w:pStyle w:val="9"/>
              <w:keepNext w:val="0"/>
              <w:keepLines w:val="0"/>
              <w:pageBreakBefore w:val="0"/>
              <w:widowControl w:val="0"/>
              <w:kinsoku/>
              <w:wordWrap/>
              <w:overflowPunct/>
              <w:topLinePunct w:val="0"/>
              <w:bidi w:val="0"/>
              <w:adjustRightInd/>
              <w:snapToGrid w:val="0"/>
              <w:spacing w:line="360" w:lineRule="auto"/>
              <w:jc w:val="center"/>
              <w:textAlignment w:val="auto"/>
              <w:rPr>
                <w:rFonts w:hint="eastAsia" w:ascii="宋体" w:hAnsi="宋体" w:eastAsia="宋体" w:cs="宋体"/>
                <w:color w:val="auto"/>
                <w:spacing w:val="11"/>
                <w:sz w:val="21"/>
                <w:szCs w:val="21"/>
                <w:highlight w:val="none"/>
                <w:lang w:val="en-US" w:eastAsia="zh-CN"/>
              </w:rPr>
            </w:pPr>
            <w:r>
              <w:rPr>
                <w:rFonts w:hint="eastAsia" w:cs="宋体"/>
                <w:color w:val="auto"/>
                <w:spacing w:val="11"/>
                <w:sz w:val="21"/>
                <w:szCs w:val="21"/>
                <w:highlight w:val="none"/>
                <w:lang w:val="en-US" w:eastAsia="zh-CN"/>
              </w:rPr>
              <w:t>2</w:t>
            </w:r>
          </w:p>
        </w:tc>
        <w:tc>
          <w:tcPr>
            <w:tcW w:w="1341" w:type="dxa"/>
            <w:noWrap w:val="0"/>
            <w:vAlign w:val="center"/>
          </w:tcPr>
          <w:p w14:paraId="59E7C228">
            <w:pPr>
              <w:pStyle w:val="9"/>
              <w:keepNext w:val="0"/>
              <w:keepLines w:val="0"/>
              <w:pageBreakBefore w:val="0"/>
              <w:widowControl w:val="0"/>
              <w:kinsoku/>
              <w:wordWrap/>
              <w:overflowPunct/>
              <w:topLinePunct w:val="0"/>
              <w:bidi w:val="0"/>
              <w:adjustRightInd/>
              <w:snapToGrid w:val="0"/>
              <w:spacing w:line="360" w:lineRule="auto"/>
              <w:jc w:val="center"/>
              <w:textAlignment w:val="auto"/>
              <w:rPr>
                <w:rFonts w:hint="eastAsia" w:ascii="宋体" w:hAnsi="宋体" w:eastAsia="宋体" w:cs="宋体"/>
                <w:color w:val="auto"/>
                <w:spacing w:val="11"/>
                <w:sz w:val="21"/>
                <w:szCs w:val="21"/>
                <w:highlight w:val="none"/>
              </w:rPr>
            </w:pPr>
            <w:r>
              <w:rPr>
                <w:rFonts w:hint="eastAsia" w:cs="宋体"/>
                <w:color w:val="auto"/>
                <w:spacing w:val="11"/>
                <w:sz w:val="21"/>
                <w:szCs w:val="21"/>
                <w:highlight w:val="none"/>
                <w:lang w:val="en-US" w:eastAsia="zh-CN"/>
              </w:rPr>
              <w:t>汴杞财招标采购-2026-26-2</w:t>
            </w:r>
          </w:p>
        </w:tc>
        <w:tc>
          <w:tcPr>
            <w:tcW w:w="1625" w:type="dxa"/>
            <w:noWrap w:val="0"/>
            <w:vAlign w:val="center"/>
          </w:tcPr>
          <w:p w14:paraId="69CC0CE0">
            <w:pPr>
              <w:spacing w:line="360" w:lineRule="auto"/>
              <w:rPr>
                <w:rFonts w:hint="eastAsia" w:cs="宋体"/>
                <w:color w:val="auto"/>
                <w:spacing w:val="11"/>
                <w:sz w:val="21"/>
                <w:szCs w:val="21"/>
                <w:highlight w:val="none"/>
                <w:lang w:val="en-US" w:eastAsia="zh-CN"/>
              </w:rPr>
            </w:pPr>
            <w:r>
              <w:rPr>
                <w:rFonts w:hint="eastAsia" w:hAnsi="宋体" w:cs="Times New Roman"/>
                <w:color w:val="auto"/>
                <w:sz w:val="21"/>
                <w:szCs w:val="21"/>
                <w:highlight w:val="none"/>
                <w:lang w:val="en-US" w:eastAsia="zh-CN"/>
              </w:rPr>
              <w:t>二包标段：官庄乡、圉镇镇、湖岗乡农业社会化服务</w:t>
            </w:r>
          </w:p>
        </w:tc>
        <w:tc>
          <w:tcPr>
            <w:tcW w:w="1528" w:type="dxa"/>
            <w:noWrap w:val="0"/>
            <w:vAlign w:val="center"/>
          </w:tcPr>
          <w:p w14:paraId="7629C639">
            <w:pPr>
              <w:pStyle w:val="9"/>
              <w:keepNext w:val="0"/>
              <w:keepLines w:val="0"/>
              <w:pageBreakBefore w:val="0"/>
              <w:widowControl w:val="0"/>
              <w:kinsoku/>
              <w:wordWrap/>
              <w:overflowPunct/>
              <w:topLinePunct w:val="0"/>
              <w:bidi w:val="0"/>
              <w:adjustRightInd/>
              <w:snapToGrid w:val="0"/>
              <w:spacing w:line="360" w:lineRule="auto"/>
              <w:jc w:val="center"/>
              <w:textAlignment w:val="auto"/>
              <w:rPr>
                <w:rFonts w:hint="eastAsia" w:ascii="宋体" w:hAnsi="宋体" w:cs="Times New Roman"/>
                <w:color w:val="auto"/>
                <w:sz w:val="24"/>
                <w:highlight w:val="none"/>
                <w:lang w:val="en-US" w:eastAsia="zh-CN"/>
              </w:rPr>
            </w:pPr>
            <w:r>
              <w:rPr>
                <w:rFonts w:hint="eastAsia" w:cs="Times New Roman"/>
                <w:color w:val="auto"/>
                <w:sz w:val="24"/>
                <w:highlight w:val="none"/>
                <w:lang w:val="en-US" w:eastAsia="zh-CN"/>
              </w:rPr>
              <w:t>5340000.00</w:t>
            </w:r>
          </w:p>
        </w:tc>
        <w:tc>
          <w:tcPr>
            <w:tcW w:w="1436" w:type="dxa"/>
            <w:noWrap w:val="0"/>
            <w:vAlign w:val="center"/>
          </w:tcPr>
          <w:p w14:paraId="0388B44E">
            <w:pPr>
              <w:pStyle w:val="9"/>
              <w:keepNext w:val="0"/>
              <w:keepLines w:val="0"/>
              <w:pageBreakBefore w:val="0"/>
              <w:widowControl w:val="0"/>
              <w:kinsoku/>
              <w:wordWrap/>
              <w:overflowPunct/>
              <w:topLinePunct w:val="0"/>
              <w:bidi w:val="0"/>
              <w:adjustRightInd/>
              <w:snapToGrid w:val="0"/>
              <w:spacing w:line="360" w:lineRule="auto"/>
              <w:jc w:val="center"/>
              <w:textAlignment w:val="auto"/>
              <w:rPr>
                <w:rFonts w:hint="eastAsia" w:ascii="宋体" w:hAnsi="宋体" w:cs="Times New Roman"/>
                <w:color w:val="auto"/>
                <w:sz w:val="24"/>
                <w:highlight w:val="none"/>
                <w:lang w:val="en-US" w:eastAsia="zh-CN"/>
              </w:rPr>
            </w:pPr>
            <w:r>
              <w:rPr>
                <w:rFonts w:hint="eastAsia" w:cs="Times New Roman"/>
                <w:color w:val="auto"/>
                <w:sz w:val="24"/>
                <w:highlight w:val="none"/>
                <w:lang w:val="en-US" w:eastAsia="zh-CN"/>
              </w:rPr>
              <w:t>4574310.00</w:t>
            </w:r>
          </w:p>
        </w:tc>
        <w:tc>
          <w:tcPr>
            <w:tcW w:w="1416" w:type="dxa"/>
            <w:noWrap w:val="0"/>
            <w:vAlign w:val="center"/>
          </w:tcPr>
          <w:p w14:paraId="2B73F339">
            <w:pPr>
              <w:pStyle w:val="9"/>
              <w:keepNext w:val="0"/>
              <w:keepLines w:val="0"/>
              <w:pageBreakBefore w:val="0"/>
              <w:widowControl w:val="0"/>
              <w:kinsoku/>
              <w:wordWrap/>
              <w:overflowPunct/>
              <w:topLinePunct w:val="0"/>
              <w:bidi w:val="0"/>
              <w:adjustRightInd/>
              <w:snapToGrid w:val="0"/>
              <w:spacing w:line="360" w:lineRule="auto"/>
              <w:jc w:val="center"/>
              <w:textAlignment w:val="auto"/>
              <w:rPr>
                <w:rFonts w:hint="eastAsia" w:ascii="宋体" w:hAnsi="宋体" w:eastAsia="宋体" w:cs="宋体"/>
                <w:color w:val="auto"/>
                <w:spacing w:val="11"/>
                <w:sz w:val="21"/>
                <w:szCs w:val="21"/>
                <w:highlight w:val="none"/>
                <w:lang w:val="en-US" w:eastAsia="zh-CN"/>
              </w:rPr>
            </w:pPr>
            <w:r>
              <w:rPr>
                <w:rFonts w:hint="eastAsia" w:ascii="宋体" w:hAnsi="宋体" w:eastAsia="宋体" w:cs="宋体"/>
                <w:color w:val="auto"/>
                <w:spacing w:val="11"/>
                <w:sz w:val="21"/>
                <w:szCs w:val="21"/>
                <w:highlight w:val="none"/>
                <w:lang w:val="en-US" w:eastAsia="zh-CN"/>
              </w:rPr>
              <w:t>是</w:t>
            </w:r>
          </w:p>
        </w:tc>
        <w:tc>
          <w:tcPr>
            <w:tcW w:w="1913" w:type="dxa"/>
            <w:noWrap w:val="0"/>
            <w:vAlign w:val="center"/>
          </w:tcPr>
          <w:p w14:paraId="04BAD32D">
            <w:pPr>
              <w:pStyle w:val="9"/>
              <w:keepNext w:val="0"/>
              <w:keepLines w:val="0"/>
              <w:pageBreakBefore w:val="0"/>
              <w:widowControl w:val="0"/>
              <w:kinsoku/>
              <w:wordWrap/>
              <w:overflowPunct/>
              <w:topLinePunct w:val="0"/>
              <w:bidi w:val="0"/>
              <w:adjustRightInd/>
              <w:snapToGrid w:val="0"/>
              <w:spacing w:line="360" w:lineRule="auto"/>
              <w:jc w:val="center"/>
              <w:textAlignment w:val="auto"/>
              <w:rPr>
                <w:rFonts w:hint="eastAsia" w:ascii="宋体" w:hAnsi="宋体" w:cs="Times New Roman"/>
                <w:color w:val="auto"/>
                <w:sz w:val="24"/>
                <w:highlight w:val="none"/>
                <w:lang w:val="en-US" w:eastAsia="zh-CN"/>
              </w:rPr>
            </w:pPr>
            <w:r>
              <w:rPr>
                <w:rFonts w:hint="eastAsia" w:cs="Times New Roman"/>
                <w:color w:val="auto"/>
                <w:sz w:val="24"/>
                <w:highlight w:val="none"/>
                <w:lang w:val="en-US" w:eastAsia="zh-CN"/>
              </w:rPr>
              <w:t>4574310.00</w:t>
            </w:r>
            <w:r>
              <w:rPr>
                <w:rFonts w:ascii="宋体" w:hAnsi="宋体" w:eastAsia="宋体" w:cs="宋体"/>
                <w:color w:val="auto"/>
                <w:sz w:val="24"/>
                <w:szCs w:val="24"/>
                <w:highlight w:val="none"/>
              </w:rPr>
              <w:t>，其中小微企业采购金额：</w:t>
            </w:r>
            <w:r>
              <w:rPr>
                <w:rFonts w:hint="eastAsia" w:cs="Times New Roman"/>
                <w:color w:val="auto"/>
                <w:sz w:val="24"/>
                <w:highlight w:val="none"/>
                <w:lang w:val="en-US" w:eastAsia="zh-CN"/>
              </w:rPr>
              <w:t>0</w:t>
            </w:r>
          </w:p>
        </w:tc>
      </w:tr>
    </w:tbl>
    <w:p w14:paraId="51BAD638">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5、采购需求（包括但不限于标的的名称、数量、简要技术需求或服务要求等）</w:t>
      </w:r>
    </w:p>
    <w:p w14:paraId="3BE44EFF">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5.1</w:t>
      </w:r>
      <w:r>
        <w:rPr>
          <w:rFonts w:hint="eastAsia" w:ascii="宋体" w:hAnsi="宋体" w:eastAsia="宋体" w:cs="Times New Roman"/>
          <w:color w:val="auto"/>
          <w:sz w:val="24"/>
          <w:highlight w:val="none"/>
          <w:lang w:val="en-US" w:eastAsia="zh-CN"/>
        </w:rPr>
        <w:t>服务</w:t>
      </w:r>
      <w:r>
        <w:rPr>
          <w:rFonts w:hint="eastAsia" w:ascii="宋体" w:hAnsi="宋体" w:eastAsia="宋体" w:cs="Times New Roman"/>
          <w:color w:val="auto"/>
          <w:sz w:val="24"/>
          <w:highlight w:val="none"/>
        </w:rPr>
        <w:t>内容：</w:t>
      </w:r>
      <w:r>
        <w:rPr>
          <w:rFonts w:hint="eastAsia" w:ascii="宋体" w:hAnsi="宋体" w:cs="Times New Roman"/>
          <w:color w:val="auto"/>
          <w:sz w:val="24"/>
          <w:highlight w:val="none"/>
          <w:lang w:val="en-US" w:eastAsia="zh-CN"/>
        </w:rPr>
        <w:t>主要服务内容为</w:t>
      </w:r>
      <w:r>
        <w:rPr>
          <w:rFonts w:hint="eastAsia" w:ascii="宋体" w:hAnsi="宋体" w:cs="宋体"/>
          <w:color w:val="auto"/>
          <w:sz w:val="24"/>
          <w:szCs w:val="24"/>
          <w:highlight w:val="none"/>
          <w:lang w:eastAsia="zh-CN"/>
        </w:rPr>
        <w:t>小麦播种、小麦收获、玉米收获、玉米秸秆还田、深松、旋耕2遍等，</w:t>
      </w:r>
      <w:r>
        <w:rPr>
          <w:rFonts w:hint="eastAsia" w:ascii="宋体" w:hAnsi="宋体" w:cs="宋体"/>
          <w:color w:val="auto"/>
          <w:sz w:val="24"/>
          <w:szCs w:val="24"/>
          <w:highlight w:val="none"/>
          <w:lang w:val="en-US" w:eastAsia="zh-CN"/>
        </w:rPr>
        <w:t>具体内容</w:t>
      </w:r>
      <w:r>
        <w:rPr>
          <w:rFonts w:hint="eastAsia" w:ascii="宋体" w:hAnsi="宋体"/>
          <w:color w:val="auto"/>
          <w:sz w:val="24"/>
          <w:highlight w:val="none"/>
          <w:lang w:val="en-US" w:eastAsia="zh-CN"/>
        </w:rPr>
        <w:t>详见“</w:t>
      </w:r>
      <w:r>
        <w:rPr>
          <w:rFonts w:hint="eastAsia" w:ascii="宋体" w:hAnsi="宋体" w:eastAsia="宋体" w:cs="Times New Roman"/>
          <w:color w:val="auto"/>
          <w:sz w:val="24"/>
          <w:highlight w:val="none"/>
          <w:lang w:val="en-US" w:eastAsia="zh-CN"/>
        </w:rPr>
        <w:t>项目服务内容及要求”</w:t>
      </w:r>
      <w:r>
        <w:rPr>
          <w:rFonts w:hint="eastAsia" w:ascii="宋体" w:hAnsi="宋体" w:eastAsia="宋体" w:cs="Times New Roman"/>
          <w:color w:val="auto"/>
          <w:sz w:val="24"/>
          <w:highlight w:val="none"/>
        </w:rPr>
        <w:t>。</w:t>
      </w:r>
    </w:p>
    <w:p w14:paraId="1EBFB713">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5.2</w:t>
      </w:r>
      <w:r>
        <w:rPr>
          <w:rFonts w:hint="eastAsia" w:ascii="宋体" w:hAnsi="宋体" w:eastAsia="宋体" w:cs="Times New Roman"/>
          <w:color w:val="auto"/>
          <w:sz w:val="24"/>
          <w:highlight w:val="none"/>
          <w:lang w:val="en-US" w:eastAsia="zh-CN"/>
        </w:rPr>
        <w:t>服务</w:t>
      </w:r>
      <w:r>
        <w:rPr>
          <w:rFonts w:hint="eastAsia" w:ascii="宋体" w:hAnsi="宋体" w:eastAsia="宋体" w:cs="Times New Roman"/>
          <w:color w:val="auto"/>
          <w:sz w:val="24"/>
          <w:highlight w:val="none"/>
        </w:rPr>
        <w:t>地点：采购人指定地点</w:t>
      </w:r>
    </w:p>
    <w:p w14:paraId="7FE07937">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5.3采购范围：</w:t>
      </w:r>
      <w:r>
        <w:rPr>
          <w:rFonts w:hint="eastAsia" w:ascii="宋体" w:hAnsi="宋体" w:eastAsia="宋体" w:cs="Times New Roman"/>
          <w:color w:val="auto"/>
          <w:sz w:val="24"/>
          <w:highlight w:val="none"/>
          <w:lang w:val="en-US" w:eastAsia="zh-CN"/>
        </w:rPr>
        <w:t>招标</w:t>
      </w:r>
      <w:r>
        <w:rPr>
          <w:rFonts w:hint="eastAsia" w:ascii="宋体" w:hAnsi="宋体" w:eastAsia="宋体" w:cs="Times New Roman"/>
          <w:color w:val="auto"/>
          <w:sz w:val="24"/>
          <w:highlight w:val="none"/>
        </w:rPr>
        <w:t>文件包含的全部内容</w:t>
      </w:r>
    </w:p>
    <w:p w14:paraId="30C6DD16">
      <w:pPr>
        <w:spacing w:line="360" w:lineRule="auto"/>
        <w:ind w:firstLine="480" w:firstLineChars="2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rPr>
        <w:t>5.4服务期限：</w:t>
      </w:r>
      <w:r>
        <w:rPr>
          <w:rFonts w:hint="eastAsia" w:ascii="宋体" w:hAnsi="宋体"/>
          <w:color w:val="auto"/>
          <w:sz w:val="24"/>
          <w:highlight w:val="none"/>
          <w:lang w:val="en-US" w:eastAsia="zh-CN"/>
        </w:rPr>
        <w:t>合同签订之日起</w:t>
      </w:r>
      <w:r>
        <w:rPr>
          <w:rFonts w:hint="eastAsia" w:ascii="宋体" w:hAnsi="宋体" w:cs="宋体"/>
          <w:color w:val="auto"/>
          <w:sz w:val="24"/>
          <w:highlight w:val="none"/>
          <w:lang w:val="en-US" w:eastAsia="zh-CN"/>
        </w:rPr>
        <w:t>至2026年12月31日（如遇极端天气可以适当延长，最迟至2027年12月31日）</w:t>
      </w:r>
    </w:p>
    <w:p w14:paraId="4238715E">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5.5服务质量：</w:t>
      </w:r>
      <w:r>
        <w:rPr>
          <w:rFonts w:hint="eastAsia" w:ascii="宋体" w:hAnsi="宋体" w:eastAsia="宋体" w:cs="Times New Roman"/>
          <w:color w:val="auto"/>
          <w:sz w:val="24"/>
          <w:highlight w:val="none"/>
          <w:lang w:val="en-US" w:eastAsia="zh-CN"/>
        </w:rPr>
        <w:t>合</w:t>
      </w:r>
      <w:r>
        <w:rPr>
          <w:rFonts w:hint="eastAsia" w:ascii="宋体" w:hAnsi="宋体" w:eastAsia="宋体" w:cs="Times New Roman"/>
          <w:color w:val="auto"/>
          <w:sz w:val="24"/>
          <w:highlight w:val="none"/>
        </w:rPr>
        <w:t>格，符合现行国家和行业质量验收标准</w:t>
      </w:r>
    </w:p>
    <w:p w14:paraId="5D39D562">
      <w:pPr>
        <w:spacing w:line="360" w:lineRule="auto"/>
        <w:ind w:firstLine="480" w:firstLineChars="200"/>
        <w:rPr>
          <w:rFonts w:hint="eastAsia" w:ascii="宋体" w:hAnsi="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5.6标段划分：</w:t>
      </w:r>
      <w:r>
        <w:rPr>
          <w:rFonts w:hint="eastAsia" w:ascii="宋体" w:hAnsi="宋体" w:eastAsia="宋体" w:cs="Times New Roman"/>
          <w:color w:val="auto"/>
          <w:sz w:val="24"/>
          <w:highlight w:val="none"/>
        </w:rPr>
        <w:t>本次采购项目共划分为</w:t>
      </w:r>
      <w:r>
        <w:rPr>
          <w:rFonts w:hint="eastAsia" w:ascii="宋体" w:hAnsi="宋体" w:cs="Times New Roman"/>
          <w:color w:val="auto"/>
          <w:sz w:val="24"/>
          <w:highlight w:val="none"/>
          <w:lang w:val="en-US" w:eastAsia="zh-CN"/>
        </w:rPr>
        <w:t>两个标段；</w:t>
      </w:r>
    </w:p>
    <w:p w14:paraId="09EFC479">
      <w:pPr>
        <w:pStyle w:val="2"/>
        <w:spacing w:line="360" w:lineRule="auto"/>
        <w:rPr>
          <w:rFonts w:hint="eastAsia" w:hAnsi="宋体" w:cs="Times New Roman"/>
          <w:color w:val="auto"/>
          <w:sz w:val="24"/>
          <w:highlight w:val="none"/>
          <w:lang w:val="en-US" w:eastAsia="zh-CN"/>
        </w:rPr>
      </w:pPr>
      <w:r>
        <w:rPr>
          <w:rFonts w:hint="eastAsia" w:hAnsi="宋体" w:cs="Times New Roman"/>
          <w:color w:val="auto"/>
          <w:sz w:val="24"/>
          <w:highlight w:val="none"/>
          <w:lang w:val="en-US" w:eastAsia="zh-CN"/>
        </w:rPr>
        <w:t>一包段：傅集镇、宗店乡、板木乡、竹林乡农业社会化服务</w:t>
      </w:r>
    </w:p>
    <w:p w14:paraId="3F18F3D8">
      <w:pPr>
        <w:spacing w:line="360" w:lineRule="auto"/>
        <w:ind w:firstLine="480" w:firstLineChars="200"/>
        <w:rPr>
          <w:rFonts w:hint="default"/>
          <w:color w:val="auto"/>
          <w:highlight w:val="none"/>
          <w:lang w:val="en-US" w:eastAsia="zh-CN"/>
        </w:rPr>
      </w:pPr>
      <w:r>
        <w:rPr>
          <w:rFonts w:hint="eastAsia" w:hAnsi="宋体" w:cs="Times New Roman"/>
          <w:color w:val="auto"/>
          <w:sz w:val="24"/>
          <w:highlight w:val="none"/>
          <w:lang w:val="en-US" w:eastAsia="zh-CN"/>
        </w:rPr>
        <w:t>二包标：官庄乡、圉镇镇、湖岗乡农业社会化服务</w:t>
      </w:r>
    </w:p>
    <w:p w14:paraId="754AE6BB">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6、合同履行期限：同服务期限</w:t>
      </w:r>
    </w:p>
    <w:p w14:paraId="43CBE885">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7、本项目是否接受联合体投标：否</w:t>
      </w:r>
    </w:p>
    <w:p w14:paraId="34C86B9D">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8、是否接受进口产品：否</w:t>
      </w:r>
    </w:p>
    <w:p w14:paraId="7E75D36E">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9、是否专门面向中小企业：是</w:t>
      </w:r>
    </w:p>
    <w:p w14:paraId="331B8FAF">
      <w:pPr>
        <w:spacing w:line="360" w:lineRule="auto"/>
        <w:rPr>
          <w:rFonts w:ascii="宋体" w:hAnsi="宋体"/>
          <w:b/>
          <w:color w:val="auto"/>
          <w:sz w:val="24"/>
          <w:highlight w:val="none"/>
        </w:rPr>
      </w:pPr>
      <w:r>
        <w:rPr>
          <w:rFonts w:hint="eastAsia" w:ascii="宋体" w:hAnsi="宋体"/>
          <w:b/>
          <w:color w:val="auto"/>
          <w:sz w:val="24"/>
          <w:highlight w:val="none"/>
        </w:rPr>
        <w:t>二、申请人资格要求</w:t>
      </w:r>
    </w:p>
    <w:p w14:paraId="5E271A87">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1</w:t>
      </w:r>
      <w:r>
        <w:rPr>
          <w:rFonts w:hint="eastAsia" w:ascii="宋体" w:hAnsi="宋体" w:cs="Times New Roman"/>
          <w:color w:val="auto"/>
          <w:sz w:val="24"/>
          <w:highlight w:val="none"/>
          <w:lang w:val="en-US" w:eastAsia="zh-CN"/>
        </w:rPr>
        <w:t>、</w:t>
      </w:r>
      <w:r>
        <w:rPr>
          <w:rFonts w:hint="eastAsia" w:ascii="宋体" w:hAnsi="宋体" w:eastAsia="宋体" w:cs="Times New Roman"/>
          <w:color w:val="auto"/>
          <w:sz w:val="24"/>
          <w:highlight w:val="none"/>
        </w:rPr>
        <w:t>满足《中华人民共和国政府采购法》第二十二条规定；</w:t>
      </w:r>
    </w:p>
    <w:p w14:paraId="301ECA07">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2</w:t>
      </w:r>
      <w:r>
        <w:rPr>
          <w:rFonts w:hint="eastAsia" w:ascii="宋体" w:hAnsi="宋体" w:cs="Times New Roman"/>
          <w:color w:val="auto"/>
          <w:sz w:val="24"/>
          <w:highlight w:val="none"/>
          <w:lang w:val="en-US" w:eastAsia="zh-CN"/>
        </w:rPr>
        <w:t>、</w:t>
      </w:r>
      <w:r>
        <w:rPr>
          <w:rFonts w:hint="eastAsia" w:ascii="宋体" w:hAnsi="宋体" w:eastAsia="宋体" w:cs="Times New Roman"/>
          <w:color w:val="auto"/>
          <w:sz w:val="24"/>
          <w:highlight w:val="none"/>
        </w:rPr>
        <w:t>落实政府采购政策满足的资格要求：本项目属于专门面向中小企业采购的项目，供应商应为中小微企业（监狱企业、残疾人福利性单位视同小微企业）。供应商需提供《中小企业声明函》。</w:t>
      </w:r>
    </w:p>
    <w:p w14:paraId="60BC4F69">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3</w:t>
      </w:r>
      <w:r>
        <w:rPr>
          <w:rFonts w:hint="eastAsia" w:ascii="宋体" w:hAnsi="宋体" w:cs="Times New Roman"/>
          <w:color w:val="auto"/>
          <w:sz w:val="24"/>
          <w:highlight w:val="none"/>
          <w:lang w:eastAsia="zh-CN"/>
        </w:rPr>
        <w:t>、</w:t>
      </w:r>
      <w:r>
        <w:rPr>
          <w:rFonts w:hint="eastAsia" w:ascii="宋体" w:hAnsi="宋体" w:eastAsia="宋体" w:cs="Times New Roman"/>
          <w:color w:val="auto"/>
          <w:sz w:val="24"/>
          <w:highlight w:val="none"/>
        </w:rPr>
        <w:t>本项目的特定资格要求</w:t>
      </w:r>
    </w:p>
    <w:p w14:paraId="7B325823">
      <w:pPr>
        <w:spacing w:line="360" w:lineRule="auto"/>
        <w:ind w:firstLine="480" w:firstLineChars="200"/>
        <w:rPr>
          <w:rFonts w:hint="eastAsia" w:ascii="宋体" w:hAnsi="宋体" w:eastAsia="宋体" w:cs="Times New Roman"/>
          <w:color w:val="auto"/>
          <w:sz w:val="24"/>
          <w:highlight w:val="none"/>
        </w:rPr>
      </w:pPr>
      <w:bookmarkStart w:id="14" w:name="_Toc28608"/>
      <w:bookmarkEnd w:id="14"/>
      <w:r>
        <w:rPr>
          <w:rFonts w:hint="eastAsia" w:ascii="宋体" w:hAnsi="宋体" w:eastAsia="宋体" w:cs="Times New Roman"/>
          <w:color w:val="auto"/>
          <w:sz w:val="24"/>
          <w:highlight w:val="none"/>
        </w:rPr>
        <w:t>3.1、符合《中华人民共和国政府采购法》的二十二条之规定；</w:t>
      </w:r>
    </w:p>
    <w:p w14:paraId="727F935E">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（1）具有独立承担民事责任的能力（提供有效的营业执照副本或其他相关证明材料）；</w:t>
      </w:r>
    </w:p>
    <w:p w14:paraId="2A9A0655">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（2）具有良好的商业信誉和健全的财务会计制度（提供202</w:t>
      </w:r>
      <w:r>
        <w:rPr>
          <w:rFonts w:hint="eastAsia" w:ascii="宋体" w:hAnsi="宋体" w:cs="Times New Roman"/>
          <w:color w:val="auto"/>
          <w:sz w:val="24"/>
          <w:highlight w:val="none"/>
          <w:lang w:val="en-US" w:eastAsia="zh-CN"/>
        </w:rPr>
        <w:t>4</w:t>
      </w:r>
      <w:r>
        <w:rPr>
          <w:rFonts w:hint="eastAsia" w:ascii="宋体" w:hAnsi="宋体" w:eastAsia="宋体" w:cs="Times New Roman"/>
          <w:color w:val="auto"/>
          <w:sz w:val="24"/>
          <w:highlight w:val="none"/>
        </w:rPr>
        <w:t>年度</w:t>
      </w:r>
      <w:r>
        <w:rPr>
          <w:rFonts w:hint="eastAsia" w:ascii="宋体" w:hAnsi="宋体" w:cs="Times New Roman"/>
          <w:color w:val="auto"/>
          <w:sz w:val="24"/>
          <w:highlight w:val="none"/>
          <w:lang w:val="en-US" w:eastAsia="zh-CN"/>
        </w:rPr>
        <w:t>或2025年度</w:t>
      </w:r>
      <w:r>
        <w:rPr>
          <w:rFonts w:hint="eastAsia" w:ascii="宋体" w:hAnsi="宋体" w:eastAsia="宋体" w:cs="Times New Roman"/>
          <w:color w:val="auto"/>
          <w:sz w:val="24"/>
          <w:highlight w:val="none"/>
        </w:rPr>
        <w:t>审计报告，新成立的公司时间不足一年的提供基本户银行出具的有效期内资信证明）；</w:t>
      </w:r>
    </w:p>
    <w:p w14:paraId="7CF50AD4">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（3）具有履行合同所必需的设备和专业技术能力（提供书面声明）；</w:t>
      </w:r>
    </w:p>
    <w:p w14:paraId="5D2E73C3">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（4）有依法缴纳税收和社会保障资金的良好记录（提供202</w:t>
      </w:r>
      <w:r>
        <w:rPr>
          <w:rFonts w:hint="eastAsia" w:ascii="宋体" w:hAnsi="宋体" w:cs="Times New Roman"/>
          <w:color w:val="auto"/>
          <w:sz w:val="24"/>
          <w:highlight w:val="none"/>
          <w:lang w:val="en-US" w:eastAsia="zh-CN"/>
        </w:rPr>
        <w:t>6</w:t>
      </w:r>
      <w:r>
        <w:rPr>
          <w:rFonts w:hint="eastAsia" w:ascii="宋体" w:hAnsi="宋体" w:eastAsia="宋体" w:cs="Times New Roman"/>
          <w:color w:val="auto"/>
          <w:sz w:val="24"/>
          <w:highlight w:val="none"/>
        </w:rPr>
        <w:t>年以来任意</w:t>
      </w:r>
      <w:r>
        <w:rPr>
          <w:rFonts w:hint="eastAsia" w:ascii="宋体" w:hAnsi="宋体" w:cs="Times New Roman"/>
          <w:color w:val="auto"/>
          <w:sz w:val="24"/>
          <w:highlight w:val="none"/>
          <w:lang w:val="en-US" w:eastAsia="zh-CN"/>
        </w:rPr>
        <w:t>1</w:t>
      </w:r>
      <w:r>
        <w:rPr>
          <w:rFonts w:hint="eastAsia" w:ascii="宋体" w:hAnsi="宋体" w:eastAsia="宋体" w:cs="Times New Roman"/>
          <w:color w:val="auto"/>
          <w:sz w:val="24"/>
          <w:highlight w:val="none"/>
        </w:rPr>
        <w:t>个月的依法缴纳税收的证明和依法缴纳社会保障资金的证明，依法免税或不需要缴纳社会保障资金的投标人，应提供相应证明文件</w:t>
      </w:r>
      <w:r>
        <w:rPr>
          <w:rFonts w:hint="eastAsia" w:ascii="宋体" w:hAnsi="宋体"/>
          <w:color w:val="auto"/>
          <w:sz w:val="24"/>
          <w:highlight w:val="none"/>
          <w:lang w:val="en-US" w:eastAsia="zh-CN"/>
        </w:rPr>
        <w:t>或者承诺书</w:t>
      </w:r>
      <w:r>
        <w:rPr>
          <w:rFonts w:hint="eastAsia" w:ascii="宋体" w:hAnsi="宋体" w:eastAsia="宋体" w:cs="Times New Roman"/>
          <w:color w:val="auto"/>
          <w:sz w:val="24"/>
          <w:highlight w:val="none"/>
        </w:rPr>
        <w:t>）；</w:t>
      </w:r>
    </w:p>
    <w:p w14:paraId="75AA7104">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（5）参加政府采购活动前三年内，在经营活动中没有重大违法记录（提供书面声明）；</w:t>
      </w:r>
    </w:p>
    <w:p w14:paraId="3A54CC63">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（6）法律、行政法规规定的其他条件。</w:t>
      </w:r>
    </w:p>
    <w:p w14:paraId="31F3A1D1">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3.2、投标人应通过“信用中国”网站(</w:t>
      </w:r>
      <w:r>
        <w:rPr>
          <w:rFonts w:hint="eastAsia" w:ascii="宋体" w:hAnsi="宋体" w:eastAsia="宋体" w:cs="Times New Roman"/>
          <w:color w:val="auto"/>
          <w:sz w:val="24"/>
          <w:highlight w:val="none"/>
        </w:rPr>
        <w:fldChar w:fldCharType="begin"/>
      </w:r>
      <w:r>
        <w:rPr>
          <w:rFonts w:hint="eastAsia" w:ascii="宋体" w:hAnsi="宋体" w:eastAsia="宋体" w:cs="Times New Roman"/>
          <w:color w:val="auto"/>
          <w:sz w:val="24"/>
          <w:highlight w:val="none"/>
        </w:rPr>
        <w:instrText xml:space="preserve"> HYPERLINK "http://www.creditchina.gov.cn)查询/" </w:instrText>
      </w:r>
      <w:r>
        <w:rPr>
          <w:rFonts w:hint="eastAsia" w:ascii="宋体" w:hAnsi="宋体" w:eastAsia="宋体" w:cs="Times New Roman"/>
          <w:color w:val="auto"/>
          <w:sz w:val="24"/>
          <w:highlight w:val="none"/>
        </w:rPr>
        <w:fldChar w:fldCharType="separate"/>
      </w:r>
      <w:r>
        <w:rPr>
          <w:rFonts w:hint="eastAsia" w:ascii="宋体" w:hAnsi="宋体" w:eastAsia="宋体" w:cs="Times New Roman"/>
          <w:color w:val="auto"/>
          <w:sz w:val="24"/>
          <w:highlight w:val="none"/>
        </w:rPr>
        <w:t>www.creditchina.gov.cn)查询“失信被执行人”和“重大税收违法失信主体</w:t>
      </w:r>
      <w:r>
        <w:rPr>
          <w:rFonts w:hint="eastAsia" w:ascii="宋体" w:hAnsi="宋体" w:eastAsia="宋体" w:cs="Times New Roman"/>
          <w:color w:val="auto"/>
          <w:sz w:val="24"/>
          <w:highlight w:val="none"/>
        </w:rPr>
        <w:fldChar w:fldCharType="end"/>
      </w:r>
      <w:r>
        <w:rPr>
          <w:rFonts w:hint="eastAsia" w:ascii="宋体" w:hAnsi="宋体" w:eastAsia="宋体" w:cs="Times New Roman"/>
          <w:color w:val="auto"/>
          <w:sz w:val="24"/>
          <w:highlight w:val="none"/>
        </w:rPr>
        <w:t>”、中国政府采购(www.ccgp.gov.cn)查询“政府采购严重违法失信行为记录名单”渠道查询自身信用记录，并提供查询合格的截图，若查询有失信等负面信息的潜在投标人，将拒绝其报名参加本项目；开标时网页截图附在投标文件中。</w:t>
      </w:r>
    </w:p>
    <w:p w14:paraId="2BF129B1">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3.3、本项目不接受联合体投标。</w:t>
      </w:r>
    </w:p>
    <w:p w14:paraId="03636FAA">
      <w:pPr>
        <w:spacing w:line="360" w:lineRule="auto"/>
        <w:rPr>
          <w:rFonts w:ascii="宋体" w:hAnsi="宋体"/>
          <w:b/>
          <w:color w:val="auto"/>
          <w:sz w:val="24"/>
          <w:highlight w:val="none"/>
        </w:rPr>
      </w:pPr>
      <w:r>
        <w:rPr>
          <w:rFonts w:hint="eastAsia" w:ascii="宋体" w:hAnsi="宋体"/>
          <w:b/>
          <w:color w:val="auto"/>
          <w:sz w:val="24"/>
          <w:highlight w:val="none"/>
        </w:rPr>
        <w:t>三、获取招标文件</w:t>
      </w:r>
    </w:p>
    <w:p w14:paraId="4EBA8E36">
      <w:pPr>
        <w:spacing w:line="360" w:lineRule="auto"/>
        <w:ind w:firstLine="480" w:firstLineChars="200"/>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rPr>
        <w:t>1</w:t>
      </w:r>
      <w:r>
        <w:rPr>
          <w:rFonts w:hint="eastAsia" w:ascii="宋体" w:hAnsi="宋体" w:cs="Times New Roman"/>
          <w:color w:val="auto"/>
          <w:sz w:val="24"/>
          <w:highlight w:val="none"/>
          <w:lang w:val="en-US" w:eastAsia="zh-CN"/>
        </w:rPr>
        <w:t>.</w:t>
      </w:r>
      <w:r>
        <w:rPr>
          <w:rFonts w:hint="eastAsia" w:ascii="宋体" w:hAnsi="宋体" w:eastAsia="宋体" w:cs="Times New Roman"/>
          <w:color w:val="auto"/>
          <w:sz w:val="24"/>
          <w:highlight w:val="none"/>
        </w:rPr>
        <w:t>时间：2026年08月</w:t>
      </w:r>
      <w:r>
        <w:rPr>
          <w:rFonts w:hint="eastAsia" w:ascii="宋体" w:hAnsi="宋体" w:cs="Times New Roman"/>
          <w:color w:val="auto"/>
          <w:sz w:val="24"/>
          <w:highlight w:val="none"/>
          <w:lang w:val="en-US" w:eastAsia="zh-CN"/>
        </w:rPr>
        <w:t>31</w:t>
      </w:r>
      <w:r>
        <w:rPr>
          <w:rFonts w:hint="eastAsia" w:ascii="宋体" w:hAnsi="宋体" w:eastAsia="宋体" w:cs="Times New Roman"/>
          <w:color w:val="auto"/>
          <w:sz w:val="24"/>
          <w:highlight w:val="none"/>
        </w:rPr>
        <w:t>日 至 2026年09月1</w:t>
      </w:r>
      <w:r>
        <w:rPr>
          <w:rFonts w:hint="eastAsia" w:ascii="宋体" w:hAnsi="宋体" w:cs="Times New Roman"/>
          <w:color w:val="auto"/>
          <w:sz w:val="24"/>
          <w:highlight w:val="none"/>
          <w:lang w:val="en-US" w:eastAsia="zh-CN"/>
        </w:rPr>
        <w:t>9</w:t>
      </w:r>
      <w:r>
        <w:rPr>
          <w:rFonts w:hint="eastAsia" w:ascii="宋体" w:hAnsi="宋体" w:eastAsia="宋体" w:cs="Times New Roman"/>
          <w:color w:val="auto"/>
          <w:sz w:val="24"/>
          <w:highlight w:val="none"/>
        </w:rPr>
        <w:t>日，每天上午00:01至12:00，下午12:00至23:59（北京时间，法定节假日除外。）</w:t>
      </w:r>
      <w:r>
        <w:rPr>
          <w:rFonts w:hint="eastAsia" w:ascii="宋体" w:hAnsi="宋体" w:eastAsia="宋体" w:cs="Times New Roman"/>
          <w:color w:val="auto"/>
          <w:sz w:val="24"/>
          <w:highlight w:val="none"/>
          <w:lang w:eastAsia="zh-CN"/>
        </w:rPr>
        <w:t>。</w:t>
      </w:r>
    </w:p>
    <w:p w14:paraId="25D8138D">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2</w:t>
      </w:r>
      <w:r>
        <w:rPr>
          <w:rFonts w:hint="eastAsia" w:ascii="宋体" w:hAnsi="宋体" w:cs="Times New Roman"/>
          <w:color w:val="auto"/>
          <w:sz w:val="24"/>
          <w:highlight w:val="none"/>
          <w:lang w:val="en-US" w:eastAsia="zh-CN"/>
        </w:rPr>
        <w:t>.</w:t>
      </w:r>
      <w:r>
        <w:rPr>
          <w:rFonts w:hint="eastAsia" w:ascii="宋体" w:hAnsi="宋体" w:eastAsia="宋体" w:cs="Times New Roman"/>
          <w:color w:val="auto"/>
          <w:sz w:val="24"/>
          <w:highlight w:val="none"/>
        </w:rPr>
        <w:t>地点：开封市公共资源交易信息网</w:t>
      </w:r>
    </w:p>
    <w:p w14:paraId="084DFB34">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3</w:t>
      </w:r>
      <w:r>
        <w:rPr>
          <w:rFonts w:hint="eastAsia" w:ascii="宋体" w:hAnsi="宋体" w:cs="Times New Roman"/>
          <w:color w:val="auto"/>
          <w:sz w:val="24"/>
          <w:highlight w:val="none"/>
          <w:lang w:val="en-US" w:eastAsia="zh-CN"/>
        </w:rPr>
        <w:t>.</w:t>
      </w:r>
      <w:r>
        <w:rPr>
          <w:rFonts w:hint="eastAsia" w:ascii="宋体" w:hAnsi="宋体" w:eastAsia="宋体" w:cs="Times New Roman"/>
          <w:color w:val="auto"/>
          <w:sz w:val="24"/>
          <w:highlight w:val="none"/>
        </w:rPr>
        <w:t>方式：通过电子交易系统下载。投标单位须注册成为《开封市公共资源交易信息网》会员并取得CA密钥，凭CA密钥登录“政采、工程业务系统”并按网上提示下载招标文件及资料（详见http://www.kfsggzyjyw.cn首页办事指南-操作规程）。</w:t>
      </w:r>
    </w:p>
    <w:p w14:paraId="4D706DD9">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潜在投标人可打开开封市公共资源交易中心网站http://www.kfsggzyjyw.cn首页“流程公开”里查询招标文件。</w:t>
      </w:r>
    </w:p>
    <w:p w14:paraId="36BD6E38">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4</w:t>
      </w:r>
      <w:r>
        <w:rPr>
          <w:rFonts w:hint="eastAsia" w:ascii="宋体" w:hAnsi="宋体" w:cs="Times New Roman"/>
          <w:color w:val="auto"/>
          <w:sz w:val="24"/>
          <w:highlight w:val="none"/>
          <w:lang w:val="en-US" w:eastAsia="zh-CN"/>
        </w:rPr>
        <w:t>.</w:t>
      </w:r>
      <w:r>
        <w:rPr>
          <w:rFonts w:hint="eastAsia" w:ascii="宋体" w:hAnsi="宋体" w:eastAsia="宋体" w:cs="Times New Roman"/>
          <w:color w:val="auto"/>
          <w:sz w:val="24"/>
          <w:highlight w:val="none"/>
        </w:rPr>
        <w:t>售价：0元</w:t>
      </w:r>
    </w:p>
    <w:p w14:paraId="27E87DFF">
      <w:pPr>
        <w:spacing w:line="360" w:lineRule="auto"/>
        <w:rPr>
          <w:rFonts w:ascii="宋体" w:hAnsi="宋体"/>
          <w:b/>
          <w:color w:val="auto"/>
          <w:sz w:val="24"/>
          <w:highlight w:val="none"/>
        </w:rPr>
      </w:pPr>
      <w:r>
        <w:rPr>
          <w:rFonts w:hint="eastAsia" w:ascii="宋体" w:hAnsi="宋体"/>
          <w:b/>
          <w:color w:val="auto"/>
          <w:sz w:val="24"/>
          <w:highlight w:val="none"/>
        </w:rPr>
        <w:t>四、投标截止时间及地点</w:t>
      </w:r>
    </w:p>
    <w:p w14:paraId="70C3C8C0">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1</w:t>
      </w:r>
      <w:r>
        <w:rPr>
          <w:rFonts w:hint="eastAsia" w:ascii="宋体" w:hAnsi="宋体"/>
          <w:color w:val="auto"/>
          <w:sz w:val="24"/>
          <w:highlight w:val="none"/>
          <w:lang w:val="en-US" w:eastAsia="zh-CN"/>
        </w:rPr>
        <w:t>.</w:t>
      </w:r>
      <w:r>
        <w:rPr>
          <w:rFonts w:hint="eastAsia" w:ascii="宋体" w:hAnsi="宋体"/>
          <w:color w:val="auto"/>
          <w:sz w:val="24"/>
          <w:highlight w:val="none"/>
        </w:rPr>
        <w:t>时间：</w:t>
      </w:r>
      <w:r>
        <w:rPr>
          <w:rFonts w:hint="eastAsia" w:ascii="宋体" w:hAnsi="宋体"/>
          <w:b/>
          <w:color w:val="auto"/>
          <w:sz w:val="24"/>
          <w:highlight w:val="none"/>
          <w:u w:val="single"/>
        </w:rPr>
        <w:t>202</w:t>
      </w:r>
      <w:r>
        <w:rPr>
          <w:rFonts w:hint="eastAsia" w:ascii="宋体" w:hAnsi="宋体"/>
          <w:b/>
          <w:color w:val="auto"/>
          <w:sz w:val="24"/>
          <w:highlight w:val="none"/>
          <w:u w:val="single"/>
          <w:lang w:val="en-US" w:eastAsia="zh-CN"/>
        </w:rPr>
        <w:t>6</w:t>
      </w:r>
      <w:r>
        <w:rPr>
          <w:rFonts w:hint="eastAsia" w:ascii="宋体" w:hAnsi="宋体"/>
          <w:b/>
          <w:color w:val="auto"/>
          <w:sz w:val="24"/>
          <w:highlight w:val="none"/>
          <w:u w:val="single"/>
        </w:rPr>
        <w:t>年</w:t>
      </w:r>
      <w:r>
        <w:rPr>
          <w:rFonts w:hint="eastAsia" w:ascii="宋体" w:hAnsi="宋体"/>
          <w:b/>
          <w:color w:val="auto"/>
          <w:sz w:val="24"/>
          <w:highlight w:val="none"/>
          <w:u w:val="single"/>
          <w:lang w:val="en-US" w:eastAsia="zh-CN"/>
        </w:rPr>
        <w:t>09</w:t>
      </w:r>
      <w:r>
        <w:rPr>
          <w:rFonts w:hint="eastAsia" w:ascii="宋体" w:hAnsi="宋体"/>
          <w:b/>
          <w:color w:val="auto"/>
          <w:sz w:val="24"/>
          <w:highlight w:val="none"/>
          <w:u w:val="single"/>
        </w:rPr>
        <w:t>月</w:t>
      </w:r>
      <w:r>
        <w:rPr>
          <w:rFonts w:hint="eastAsia" w:ascii="宋体" w:hAnsi="宋体"/>
          <w:b/>
          <w:color w:val="auto"/>
          <w:sz w:val="24"/>
          <w:highlight w:val="none"/>
          <w:u w:val="single"/>
          <w:lang w:val="en-US" w:eastAsia="zh-CN"/>
        </w:rPr>
        <w:t>20</w:t>
      </w:r>
      <w:r>
        <w:rPr>
          <w:rFonts w:hint="eastAsia" w:ascii="宋体" w:hAnsi="宋体"/>
          <w:b/>
          <w:color w:val="auto"/>
          <w:sz w:val="24"/>
          <w:highlight w:val="none"/>
          <w:u w:val="single"/>
        </w:rPr>
        <w:t>日</w:t>
      </w:r>
      <w:r>
        <w:rPr>
          <w:rFonts w:hint="eastAsia" w:ascii="宋体" w:hAnsi="宋体"/>
          <w:b/>
          <w:color w:val="auto"/>
          <w:sz w:val="24"/>
          <w:highlight w:val="none"/>
          <w:u w:val="single"/>
          <w:lang w:eastAsia="zh-CN"/>
        </w:rPr>
        <w:t>10时00分</w:t>
      </w:r>
      <w:r>
        <w:rPr>
          <w:rFonts w:hint="eastAsia" w:ascii="宋体" w:hAnsi="宋体"/>
          <w:b/>
          <w:color w:val="auto"/>
          <w:sz w:val="24"/>
          <w:highlight w:val="none"/>
        </w:rPr>
        <w:t>（北京时间）</w:t>
      </w:r>
    </w:p>
    <w:p w14:paraId="19D7C3D4">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2</w:t>
      </w:r>
      <w:r>
        <w:rPr>
          <w:rFonts w:hint="eastAsia" w:ascii="宋体" w:hAnsi="宋体" w:cs="Times New Roman"/>
          <w:color w:val="auto"/>
          <w:sz w:val="24"/>
          <w:highlight w:val="none"/>
          <w:lang w:val="en-US" w:eastAsia="zh-CN"/>
        </w:rPr>
        <w:t>.</w:t>
      </w:r>
      <w:r>
        <w:rPr>
          <w:rFonts w:hint="eastAsia" w:ascii="宋体" w:hAnsi="宋体" w:eastAsia="宋体" w:cs="Times New Roman"/>
          <w:color w:val="auto"/>
          <w:sz w:val="24"/>
          <w:highlight w:val="none"/>
        </w:rPr>
        <w:t>地点：开封市公共资源交易信息网</w:t>
      </w:r>
      <w:r>
        <w:rPr>
          <w:rFonts w:hint="eastAsia" w:ascii="宋体" w:hAnsi="宋体" w:cs="Times New Roman"/>
          <w:color w:val="auto"/>
          <w:sz w:val="24"/>
          <w:highlight w:val="none"/>
          <w:lang w:eastAsia="zh-CN"/>
        </w:rPr>
        <w:t>，</w:t>
      </w:r>
      <w:r>
        <w:rPr>
          <w:rFonts w:hint="eastAsia" w:ascii="宋体" w:hAnsi="宋体" w:eastAsia="宋体" w:cs="Times New Roman"/>
          <w:color w:val="auto"/>
          <w:sz w:val="24"/>
          <w:highlight w:val="none"/>
        </w:rPr>
        <w:t>电子投标文件须在投标截止时间前在开封市公共资源交易中心网站（欢迎使用开封市公共资源交易平台 （http://www.kfsggzyjyw.cn/kfggzy/）会员系统中加密上传。</w:t>
      </w:r>
    </w:p>
    <w:p w14:paraId="42FB408D">
      <w:pPr>
        <w:spacing w:line="360" w:lineRule="auto"/>
        <w:rPr>
          <w:rFonts w:ascii="宋体" w:hAnsi="宋体"/>
          <w:b/>
          <w:color w:val="auto"/>
          <w:sz w:val="24"/>
          <w:highlight w:val="none"/>
        </w:rPr>
      </w:pPr>
      <w:r>
        <w:rPr>
          <w:rFonts w:hint="eastAsia" w:ascii="宋体" w:hAnsi="宋体"/>
          <w:b/>
          <w:color w:val="auto"/>
          <w:sz w:val="24"/>
          <w:highlight w:val="none"/>
        </w:rPr>
        <w:t>五、开标时间及地点</w:t>
      </w:r>
    </w:p>
    <w:p w14:paraId="41189D4F">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1</w:t>
      </w:r>
      <w:r>
        <w:rPr>
          <w:rFonts w:hint="eastAsia" w:ascii="宋体" w:hAnsi="宋体"/>
          <w:color w:val="auto"/>
          <w:sz w:val="24"/>
          <w:highlight w:val="none"/>
          <w:lang w:val="en-US" w:eastAsia="zh-CN"/>
        </w:rPr>
        <w:t>.</w:t>
      </w:r>
      <w:r>
        <w:rPr>
          <w:rFonts w:hint="eastAsia" w:ascii="宋体" w:hAnsi="宋体" w:eastAsia="宋体" w:cs="Times New Roman"/>
          <w:color w:val="auto"/>
          <w:sz w:val="24"/>
          <w:highlight w:val="none"/>
        </w:rPr>
        <w:t>时间</w:t>
      </w:r>
      <w:r>
        <w:rPr>
          <w:rFonts w:hint="eastAsia" w:ascii="宋体" w:hAnsi="宋体"/>
          <w:color w:val="auto"/>
          <w:sz w:val="24"/>
          <w:highlight w:val="none"/>
        </w:rPr>
        <w:t>：</w:t>
      </w:r>
      <w:r>
        <w:rPr>
          <w:rFonts w:hint="eastAsia" w:ascii="宋体" w:hAnsi="宋体"/>
          <w:b/>
          <w:color w:val="auto"/>
          <w:sz w:val="24"/>
          <w:highlight w:val="none"/>
          <w:u w:val="single"/>
        </w:rPr>
        <w:t>202</w:t>
      </w:r>
      <w:r>
        <w:rPr>
          <w:rFonts w:hint="eastAsia" w:ascii="宋体" w:hAnsi="宋体"/>
          <w:b/>
          <w:color w:val="auto"/>
          <w:sz w:val="24"/>
          <w:highlight w:val="none"/>
          <w:u w:val="single"/>
          <w:lang w:val="en-US" w:eastAsia="zh-CN"/>
        </w:rPr>
        <w:t>6</w:t>
      </w:r>
      <w:r>
        <w:rPr>
          <w:rFonts w:hint="eastAsia" w:ascii="宋体" w:hAnsi="宋体"/>
          <w:b/>
          <w:color w:val="auto"/>
          <w:sz w:val="24"/>
          <w:highlight w:val="none"/>
          <w:u w:val="single"/>
        </w:rPr>
        <w:t>年</w:t>
      </w:r>
      <w:r>
        <w:rPr>
          <w:rFonts w:hint="eastAsia" w:ascii="宋体" w:hAnsi="宋体"/>
          <w:b/>
          <w:color w:val="auto"/>
          <w:sz w:val="24"/>
          <w:highlight w:val="none"/>
          <w:u w:val="single"/>
          <w:lang w:val="en-US" w:eastAsia="zh-CN"/>
        </w:rPr>
        <w:t>09</w:t>
      </w:r>
      <w:r>
        <w:rPr>
          <w:rFonts w:hint="eastAsia" w:ascii="宋体" w:hAnsi="宋体"/>
          <w:b/>
          <w:color w:val="auto"/>
          <w:sz w:val="24"/>
          <w:highlight w:val="none"/>
          <w:u w:val="single"/>
        </w:rPr>
        <w:t>月</w:t>
      </w:r>
      <w:r>
        <w:rPr>
          <w:rFonts w:hint="eastAsia" w:ascii="宋体" w:hAnsi="宋体"/>
          <w:b/>
          <w:color w:val="auto"/>
          <w:sz w:val="24"/>
          <w:highlight w:val="none"/>
          <w:u w:val="single"/>
          <w:lang w:val="en-US" w:eastAsia="zh-CN"/>
        </w:rPr>
        <w:t>20</w:t>
      </w:r>
      <w:r>
        <w:rPr>
          <w:rFonts w:hint="eastAsia" w:ascii="宋体" w:hAnsi="宋体"/>
          <w:b/>
          <w:color w:val="auto"/>
          <w:sz w:val="24"/>
          <w:highlight w:val="none"/>
          <w:u w:val="single"/>
        </w:rPr>
        <w:t>日</w:t>
      </w:r>
      <w:r>
        <w:rPr>
          <w:rFonts w:hint="eastAsia" w:ascii="宋体" w:hAnsi="宋体"/>
          <w:b/>
          <w:color w:val="auto"/>
          <w:sz w:val="24"/>
          <w:highlight w:val="none"/>
          <w:u w:val="single"/>
          <w:lang w:eastAsia="zh-CN"/>
        </w:rPr>
        <w:t>10时00分</w:t>
      </w:r>
      <w:r>
        <w:rPr>
          <w:rFonts w:hint="eastAsia" w:ascii="宋体" w:hAnsi="宋体"/>
          <w:b/>
          <w:color w:val="auto"/>
          <w:sz w:val="24"/>
          <w:highlight w:val="none"/>
        </w:rPr>
        <w:t>（北京时间）</w:t>
      </w:r>
    </w:p>
    <w:p w14:paraId="0E4B3EB5">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2</w:t>
      </w:r>
      <w:r>
        <w:rPr>
          <w:rFonts w:hint="eastAsia" w:ascii="宋体" w:hAnsi="宋体" w:cs="Times New Roman"/>
          <w:color w:val="auto"/>
          <w:sz w:val="24"/>
          <w:highlight w:val="none"/>
          <w:lang w:val="en-US" w:eastAsia="zh-CN"/>
        </w:rPr>
        <w:t>.</w:t>
      </w:r>
      <w:r>
        <w:rPr>
          <w:rFonts w:hint="eastAsia" w:ascii="宋体" w:hAnsi="宋体" w:eastAsia="宋体" w:cs="Times New Roman"/>
          <w:color w:val="auto"/>
          <w:sz w:val="24"/>
          <w:highlight w:val="none"/>
        </w:rPr>
        <w:t>地点：杞县综合服务大厦11楼开标1室(地址：杞县金城大道与经四路交叉口东北角杞县便民服务中心)。</w:t>
      </w:r>
    </w:p>
    <w:p w14:paraId="7815F596">
      <w:pPr>
        <w:spacing w:line="360" w:lineRule="auto"/>
        <w:rPr>
          <w:rFonts w:ascii="宋体" w:hAnsi="宋体"/>
          <w:b/>
          <w:color w:val="auto"/>
          <w:sz w:val="24"/>
          <w:highlight w:val="none"/>
        </w:rPr>
      </w:pPr>
      <w:r>
        <w:rPr>
          <w:rFonts w:hint="eastAsia" w:ascii="宋体" w:hAnsi="宋体"/>
          <w:b/>
          <w:color w:val="auto"/>
          <w:sz w:val="24"/>
          <w:highlight w:val="none"/>
        </w:rPr>
        <w:t>六、发布公告的媒介及招标公告期限</w:t>
      </w:r>
    </w:p>
    <w:p w14:paraId="4E2767A1">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本次招标公告在《河南省政府采购网》《开封市公共资源交易信息网》上发布，招标</w:t>
      </w:r>
      <w:r>
        <w:rPr>
          <w:rFonts w:hint="eastAsia" w:ascii="宋体" w:hAnsi="宋体"/>
          <w:color w:val="auto"/>
          <w:kern w:val="0"/>
          <w:sz w:val="24"/>
          <w:highlight w:val="none"/>
        </w:rPr>
        <w:t>公告期限为五个工作日</w:t>
      </w:r>
      <w:r>
        <w:rPr>
          <w:rFonts w:hint="eastAsia" w:ascii="宋体"/>
          <w:b/>
          <w:color w:val="auto"/>
          <w:kern w:val="0"/>
          <w:sz w:val="24"/>
          <w:highlight w:val="none"/>
        </w:rPr>
        <w:t>。</w:t>
      </w:r>
    </w:p>
    <w:p w14:paraId="701B2BDF">
      <w:pPr>
        <w:spacing w:line="360" w:lineRule="auto"/>
        <w:jc w:val="left"/>
        <w:rPr>
          <w:color w:val="auto"/>
          <w:sz w:val="24"/>
          <w:highlight w:val="none"/>
        </w:rPr>
      </w:pPr>
      <w:r>
        <w:rPr>
          <w:rFonts w:hint="eastAsia" w:ascii="宋体" w:hAnsi="宋体"/>
          <w:b/>
          <w:color w:val="auto"/>
          <w:sz w:val="24"/>
          <w:highlight w:val="none"/>
        </w:rPr>
        <w:t>七、其他补充事宜</w:t>
      </w:r>
    </w:p>
    <w:p w14:paraId="2BC32E60">
      <w:pPr>
        <w:spacing w:line="360" w:lineRule="auto"/>
        <w:ind w:firstLine="480" w:firstLineChars="200"/>
        <w:rPr>
          <w:rFonts w:hint="eastAsia" w:ascii="宋体" w:hAnsi="宋体" w:eastAsia="宋体" w:cs="Times New Roman"/>
          <w:color w:val="auto"/>
          <w:sz w:val="24"/>
          <w:highlight w:val="none"/>
        </w:rPr>
      </w:pPr>
      <w:bookmarkStart w:id="15" w:name="_Toc28359018"/>
      <w:bookmarkEnd w:id="15"/>
      <w:bookmarkStart w:id="16" w:name="_Toc35393636"/>
      <w:bookmarkEnd w:id="16"/>
      <w:bookmarkStart w:id="17" w:name="_Toc28359095"/>
      <w:bookmarkEnd w:id="17"/>
      <w:bookmarkStart w:id="18" w:name="OLE_LINK9"/>
      <w:bookmarkEnd w:id="18"/>
      <w:bookmarkStart w:id="19" w:name="_Toc35393805"/>
      <w:bookmarkEnd w:id="19"/>
      <w:bookmarkStart w:id="20" w:name="OLE_LINK10"/>
      <w:r>
        <w:rPr>
          <w:rFonts w:hint="eastAsia" w:ascii="宋体" w:hAnsi="宋体" w:eastAsia="宋体" w:cs="Times New Roman"/>
          <w:color w:val="auto"/>
          <w:sz w:val="24"/>
          <w:highlight w:val="none"/>
          <w:lang w:val="en-US" w:eastAsia="zh-CN"/>
        </w:rPr>
        <w:t>1.本项目采用“远程不见面”开标方式,供应商无需到达现场提交原件资料、无需到杞县公共资源交易中心现场参加开标会议；供应商应当在开标时间前,登录不见面开标大厅,在线准时参加开标活动并进行投标文件解密、答疑澄清等。（系统解密时长默认为 40 分钟，错过解密时长者视为自动放弃本次投标）。</w:t>
      </w:r>
      <w:bookmarkEnd w:id="20"/>
    </w:p>
    <w:p w14:paraId="4D7FE463">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2. 本项目全程无需投标企业（供应商）另行提供纸质投标（采购）文件，任何单位要求提交纸质文件的行为，均为非必要行为。</w:t>
      </w:r>
    </w:p>
    <w:p w14:paraId="27C44C97">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3</w:t>
      </w:r>
      <w:r>
        <w:rPr>
          <w:rFonts w:hint="eastAsia" w:ascii="宋体" w:hAnsi="宋体" w:cs="Times New Roman"/>
          <w:color w:val="auto"/>
          <w:sz w:val="24"/>
          <w:highlight w:val="none"/>
          <w:lang w:val="en-US" w:eastAsia="zh-CN"/>
        </w:rPr>
        <w:t>.</w:t>
      </w:r>
      <w:r>
        <w:rPr>
          <w:rFonts w:hint="eastAsia" w:ascii="宋体" w:hAnsi="宋体" w:eastAsia="宋体" w:cs="Times New Roman"/>
          <w:color w:val="auto"/>
          <w:sz w:val="24"/>
          <w:highlight w:val="none"/>
          <w:lang w:val="en-US" w:eastAsia="zh-CN"/>
        </w:rPr>
        <w:t>递交质疑或投诉的方式及地址</w:t>
      </w:r>
    </w:p>
    <w:p w14:paraId="3D933604">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(1)线上:根据汴公管办(2020)13号文件规定，投标人需在“开封市公共资源交易信息网”交易系统中提出质疑(异议)与投诉，招标人或招标代理机构在规定时间内进行回复，各投标人应时刻关注电子交易系统中的项目进度和状态。递交地址:《开封市公共资源交易信息网》会员投标系统中本项目“质询信息”位置线上直接提起。(如有疑问可拨打服务电话咨询0371-23859291)</w:t>
      </w:r>
    </w:p>
    <w:p w14:paraId="65176B49">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(2)线下:</w:t>
      </w:r>
    </w:p>
    <w:p w14:paraId="6BFA9E02">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1.采购人受理异议的联系方式:</w:t>
      </w:r>
    </w:p>
    <w:p w14:paraId="2C768EAD">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名称：杞县农业农村局</w:t>
      </w:r>
    </w:p>
    <w:p w14:paraId="2DD5AF42">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地址：开封市杞县西关西街53号</w:t>
      </w:r>
    </w:p>
    <w:p w14:paraId="0BF63DED">
      <w:pPr>
        <w:spacing w:line="360" w:lineRule="auto"/>
        <w:ind w:firstLine="480" w:firstLineChars="200"/>
        <w:rPr>
          <w:rFonts w:hint="default" w:ascii="宋体" w:hAnsi="宋体" w:eastAsia="宋体" w:cs="Times New Roman"/>
          <w:color w:val="auto"/>
          <w:sz w:val="24"/>
          <w:highlight w:val="none"/>
          <w:lang w:val="en-US"/>
        </w:rPr>
      </w:pPr>
      <w:r>
        <w:rPr>
          <w:rFonts w:hint="eastAsia" w:ascii="宋体" w:hAnsi="宋体" w:eastAsia="宋体" w:cs="Times New Roman"/>
          <w:color w:val="auto"/>
          <w:sz w:val="24"/>
          <w:highlight w:val="none"/>
          <w:lang w:val="en-US" w:eastAsia="zh-CN"/>
        </w:rPr>
        <w:t>联系人：</w:t>
      </w:r>
      <w:r>
        <w:rPr>
          <w:rFonts w:hint="eastAsia" w:ascii="宋体" w:hAnsi="宋体" w:cs="Times New Roman"/>
          <w:color w:val="auto"/>
          <w:sz w:val="24"/>
          <w:highlight w:val="none"/>
          <w:lang w:val="en-US" w:eastAsia="zh-CN"/>
        </w:rPr>
        <w:t>刘先生</w:t>
      </w:r>
    </w:p>
    <w:p w14:paraId="227D087C">
      <w:pPr>
        <w:spacing w:line="360" w:lineRule="auto"/>
        <w:ind w:firstLine="480" w:firstLineChars="200"/>
        <w:rPr>
          <w:rFonts w:hint="default" w:ascii="宋体" w:hAnsi="宋体" w:eastAsia="宋体" w:cs="Times New Roman"/>
          <w:color w:val="auto"/>
          <w:sz w:val="24"/>
          <w:highlight w:val="none"/>
          <w:lang w:val="en-US"/>
        </w:rPr>
      </w:pPr>
      <w:r>
        <w:rPr>
          <w:rFonts w:hint="eastAsia" w:ascii="宋体" w:hAnsi="宋体" w:eastAsia="宋体" w:cs="Times New Roman"/>
          <w:color w:val="auto"/>
          <w:sz w:val="24"/>
          <w:highlight w:val="none"/>
          <w:lang w:val="en-US" w:eastAsia="zh-CN"/>
        </w:rPr>
        <w:t>联系方式：</w:t>
      </w:r>
      <w:r>
        <w:rPr>
          <w:rFonts w:hint="eastAsia" w:ascii="宋体" w:hAnsi="宋体" w:cs="Times New Roman"/>
          <w:color w:val="auto"/>
          <w:sz w:val="24"/>
          <w:highlight w:val="none"/>
          <w:lang w:val="en-US" w:eastAsia="zh-CN"/>
        </w:rPr>
        <w:t>0371-28991718</w:t>
      </w:r>
    </w:p>
    <w:p w14:paraId="076DC699">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3、监督部门</w:t>
      </w:r>
    </w:p>
    <w:p w14:paraId="5C4B7E1E">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监督单位：杞县财政局采购办</w:t>
      </w:r>
    </w:p>
    <w:p w14:paraId="1B782B87">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联系电话：0371-28666979</w:t>
      </w:r>
    </w:p>
    <w:p w14:paraId="31BF9D63">
      <w:pPr>
        <w:spacing w:line="360" w:lineRule="auto"/>
        <w:jc w:val="left"/>
        <w:rPr>
          <w:rFonts w:ascii="宋体" w:hAnsi="宋体"/>
          <w:b/>
          <w:color w:val="auto"/>
          <w:sz w:val="24"/>
          <w:highlight w:val="none"/>
        </w:rPr>
      </w:pPr>
      <w:r>
        <w:rPr>
          <w:rFonts w:hint="eastAsia" w:ascii="宋体" w:hAnsi="宋体"/>
          <w:b/>
          <w:color w:val="auto"/>
          <w:sz w:val="24"/>
          <w:highlight w:val="none"/>
        </w:rPr>
        <w:t>八、凡对本次招标提出询问，请按照以下方式联系</w:t>
      </w:r>
    </w:p>
    <w:p w14:paraId="0F1742F5">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1.采购人信息</w:t>
      </w:r>
    </w:p>
    <w:p w14:paraId="173BB57F">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名称：杞县农业农村局</w:t>
      </w:r>
    </w:p>
    <w:p w14:paraId="2AE4E602">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地址：</w:t>
      </w:r>
      <w:r>
        <w:rPr>
          <w:rFonts w:hint="eastAsia" w:ascii="宋体" w:hAnsi="宋体" w:eastAsia="宋体" w:cs="Times New Roman"/>
          <w:color w:val="auto"/>
          <w:sz w:val="24"/>
          <w:highlight w:val="none"/>
          <w:lang w:val="en-US" w:eastAsia="zh-CN"/>
        </w:rPr>
        <w:t>开封市杞县西关西街53号</w:t>
      </w:r>
    </w:p>
    <w:p w14:paraId="43B784E6">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rPr>
        <w:t>联系人：</w:t>
      </w:r>
      <w:r>
        <w:rPr>
          <w:rFonts w:hint="eastAsia" w:ascii="宋体" w:hAnsi="宋体" w:cs="Times New Roman"/>
          <w:color w:val="auto"/>
          <w:sz w:val="24"/>
          <w:highlight w:val="none"/>
          <w:lang w:val="en-US" w:eastAsia="zh-CN"/>
        </w:rPr>
        <w:t>刘先生</w:t>
      </w:r>
    </w:p>
    <w:p w14:paraId="296828AE">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联系方式：</w:t>
      </w:r>
      <w:r>
        <w:rPr>
          <w:rFonts w:hint="eastAsia" w:ascii="宋体" w:hAnsi="宋体" w:cs="Times New Roman"/>
          <w:color w:val="auto"/>
          <w:sz w:val="24"/>
          <w:highlight w:val="none"/>
          <w:lang w:val="en-US" w:eastAsia="zh-CN"/>
        </w:rPr>
        <w:t>0371-28991718</w:t>
      </w:r>
    </w:p>
    <w:p w14:paraId="79E21E66">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2.采购代理机构信息</w:t>
      </w:r>
    </w:p>
    <w:p w14:paraId="09985CE7">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名称</w:t>
      </w:r>
      <w:r>
        <w:rPr>
          <w:rFonts w:hint="eastAsia" w:ascii="宋体" w:hAnsi="宋体" w:eastAsia="宋体" w:cs="Times New Roman"/>
          <w:color w:val="auto"/>
          <w:sz w:val="24"/>
          <w:highlight w:val="none"/>
          <w:lang w:val="en-US" w:eastAsia="zh-CN"/>
        </w:rPr>
        <w:t>：中海域安项目管理咨询有限公司</w:t>
      </w:r>
    </w:p>
    <w:p w14:paraId="11E17875">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地址：河南省郑州市金水区中州大道1188号置地广场3号楼12层63号</w:t>
      </w:r>
    </w:p>
    <w:p w14:paraId="6CA17F79">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联系人：</w:t>
      </w:r>
      <w:r>
        <w:rPr>
          <w:rFonts w:hint="eastAsia" w:ascii="宋体" w:hAnsi="宋体" w:cs="Times New Roman"/>
          <w:color w:val="auto"/>
          <w:sz w:val="24"/>
          <w:highlight w:val="none"/>
          <w:lang w:val="en-US" w:eastAsia="zh-CN"/>
        </w:rPr>
        <w:t>黄女士</w:t>
      </w:r>
    </w:p>
    <w:p w14:paraId="605332BC">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联系方式：18903785168</w:t>
      </w:r>
    </w:p>
    <w:p w14:paraId="6A2AF480">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3.项目联系方式</w:t>
      </w:r>
    </w:p>
    <w:p w14:paraId="2E9D364F">
      <w:p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联系人：</w:t>
      </w:r>
      <w:r>
        <w:rPr>
          <w:rFonts w:hint="eastAsia" w:ascii="宋体" w:hAnsi="宋体" w:cs="Times New Roman"/>
          <w:color w:val="auto"/>
          <w:sz w:val="24"/>
          <w:highlight w:val="none"/>
          <w:lang w:val="en-US" w:eastAsia="zh-CN"/>
        </w:rPr>
        <w:t>黄女士</w:t>
      </w:r>
    </w:p>
    <w:p w14:paraId="327EA17E">
      <w:pPr>
        <w:spacing w:line="360" w:lineRule="auto"/>
        <w:ind w:firstLine="480" w:firstLineChars="200"/>
        <w:rPr>
          <w:rFonts w:ascii="宋体" w:hAnsi="宋体"/>
          <w:color w:val="auto"/>
          <w:highlight w:val="none"/>
        </w:rPr>
      </w:pPr>
      <w:r>
        <w:rPr>
          <w:rFonts w:hint="eastAsia" w:ascii="宋体" w:hAnsi="宋体" w:eastAsia="宋体" w:cs="Times New Roman"/>
          <w:color w:val="auto"/>
          <w:sz w:val="24"/>
          <w:highlight w:val="none"/>
          <w:lang w:val="en-US" w:eastAsia="zh-CN"/>
        </w:rPr>
        <w:t>联系方式：18903785168</w:t>
      </w:r>
    </w:p>
    <w:p w14:paraId="31B34029">
      <w:pPr>
        <w:pStyle w:val="3"/>
        <w:spacing w:line="360" w:lineRule="auto"/>
        <w:ind w:left="0" w:firstLine="0"/>
        <w:jc w:val="center"/>
        <w:rPr>
          <w:rFonts w:ascii="宋体" w:hAnsi="宋体" w:cs="宋体"/>
          <w:b/>
          <w:color w:val="auto"/>
          <w:highlight w:val="none"/>
        </w:rPr>
      </w:pPr>
      <w:r>
        <w:rPr>
          <w:rStyle w:val="21"/>
          <w:rFonts w:ascii="宋体" w:hAnsi="宋体" w:cs="宋体"/>
          <w:b w:val="0"/>
          <w:bCs w:val="0"/>
          <w:color w:val="auto"/>
          <w:highlight w:val="none"/>
        </w:rPr>
        <w:br w:type="page"/>
      </w:r>
      <w:bookmarkStart w:id="21" w:name="_Toc9175"/>
      <w:r>
        <w:rPr>
          <w:rFonts w:hint="eastAsia" w:ascii="宋体" w:hAnsi="宋体" w:cs="宋体"/>
          <w:b/>
          <w:color w:val="auto"/>
          <w:highlight w:val="none"/>
        </w:rPr>
        <w:t>第二章</w:t>
      </w:r>
      <w:r>
        <w:rPr>
          <w:rFonts w:hint="eastAsia" w:ascii="宋体" w:hAnsi="宋体" w:cs="宋体"/>
          <w:b/>
          <w:color w:val="auto"/>
          <w:highlight w:val="none"/>
          <w:lang w:val="en-US" w:eastAsia="zh-CN"/>
        </w:rPr>
        <w:t xml:space="preserve"> </w:t>
      </w:r>
      <w:r>
        <w:rPr>
          <w:rFonts w:hint="eastAsia" w:ascii="宋体" w:hAnsi="宋体" w:cs="宋体"/>
          <w:b/>
          <w:color w:val="auto"/>
          <w:highlight w:val="none"/>
        </w:rPr>
        <w:t>投标人须知</w:t>
      </w:r>
      <w:bookmarkEnd w:id="7"/>
      <w:bookmarkEnd w:id="8"/>
      <w:bookmarkEnd w:id="9"/>
      <w:bookmarkEnd w:id="10"/>
      <w:bookmarkEnd w:id="11"/>
      <w:bookmarkEnd w:id="12"/>
      <w:bookmarkEnd w:id="13"/>
      <w:bookmarkEnd w:id="21"/>
    </w:p>
    <w:p w14:paraId="436565EC">
      <w:pPr>
        <w:spacing w:line="360" w:lineRule="auto"/>
        <w:jc w:val="center"/>
        <w:rPr>
          <w:rFonts w:ascii="宋体" w:hAnsi="宋体" w:cs="宋体"/>
          <w:b/>
          <w:color w:val="auto"/>
          <w:sz w:val="24"/>
          <w:highlight w:val="none"/>
        </w:rPr>
      </w:pPr>
      <w:bookmarkStart w:id="22" w:name="_Toc8768"/>
      <w:bookmarkStart w:id="23" w:name="_Toc7464"/>
      <w:bookmarkStart w:id="24" w:name="_Toc36128426"/>
      <w:r>
        <w:rPr>
          <w:rFonts w:hint="eastAsia" w:ascii="宋体" w:hAnsi="宋体" w:cs="宋体"/>
          <w:b/>
          <w:color w:val="auto"/>
          <w:sz w:val="24"/>
          <w:highlight w:val="none"/>
          <w:lang w:val="en-US" w:eastAsia="zh-CN"/>
        </w:rPr>
        <w:t>供应商须知</w:t>
      </w:r>
      <w:r>
        <w:rPr>
          <w:rFonts w:hint="eastAsia" w:ascii="宋体" w:hAnsi="宋体" w:cs="宋体"/>
          <w:b/>
          <w:color w:val="auto"/>
          <w:sz w:val="24"/>
          <w:highlight w:val="none"/>
        </w:rPr>
        <w:t>前附表</w:t>
      </w:r>
      <w:bookmarkEnd w:id="22"/>
      <w:bookmarkEnd w:id="23"/>
      <w:bookmarkEnd w:id="24"/>
    </w:p>
    <w:p w14:paraId="04B1242F">
      <w:pPr>
        <w:spacing w:line="360" w:lineRule="auto"/>
        <w:ind w:left="2" w:leftChars="-134" w:right="-283" w:rightChars="-135" w:hanging="283" w:hangingChars="118"/>
        <w:rPr>
          <w:rFonts w:ascii="宋体" w:hAnsi="宋体" w:cs="宋体"/>
          <w:color w:val="auto"/>
          <w:sz w:val="24"/>
          <w:highlight w:val="none"/>
        </w:rPr>
      </w:pPr>
      <w:r>
        <w:rPr>
          <w:rFonts w:hint="eastAsia" w:ascii="宋体" w:hAnsi="宋体" w:cs="宋体"/>
          <w:color w:val="auto"/>
          <w:sz w:val="24"/>
          <w:highlight w:val="none"/>
        </w:rPr>
        <w:t>注：本投标人须知前附表内容与投标人须知正文内容不一致时以本前附表内容为准。</w:t>
      </w:r>
    </w:p>
    <w:tbl>
      <w:tblPr>
        <w:tblStyle w:val="16"/>
        <w:tblW w:w="8958" w:type="dxa"/>
        <w:jc w:val="center"/>
        <w:tblLayout w:type="fixed"/>
        <w:tblCellMar>
          <w:top w:w="0" w:type="dxa"/>
          <w:left w:w="108" w:type="dxa"/>
          <w:bottom w:w="0" w:type="dxa"/>
          <w:right w:w="108" w:type="dxa"/>
        </w:tblCellMar>
      </w:tblPr>
      <w:tblGrid>
        <w:gridCol w:w="976"/>
        <w:gridCol w:w="1680"/>
        <w:gridCol w:w="6302"/>
      </w:tblGrid>
      <w:tr w14:paraId="6EB48702">
        <w:tblPrEx>
          <w:tblCellMar>
            <w:top w:w="0" w:type="dxa"/>
            <w:left w:w="108" w:type="dxa"/>
            <w:bottom w:w="0" w:type="dxa"/>
            <w:right w:w="108" w:type="dxa"/>
          </w:tblCellMar>
        </w:tblPrEx>
        <w:trPr>
          <w:trHeight w:val="46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0180461D">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条款号</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20CF2578">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条款名称</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18A8BABA">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编列内容</w:t>
            </w:r>
          </w:p>
        </w:tc>
      </w:tr>
      <w:tr w14:paraId="50ED6609">
        <w:tblPrEx>
          <w:tblCellMar>
            <w:top w:w="0" w:type="dxa"/>
            <w:left w:w="108" w:type="dxa"/>
            <w:bottom w:w="0" w:type="dxa"/>
            <w:right w:w="108" w:type="dxa"/>
          </w:tblCellMar>
        </w:tblPrEx>
        <w:trPr>
          <w:trHeight w:val="2203"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5A5A373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1.1.2</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2F8868B5">
            <w:pPr>
              <w:spacing w:line="360" w:lineRule="auto"/>
              <w:jc w:val="center"/>
              <w:rPr>
                <w:rFonts w:ascii="宋体" w:hAnsi="宋体" w:cs="宋体"/>
                <w:color w:val="auto"/>
                <w:sz w:val="24"/>
                <w:highlight w:val="none"/>
              </w:rPr>
            </w:pPr>
            <w:r>
              <w:rPr>
                <w:rFonts w:ascii="宋体" w:hAnsi="宋体" w:cs="宋体"/>
                <w:color w:val="auto"/>
                <w:sz w:val="24"/>
                <w:highlight w:val="none"/>
              </w:rPr>
              <w:t>采购（招标）人</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33C56581">
            <w:pPr>
              <w:spacing w:line="360" w:lineRule="auto"/>
              <w:rPr>
                <w:rFonts w:hint="eastAsia" w:ascii="宋体" w:hAnsi="宋体"/>
                <w:color w:val="auto"/>
                <w:sz w:val="24"/>
                <w:highlight w:val="none"/>
              </w:rPr>
            </w:pPr>
            <w:r>
              <w:rPr>
                <w:rFonts w:hint="eastAsia" w:ascii="宋体" w:hAnsi="宋体"/>
                <w:color w:val="auto"/>
                <w:sz w:val="24"/>
                <w:highlight w:val="none"/>
              </w:rPr>
              <w:t>名称：杞县农业农村局</w:t>
            </w:r>
          </w:p>
          <w:p w14:paraId="70E34006">
            <w:pPr>
              <w:spacing w:line="360" w:lineRule="auto"/>
              <w:rPr>
                <w:rFonts w:hint="eastAsia" w:ascii="宋体" w:hAnsi="宋体"/>
                <w:color w:val="auto"/>
                <w:sz w:val="24"/>
                <w:highlight w:val="none"/>
              </w:rPr>
            </w:pPr>
            <w:r>
              <w:rPr>
                <w:rFonts w:hint="eastAsia" w:ascii="宋体" w:hAnsi="宋体"/>
                <w:color w:val="auto"/>
                <w:sz w:val="24"/>
                <w:highlight w:val="none"/>
              </w:rPr>
              <w:t>地址：</w:t>
            </w:r>
            <w:r>
              <w:rPr>
                <w:rFonts w:hint="eastAsia" w:ascii="宋体" w:hAnsi="宋体" w:eastAsia="宋体" w:cs="Times New Roman"/>
                <w:color w:val="auto"/>
                <w:sz w:val="24"/>
                <w:highlight w:val="none"/>
                <w:lang w:val="en-US" w:eastAsia="zh-CN"/>
              </w:rPr>
              <w:t>开封市杞县西关西街53号</w:t>
            </w:r>
          </w:p>
          <w:p w14:paraId="06BF51DF">
            <w:pPr>
              <w:spacing w:line="360" w:lineRule="auto"/>
              <w:rPr>
                <w:rFonts w:hint="eastAsia" w:ascii="宋体" w:hAnsi="宋体" w:eastAsia="宋体"/>
                <w:color w:val="auto"/>
                <w:sz w:val="24"/>
                <w:highlight w:val="none"/>
                <w:lang w:val="en-US" w:eastAsia="zh-CN"/>
              </w:rPr>
            </w:pPr>
            <w:r>
              <w:rPr>
                <w:rFonts w:hint="eastAsia" w:ascii="宋体" w:hAnsi="宋体"/>
                <w:color w:val="auto"/>
                <w:sz w:val="24"/>
                <w:highlight w:val="none"/>
              </w:rPr>
              <w:t>联系人：</w:t>
            </w:r>
            <w:r>
              <w:rPr>
                <w:rFonts w:hint="eastAsia" w:ascii="宋体" w:hAnsi="宋体"/>
                <w:color w:val="auto"/>
                <w:sz w:val="24"/>
                <w:highlight w:val="none"/>
                <w:lang w:val="en-US" w:eastAsia="zh-CN"/>
              </w:rPr>
              <w:t>刘先生</w:t>
            </w:r>
          </w:p>
          <w:p w14:paraId="3FDB8CDB">
            <w:pPr>
              <w:spacing w:line="360" w:lineRule="auto"/>
              <w:rPr>
                <w:rFonts w:ascii="宋体" w:hAnsi="宋体"/>
                <w:color w:val="auto"/>
                <w:sz w:val="24"/>
                <w:highlight w:val="none"/>
              </w:rPr>
            </w:pPr>
            <w:r>
              <w:rPr>
                <w:rFonts w:hint="eastAsia" w:ascii="宋体" w:hAnsi="宋体"/>
                <w:color w:val="auto"/>
                <w:sz w:val="24"/>
                <w:highlight w:val="none"/>
              </w:rPr>
              <w:t>联系方式：</w:t>
            </w:r>
            <w:r>
              <w:rPr>
                <w:rFonts w:hint="eastAsia" w:ascii="宋体" w:hAnsi="宋体" w:cs="Times New Roman"/>
                <w:color w:val="auto"/>
                <w:sz w:val="24"/>
                <w:highlight w:val="none"/>
                <w:lang w:val="en-US" w:eastAsia="zh-CN"/>
              </w:rPr>
              <w:t>0371-28991718</w:t>
            </w:r>
          </w:p>
        </w:tc>
      </w:tr>
      <w:tr w14:paraId="440D39C3">
        <w:tblPrEx>
          <w:tblCellMar>
            <w:top w:w="0" w:type="dxa"/>
            <w:left w:w="108" w:type="dxa"/>
            <w:bottom w:w="0" w:type="dxa"/>
            <w:right w:w="108" w:type="dxa"/>
          </w:tblCellMar>
        </w:tblPrEx>
        <w:trPr>
          <w:trHeight w:val="2304"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791E4807">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1.1.3</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1DD54F12">
            <w:pPr>
              <w:spacing w:line="360" w:lineRule="auto"/>
              <w:jc w:val="center"/>
              <w:rPr>
                <w:rFonts w:ascii="宋体" w:hAnsi="宋体" w:cs="宋体"/>
                <w:color w:val="auto"/>
                <w:sz w:val="24"/>
                <w:highlight w:val="none"/>
              </w:rPr>
            </w:pPr>
            <w:r>
              <w:rPr>
                <w:rFonts w:hint="eastAsia" w:ascii="宋体" w:hAnsi="宋体" w:cs="宋体"/>
                <w:color w:val="auto"/>
                <w:sz w:val="24"/>
                <w:highlight w:val="none"/>
              </w:rPr>
              <w:t>采购（招标）代理机构</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51D765EA">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名称：中海域安项目管理咨询有限公司</w:t>
            </w:r>
          </w:p>
          <w:p w14:paraId="5CDFBADE">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地址：河南省郑州市金水区中州大道1188号置地广场3号楼12层63号</w:t>
            </w:r>
          </w:p>
          <w:p w14:paraId="5B740FA3">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联系人：黄女士</w:t>
            </w:r>
          </w:p>
          <w:p w14:paraId="49C8D1A1">
            <w:pPr>
              <w:spacing w:line="360" w:lineRule="auto"/>
              <w:rPr>
                <w:rFonts w:ascii="宋体" w:hAnsi="宋体"/>
                <w:color w:val="auto"/>
                <w:sz w:val="24"/>
                <w:highlight w:val="none"/>
              </w:rPr>
            </w:pPr>
            <w:r>
              <w:rPr>
                <w:rFonts w:hint="eastAsia" w:ascii="宋体" w:hAnsi="宋体"/>
                <w:color w:val="auto"/>
                <w:sz w:val="24"/>
                <w:highlight w:val="none"/>
                <w:lang w:val="en-US" w:eastAsia="zh-CN"/>
              </w:rPr>
              <w:t>联系方式：18903785168</w:t>
            </w:r>
          </w:p>
        </w:tc>
      </w:tr>
      <w:tr w14:paraId="696A4F50">
        <w:tblPrEx>
          <w:tblCellMar>
            <w:top w:w="0" w:type="dxa"/>
            <w:left w:w="108" w:type="dxa"/>
            <w:bottom w:w="0" w:type="dxa"/>
            <w:right w:w="108" w:type="dxa"/>
          </w:tblCellMar>
        </w:tblPrEx>
        <w:trPr>
          <w:trHeight w:val="46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13FDC784">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1.1.4</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2335911F">
            <w:pPr>
              <w:spacing w:line="360" w:lineRule="auto"/>
              <w:jc w:val="center"/>
              <w:rPr>
                <w:rFonts w:ascii="宋体" w:hAnsi="宋体" w:cs="宋体"/>
                <w:color w:val="auto"/>
                <w:sz w:val="24"/>
                <w:highlight w:val="none"/>
              </w:rPr>
            </w:pPr>
            <w:r>
              <w:rPr>
                <w:rFonts w:hint="eastAsia" w:ascii="宋体" w:hAnsi="宋体" w:cs="宋体"/>
                <w:color w:val="auto"/>
                <w:sz w:val="24"/>
                <w:highlight w:val="none"/>
              </w:rPr>
              <w:t>项目名称</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35574432">
            <w:pPr>
              <w:pStyle w:val="28"/>
              <w:spacing w:line="360" w:lineRule="auto"/>
              <w:rPr>
                <w:rFonts w:hint="eastAsia" w:eastAsia="宋体" w:cs="宋体"/>
                <w:color w:val="auto"/>
                <w:highlight w:val="none"/>
                <w:lang w:eastAsia="zh-CN"/>
              </w:rPr>
            </w:pPr>
            <w:r>
              <w:rPr>
                <w:rFonts w:hint="eastAsia" w:cs="宋体"/>
                <w:color w:val="auto"/>
                <w:highlight w:val="none"/>
                <w:lang w:eastAsia="zh-CN"/>
              </w:rPr>
              <w:t>杞县农业农村局2026年农业社会化服务项目</w:t>
            </w:r>
          </w:p>
        </w:tc>
      </w:tr>
      <w:tr w14:paraId="59D0FF9E">
        <w:tblPrEx>
          <w:tblCellMar>
            <w:top w:w="0" w:type="dxa"/>
            <w:left w:w="108" w:type="dxa"/>
            <w:bottom w:w="0" w:type="dxa"/>
            <w:right w:w="108" w:type="dxa"/>
          </w:tblCellMar>
        </w:tblPrEx>
        <w:trPr>
          <w:trHeight w:val="46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3E178D22">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1.1.5</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468C65B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服务地点</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00E2F60A">
            <w:pPr>
              <w:spacing w:line="360" w:lineRule="auto"/>
              <w:rPr>
                <w:rFonts w:ascii="宋体" w:hAnsi="宋体"/>
                <w:color w:val="auto"/>
                <w:sz w:val="24"/>
                <w:highlight w:val="none"/>
              </w:rPr>
            </w:pPr>
            <w:r>
              <w:rPr>
                <w:rFonts w:ascii="宋体" w:hAnsi="宋体"/>
                <w:color w:val="auto"/>
                <w:sz w:val="24"/>
                <w:highlight w:val="none"/>
              </w:rPr>
              <w:t>采购人</w:t>
            </w:r>
            <w:r>
              <w:rPr>
                <w:rFonts w:hint="eastAsia" w:ascii="宋体" w:hAnsi="宋体"/>
                <w:color w:val="auto"/>
                <w:sz w:val="24"/>
                <w:highlight w:val="none"/>
              </w:rPr>
              <w:t>指定地点</w:t>
            </w:r>
          </w:p>
        </w:tc>
      </w:tr>
      <w:tr w14:paraId="38BBFB76">
        <w:tblPrEx>
          <w:tblCellMar>
            <w:top w:w="0" w:type="dxa"/>
            <w:left w:w="108" w:type="dxa"/>
            <w:bottom w:w="0" w:type="dxa"/>
            <w:right w:w="108" w:type="dxa"/>
          </w:tblCellMar>
        </w:tblPrEx>
        <w:trPr>
          <w:trHeight w:val="46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79B8F847">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1.2.1</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6B75822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资金来源</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6D8D7D59">
            <w:pPr>
              <w:spacing w:line="360" w:lineRule="auto"/>
              <w:rPr>
                <w:rFonts w:ascii="宋体" w:hAnsi="宋体" w:cs="宋体"/>
                <w:color w:val="auto"/>
                <w:sz w:val="24"/>
                <w:highlight w:val="none"/>
              </w:rPr>
            </w:pPr>
            <w:r>
              <w:rPr>
                <w:rFonts w:hint="eastAsia" w:ascii="宋体" w:hAnsi="宋体" w:cs="宋体"/>
                <w:color w:val="auto"/>
                <w:sz w:val="24"/>
                <w:highlight w:val="none"/>
              </w:rPr>
              <w:t>财政资金</w:t>
            </w:r>
          </w:p>
        </w:tc>
      </w:tr>
      <w:tr w14:paraId="6CB53198">
        <w:tblPrEx>
          <w:tblCellMar>
            <w:top w:w="0" w:type="dxa"/>
            <w:left w:w="108" w:type="dxa"/>
            <w:bottom w:w="0" w:type="dxa"/>
            <w:right w:w="108" w:type="dxa"/>
          </w:tblCellMar>
        </w:tblPrEx>
        <w:trPr>
          <w:trHeight w:val="46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6C615E86">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1.2.2</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10F2B245">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资金落实情况</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1DA6A4EB">
            <w:pPr>
              <w:spacing w:line="360" w:lineRule="auto"/>
              <w:jc w:val="left"/>
              <w:rPr>
                <w:rFonts w:ascii="宋体" w:hAnsi="宋体" w:cs="宋体"/>
                <w:color w:val="auto"/>
                <w:sz w:val="24"/>
                <w:highlight w:val="none"/>
              </w:rPr>
            </w:pPr>
            <w:r>
              <w:rPr>
                <w:rFonts w:hint="eastAsia" w:ascii="宋体" w:hAnsi="宋体" w:cs="宋体"/>
                <w:color w:val="auto"/>
                <w:sz w:val="24"/>
                <w:highlight w:val="none"/>
              </w:rPr>
              <w:t>已落实</w:t>
            </w:r>
          </w:p>
        </w:tc>
      </w:tr>
      <w:tr w14:paraId="641589BA">
        <w:tblPrEx>
          <w:tblCellMar>
            <w:top w:w="0" w:type="dxa"/>
            <w:left w:w="108" w:type="dxa"/>
            <w:bottom w:w="0" w:type="dxa"/>
            <w:right w:w="108" w:type="dxa"/>
          </w:tblCellMar>
        </w:tblPrEx>
        <w:trPr>
          <w:trHeight w:val="46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6884A7E9">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1.3.1</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6AE55B2A">
            <w:pPr>
              <w:spacing w:line="360" w:lineRule="auto"/>
              <w:jc w:val="center"/>
              <w:rPr>
                <w:rFonts w:ascii="宋体" w:hAnsi="宋体" w:cs="宋体"/>
                <w:color w:val="auto"/>
                <w:sz w:val="24"/>
                <w:highlight w:val="none"/>
              </w:rPr>
            </w:pPr>
            <w:r>
              <w:rPr>
                <w:rFonts w:ascii="宋体" w:hAnsi="宋体" w:cs="宋体"/>
                <w:color w:val="auto"/>
                <w:sz w:val="24"/>
                <w:highlight w:val="none"/>
              </w:rPr>
              <w:t>服务内容</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7C4C9818">
            <w:pPr>
              <w:spacing w:line="360" w:lineRule="auto"/>
              <w:rPr>
                <w:rFonts w:ascii="宋体" w:hAnsi="宋体"/>
                <w:color w:val="auto"/>
                <w:sz w:val="24"/>
                <w:highlight w:val="none"/>
              </w:rPr>
            </w:pPr>
            <w:r>
              <w:rPr>
                <w:rFonts w:hint="eastAsia" w:ascii="宋体" w:hAnsi="宋体" w:cs="Times New Roman"/>
                <w:color w:val="auto"/>
                <w:sz w:val="24"/>
                <w:highlight w:val="none"/>
                <w:lang w:val="en-US" w:eastAsia="zh-CN"/>
              </w:rPr>
              <w:t>主要服务内容为</w:t>
            </w:r>
            <w:r>
              <w:rPr>
                <w:rFonts w:hint="eastAsia" w:ascii="宋体" w:hAnsi="宋体" w:cs="宋体"/>
                <w:color w:val="auto"/>
                <w:sz w:val="24"/>
                <w:szCs w:val="24"/>
                <w:highlight w:val="none"/>
                <w:lang w:eastAsia="zh-CN"/>
              </w:rPr>
              <w:t>小麦播种、小麦收获、玉米收获、玉米秸秆还田、深松、旋耕2遍等，</w:t>
            </w:r>
            <w:r>
              <w:rPr>
                <w:rFonts w:hint="eastAsia" w:ascii="宋体" w:hAnsi="宋体" w:cs="宋体"/>
                <w:color w:val="auto"/>
                <w:sz w:val="24"/>
                <w:szCs w:val="24"/>
                <w:highlight w:val="none"/>
                <w:lang w:val="en-US" w:eastAsia="zh-CN"/>
              </w:rPr>
              <w:t>具体内容</w:t>
            </w:r>
            <w:r>
              <w:rPr>
                <w:rFonts w:hint="eastAsia" w:ascii="宋体" w:hAnsi="宋体"/>
                <w:color w:val="auto"/>
                <w:sz w:val="24"/>
                <w:highlight w:val="none"/>
                <w:lang w:val="en-US" w:eastAsia="zh-CN"/>
              </w:rPr>
              <w:t>详见“</w:t>
            </w:r>
            <w:r>
              <w:rPr>
                <w:rFonts w:hint="eastAsia" w:ascii="宋体" w:hAnsi="宋体" w:eastAsia="宋体" w:cs="Times New Roman"/>
                <w:color w:val="auto"/>
                <w:sz w:val="24"/>
                <w:highlight w:val="none"/>
                <w:lang w:val="en-US" w:eastAsia="zh-CN"/>
              </w:rPr>
              <w:t>项目服务内容及要求”</w:t>
            </w:r>
          </w:p>
        </w:tc>
      </w:tr>
      <w:tr w14:paraId="2F496D91">
        <w:tblPrEx>
          <w:tblCellMar>
            <w:top w:w="0" w:type="dxa"/>
            <w:left w:w="108" w:type="dxa"/>
            <w:bottom w:w="0" w:type="dxa"/>
            <w:right w:w="108" w:type="dxa"/>
          </w:tblCellMar>
        </w:tblPrEx>
        <w:trPr>
          <w:trHeight w:val="46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0A025F2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1.3.2</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4E73F3F3">
            <w:pPr>
              <w:spacing w:line="360" w:lineRule="auto"/>
              <w:jc w:val="center"/>
              <w:rPr>
                <w:rFonts w:ascii="宋体" w:hAnsi="宋体" w:cs="宋体"/>
                <w:color w:val="auto"/>
                <w:sz w:val="24"/>
                <w:highlight w:val="none"/>
              </w:rPr>
            </w:pPr>
            <w:r>
              <w:rPr>
                <w:rFonts w:hint="eastAsia" w:ascii="宋体" w:hAnsi="宋体"/>
                <w:color w:val="auto"/>
                <w:sz w:val="24"/>
                <w:highlight w:val="none"/>
              </w:rPr>
              <w:t>服务期限</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7F9FA3F3">
            <w:pPr>
              <w:spacing w:line="360" w:lineRule="auto"/>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合同签订之日起</w:t>
            </w:r>
            <w:r>
              <w:rPr>
                <w:rFonts w:hint="eastAsia" w:ascii="宋体" w:hAnsi="宋体" w:cs="宋体"/>
                <w:color w:val="auto"/>
                <w:sz w:val="24"/>
                <w:highlight w:val="none"/>
                <w:lang w:val="en-US" w:eastAsia="zh-CN"/>
              </w:rPr>
              <w:t>至2026年12月31日（如遇极端天气可以适当延长，最迟至2027年12月31日）</w:t>
            </w:r>
          </w:p>
        </w:tc>
      </w:tr>
      <w:tr w14:paraId="1E33709D">
        <w:tblPrEx>
          <w:tblCellMar>
            <w:top w:w="0" w:type="dxa"/>
            <w:left w:w="108" w:type="dxa"/>
            <w:bottom w:w="0" w:type="dxa"/>
            <w:right w:w="108" w:type="dxa"/>
          </w:tblCellMar>
        </w:tblPrEx>
        <w:trPr>
          <w:trHeight w:val="46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7E8BD14F">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1.3.3</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53CD888C">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质量要求</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7D2C413C">
            <w:pPr>
              <w:spacing w:line="360" w:lineRule="auto"/>
              <w:jc w:val="left"/>
              <w:rPr>
                <w:rFonts w:ascii="宋体" w:hAnsi="宋体"/>
                <w:color w:val="auto"/>
                <w:sz w:val="24"/>
                <w:highlight w:val="none"/>
              </w:rPr>
            </w:pPr>
            <w:r>
              <w:rPr>
                <w:rFonts w:hint="eastAsia" w:ascii="宋体" w:hAnsi="宋体"/>
                <w:color w:val="auto"/>
                <w:sz w:val="24"/>
                <w:highlight w:val="none"/>
              </w:rPr>
              <w:t>合格，符合现行国家和行业质量验收标准</w:t>
            </w:r>
          </w:p>
        </w:tc>
      </w:tr>
      <w:tr w14:paraId="69AF5001">
        <w:tblPrEx>
          <w:tblCellMar>
            <w:top w:w="0" w:type="dxa"/>
            <w:left w:w="108" w:type="dxa"/>
            <w:bottom w:w="0" w:type="dxa"/>
            <w:right w:w="108" w:type="dxa"/>
          </w:tblCellMar>
        </w:tblPrEx>
        <w:trPr>
          <w:trHeight w:val="92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1E4D1A0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1.4.1</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4068F9E7">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投标人资格要求</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620DAE45">
            <w:pPr>
              <w:tabs>
                <w:tab w:val="left" w:pos="7770"/>
              </w:tabs>
              <w:wordWrap w:val="0"/>
              <w:spacing w:line="360" w:lineRule="auto"/>
              <w:rPr>
                <w:rFonts w:hint="eastAsia" w:ascii="宋体" w:hAnsi="宋体"/>
                <w:color w:val="auto"/>
                <w:sz w:val="24"/>
                <w:highlight w:val="none"/>
              </w:rPr>
            </w:pPr>
            <w:r>
              <w:rPr>
                <w:rFonts w:hint="eastAsia" w:ascii="宋体" w:hAnsi="宋体"/>
                <w:color w:val="auto"/>
                <w:sz w:val="24"/>
                <w:highlight w:val="none"/>
              </w:rPr>
              <w:t>详见招标公告</w:t>
            </w:r>
          </w:p>
          <w:p w14:paraId="23AE6383">
            <w:pPr>
              <w:tabs>
                <w:tab w:val="left" w:pos="7770"/>
              </w:tabs>
              <w:wordWrap w:val="0"/>
              <w:spacing w:line="360" w:lineRule="auto"/>
              <w:rPr>
                <w:rFonts w:ascii="宋体" w:hAnsi="宋体"/>
                <w:color w:val="auto"/>
                <w:sz w:val="24"/>
                <w:highlight w:val="none"/>
              </w:rPr>
            </w:pPr>
            <w:r>
              <w:rPr>
                <w:rFonts w:hint="eastAsia" w:ascii="宋体" w:hAnsi="宋体"/>
                <w:b/>
                <w:bCs/>
                <w:color w:val="auto"/>
                <w:sz w:val="24"/>
                <w:highlight w:val="none"/>
              </w:rPr>
              <w:t>供应商需对所填内容的真实性负责。</w:t>
            </w:r>
          </w:p>
        </w:tc>
      </w:tr>
      <w:tr w14:paraId="21254127">
        <w:tblPrEx>
          <w:tblCellMar>
            <w:top w:w="0" w:type="dxa"/>
            <w:left w:w="108" w:type="dxa"/>
            <w:bottom w:w="0" w:type="dxa"/>
            <w:right w:w="108" w:type="dxa"/>
          </w:tblCellMar>
        </w:tblPrEx>
        <w:trPr>
          <w:trHeight w:val="92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16302D24">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1.4.2</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1B7CB30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是否接受联合体投标</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32155DD9">
            <w:pPr>
              <w:spacing w:line="360" w:lineRule="auto"/>
              <w:rPr>
                <w:rFonts w:ascii="宋体" w:hAnsi="宋体" w:cs="宋体"/>
                <w:color w:val="auto"/>
                <w:sz w:val="24"/>
                <w:highlight w:val="none"/>
              </w:rPr>
            </w:pPr>
            <w:r>
              <w:rPr>
                <w:rFonts w:hint="eastAsia" w:ascii="宋体" w:hAnsi="宋体" w:cs="宋体"/>
                <w:color w:val="auto"/>
                <w:sz w:val="24"/>
                <w:highlight w:val="none"/>
              </w:rPr>
              <w:t>不接受</w:t>
            </w:r>
          </w:p>
        </w:tc>
      </w:tr>
      <w:tr w14:paraId="75ADF7BD">
        <w:tblPrEx>
          <w:tblCellMar>
            <w:top w:w="0" w:type="dxa"/>
            <w:left w:w="108" w:type="dxa"/>
            <w:bottom w:w="0" w:type="dxa"/>
            <w:right w:w="108" w:type="dxa"/>
          </w:tblCellMar>
        </w:tblPrEx>
        <w:trPr>
          <w:trHeight w:val="46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382C630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1.9</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1608FA8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踏勘现场</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48120FAF">
            <w:pPr>
              <w:pStyle w:val="29"/>
              <w:topLinePunct/>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sym w:font="Wingdings" w:char="F0FE"/>
            </w:r>
            <w:r>
              <w:rPr>
                <w:rFonts w:hint="eastAsia" w:ascii="宋体" w:hAnsi="宋体" w:cs="宋体"/>
                <w:color w:val="auto"/>
                <w:sz w:val="24"/>
                <w:szCs w:val="24"/>
                <w:highlight w:val="none"/>
              </w:rPr>
              <w:t>不组织，各投标人自行踏勘</w:t>
            </w:r>
          </w:p>
        </w:tc>
      </w:tr>
      <w:tr w14:paraId="495ECC04">
        <w:tblPrEx>
          <w:tblCellMar>
            <w:top w:w="0" w:type="dxa"/>
            <w:left w:w="108" w:type="dxa"/>
            <w:bottom w:w="0" w:type="dxa"/>
            <w:right w:w="108" w:type="dxa"/>
          </w:tblCellMar>
        </w:tblPrEx>
        <w:trPr>
          <w:trHeight w:val="46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6FCBEEA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1.10</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60E8AAC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投标预备会</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648DF537">
            <w:pPr>
              <w:pStyle w:val="29"/>
              <w:topLinePunct/>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sym w:font="Wingdings" w:char="F0FE"/>
            </w:r>
            <w:r>
              <w:rPr>
                <w:rFonts w:hint="eastAsia" w:ascii="宋体" w:hAnsi="宋体" w:cs="宋体"/>
                <w:color w:val="auto"/>
                <w:sz w:val="24"/>
                <w:szCs w:val="24"/>
                <w:highlight w:val="none"/>
              </w:rPr>
              <w:t>不召开</w:t>
            </w:r>
          </w:p>
        </w:tc>
      </w:tr>
      <w:tr w14:paraId="3C054593">
        <w:tblPrEx>
          <w:tblCellMar>
            <w:top w:w="0" w:type="dxa"/>
            <w:left w:w="108" w:type="dxa"/>
            <w:bottom w:w="0" w:type="dxa"/>
            <w:right w:w="108" w:type="dxa"/>
          </w:tblCellMar>
        </w:tblPrEx>
        <w:trPr>
          <w:trHeight w:val="46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59CA0D7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1.11</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0AD48C94">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分包、转包</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41276BBF">
            <w:pPr>
              <w:spacing w:line="360" w:lineRule="auto"/>
              <w:rPr>
                <w:rFonts w:ascii="宋体" w:hAnsi="宋体" w:cs="宋体"/>
                <w:color w:val="auto"/>
                <w:sz w:val="24"/>
                <w:highlight w:val="none"/>
              </w:rPr>
            </w:pPr>
            <w:r>
              <w:rPr>
                <w:rFonts w:hint="eastAsia" w:ascii="宋体" w:hAnsi="宋体" w:cs="宋体"/>
                <w:color w:val="auto"/>
                <w:sz w:val="24"/>
                <w:highlight w:val="none"/>
              </w:rPr>
              <w:t>不允许</w:t>
            </w:r>
          </w:p>
        </w:tc>
      </w:tr>
      <w:tr w14:paraId="6C815992">
        <w:tblPrEx>
          <w:tblCellMar>
            <w:top w:w="0" w:type="dxa"/>
            <w:left w:w="108" w:type="dxa"/>
            <w:bottom w:w="0" w:type="dxa"/>
            <w:right w:w="108" w:type="dxa"/>
          </w:tblCellMar>
        </w:tblPrEx>
        <w:trPr>
          <w:trHeight w:val="1386"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1F2AD6E4">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2.1</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016071E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构成招标文件的其他材料</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0FCD13FB">
            <w:pPr>
              <w:spacing w:line="360" w:lineRule="auto"/>
              <w:rPr>
                <w:rFonts w:ascii="宋体" w:hAnsi="宋体" w:cs="宋体"/>
                <w:color w:val="auto"/>
                <w:sz w:val="24"/>
                <w:highlight w:val="none"/>
              </w:rPr>
            </w:pPr>
            <w:r>
              <w:rPr>
                <w:rFonts w:hint="eastAsia" w:ascii="宋体" w:hAnsi="宋体"/>
                <w:color w:val="auto"/>
                <w:sz w:val="24"/>
                <w:highlight w:val="none"/>
              </w:rPr>
              <w:t>招标文件补充文件、澄清、修改、答疑，在《开封市公共资源交易信息网》等网上发布。当招标文件及其澄清、修改或补充文件对同一内容表述不一致时，以最后发布为准。</w:t>
            </w:r>
          </w:p>
        </w:tc>
      </w:tr>
      <w:tr w14:paraId="6A81942D">
        <w:tblPrEx>
          <w:tblCellMar>
            <w:top w:w="0" w:type="dxa"/>
            <w:left w:w="108" w:type="dxa"/>
            <w:bottom w:w="0" w:type="dxa"/>
            <w:right w:w="108" w:type="dxa"/>
          </w:tblCellMar>
        </w:tblPrEx>
        <w:trPr>
          <w:trHeight w:val="1386"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2A2584A8">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2.2.1</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50E868B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投标人对招标文件提出异议的时间</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31188378">
            <w:pPr>
              <w:spacing w:line="360" w:lineRule="auto"/>
              <w:rPr>
                <w:rFonts w:ascii="宋体" w:hAnsi="宋体" w:cs="宋体"/>
                <w:color w:val="auto"/>
                <w:sz w:val="24"/>
                <w:highlight w:val="none"/>
              </w:rPr>
            </w:pPr>
            <w:r>
              <w:rPr>
                <w:rFonts w:hint="eastAsia" w:ascii="宋体" w:hAnsi="宋体" w:cs="宋体"/>
                <w:color w:val="auto"/>
                <w:kern w:val="0"/>
                <w:sz w:val="24"/>
                <w:highlight w:val="none"/>
              </w:rPr>
              <w:t>收到招标文件之日或招标公告期限届满之日起7个工作日内。</w:t>
            </w:r>
          </w:p>
        </w:tc>
      </w:tr>
      <w:tr w14:paraId="31B0DC1B">
        <w:tblPrEx>
          <w:tblCellMar>
            <w:top w:w="0" w:type="dxa"/>
            <w:left w:w="108" w:type="dxa"/>
            <w:bottom w:w="0" w:type="dxa"/>
            <w:right w:w="108" w:type="dxa"/>
          </w:tblCellMar>
        </w:tblPrEx>
        <w:trPr>
          <w:trHeight w:val="1846"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7C577BD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2.3.2</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2AE2DE1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投标人确认收到招标文件澄清和修改的时间</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206B94AF">
            <w:pPr>
              <w:spacing w:line="360" w:lineRule="auto"/>
              <w:rPr>
                <w:rFonts w:ascii="宋体" w:hAnsi="宋体" w:cs="宋体"/>
                <w:color w:val="auto"/>
                <w:sz w:val="24"/>
                <w:highlight w:val="none"/>
              </w:rPr>
            </w:pPr>
            <w:r>
              <w:rPr>
                <w:rFonts w:hint="eastAsia" w:ascii="宋体" w:hAnsi="宋体" w:cs="宋体"/>
                <w:color w:val="auto"/>
                <w:sz w:val="24"/>
                <w:highlight w:val="none"/>
              </w:rPr>
              <w:t>收到当日</w:t>
            </w:r>
          </w:p>
        </w:tc>
      </w:tr>
      <w:tr w14:paraId="6B12FCCB">
        <w:tblPrEx>
          <w:tblCellMar>
            <w:top w:w="0" w:type="dxa"/>
            <w:left w:w="108" w:type="dxa"/>
            <w:bottom w:w="0" w:type="dxa"/>
            <w:right w:w="108" w:type="dxa"/>
          </w:tblCellMar>
        </w:tblPrEx>
        <w:trPr>
          <w:trHeight w:val="92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3E08770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3.1.1</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5DA55166">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构成投标文件的其他材料</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590873AB">
            <w:pPr>
              <w:spacing w:line="360" w:lineRule="auto"/>
              <w:rPr>
                <w:rFonts w:ascii="宋体" w:hAnsi="宋体" w:cs="宋体"/>
                <w:color w:val="auto"/>
                <w:sz w:val="24"/>
                <w:highlight w:val="none"/>
              </w:rPr>
            </w:pPr>
            <w:r>
              <w:rPr>
                <w:rFonts w:hint="eastAsia" w:ascii="宋体" w:hAnsi="宋体" w:cs="宋体"/>
                <w:color w:val="auto"/>
                <w:sz w:val="24"/>
                <w:highlight w:val="none"/>
              </w:rPr>
              <w:t>///</w:t>
            </w:r>
          </w:p>
        </w:tc>
      </w:tr>
      <w:tr w14:paraId="4DDC9220">
        <w:tblPrEx>
          <w:tblCellMar>
            <w:top w:w="0" w:type="dxa"/>
            <w:left w:w="108" w:type="dxa"/>
            <w:bottom w:w="0" w:type="dxa"/>
            <w:right w:w="108" w:type="dxa"/>
          </w:tblCellMar>
        </w:tblPrEx>
        <w:trPr>
          <w:trHeight w:val="1846"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1F6A1C04">
            <w:pPr>
              <w:spacing w:line="360" w:lineRule="auto"/>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3.2.3</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65C16DE2">
            <w:pPr>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最高限价</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2C8E02CA">
            <w:pPr>
              <w:spacing w:line="360" w:lineRule="auto"/>
              <w:rPr>
                <w:rFonts w:hint="eastAsia" w:ascii="宋体" w:hAnsi="宋体" w:cs="Times New Roman"/>
                <w:color w:val="auto"/>
                <w:sz w:val="24"/>
                <w:highlight w:val="none"/>
                <w:lang w:val="en-US" w:eastAsia="zh-CN"/>
              </w:rPr>
            </w:pPr>
            <w:r>
              <w:rPr>
                <w:rFonts w:hint="eastAsia" w:ascii="宋体" w:hAnsi="宋体" w:cs="Times New Roman"/>
                <w:color w:val="auto"/>
                <w:sz w:val="24"/>
                <w:highlight w:val="none"/>
                <w:lang w:val="en-US" w:eastAsia="zh-CN"/>
              </w:rPr>
              <w:t>本项目最高限价：</w:t>
            </w:r>
          </w:p>
          <w:p w14:paraId="1C0BFF95">
            <w:pPr>
              <w:spacing w:line="360" w:lineRule="auto"/>
              <w:rPr>
                <w:rFonts w:hint="eastAsia" w:ascii="宋体" w:hAnsi="宋体" w:cs="宋体"/>
                <w:color w:val="auto"/>
                <w:sz w:val="24"/>
                <w:highlight w:val="none"/>
                <w:lang w:eastAsia="zh-CN"/>
              </w:rPr>
            </w:pPr>
            <w:r>
              <w:rPr>
                <w:rFonts w:hint="eastAsia" w:ascii="宋体" w:hAnsi="宋体" w:cs="Times New Roman"/>
                <w:color w:val="auto"/>
                <w:sz w:val="24"/>
                <w:highlight w:val="none"/>
                <w:lang w:val="en-US" w:eastAsia="zh-CN"/>
              </w:rPr>
              <w:t>一包段：4574310.00元</w:t>
            </w:r>
            <w:r>
              <w:rPr>
                <w:rFonts w:hint="eastAsia" w:ascii="宋体" w:hAnsi="宋体" w:cs="宋体"/>
                <w:color w:val="auto"/>
                <w:sz w:val="24"/>
                <w:highlight w:val="none"/>
                <w:lang w:eastAsia="zh-CN"/>
              </w:rPr>
              <w:t>；</w:t>
            </w:r>
          </w:p>
          <w:p w14:paraId="7C36D391">
            <w:pPr>
              <w:spacing w:line="360" w:lineRule="auto"/>
              <w:rPr>
                <w:rFonts w:hint="eastAsia"/>
                <w:color w:val="auto"/>
                <w:highlight w:val="none"/>
                <w:lang w:eastAsia="zh-CN"/>
              </w:rPr>
            </w:pPr>
            <w:r>
              <w:rPr>
                <w:rFonts w:hint="eastAsia" w:ascii="宋体" w:hAnsi="宋体" w:cs="Times New Roman"/>
                <w:color w:val="auto"/>
                <w:sz w:val="24"/>
                <w:highlight w:val="none"/>
                <w:lang w:val="en-US" w:eastAsia="zh-CN"/>
              </w:rPr>
              <w:t>二包段：4574310.00元</w:t>
            </w:r>
            <w:r>
              <w:rPr>
                <w:rFonts w:hint="eastAsia" w:ascii="宋体" w:hAnsi="宋体" w:cs="宋体"/>
                <w:color w:val="auto"/>
                <w:sz w:val="24"/>
                <w:highlight w:val="none"/>
                <w:lang w:eastAsia="zh-CN"/>
              </w:rPr>
              <w:t>；</w:t>
            </w:r>
          </w:p>
          <w:p w14:paraId="12197831">
            <w:pPr>
              <w:spacing w:line="360" w:lineRule="auto"/>
              <w:rPr>
                <w:rFonts w:hint="eastAsia" w:ascii="仿宋" w:hAnsi="仿宋" w:cs="仿宋"/>
                <w:bCs/>
                <w:color w:val="auto"/>
                <w:sz w:val="24"/>
                <w:highlight w:val="none"/>
                <w:lang w:val="en-US" w:eastAsia="zh-CN"/>
              </w:rPr>
            </w:pPr>
            <w:r>
              <w:rPr>
                <w:rFonts w:hint="eastAsia" w:ascii="仿宋" w:hAnsi="仿宋" w:cs="仿宋"/>
                <w:bCs/>
                <w:color w:val="auto"/>
                <w:sz w:val="24"/>
                <w:highlight w:val="none"/>
                <w:lang w:val="en-US" w:eastAsia="zh-CN"/>
              </w:rPr>
              <w:t>一包段</w:t>
            </w:r>
            <w:r>
              <w:rPr>
                <w:rFonts w:hint="eastAsia" w:ascii="仿宋" w:hAnsi="仿宋" w:cs="仿宋"/>
                <w:bCs/>
                <w:color w:val="auto"/>
                <w:sz w:val="24"/>
                <w:highlight w:val="none"/>
              </w:rPr>
              <w:t>预算单价</w:t>
            </w:r>
            <w:r>
              <w:rPr>
                <w:rFonts w:hint="eastAsia" w:ascii="仿宋" w:hAnsi="仿宋" w:cs="仿宋"/>
                <w:bCs/>
                <w:color w:val="auto"/>
                <w:sz w:val="24"/>
                <w:highlight w:val="none"/>
                <w:lang w:val="en-US" w:eastAsia="zh-CN"/>
              </w:rPr>
              <w:t>为：95.10元/亩</w:t>
            </w:r>
            <w:r>
              <w:rPr>
                <w:rFonts w:hint="eastAsia" w:ascii="宋体" w:hAnsi="宋体" w:cs="宋体"/>
                <w:color w:val="auto"/>
                <w:sz w:val="24"/>
                <w:highlight w:val="none"/>
                <w:lang w:eastAsia="zh-CN"/>
              </w:rPr>
              <w:t>；</w:t>
            </w:r>
          </w:p>
          <w:p w14:paraId="4F5EE985">
            <w:pPr>
              <w:spacing w:line="360" w:lineRule="auto"/>
              <w:rPr>
                <w:rFonts w:hint="eastAsia" w:ascii="宋体" w:hAnsi="宋体" w:cs="宋体"/>
                <w:color w:val="auto"/>
                <w:sz w:val="24"/>
                <w:highlight w:val="none"/>
                <w:lang w:val="en-US" w:eastAsia="zh-CN"/>
              </w:rPr>
            </w:pPr>
            <w:r>
              <w:rPr>
                <w:rFonts w:hint="eastAsia" w:ascii="仿宋" w:hAnsi="仿宋" w:cs="仿宋"/>
                <w:bCs/>
                <w:color w:val="auto"/>
                <w:sz w:val="24"/>
                <w:highlight w:val="none"/>
                <w:lang w:val="en-US" w:eastAsia="zh-CN"/>
              </w:rPr>
              <w:t>二包段</w:t>
            </w:r>
            <w:r>
              <w:rPr>
                <w:rFonts w:hint="eastAsia" w:ascii="仿宋" w:hAnsi="仿宋" w:cs="仿宋"/>
                <w:bCs/>
                <w:color w:val="auto"/>
                <w:sz w:val="24"/>
                <w:highlight w:val="none"/>
              </w:rPr>
              <w:t>预算单价</w:t>
            </w:r>
            <w:r>
              <w:rPr>
                <w:rFonts w:hint="eastAsia" w:ascii="仿宋" w:hAnsi="仿宋" w:cs="仿宋"/>
                <w:bCs/>
                <w:color w:val="auto"/>
                <w:sz w:val="24"/>
                <w:highlight w:val="none"/>
                <w:lang w:val="en-US" w:eastAsia="zh-CN"/>
              </w:rPr>
              <w:t>为：95.10元/亩</w:t>
            </w:r>
            <w:r>
              <w:rPr>
                <w:rFonts w:hint="eastAsia" w:ascii="宋体" w:hAnsi="宋体" w:cs="宋体"/>
                <w:color w:val="auto"/>
                <w:sz w:val="24"/>
                <w:highlight w:val="none"/>
                <w:lang w:eastAsia="zh-CN"/>
              </w:rPr>
              <w:t>；</w:t>
            </w:r>
          </w:p>
          <w:p w14:paraId="37EBF193">
            <w:pPr>
              <w:spacing w:line="360" w:lineRule="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本项目为单价招标，计划实施面积96200亩，</w:t>
            </w:r>
            <w:r>
              <w:rPr>
                <w:rFonts w:ascii="宋体" w:hAnsi="宋体" w:eastAsia="宋体" w:cs="宋体"/>
                <w:color w:val="auto"/>
                <w:sz w:val="24"/>
                <w:szCs w:val="24"/>
                <w:highlight w:val="none"/>
              </w:rPr>
              <w:t>最终以实际完成的作业面积为准。</w:t>
            </w:r>
          </w:p>
          <w:p w14:paraId="26C50668">
            <w:pPr>
              <w:spacing w:line="360" w:lineRule="auto"/>
              <w:rPr>
                <w:rFonts w:hint="eastAsia" w:ascii="宋体" w:hAnsi="宋体" w:cs="宋体"/>
                <w:color w:val="auto"/>
                <w:sz w:val="24"/>
                <w:highlight w:val="none"/>
              </w:rPr>
            </w:pPr>
            <w:r>
              <w:rPr>
                <w:rFonts w:hint="eastAsia" w:ascii="宋体" w:hAnsi="宋体" w:cs="宋体"/>
                <w:color w:val="auto"/>
                <w:sz w:val="24"/>
                <w:highlight w:val="none"/>
              </w:rPr>
              <w:t>超出最高限价的按无效标处理。</w:t>
            </w:r>
          </w:p>
        </w:tc>
      </w:tr>
      <w:tr w14:paraId="00674E00">
        <w:tblPrEx>
          <w:tblCellMar>
            <w:top w:w="0" w:type="dxa"/>
            <w:left w:w="108" w:type="dxa"/>
            <w:bottom w:w="0" w:type="dxa"/>
            <w:right w:w="108" w:type="dxa"/>
          </w:tblCellMar>
        </w:tblPrEx>
        <w:trPr>
          <w:trHeight w:val="46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78D33B0A">
            <w:pPr>
              <w:spacing w:line="360" w:lineRule="auto"/>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3.2.4</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12FF0F85">
            <w:pPr>
              <w:ind w:firstLine="0" w:firstLineChars="0"/>
              <w:jc w:val="center"/>
              <w:rPr>
                <w:rFonts w:hint="eastAsia" w:ascii="宋体" w:hAnsi="宋体" w:cs="宋体"/>
                <w:color w:val="auto"/>
                <w:sz w:val="24"/>
                <w:highlight w:val="none"/>
              </w:rPr>
            </w:pPr>
            <w:r>
              <w:rPr>
                <w:rFonts w:hint="eastAsia" w:ascii="宋体" w:hAnsi="宋体" w:cs="宋体"/>
                <w:color w:val="auto"/>
                <w:sz w:val="24"/>
                <w:szCs w:val="24"/>
                <w:highlight w:val="none"/>
              </w:rPr>
              <w:t>报价币种</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4D6C83FE">
            <w:pPr>
              <w:ind w:firstLine="0" w:firstLineChars="0"/>
              <w:rPr>
                <w:rFonts w:hint="eastAsia" w:ascii="宋体" w:hAnsi="宋体" w:cs="宋体"/>
                <w:color w:val="auto"/>
                <w:sz w:val="24"/>
                <w:highlight w:val="none"/>
              </w:rPr>
            </w:pPr>
            <w:r>
              <w:rPr>
                <w:rFonts w:hint="eastAsia" w:ascii="宋体" w:hAnsi="宋体" w:cs="宋体"/>
                <w:color w:val="auto"/>
                <w:sz w:val="24"/>
                <w:szCs w:val="24"/>
                <w:highlight w:val="none"/>
              </w:rPr>
              <w:t>全部报价均应以人民币为计量货币，并以人民币进行结算。</w:t>
            </w:r>
          </w:p>
        </w:tc>
      </w:tr>
      <w:tr w14:paraId="46CC94D8">
        <w:tblPrEx>
          <w:tblCellMar>
            <w:top w:w="0" w:type="dxa"/>
            <w:left w:w="108" w:type="dxa"/>
            <w:bottom w:w="0" w:type="dxa"/>
            <w:right w:w="108" w:type="dxa"/>
          </w:tblCellMar>
        </w:tblPrEx>
        <w:trPr>
          <w:trHeight w:val="92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3F4E739D">
            <w:pPr>
              <w:spacing w:line="360" w:lineRule="auto"/>
              <w:jc w:val="center"/>
              <w:rPr>
                <w:rFonts w:ascii="宋体" w:hAnsi="宋体" w:cs="宋体"/>
                <w:color w:val="auto"/>
                <w:sz w:val="24"/>
                <w:highlight w:val="none"/>
              </w:rPr>
            </w:pPr>
            <w:r>
              <w:rPr>
                <w:rFonts w:hint="eastAsia" w:ascii="宋体" w:hAnsi="宋体" w:cs="宋体"/>
                <w:color w:val="auto"/>
                <w:sz w:val="24"/>
                <w:highlight w:val="none"/>
              </w:rPr>
              <w:t>3.3.1</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49289D0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投标有效期</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377772E0">
            <w:pPr>
              <w:spacing w:line="360" w:lineRule="auto"/>
              <w:rPr>
                <w:rFonts w:ascii="宋体" w:hAnsi="宋体" w:cs="宋体"/>
                <w:color w:val="auto"/>
                <w:sz w:val="24"/>
                <w:highlight w:val="none"/>
              </w:rPr>
            </w:pPr>
            <w:r>
              <w:rPr>
                <w:rFonts w:hint="eastAsia" w:ascii="宋体" w:hAnsi="宋体" w:cs="宋体"/>
                <w:color w:val="auto"/>
                <w:sz w:val="24"/>
                <w:highlight w:val="none"/>
              </w:rPr>
              <w:t>自投标截止之日起</w:t>
            </w:r>
            <w:r>
              <w:rPr>
                <w:rFonts w:hint="eastAsia" w:ascii="宋体" w:hAnsi="宋体" w:cs="宋体"/>
                <w:color w:val="auto"/>
                <w:sz w:val="24"/>
                <w:highlight w:val="none"/>
                <w:u w:val="single"/>
              </w:rPr>
              <w:t xml:space="preserve"> 60</w:t>
            </w:r>
            <w:r>
              <w:rPr>
                <w:rFonts w:hint="eastAsia" w:ascii="宋体" w:hAnsi="宋体" w:cs="宋体"/>
                <w:color w:val="auto"/>
                <w:sz w:val="24"/>
                <w:highlight w:val="none"/>
              </w:rPr>
              <w:t>日历天（投标人承诺的投标有效期不得少于该时间要求）。</w:t>
            </w:r>
          </w:p>
        </w:tc>
      </w:tr>
      <w:tr w14:paraId="22585C1B">
        <w:tblPrEx>
          <w:tblCellMar>
            <w:top w:w="0" w:type="dxa"/>
            <w:left w:w="108" w:type="dxa"/>
            <w:bottom w:w="0" w:type="dxa"/>
            <w:right w:w="108" w:type="dxa"/>
          </w:tblCellMar>
        </w:tblPrEx>
        <w:trPr>
          <w:trHeight w:val="46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1B199C0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3.4.1</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2EFF2E15">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投标保证金</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60643802">
            <w:pPr>
              <w:spacing w:line="360" w:lineRule="auto"/>
              <w:ind w:left="240" w:hanging="240" w:hangingChars="100"/>
              <w:rPr>
                <w:rFonts w:ascii="宋体" w:hAnsi="宋体" w:cs="宋体"/>
                <w:color w:val="auto"/>
                <w:sz w:val="24"/>
                <w:highlight w:val="none"/>
              </w:rPr>
            </w:pPr>
            <w:r>
              <w:rPr>
                <w:rFonts w:hint="eastAsia" w:ascii="宋体" w:hAnsi="宋体" w:cs="宋体"/>
                <w:color w:val="auto"/>
                <w:sz w:val="24"/>
                <w:highlight w:val="none"/>
              </w:rPr>
              <w:t>不收取</w:t>
            </w:r>
          </w:p>
        </w:tc>
      </w:tr>
      <w:tr w14:paraId="42BF0841">
        <w:tblPrEx>
          <w:tblCellMar>
            <w:top w:w="0" w:type="dxa"/>
            <w:left w:w="108" w:type="dxa"/>
            <w:bottom w:w="0" w:type="dxa"/>
            <w:right w:w="108" w:type="dxa"/>
          </w:tblCellMar>
        </w:tblPrEx>
        <w:trPr>
          <w:trHeight w:val="92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2F3D53A4">
            <w:pPr>
              <w:spacing w:line="360" w:lineRule="auto"/>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3.5.</w:t>
            </w:r>
            <w:r>
              <w:rPr>
                <w:rFonts w:hint="eastAsia" w:ascii="宋体" w:hAnsi="宋体" w:cs="宋体"/>
                <w:color w:val="auto"/>
                <w:sz w:val="24"/>
                <w:highlight w:val="none"/>
                <w:lang w:val="en-US" w:eastAsia="zh-CN"/>
              </w:rPr>
              <w:t>1</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349B4D43">
            <w:pPr>
              <w:spacing w:line="360" w:lineRule="auto"/>
              <w:jc w:val="left"/>
              <w:rPr>
                <w:rFonts w:ascii="宋体" w:hAnsi="宋体"/>
                <w:color w:val="auto"/>
                <w:sz w:val="24"/>
                <w:highlight w:val="none"/>
              </w:rPr>
            </w:pPr>
            <w:r>
              <w:rPr>
                <w:rFonts w:hint="eastAsia" w:ascii="宋体" w:hAnsi="宋体" w:cs="宋体"/>
                <w:color w:val="auto"/>
                <w:sz w:val="24"/>
                <w:highlight w:val="none"/>
              </w:rPr>
              <w:t>近年财务状况表</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389B75EC">
            <w:pPr>
              <w:tabs>
                <w:tab w:val="left" w:pos="7770"/>
              </w:tabs>
              <w:spacing w:line="360" w:lineRule="auto"/>
              <w:rPr>
                <w:rFonts w:ascii="宋体" w:hAnsi="宋体"/>
                <w:color w:val="auto"/>
                <w:sz w:val="24"/>
                <w:highlight w:val="none"/>
              </w:rPr>
            </w:pPr>
            <w:r>
              <w:rPr>
                <w:rFonts w:hint="eastAsia" w:ascii="宋体" w:hAnsi="宋体" w:eastAsia="宋体" w:cs="Times New Roman"/>
                <w:color w:val="auto"/>
                <w:sz w:val="24"/>
                <w:highlight w:val="none"/>
              </w:rPr>
              <w:t>提供202</w:t>
            </w:r>
            <w:r>
              <w:rPr>
                <w:rFonts w:hint="eastAsia" w:ascii="宋体" w:hAnsi="宋体" w:cs="Times New Roman"/>
                <w:color w:val="auto"/>
                <w:sz w:val="24"/>
                <w:highlight w:val="none"/>
                <w:lang w:val="en-US" w:eastAsia="zh-CN"/>
              </w:rPr>
              <w:t>4</w:t>
            </w:r>
            <w:r>
              <w:rPr>
                <w:rFonts w:hint="eastAsia" w:ascii="宋体" w:hAnsi="宋体" w:eastAsia="宋体" w:cs="Times New Roman"/>
                <w:color w:val="auto"/>
                <w:sz w:val="24"/>
                <w:highlight w:val="none"/>
              </w:rPr>
              <w:t>年度</w:t>
            </w:r>
            <w:r>
              <w:rPr>
                <w:rFonts w:hint="eastAsia" w:ascii="宋体" w:hAnsi="宋体" w:eastAsia="宋体" w:cs="Times New Roman"/>
                <w:color w:val="auto"/>
                <w:sz w:val="24"/>
                <w:highlight w:val="none"/>
                <w:lang w:val="en-US" w:eastAsia="zh-CN"/>
              </w:rPr>
              <w:t>或2025年度</w:t>
            </w:r>
            <w:r>
              <w:rPr>
                <w:rFonts w:hint="eastAsia" w:ascii="宋体" w:hAnsi="宋体" w:eastAsia="宋体" w:cs="Times New Roman"/>
                <w:color w:val="auto"/>
                <w:sz w:val="24"/>
                <w:highlight w:val="none"/>
              </w:rPr>
              <w:t>审计报告，新成立的公司时间不足一年的提供基本户银行出具的有效期内资信证明</w:t>
            </w:r>
          </w:p>
        </w:tc>
      </w:tr>
      <w:tr w14:paraId="3F9ADE15">
        <w:tblPrEx>
          <w:tblCellMar>
            <w:top w:w="0" w:type="dxa"/>
            <w:left w:w="108" w:type="dxa"/>
            <w:bottom w:w="0" w:type="dxa"/>
            <w:right w:w="108" w:type="dxa"/>
          </w:tblCellMar>
        </w:tblPrEx>
        <w:trPr>
          <w:trHeight w:val="1386"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2CD3D644">
            <w:pPr>
              <w:spacing w:line="360" w:lineRule="auto"/>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3.5.2</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6ADC689E">
            <w:pPr>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近年发生的诉讼及仲裁情况的年份要求</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42C4AE58">
            <w:pPr>
              <w:spacing w:line="360" w:lineRule="auto"/>
              <w:rPr>
                <w:rFonts w:hint="eastAsia" w:ascii="宋体" w:hAnsi="宋体"/>
                <w:color w:val="auto"/>
                <w:sz w:val="24"/>
                <w:szCs w:val="24"/>
                <w:highlight w:val="none"/>
              </w:rPr>
            </w:pPr>
            <w:r>
              <w:rPr>
                <w:rFonts w:hint="eastAsia" w:ascii="宋体" w:hAnsi="宋体"/>
                <w:color w:val="auto"/>
                <w:sz w:val="24"/>
                <w:szCs w:val="24"/>
                <w:highlight w:val="none"/>
              </w:rPr>
              <w:t>202</w:t>
            </w:r>
            <w:r>
              <w:rPr>
                <w:rFonts w:hint="eastAsia" w:ascii="宋体" w:hAnsi="宋体"/>
                <w:color w:val="auto"/>
                <w:sz w:val="24"/>
                <w:szCs w:val="24"/>
                <w:highlight w:val="none"/>
                <w:lang w:val="en-US" w:eastAsia="zh-CN"/>
              </w:rPr>
              <w:t>3</w:t>
            </w:r>
            <w:r>
              <w:rPr>
                <w:rFonts w:hint="eastAsia" w:ascii="宋体" w:hAnsi="宋体"/>
                <w:color w:val="auto"/>
                <w:sz w:val="24"/>
                <w:szCs w:val="24"/>
                <w:highlight w:val="none"/>
              </w:rPr>
              <w:t>年1月1日以来</w:t>
            </w:r>
          </w:p>
        </w:tc>
      </w:tr>
      <w:tr w14:paraId="6BEF9490">
        <w:tblPrEx>
          <w:tblCellMar>
            <w:top w:w="0" w:type="dxa"/>
            <w:left w:w="108" w:type="dxa"/>
            <w:bottom w:w="0" w:type="dxa"/>
            <w:right w:w="108" w:type="dxa"/>
          </w:tblCellMar>
        </w:tblPrEx>
        <w:trPr>
          <w:trHeight w:val="46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1A4ECF2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3.6</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5C3A9477">
            <w:pPr>
              <w:spacing w:line="360" w:lineRule="auto"/>
              <w:jc w:val="left"/>
              <w:rPr>
                <w:rFonts w:ascii="宋体" w:hAnsi="宋体" w:cs="宋体"/>
                <w:color w:val="auto"/>
                <w:sz w:val="24"/>
                <w:highlight w:val="none"/>
              </w:rPr>
            </w:pPr>
            <w:r>
              <w:rPr>
                <w:rFonts w:hint="eastAsia" w:ascii="宋体" w:hAnsi="宋体" w:cs="宋体"/>
                <w:color w:val="auto"/>
                <w:sz w:val="24"/>
                <w:highlight w:val="none"/>
              </w:rPr>
              <w:t>是否允许递交备选投标方案</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090B370B">
            <w:pPr>
              <w:tabs>
                <w:tab w:val="left" w:pos="7770"/>
              </w:tabs>
              <w:spacing w:line="360" w:lineRule="auto"/>
              <w:rPr>
                <w:rFonts w:ascii="宋体" w:hAnsi="宋体" w:cs="宋体"/>
                <w:color w:val="auto"/>
                <w:sz w:val="24"/>
                <w:highlight w:val="none"/>
              </w:rPr>
            </w:pPr>
            <w:r>
              <w:rPr>
                <w:rFonts w:hint="eastAsia" w:ascii="宋体" w:hAnsi="宋体" w:cs="宋体"/>
                <w:color w:val="auto"/>
                <w:sz w:val="24"/>
                <w:highlight w:val="none"/>
              </w:rPr>
              <w:t>不允许</w:t>
            </w:r>
          </w:p>
        </w:tc>
      </w:tr>
      <w:tr w14:paraId="25E701DC">
        <w:tblPrEx>
          <w:tblCellMar>
            <w:top w:w="0" w:type="dxa"/>
            <w:left w:w="108" w:type="dxa"/>
            <w:bottom w:w="0" w:type="dxa"/>
            <w:right w:w="108" w:type="dxa"/>
          </w:tblCellMar>
        </w:tblPrEx>
        <w:trPr>
          <w:trHeight w:val="1386"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291422A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3.7.3</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727CC6DF">
            <w:pPr>
              <w:spacing w:line="360" w:lineRule="auto"/>
              <w:jc w:val="left"/>
              <w:rPr>
                <w:rFonts w:ascii="宋体" w:hAnsi="宋体" w:cs="宋体"/>
                <w:color w:val="auto"/>
                <w:sz w:val="24"/>
                <w:highlight w:val="none"/>
              </w:rPr>
            </w:pPr>
            <w:r>
              <w:rPr>
                <w:rFonts w:hint="eastAsia" w:ascii="宋体" w:hAnsi="宋体" w:cs="宋体"/>
                <w:color w:val="auto"/>
                <w:sz w:val="24"/>
                <w:highlight w:val="none"/>
              </w:rPr>
              <w:t>签字、盖章要求</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6EE76E99">
            <w:pPr>
              <w:spacing w:line="360" w:lineRule="auto"/>
              <w:jc w:val="left"/>
              <w:rPr>
                <w:rFonts w:ascii="宋体" w:hAnsi="宋体" w:cs="宋体"/>
                <w:color w:val="auto"/>
                <w:sz w:val="24"/>
                <w:highlight w:val="none"/>
              </w:rPr>
            </w:pPr>
            <w:r>
              <w:rPr>
                <w:rFonts w:hint="eastAsia" w:ascii="宋体" w:hAnsi="宋体" w:cs="宋体"/>
                <w:color w:val="auto"/>
                <w:sz w:val="24"/>
                <w:highlight w:val="none"/>
              </w:rPr>
              <w:t>投标文件全部采用电子文档，投标文件所附证书证件均为原件扫描件，并采用单位和个人数字证书；按招标文件要求在相应位置加盖电子签章。</w:t>
            </w:r>
          </w:p>
        </w:tc>
      </w:tr>
      <w:tr w14:paraId="0E5B1BBD">
        <w:tblPrEx>
          <w:tblCellMar>
            <w:top w:w="0" w:type="dxa"/>
            <w:left w:w="108" w:type="dxa"/>
            <w:bottom w:w="0" w:type="dxa"/>
            <w:right w:w="108" w:type="dxa"/>
          </w:tblCellMar>
        </w:tblPrEx>
        <w:trPr>
          <w:trHeight w:val="92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063FC65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3.7.4</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6E5BE6A8">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投标文件份数</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4887CF73">
            <w:pPr>
              <w:spacing w:line="360" w:lineRule="auto"/>
              <w:jc w:val="left"/>
              <w:rPr>
                <w:rFonts w:ascii="宋体" w:hAnsi="宋体" w:cs="宋体"/>
                <w:color w:val="auto"/>
                <w:sz w:val="24"/>
                <w:highlight w:val="none"/>
              </w:rPr>
            </w:pPr>
            <w:r>
              <w:rPr>
                <w:rFonts w:hint="eastAsia" w:ascii="宋体" w:hAnsi="宋体" w:cs="宋体"/>
                <w:color w:val="auto"/>
                <w:sz w:val="24"/>
                <w:highlight w:val="none"/>
              </w:rPr>
              <w:t>加密的电子投标文件壹份（在开封市公共资源交易信息网会员系统指定位置上传）；</w:t>
            </w:r>
          </w:p>
        </w:tc>
      </w:tr>
      <w:tr w14:paraId="3396449B">
        <w:tblPrEx>
          <w:tblCellMar>
            <w:top w:w="0" w:type="dxa"/>
            <w:left w:w="108" w:type="dxa"/>
            <w:bottom w:w="0" w:type="dxa"/>
            <w:right w:w="108" w:type="dxa"/>
          </w:tblCellMar>
        </w:tblPrEx>
        <w:trPr>
          <w:trHeight w:val="5975"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5282693E">
            <w:pPr>
              <w:spacing w:line="360" w:lineRule="auto"/>
              <w:jc w:val="center"/>
              <w:rPr>
                <w:rFonts w:ascii="宋体" w:hAnsi="宋体" w:cs="宋体"/>
                <w:color w:val="auto"/>
                <w:sz w:val="24"/>
                <w:highlight w:val="none"/>
              </w:rPr>
            </w:pPr>
            <w:r>
              <w:rPr>
                <w:rFonts w:hint="eastAsia" w:ascii="宋体" w:hAnsi="宋体" w:cs="宋体"/>
                <w:color w:val="auto"/>
                <w:sz w:val="24"/>
                <w:highlight w:val="none"/>
              </w:rPr>
              <w:t>4.1</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4C478895">
            <w:pPr>
              <w:spacing w:line="360" w:lineRule="auto"/>
              <w:jc w:val="center"/>
              <w:rPr>
                <w:rFonts w:ascii="宋体" w:hAnsi="宋体" w:cs="宋体"/>
                <w:color w:val="auto"/>
                <w:sz w:val="24"/>
                <w:highlight w:val="none"/>
              </w:rPr>
            </w:pPr>
            <w:r>
              <w:rPr>
                <w:rFonts w:hint="eastAsia" w:ascii="宋体" w:hAnsi="宋体" w:cs="宋体"/>
                <w:color w:val="auto"/>
                <w:sz w:val="24"/>
                <w:highlight w:val="none"/>
              </w:rPr>
              <w:t>递交投标文件地点</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5C074B09">
            <w:pPr>
              <w:spacing w:line="360" w:lineRule="auto"/>
              <w:jc w:val="left"/>
              <w:rPr>
                <w:rFonts w:ascii="宋体" w:hAnsi="宋体"/>
                <w:color w:val="auto"/>
                <w:sz w:val="24"/>
                <w:highlight w:val="none"/>
              </w:rPr>
            </w:pPr>
            <w:r>
              <w:rPr>
                <w:rFonts w:hint="eastAsia" w:ascii="宋体" w:hAnsi="宋体"/>
                <w:color w:val="auto"/>
                <w:sz w:val="24"/>
                <w:highlight w:val="none"/>
              </w:rPr>
              <w:t>（</w:t>
            </w:r>
            <w:r>
              <w:rPr>
                <w:rFonts w:ascii="宋体" w:hAnsi="宋体"/>
                <w:color w:val="auto"/>
                <w:sz w:val="24"/>
                <w:highlight w:val="none"/>
              </w:rPr>
              <w:t>1</w:t>
            </w:r>
            <w:r>
              <w:rPr>
                <w:rFonts w:hint="eastAsia" w:ascii="宋体" w:hAnsi="宋体"/>
                <w:color w:val="auto"/>
                <w:sz w:val="24"/>
                <w:highlight w:val="none"/>
              </w:rPr>
              <w:t>）电子投标文件的递交</w:t>
            </w:r>
          </w:p>
          <w:p w14:paraId="187C6216">
            <w:pPr>
              <w:spacing w:line="360" w:lineRule="auto"/>
              <w:jc w:val="left"/>
              <w:rPr>
                <w:rFonts w:ascii="宋体" w:hAnsi="宋体"/>
                <w:color w:val="auto"/>
                <w:sz w:val="24"/>
                <w:highlight w:val="none"/>
              </w:rPr>
            </w:pPr>
            <w:r>
              <w:rPr>
                <w:rFonts w:ascii="宋体" w:hAnsi="宋体"/>
                <w:color w:val="auto"/>
                <w:sz w:val="24"/>
                <w:highlight w:val="none"/>
              </w:rPr>
              <w:t>a</w:t>
            </w:r>
            <w:r>
              <w:rPr>
                <w:rFonts w:hint="eastAsia" w:ascii="宋体" w:hAnsi="宋体"/>
                <w:color w:val="auto"/>
                <w:sz w:val="24"/>
                <w:highlight w:val="none"/>
              </w:rPr>
              <w:t>、各投标人应在投标截止时间前上传加密的电子投标文件到会员系统的指定位置。请投标人在上传时认真检查上传投标文件是否完整、正确。</w:t>
            </w:r>
          </w:p>
          <w:p w14:paraId="18B5A7C9">
            <w:pPr>
              <w:spacing w:line="360" w:lineRule="auto"/>
              <w:jc w:val="left"/>
              <w:rPr>
                <w:rFonts w:ascii="宋体" w:hAnsi="宋体"/>
                <w:color w:val="auto"/>
                <w:sz w:val="24"/>
                <w:highlight w:val="none"/>
              </w:rPr>
            </w:pPr>
            <w:r>
              <w:rPr>
                <w:rFonts w:ascii="宋体" w:hAnsi="宋体"/>
                <w:color w:val="auto"/>
                <w:sz w:val="24"/>
                <w:highlight w:val="none"/>
              </w:rPr>
              <w:t>b</w:t>
            </w:r>
            <w:r>
              <w:rPr>
                <w:rFonts w:hint="eastAsia" w:ascii="宋体" w:hAnsi="宋体"/>
                <w:color w:val="auto"/>
                <w:sz w:val="24"/>
                <w:highlight w:val="none"/>
              </w:rPr>
              <w:t>、投标人因交易中心投标系统问题无法上传电子投标文件时，</w:t>
            </w:r>
            <w:r>
              <w:rPr>
                <w:rFonts w:hint="eastAsia" w:ascii="宋体" w:hAnsi="宋体"/>
                <w:b/>
                <w:color w:val="auto"/>
                <w:sz w:val="24"/>
                <w:highlight w:val="none"/>
              </w:rPr>
              <w:t>请在工作时间与开封市公共资源交易中心交易平台运维电话联系，联系电话：0371-23859291</w:t>
            </w:r>
          </w:p>
          <w:p w14:paraId="217BA1DA">
            <w:pPr>
              <w:spacing w:line="360" w:lineRule="auto"/>
              <w:jc w:val="left"/>
              <w:rPr>
                <w:rFonts w:ascii="宋体" w:hAnsi="宋体"/>
                <w:color w:val="auto"/>
                <w:sz w:val="24"/>
                <w:highlight w:val="none"/>
              </w:rPr>
            </w:pPr>
            <w:r>
              <w:rPr>
                <w:rFonts w:hint="eastAsia" w:ascii="宋体" w:hAnsi="宋体"/>
                <w:color w:val="auto"/>
                <w:sz w:val="24"/>
                <w:highlight w:val="none"/>
              </w:rPr>
              <w:t>（</w:t>
            </w:r>
            <w:r>
              <w:rPr>
                <w:rFonts w:ascii="宋体" w:hAnsi="宋体"/>
                <w:color w:val="auto"/>
                <w:sz w:val="24"/>
                <w:highlight w:val="none"/>
              </w:rPr>
              <w:t>2</w:t>
            </w:r>
            <w:r>
              <w:rPr>
                <w:rFonts w:hint="eastAsia" w:ascii="宋体" w:hAnsi="宋体"/>
                <w:color w:val="auto"/>
                <w:sz w:val="24"/>
                <w:highlight w:val="none"/>
              </w:rPr>
              <w:t>）</w:t>
            </w:r>
            <w:r>
              <w:rPr>
                <w:rFonts w:hint="eastAsia"/>
                <w:color w:val="auto"/>
                <w:sz w:val="24"/>
                <w:highlight w:val="none"/>
              </w:rPr>
              <w:t>投标人应在规定的时间（</w:t>
            </w:r>
            <w:r>
              <w:rPr>
                <w:rFonts w:hint="eastAsia" w:ascii="宋体" w:hAnsi="宋体"/>
                <w:b/>
                <w:color w:val="auto"/>
                <w:sz w:val="24"/>
                <w:highlight w:val="none"/>
              </w:rPr>
              <w:t>自系统发起40分钟</w:t>
            </w:r>
            <w:r>
              <w:rPr>
                <w:rFonts w:hint="eastAsia"/>
                <w:color w:val="auto"/>
                <w:sz w:val="24"/>
                <w:highlight w:val="none"/>
              </w:rPr>
              <w:t>）内完成解密</w:t>
            </w:r>
          </w:p>
          <w:p w14:paraId="405C793E">
            <w:pPr>
              <w:spacing w:line="360" w:lineRule="auto"/>
              <w:jc w:val="left"/>
              <w:rPr>
                <w:rFonts w:ascii="宋体" w:hAnsi="宋体" w:cs="宋体"/>
                <w:b/>
                <w:color w:val="auto"/>
                <w:sz w:val="24"/>
                <w:highlight w:val="none"/>
              </w:rPr>
            </w:pPr>
            <w:r>
              <w:rPr>
                <w:rFonts w:hint="eastAsia"/>
                <w:b/>
                <w:color w:val="auto"/>
                <w:sz w:val="24"/>
                <w:highlight w:val="none"/>
              </w:rPr>
              <w:t>本项目采用“远程不见面”开标方式,投标人无需到现场提交原件资料、无需到开封市公共资源交易中心现场参加开标会议；投标人应当在开标时间前,登录远程开标大厅,在线准时参加开标活动并进行投标文件解密、答疑澄清等。</w:t>
            </w:r>
          </w:p>
        </w:tc>
      </w:tr>
      <w:tr w14:paraId="1BF41534">
        <w:tblPrEx>
          <w:tblCellMar>
            <w:top w:w="0" w:type="dxa"/>
            <w:left w:w="108" w:type="dxa"/>
            <w:bottom w:w="0" w:type="dxa"/>
            <w:right w:w="108" w:type="dxa"/>
          </w:tblCellMar>
        </w:tblPrEx>
        <w:trPr>
          <w:trHeight w:val="1846" w:hRule="atLeast"/>
          <w:jc w:val="center"/>
        </w:trPr>
        <w:tc>
          <w:tcPr>
            <w:tcW w:w="976" w:type="dxa"/>
            <w:tcBorders>
              <w:top w:val="single" w:color="auto" w:sz="4" w:space="0"/>
              <w:left w:val="single" w:color="auto" w:sz="4" w:space="0"/>
              <w:right w:val="single" w:color="auto" w:sz="4" w:space="0"/>
            </w:tcBorders>
            <w:noWrap w:val="0"/>
            <w:vAlign w:val="center"/>
          </w:tcPr>
          <w:p w14:paraId="709CDA12">
            <w:pPr>
              <w:spacing w:line="360" w:lineRule="auto"/>
              <w:jc w:val="center"/>
              <w:rPr>
                <w:rFonts w:ascii="宋体" w:hAnsi="宋体" w:cs="宋体"/>
                <w:color w:val="auto"/>
                <w:sz w:val="24"/>
                <w:highlight w:val="none"/>
              </w:rPr>
            </w:pPr>
            <w:r>
              <w:rPr>
                <w:rFonts w:hint="eastAsia" w:ascii="宋体" w:hAnsi="宋体" w:cs="宋体"/>
                <w:color w:val="auto"/>
                <w:sz w:val="24"/>
                <w:highlight w:val="none"/>
              </w:rPr>
              <w:t>5.1</w:t>
            </w:r>
          </w:p>
        </w:tc>
        <w:tc>
          <w:tcPr>
            <w:tcW w:w="1680" w:type="dxa"/>
            <w:tcBorders>
              <w:top w:val="single" w:color="auto" w:sz="4" w:space="0"/>
              <w:left w:val="single" w:color="auto" w:sz="4" w:space="0"/>
              <w:right w:val="single" w:color="auto" w:sz="4" w:space="0"/>
            </w:tcBorders>
            <w:noWrap w:val="0"/>
            <w:vAlign w:val="center"/>
          </w:tcPr>
          <w:p w14:paraId="15A4259F">
            <w:pPr>
              <w:spacing w:line="360" w:lineRule="auto"/>
              <w:jc w:val="center"/>
              <w:rPr>
                <w:rFonts w:ascii="宋体" w:hAnsi="宋体" w:cs="宋体"/>
                <w:color w:val="auto"/>
                <w:sz w:val="24"/>
                <w:highlight w:val="none"/>
              </w:rPr>
            </w:pPr>
            <w:r>
              <w:rPr>
                <w:rFonts w:hint="eastAsia" w:ascii="宋体" w:hAnsi="宋体" w:cs="宋体"/>
                <w:color w:val="auto"/>
                <w:sz w:val="24"/>
                <w:highlight w:val="none"/>
              </w:rPr>
              <w:t>投标截止及开标时间、地点</w:t>
            </w:r>
          </w:p>
        </w:tc>
        <w:tc>
          <w:tcPr>
            <w:tcW w:w="6302" w:type="dxa"/>
            <w:tcBorders>
              <w:top w:val="single" w:color="auto" w:sz="4" w:space="0"/>
              <w:left w:val="single" w:color="auto" w:sz="4" w:space="0"/>
              <w:right w:val="single" w:color="auto" w:sz="4" w:space="0"/>
            </w:tcBorders>
            <w:noWrap w:val="0"/>
            <w:vAlign w:val="center"/>
          </w:tcPr>
          <w:p w14:paraId="05271098">
            <w:pPr>
              <w:spacing w:line="360" w:lineRule="auto"/>
              <w:rPr>
                <w:rFonts w:ascii="宋体" w:hAnsi="宋体"/>
                <w:b/>
                <w:color w:val="auto"/>
                <w:sz w:val="24"/>
                <w:highlight w:val="none"/>
              </w:rPr>
            </w:pPr>
            <w:r>
              <w:rPr>
                <w:rFonts w:hint="eastAsia" w:ascii="宋体" w:hAnsi="宋体"/>
                <w:color w:val="auto"/>
                <w:sz w:val="24"/>
                <w:highlight w:val="none"/>
              </w:rPr>
              <w:t>投标截止及</w:t>
            </w:r>
            <w:r>
              <w:rPr>
                <w:rFonts w:ascii="宋体" w:hAnsi="宋体"/>
                <w:color w:val="auto"/>
                <w:sz w:val="24"/>
                <w:highlight w:val="none"/>
              </w:rPr>
              <w:t>开标时间</w:t>
            </w:r>
            <w:r>
              <w:rPr>
                <w:rFonts w:hint="eastAsia" w:ascii="宋体" w:hAnsi="宋体"/>
                <w:color w:val="auto"/>
                <w:sz w:val="24"/>
                <w:highlight w:val="none"/>
              </w:rPr>
              <w:t>：</w:t>
            </w:r>
            <w:r>
              <w:rPr>
                <w:rFonts w:hint="eastAsia" w:ascii="宋体" w:hAnsi="宋体"/>
                <w:b/>
                <w:color w:val="auto"/>
                <w:sz w:val="24"/>
                <w:highlight w:val="none"/>
                <w:u w:val="single"/>
              </w:rPr>
              <w:t>202</w:t>
            </w:r>
            <w:r>
              <w:rPr>
                <w:rFonts w:hint="eastAsia" w:ascii="宋体" w:hAnsi="宋体"/>
                <w:b/>
                <w:color w:val="auto"/>
                <w:sz w:val="24"/>
                <w:highlight w:val="none"/>
                <w:u w:val="single"/>
                <w:lang w:val="en-US" w:eastAsia="zh-CN"/>
              </w:rPr>
              <w:t>6</w:t>
            </w:r>
            <w:r>
              <w:rPr>
                <w:rFonts w:hint="eastAsia" w:ascii="宋体" w:hAnsi="宋体" w:cs="宋体"/>
                <w:b/>
                <w:color w:val="auto"/>
                <w:kern w:val="0"/>
                <w:sz w:val="24"/>
                <w:highlight w:val="none"/>
                <w:u w:val="single"/>
                <w:lang w:val="zh-CN"/>
              </w:rPr>
              <w:t>年</w:t>
            </w:r>
            <w:r>
              <w:rPr>
                <w:rFonts w:hint="eastAsia" w:ascii="宋体" w:hAnsi="宋体" w:cs="宋体"/>
                <w:b/>
                <w:color w:val="auto"/>
                <w:kern w:val="0"/>
                <w:sz w:val="24"/>
                <w:highlight w:val="none"/>
                <w:u w:val="single"/>
                <w:lang w:val="en-US" w:eastAsia="zh-CN"/>
              </w:rPr>
              <w:t>09</w:t>
            </w:r>
            <w:r>
              <w:rPr>
                <w:rFonts w:hint="eastAsia" w:ascii="宋体" w:hAnsi="宋体" w:cs="宋体"/>
                <w:b/>
                <w:color w:val="auto"/>
                <w:kern w:val="0"/>
                <w:sz w:val="24"/>
                <w:highlight w:val="none"/>
                <w:u w:val="single"/>
              </w:rPr>
              <w:t>月</w:t>
            </w:r>
            <w:r>
              <w:rPr>
                <w:rFonts w:hint="eastAsia" w:ascii="宋体" w:hAnsi="宋体" w:cs="宋体"/>
                <w:b/>
                <w:color w:val="auto"/>
                <w:kern w:val="0"/>
                <w:sz w:val="24"/>
                <w:highlight w:val="none"/>
                <w:u w:val="single"/>
                <w:lang w:val="en-US" w:eastAsia="zh-CN"/>
              </w:rPr>
              <w:t>20</w:t>
            </w:r>
            <w:r>
              <w:rPr>
                <w:rFonts w:hint="eastAsia" w:ascii="宋体" w:hAnsi="宋体" w:cs="宋体"/>
                <w:b/>
                <w:color w:val="auto"/>
                <w:kern w:val="0"/>
                <w:sz w:val="24"/>
                <w:highlight w:val="none"/>
                <w:u w:val="single"/>
              </w:rPr>
              <w:t>日</w:t>
            </w:r>
            <w:r>
              <w:rPr>
                <w:rFonts w:hint="eastAsia" w:ascii="宋体" w:hAnsi="宋体" w:cs="宋体"/>
                <w:b/>
                <w:color w:val="auto"/>
                <w:kern w:val="0"/>
                <w:sz w:val="24"/>
                <w:highlight w:val="none"/>
                <w:u w:val="single"/>
                <w:lang w:eastAsia="zh-CN"/>
              </w:rPr>
              <w:t>10时00分</w:t>
            </w:r>
            <w:r>
              <w:rPr>
                <w:rFonts w:hint="eastAsia" w:ascii="宋体" w:hAnsi="宋体" w:cs="宋体"/>
                <w:b/>
                <w:color w:val="auto"/>
                <w:kern w:val="0"/>
                <w:sz w:val="24"/>
                <w:highlight w:val="none"/>
              </w:rPr>
              <w:t>（北京时间）</w:t>
            </w:r>
          </w:p>
          <w:p w14:paraId="02FC1357">
            <w:pPr>
              <w:spacing w:line="360" w:lineRule="auto"/>
              <w:rPr>
                <w:rFonts w:ascii="宋体" w:hAnsi="宋体" w:cs="宋体"/>
                <w:color w:val="auto"/>
                <w:sz w:val="24"/>
                <w:highlight w:val="none"/>
              </w:rPr>
            </w:pPr>
            <w:r>
              <w:rPr>
                <w:rFonts w:ascii="宋体" w:hAnsi="宋体"/>
                <w:color w:val="auto"/>
                <w:sz w:val="24"/>
                <w:highlight w:val="none"/>
              </w:rPr>
              <w:t>开标地点</w:t>
            </w:r>
            <w:r>
              <w:rPr>
                <w:rFonts w:hint="eastAsia" w:ascii="宋体" w:hAnsi="宋体"/>
                <w:color w:val="auto"/>
                <w:sz w:val="24"/>
                <w:highlight w:val="none"/>
              </w:rPr>
              <w:t>：杞县综合服务大厦11楼开标1室(地址：杞县金城大道与经四路交叉口东北角杞县便民服务中心)</w:t>
            </w:r>
          </w:p>
        </w:tc>
      </w:tr>
      <w:tr w14:paraId="2FBE7041">
        <w:tblPrEx>
          <w:tblCellMar>
            <w:top w:w="0" w:type="dxa"/>
            <w:left w:w="108" w:type="dxa"/>
            <w:bottom w:w="0" w:type="dxa"/>
            <w:right w:w="108" w:type="dxa"/>
          </w:tblCellMar>
        </w:tblPrEx>
        <w:trPr>
          <w:trHeight w:val="2304" w:hRule="atLeast"/>
          <w:jc w:val="center"/>
        </w:trPr>
        <w:tc>
          <w:tcPr>
            <w:tcW w:w="976" w:type="dxa"/>
            <w:tcBorders>
              <w:top w:val="single" w:color="auto" w:sz="4" w:space="0"/>
              <w:left w:val="single" w:color="auto" w:sz="4" w:space="0"/>
              <w:right w:val="single" w:color="auto" w:sz="4" w:space="0"/>
            </w:tcBorders>
            <w:noWrap w:val="0"/>
            <w:vAlign w:val="center"/>
          </w:tcPr>
          <w:p w14:paraId="41DE5D1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5.2</w:t>
            </w:r>
          </w:p>
        </w:tc>
        <w:tc>
          <w:tcPr>
            <w:tcW w:w="1680" w:type="dxa"/>
            <w:tcBorders>
              <w:top w:val="single" w:color="auto" w:sz="4" w:space="0"/>
              <w:left w:val="single" w:color="auto" w:sz="4" w:space="0"/>
              <w:right w:val="single" w:color="auto" w:sz="4" w:space="0"/>
            </w:tcBorders>
            <w:noWrap w:val="0"/>
            <w:vAlign w:val="center"/>
          </w:tcPr>
          <w:p w14:paraId="5D9C24F2">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开标程序</w:t>
            </w:r>
          </w:p>
        </w:tc>
        <w:tc>
          <w:tcPr>
            <w:tcW w:w="6302" w:type="dxa"/>
            <w:tcBorders>
              <w:top w:val="single" w:color="auto" w:sz="4" w:space="0"/>
              <w:left w:val="single" w:color="auto" w:sz="4" w:space="0"/>
              <w:right w:val="single" w:color="auto" w:sz="4" w:space="0"/>
            </w:tcBorders>
            <w:noWrap w:val="0"/>
            <w:vAlign w:val="center"/>
          </w:tcPr>
          <w:p w14:paraId="17B31BE2">
            <w:pPr>
              <w:spacing w:line="360" w:lineRule="auto"/>
              <w:jc w:val="left"/>
              <w:rPr>
                <w:rFonts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rPr>
              <w:t>、</w:t>
            </w:r>
            <w:r>
              <w:rPr>
                <w:rFonts w:hint="eastAsia"/>
                <w:color w:val="auto"/>
                <w:sz w:val="24"/>
                <w:highlight w:val="none"/>
              </w:rPr>
              <w:t>投标人应在规定的时间（</w:t>
            </w:r>
            <w:r>
              <w:rPr>
                <w:rFonts w:hint="eastAsia" w:ascii="宋体" w:hAnsi="宋体"/>
                <w:color w:val="auto"/>
                <w:sz w:val="24"/>
                <w:highlight w:val="none"/>
              </w:rPr>
              <w:t>自系统发起40分钟</w:t>
            </w:r>
            <w:r>
              <w:rPr>
                <w:rFonts w:hint="eastAsia"/>
                <w:color w:val="auto"/>
                <w:sz w:val="24"/>
                <w:highlight w:val="none"/>
              </w:rPr>
              <w:t>）内完成解密</w:t>
            </w:r>
            <w:r>
              <w:rPr>
                <w:rFonts w:hint="eastAsia" w:ascii="宋体" w:hAnsi="宋体"/>
                <w:color w:val="auto"/>
                <w:sz w:val="24"/>
                <w:highlight w:val="none"/>
              </w:rPr>
              <w:t>。</w:t>
            </w:r>
          </w:p>
          <w:p w14:paraId="14995431">
            <w:pPr>
              <w:spacing w:line="360" w:lineRule="auto"/>
              <w:rPr>
                <w:rFonts w:ascii="宋体" w:hAnsi="宋体"/>
                <w:color w:val="auto"/>
                <w:sz w:val="24"/>
                <w:highlight w:val="none"/>
              </w:rPr>
            </w:pPr>
            <w:r>
              <w:rPr>
                <w:rFonts w:hint="eastAsia" w:ascii="宋体" w:hAnsi="宋体"/>
                <w:color w:val="auto"/>
                <w:sz w:val="24"/>
                <w:highlight w:val="none"/>
              </w:rPr>
              <w:t>2、</w:t>
            </w:r>
            <w:r>
              <w:rPr>
                <w:rFonts w:hint="eastAsia"/>
                <w:color w:val="auto"/>
                <w:sz w:val="24"/>
                <w:highlight w:val="none"/>
              </w:rPr>
              <w:t>本项目采用“远程不见面”开标方式,投标人无需到现场提交原件资料、无需到开封市公共资源交易中心现场参加开标会议；投标人应当在开标时间前,登录远程开标大厅,在线准时参加开标活动并进行投标文件解密、答疑澄清等。</w:t>
            </w:r>
          </w:p>
          <w:p w14:paraId="1347ED56">
            <w:pPr>
              <w:pStyle w:val="23"/>
              <w:spacing w:line="360" w:lineRule="auto"/>
              <w:ind w:firstLine="0" w:firstLineChars="0"/>
              <w:rPr>
                <w:rFonts w:cs="宋体"/>
                <w:b/>
                <w:color w:val="auto"/>
                <w:sz w:val="24"/>
                <w:highlight w:val="none"/>
                <w:lang w:eastAsia="zh-CN"/>
              </w:rPr>
            </w:pPr>
            <w:r>
              <w:rPr>
                <w:rFonts w:hint="eastAsia" w:cs="宋体"/>
                <w:b/>
                <w:color w:val="auto"/>
                <w:sz w:val="24"/>
                <w:highlight w:val="none"/>
                <w:lang w:eastAsia="zh-CN"/>
              </w:rPr>
              <w:t>操作流程按开封市公共资源交易平台不见面开评系统操作手册</w:t>
            </w:r>
          </w:p>
          <w:p w14:paraId="2CBC764A">
            <w:pPr>
              <w:spacing w:line="360" w:lineRule="auto"/>
              <w:rPr>
                <w:color w:val="auto"/>
                <w:sz w:val="24"/>
                <w:highlight w:val="none"/>
              </w:rPr>
            </w:pPr>
            <w:r>
              <w:rPr>
                <w:rFonts w:hint="eastAsia"/>
                <w:color w:val="auto"/>
                <w:sz w:val="24"/>
                <w:highlight w:val="none"/>
              </w:rPr>
              <w:t>因投标人原因造成投标文件未解密的，视为撤销其投标文件。部分投标人的投标文件未解密的，其他投标人的投标文件的开标会议可以继续进行。一个包段解密的投标文件不足三家时该包段不再继续进行。</w:t>
            </w:r>
          </w:p>
          <w:p w14:paraId="5DE2ACC6">
            <w:pPr>
              <w:spacing w:line="360" w:lineRule="auto"/>
              <w:rPr>
                <w:color w:val="auto"/>
                <w:sz w:val="24"/>
                <w:highlight w:val="none"/>
              </w:rPr>
            </w:pPr>
            <w:r>
              <w:rPr>
                <w:rFonts w:hint="eastAsia"/>
                <w:color w:val="auto"/>
                <w:sz w:val="24"/>
                <w:highlight w:val="none"/>
              </w:rPr>
              <w:t>3、开标会议结束，各投标人可在开标会议过程中至开标会议结束后5分钟之内对开标会议开标过程涉及内容提出质疑，否则视为对开标过程涉及内容会议无异议。</w:t>
            </w:r>
          </w:p>
        </w:tc>
      </w:tr>
      <w:tr w14:paraId="61BBFFAC">
        <w:tblPrEx>
          <w:tblCellMar>
            <w:top w:w="0" w:type="dxa"/>
            <w:left w:w="108" w:type="dxa"/>
            <w:bottom w:w="0" w:type="dxa"/>
            <w:right w:w="108" w:type="dxa"/>
          </w:tblCellMar>
        </w:tblPrEx>
        <w:trPr>
          <w:trHeight w:val="1846" w:hRule="atLeast"/>
          <w:jc w:val="center"/>
        </w:trPr>
        <w:tc>
          <w:tcPr>
            <w:tcW w:w="976" w:type="dxa"/>
            <w:tcBorders>
              <w:top w:val="single" w:color="auto" w:sz="4" w:space="0"/>
              <w:left w:val="single" w:color="auto" w:sz="4" w:space="0"/>
              <w:right w:val="single" w:color="auto" w:sz="4" w:space="0"/>
            </w:tcBorders>
            <w:noWrap w:val="0"/>
            <w:vAlign w:val="center"/>
          </w:tcPr>
          <w:p w14:paraId="751D14DC">
            <w:pPr>
              <w:spacing w:line="360" w:lineRule="auto"/>
              <w:jc w:val="center"/>
              <w:rPr>
                <w:rFonts w:ascii="宋体" w:hAnsi="宋体" w:cs="宋体"/>
                <w:color w:val="auto"/>
                <w:sz w:val="24"/>
                <w:highlight w:val="none"/>
              </w:rPr>
            </w:pPr>
            <w:r>
              <w:rPr>
                <w:rFonts w:hint="eastAsia" w:ascii="宋体" w:hAnsi="宋体" w:cs="宋体"/>
                <w:color w:val="auto"/>
                <w:sz w:val="24"/>
                <w:highlight w:val="none"/>
              </w:rPr>
              <w:t>6.1.1</w:t>
            </w:r>
          </w:p>
        </w:tc>
        <w:tc>
          <w:tcPr>
            <w:tcW w:w="1680" w:type="dxa"/>
            <w:tcBorders>
              <w:top w:val="single" w:color="auto" w:sz="4" w:space="0"/>
              <w:left w:val="single" w:color="auto" w:sz="4" w:space="0"/>
              <w:right w:val="single" w:color="auto" w:sz="4" w:space="0"/>
            </w:tcBorders>
            <w:noWrap w:val="0"/>
            <w:vAlign w:val="center"/>
          </w:tcPr>
          <w:p w14:paraId="77F850C6">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评标委员会的组建</w:t>
            </w:r>
          </w:p>
        </w:tc>
        <w:tc>
          <w:tcPr>
            <w:tcW w:w="6302" w:type="dxa"/>
            <w:tcBorders>
              <w:top w:val="single" w:color="auto" w:sz="4" w:space="0"/>
              <w:left w:val="single" w:color="auto" w:sz="4" w:space="0"/>
              <w:right w:val="single" w:color="auto" w:sz="4" w:space="0"/>
            </w:tcBorders>
            <w:noWrap w:val="0"/>
            <w:vAlign w:val="center"/>
          </w:tcPr>
          <w:p w14:paraId="0E0F5D85">
            <w:pPr>
              <w:spacing w:line="360" w:lineRule="auto"/>
              <w:rPr>
                <w:rFonts w:hint="eastAsia" w:ascii="宋体" w:hAnsi="宋体"/>
                <w:b/>
                <w:color w:val="auto"/>
                <w:sz w:val="24"/>
                <w:highlight w:val="none"/>
                <w:lang w:eastAsia="zh-CN"/>
              </w:rPr>
            </w:pPr>
            <w:r>
              <w:rPr>
                <w:rFonts w:hint="eastAsia" w:ascii="宋体" w:hAnsi="宋体"/>
                <w:b/>
                <w:color w:val="auto"/>
                <w:sz w:val="24"/>
                <w:highlight w:val="none"/>
              </w:rPr>
              <w:t>评标委员会构成：由</w:t>
            </w:r>
            <w:r>
              <w:rPr>
                <w:rFonts w:ascii="宋体" w:hAnsi="宋体"/>
                <w:b/>
                <w:color w:val="auto"/>
                <w:sz w:val="24"/>
                <w:highlight w:val="none"/>
              </w:rPr>
              <w:t>采购（招标）人</w:t>
            </w:r>
            <w:r>
              <w:rPr>
                <w:rFonts w:hint="eastAsia" w:ascii="宋体" w:hAnsi="宋体"/>
                <w:b/>
                <w:color w:val="auto"/>
                <w:sz w:val="24"/>
                <w:highlight w:val="none"/>
              </w:rPr>
              <w:t>代表</w:t>
            </w:r>
            <w:r>
              <w:rPr>
                <w:rFonts w:hint="eastAsia" w:ascii="宋体" w:hAnsi="宋体"/>
                <w:b/>
                <w:color w:val="auto"/>
                <w:sz w:val="24"/>
                <w:highlight w:val="none"/>
                <w:lang w:val="en-US" w:eastAsia="zh-CN"/>
              </w:rPr>
              <w:t>2</w:t>
            </w:r>
            <w:r>
              <w:rPr>
                <w:rFonts w:hint="eastAsia" w:ascii="宋体" w:hAnsi="宋体"/>
                <w:b/>
                <w:color w:val="auto"/>
                <w:sz w:val="24"/>
                <w:highlight w:val="none"/>
              </w:rPr>
              <w:t>人和评审专家</w:t>
            </w:r>
            <w:r>
              <w:rPr>
                <w:rFonts w:hint="eastAsia" w:ascii="宋体" w:hAnsi="宋体"/>
                <w:b/>
                <w:color w:val="auto"/>
                <w:sz w:val="24"/>
                <w:highlight w:val="none"/>
                <w:lang w:val="en-US" w:eastAsia="zh-CN"/>
              </w:rPr>
              <w:t>5</w:t>
            </w:r>
            <w:r>
              <w:rPr>
                <w:rFonts w:hint="eastAsia" w:ascii="宋体" w:hAnsi="宋体"/>
                <w:b/>
                <w:color w:val="auto"/>
                <w:sz w:val="24"/>
                <w:highlight w:val="none"/>
              </w:rPr>
              <w:t>人组成评标专家确定方式：从省级相关专家库中抽取</w:t>
            </w:r>
            <w:r>
              <w:rPr>
                <w:rFonts w:hint="eastAsia" w:ascii="宋体" w:hAnsi="宋体"/>
                <w:b/>
                <w:color w:val="auto"/>
                <w:sz w:val="24"/>
                <w:highlight w:val="none"/>
                <w:lang w:eastAsia="zh-CN"/>
              </w:rPr>
              <w:t>。</w:t>
            </w:r>
          </w:p>
          <w:p w14:paraId="7BA4E8E8">
            <w:pPr>
              <w:spacing w:line="360" w:lineRule="auto"/>
              <w:rPr>
                <w:rFonts w:hint="eastAsia"/>
                <w:color w:val="auto"/>
                <w:highlight w:val="none"/>
                <w:lang w:eastAsia="zh-CN"/>
              </w:rPr>
            </w:pPr>
            <w:r>
              <w:rPr>
                <w:rFonts w:hint="eastAsia" w:ascii="宋体" w:hAnsi="宋体" w:eastAsia="宋体" w:cs="Times New Roman"/>
                <w:b/>
                <w:color w:val="auto"/>
                <w:kern w:val="2"/>
                <w:sz w:val="24"/>
                <w:szCs w:val="24"/>
                <w:highlight w:val="none"/>
                <w:lang w:val="en-US" w:eastAsia="zh-CN" w:bidi="ar-SA"/>
              </w:rPr>
              <w:t>（采购人评委需由本单位正式工作</w:t>
            </w:r>
            <w:r>
              <w:rPr>
                <w:rFonts w:hint="eastAsia" w:ascii="宋体" w:hAnsi="宋体" w:eastAsia="宋体" w:cs="Times New Roman"/>
                <w:b/>
                <w:color w:val="auto"/>
                <w:sz w:val="24"/>
                <w:highlight w:val="none"/>
                <w:lang w:val="en-US" w:eastAsia="zh-CN"/>
              </w:rPr>
              <w:t>人员</w:t>
            </w:r>
            <w:r>
              <w:rPr>
                <w:rFonts w:hint="eastAsia" w:ascii="宋体" w:hAnsi="宋体" w:eastAsia="宋体" w:cs="Times New Roman"/>
                <w:b/>
                <w:color w:val="auto"/>
                <w:kern w:val="2"/>
                <w:sz w:val="24"/>
                <w:szCs w:val="24"/>
                <w:highlight w:val="none"/>
                <w:lang w:val="en-US" w:eastAsia="zh-CN" w:bidi="ar-SA"/>
              </w:rPr>
              <w:t>担任，本单位若没有符合条件的评委，将从专家库随机抽取。）</w:t>
            </w:r>
          </w:p>
        </w:tc>
      </w:tr>
      <w:tr w14:paraId="133A9A57">
        <w:tblPrEx>
          <w:tblCellMar>
            <w:top w:w="0" w:type="dxa"/>
            <w:left w:w="108" w:type="dxa"/>
            <w:bottom w:w="0" w:type="dxa"/>
            <w:right w:w="108" w:type="dxa"/>
          </w:tblCellMar>
        </w:tblPrEx>
        <w:trPr>
          <w:trHeight w:val="1386" w:hRule="atLeast"/>
          <w:jc w:val="center"/>
        </w:trPr>
        <w:tc>
          <w:tcPr>
            <w:tcW w:w="976" w:type="dxa"/>
            <w:tcBorders>
              <w:top w:val="single" w:color="auto" w:sz="4" w:space="0"/>
              <w:left w:val="single" w:color="auto" w:sz="4" w:space="0"/>
              <w:right w:val="single" w:color="auto" w:sz="4" w:space="0"/>
            </w:tcBorders>
            <w:noWrap w:val="0"/>
            <w:vAlign w:val="center"/>
          </w:tcPr>
          <w:p w14:paraId="1D7465A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7.1</w:t>
            </w:r>
          </w:p>
        </w:tc>
        <w:tc>
          <w:tcPr>
            <w:tcW w:w="1680" w:type="dxa"/>
            <w:tcBorders>
              <w:top w:val="single" w:color="auto" w:sz="4" w:space="0"/>
              <w:left w:val="single" w:color="auto" w:sz="4" w:space="0"/>
              <w:right w:val="single" w:color="auto" w:sz="4" w:space="0"/>
            </w:tcBorders>
            <w:noWrap w:val="0"/>
            <w:vAlign w:val="center"/>
          </w:tcPr>
          <w:p w14:paraId="39004137">
            <w:pPr>
              <w:spacing w:line="360" w:lineRule="auto"/>
              <w:jc w:val="center"/>
              <w:rPr>
                <w:rFonts w:ascii="宋体" w:hAnsi="宋体"/>
                <w:color w:val="auto"/>
                <w:sz w:val="24"/>
                <w:highlight w:val="none"/>
              </w:rPr>
            </w:pPr>
            <w:r>
              <w:rPr>
                <w:rFonts w:hint="eastAsia" w:ascii="宋体" w:hAnsi="宋体"/>
                <w:color w:val="auto"/>
                <w:sz w:val="24"/>
                <w:highlight w:val="none"/>
              </w:rPr>
              <w:t>是否授权评标委员会确定中标人</w:t>
            </w:r>
          </w:p>
        </w:tc>
        <w:tc>
          <w:tcPr>
            <w:tcW w:w="6302" w:type="dxa"/>
            <w:tcBorders>
              <w:top w:val="single" w:color="auto" w:sz="4" w:space="0"/>
              <w:left w:val="single" w:color="auto" w:sz="4" w:space="0"/>
              <w:right w:val="single" w:color="auto" w:sz="4" w:space="0"/>
            </w:tcBorders>
            <w:noWrap w:val="0"/>
            <w:vAlign w:val="center"/>
          </w:tcPr>
          <w:p w14:paraId="6CFCA0C3">
            <w:pPr>
              <w:spacing w:line="360" w:lineRule="auto"/>
              <w:rPr>
                <w:rFonts w:ascii="宋体" w:hAnsi="宋体"/>
                <w:color w:val="auto"/>
                <w:sz w:val="24"/>
                <w:highlight w:val="none"/>
              </w:rPr>
            </w:pPr>
            <w:r>
              <w:rPr>
                <w:rFonts w:hint="eastAsia" w:ascii="宋体" w:hAnsi="宋体"/>
                <w:color w:val="auto"/>
                <w:sz w:val="24"/>
                <w:highlight w:val="none"/>
              </w:rPr>
              <w:t>√否，推荐的中标候选人数：3名</w:t>
            </w:r>
          </w:p>
        </w:tc>
      </w:tr>
      <w:tr w14:paraId="55262811">
        <w:tblPrEx>
          <w:tblCellMar>
            <w:top w:w="0" w:type="dxa"/>
            <w:left w:w="108" w:type="dxa"/>
            <w:bottom w:w="0" w:type="dxa"/>
            <w:right w:w="108" w:type="dxa"/>
          </w:tblCellMar>
        </w:tblPrEx>
        <w:trPr>
          <w:trHeight w:val="928" w:hRule="atLeast"/>
          <w:jc w:val="center"/>
        </w:trPr>
        <w:tc>
          <w:tcPr>
            <w:tcW w:w="976" w:type="dxa"/>
            <w:tcBorders>
              <w:top w:val="single" w:color="auto" w:sz="4" w:space="0"/>
              <w:left w:val="single" w:color="auto" w:sz="4" w:space="0"/>
              <w:right w:val="single" w:color="auto" w:sz="4" w:space="0"/>
            </w:tcBorders>
            <w:noWrap w:val="0"/>
            <w:vAlign w:val="center"/>
          </w:tcPr>
          <w:p w14:paraId="30DDB438">
            <w:pPr>
              <w:spacing w:line="360" w:lineRule="auto"/>
              <w:jc w:val="center"/>
              <w:rPr>
                <w:rFonts w:ascii="宋体" w:hAnsi="宋体" w:cs="宋体"/>
                <w:color w:val="auto"/>
                <w:sz w:val="24"/>
                <w:highlight w:val="none"/>
              </w:rPr>
            </w:pPr>
            <w:r>
              <w:rPr>
                <w:rFonts w:hint="eastAsia" w:ascii="宋体" w:hAnsi="宋体" w:cs="宋体"/>
                <w:color w:val="auto"/>
                <w:sz w:val="24"/>
                <w:highlight w:val="none"/>
              </w:rPr>
              <w:t>7.2</w:t>
            </w:r>
          </w:p>
        </w:tc>
        <w:tc>
          <w:tcPr>
            <w:tcW w:w="1680" w:type="dxa"/>
            <w:tcBorders>
              <w:top w:val="single" w:color="auto" w:sz="4" w:space="0"/>
              <w:left w:val="single" w:color="auto" w:sz="4" w:space="0"/>
              <w:right w:val="single" w:color="auto" w:sz="4" w:space="0"/>
            </w:tcBorders>
            <w:noWrap w:val="0"/>
            <w:vAlign w:val="center"/>
          </w:tcPr>
          <w:p w14:paraId="18CBC6A2">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中标人公布媒介</w:t>
            </w:r>
          </w:p>
        </w:tc>
        <w:tc>
          <w:tcPr>
            <w:tcW w:w="6302" w:type="dxa"/>
            <w:tcBorders>
              <w:top w:val="single" w:color="auto" w:sz="4" w:space="0"/>
              <w:left w:val="single" w:color="auto" w:sz="4" w:space="0"/>
              <w:right w:val="single" w:color="auto" w:sz="4" w:space="0"/>
            </w:tcBorders>
            <w:noWrap w:val="0"/>
            <w:vAlign w:val="center"/>
          </w:tcPr>
          <w:p w14:paraId="757F5005">
            <w:pPr>
              <w:spacing w:line="360" w:lineRule="auto"/>
              <w:rPr>
                <w:rFonts w:ascii="宋体" w:hAnsi="宋体" w:cs="宋体"/>
                <w:color w:val="auto"/>
                <w:sz w:val="24"/>
                <w:highlight w:val="none"/>
              </w:rPr>
            </w:pPr>
            <w:r>
              <w:rPr>
                <w:rFonts w:hint="eastAsia" w:ascii="宋体" w:hAnsi="宋体" w:cs="宋体"/>
                <w:color w:val="auto"/>
                <w:sz w:val="24"/>
                <w:highlight w:val="none"/>
              </w:rPr>
              <w:t>《河南省政府采购网》、《开封市公共资源交易信息网》</w:t>
            </w:r>
          </w:p>
        </w:tc>
      </w:tr>
      <w:tr w14:paraId="2C91D2A6">
        <w:tblPrEx>
          <w:tblCellMar>
            <w:top w:w="0" w:type="dxa"/>
            <w:left w:w="108" w:type="dxa"/>
            <w:bottom w:w="0" w:type="dxa"/>
            <w:right w:w="108" w:type="dxa"/>
          </w:tblCellMar>
        </w:tblPrEx>
        <w:trPr>
          <w:trHeight w:val="928" w:hRule="atLeast"/>
          <w:jc w:val="center"/>
        </w:trPr>
        <w:tc>
          <w:tcPr>
            <w:tcW w:w="976" w:type="dxa"/>
            <w:tcBorders>
              <w:top w:val="single" w:color="auto" w:sz="4" w:space="0"/>
              <w:left w:val="single" w:color="auto" w:sz="4" w:space="0"/>
              <w:right w:val="single" w:color="auto" w:sz="4" w:space="0"/>
            </w:tcBorders>
            <w:noWrap w:val="0"/>
            <w:vAlign w:val="center"/>
          </w:tcPr>
          <w:p w14:paraId="12FF6AB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7.3</w:t>
            </w:r>
          </w:p>
        </w:tc>
        <w:tc>
          <w:tcPr>
            <w:tcW w:w="1680" w:type="dxa"/>
            <w:tcBorders>
              <w:top w:val="single" w:color="auto" w:sz="4" w:space="0"/>
              <w:left w:val="single" w:color="auto" w:sz="4" w:space="0"/>
              <w:right w:val="single" w:color="auto" w:sz="4" w:space="0"/>
            </w:tcBorders>
            <w:noWrap w:val="0"/>
            <w:vAlign w:val="center"/>
          </w:tcPr>
          <w:p w14:paraId="6AD60824">
            <w:pPr>
              <w:spacing w:line="360" w:lineRule="auto"/>
              <w:jc w:val="center"/>
              <w:rPr>
                <w:rFonts w:ascii="宋体" w:hAnsi="宋体" w:cs="宋体"/>
                <w:color w:val="auto"/>
                <w:sz w:val="24"/>
                <w:highlight w:val="none"/>
              </w:rPr>
            </w:pPr>
            <w:r>
              <w:rPr>
                <w:rFonts w:hint="eastAsia" w:ascii="宋体" w:hAnsi="宋体" w:cs="宋体"/>
                <w:color w:val="auto"/>
                <w:sz w:val="24"/>
                <w:highlight w:val="none"/>
              </w:rPr>
              <w:t>中标通知书</w:t>
            </w:r>
          </w:p>
        </w:tc>
        <w:tc>
          <w:tcPr>
            <w:tcW w:w="6302" w:type="dxa"/>
            <w:tcBorders>
              <w:top w:val="single" w:color="auto" w:sz="4" w:space="0"/>
              <w:left w:val="single" w:color="auto" w:sz="4" w:space="0"/>
              <w:right w:val="single" w:color="auto" w:sz="4" w:space="0"/>
            </w:tcBorders>
            <w:noWrap w:val="0"/>
            <w:vAlign w:val="center"/>
          </w:tcPr>
          <w:p w14:paraId="0F03DCFE">
            <w:pPr>
              <w:spacing w:line="360" w:lineRule="auto"/>
              <w:rPr>
                <w:rFonts w:ascii="宋体" w:hAnsi="宋体" w:cs="宋体"/>
                <w:color w:val="auto"/>
                <w:sz w:val="24"/>
                <w:highlight w:val="none"/>
              </w:rPr>
            </w:pPr>
            <w:r>
              <w:rPr>
                <w:rFonts w:hint="eastAsia" w:ascii="宋体" w:hAnsi="宋体"/>
                <w:color w:val="auto"/>
                <w:sz w:val="24"/>
                <w:highlight w:val="none"/>
              </w:rPr>
              <w:t>中标人确定后，采购代理机构协同</w:t>
            </w:r>
            <w:r>
              <w:rPr>
                <w:rFonts w:ascii="宋体" w:hAnsi="宋体"/>
                <w:color w:val="auto"/>
                <w:sz w:val="24"/>
                <w:highlight w:val="none"/>
              </w:rPr>
              <w:t>采购（招标）人</w:t>
            </w:r>
            <w:r>
              <w:rPr>
                <w:rFonts w:hint="eastAsia" w:ascii="宋体" w:hAnsi="宋体"/>
                <w:color w:val="auto"/>
                <w:sz w:val="24"/>
                <w:highlight w:val="none"/>
              </w:rPr>
              <w:t>和</w:t>
            </w:r>
            <w:r>
              <w:rPr>
                <w:rFonts w:hint="eastAsia" w:ascii="宋体" w:hAnsi="宋体"/>
                <w:color w:val="auto"/>
                <w:sz w:val="24"/>
                <w:highlight w:val="none"/>
                <w:lang w:val="en-US" w:eastAsia="zh-CN"/>
              </w:rPr>
              <w:t>杞县</w:t>
            </w:r>
            <w:r>
              <w:rPr>
                <w:rFonts w:hint="eastAsia" w:ascii="宋体" w:hAnsi="宋体"/>
                <w:color w:val="auto"/>
                <w:sz w:val="24"/>
                <w:highlight w:val="none"/>
              </w:rPr>
              <w:t>公共资源交易中心向中标人发出《中标通知书》。</w:t>
            </w:r>
          </w:p>
        </w:tc>
      </w:tr>
      <w:tr w14:paraId="42BDA1CE">
        <w:tblPrEx>
          <w:tblCellMar>
            <w:top w:w="0" w:type="dxa"/>
            <w:left w:w="108" w:type="dxa"/>
            <w:bottom w:w="0" w:type="dxa"/>
            <w:right w:w="108" w:type="dxa"/>
          </w:tblCellMar>
        </w:tblPrEx>
        <w:trPr>
          <w:trHeight w:val="46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3B6A2A44">
            <w:pPr>
              <w:spacing w:line="360" w:lineRule="auto"/>
              <w:jc w:val="center"/>
              <w:rPr>
                <w:rFonts w:ascii="宋体" w:hAnsi="宋体" w:cs="宋体"/>
                <w:color w:val="auto"/>
                <w:sz w:val="24"/>
                <w:highlight w:val="none"/>
              </w:rPr>
            </w:pPr>
            <w:r>
              <w:rPr>
                <w:rFonts w:hint="eastAsia" w:ascii="宋体" w:hAnsi="宋体" w:cs="宋体"/>
                <w:color w:val="auto"/>
                <w:sz w:val="24"/>
                <w:highlight w:val="none"/>
              </w:rPr>
              <w:t>7.4.1</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353A809F">
            <w:pPr>
              <w:spacing w:line="360" w:lineRule="auto"/>
              <w:jc w:val="center"/>
              <w:rPr>
                <w:rFonts w:ascii="宋体" w:hAnsi="宋体" w:cs="宋体"/>
                <w:color w:val="auto"/>
                <w:sz w:val="24"/>
                <w:highlight w:val="none"/>
              </w:rPr>
            </w:pPr>
            <w:r>
              <w:rPr>
                <w:rFonts w:hint="eastAsia" w:ascii="宋体" w:hAnsi="宋体" w:cs="宋体"/>
                <w:color w:val="auto"/>
                <w:sz w:val="24"/>
                <w:highlight w:val="none"/>
              </w:rPr>
              <w:t>履约担保</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5198A7B5">
            <w:pPr>
              <w:spacing w:line="360" w:lineRule="auto"/>
              <w:rPr>
                <w:rFonts w:ascii="宋体" w:hAnsi="宋体" w:cs="宋体"/>
                <w:color w:val="auto"/>
                <w:sz w:val="24"/>
                <w:highlight w:val="none"/>
              </w:rPr>
            </w:pPr>
            <w:r>
              <w:rPr>
                <w:rFonts w:hint="eastAsia" w:ascii="宋体" w:hAnsi="宋体"/>
                <w:color w:val="auto"/>
                <w:sz w:val="24"/>
                <w:highlight w:val="none"/>
              </w:rPr>
              <w:t>不收取</w:t>
            </w:r>
          </w:p>
        </w:tc>
      </w:tr>
      <w:tr w14:paraId="7432F415">
        <w:tblPrEx>
          <w:tblCellMar>
            <w:top w:w="0" w:type="dxa"/>
            <w:left w:w="108" w:type="dxa"/>
            <w:bottom w:w="0" w:type="dxa"/>
            <w:right w:w="108" w:type="dxa"/>
          </w:tblCellMar>
        </w:tblPrEx>
        <w:trPr>
          <w:trHeight w:val="1386"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58B1B1A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7.5.1</w:t>
            </w:r>
          </w:p>
        </w:tc>
        <w:tc>
          <w:tcPr>
            <w:tcW w:w="1680" w:type="dxa"/>
            <w:tcBorders>
              <w:top w:val="single" w:color="auto" w:sz="4" w:space="0"/>
              <w:left w:val="single" w:color="auto" w:sz="4" w:space="0"/>
              <w:bottom w:val="single" w:color="auto" w:sz="4" w:space="0"/>
              <w:right w:val="single" w:color="auto" w:sz="4" w:space="0"/>
            </w:tcBorders>
            <w:noWrap w:val="0"/>
            <w:vAlign w:val="center"/>
          </w:tcPr>
          <w:p w14:paraId="7E5CD971">
            <w:pPr>
              <w:spacing w:line="360" w:lineRule="auto"/>
              <w:jc w:val="center"/>
              <w:rPr>
                <w:rFonts w:ascii="宋体" w:hAnsi="宋体" w:cs="宋体"/>
                <w:color w:val="auto"/>
                <w:sz w:val="24"/>
                <w:highlight w:val="none"/>
              </w:rPr>
            </w:pPr>
            <w:r>
              <w:rPr>
                <w:rFonts w:hint="eastAsia" w:ascii="宋体" w:hAnsi="宋体" w:cs="宋体"/>
                <w:color w:val="auto"/>
                <w:sz w:val="24"/>
                <w:highlight w:val="none"/>
              </w:rPr>
              <w:t>签订合同</w:t>
            </w:r>
          </w:p>
        </w:tc>
        <w:tc>
          <w:tcPr>
            <w:tcW w:w="6302" w:type="dxa"/>
            <w:tcBorders>
              <w:top w:val="single" w:color="auto" w:sz="4" w:space="0"/>
              <w:left w:val="single" w:color="auto" w:sz="4" w:space="0"/>
              <w:bottom w:val="single" w:color="auto" w:sz="4" w:space="0"/>
              <w:right w:val="single" w:color="auto" w:sz="4" w:space="0"/>
            </w:tcBorders>
            <w:noWrap w:val="0"/>
            <w:vAlign w:val="center"/>
          </w:tcPr>
          <w:p w14:paraId="71806FBB">
            <w:pPr>
              <w:spacing w:line="360" w:lineRule="auto"/>
              <w:rPr>
                <w:rFonts w:ascii="宋体" w:hAnsi="宋体" w:cs="宋体"/>
                <w:color w:val="auto"/>
                <w:sz w:val="24"/>
                <w:highlight w:val="none"/>
              </w:rPr>
            </w:pPr>
            <w:r>
              <w:rPr>
                <w:rFonts w:hint="eastAsia" w:ascii="宋体" w:hAnsi="宋体"/>
                <w:color w:val="auto"/>
                <w:sz w:val="24"/>
                <w:highlight w:val="none"/>
              </w:rPr>
              <w:t>按《中标通知书》约定时间（无约定时，应在中标通知书发出时间30日内），根据招标文件和中标人的投标文件与</w:t>
            </w:r>
            <w:r>
              <w:rPr>
                <w:rFonts w:ascii="宋体" w:hAnsi="宋体"/>
                <w:color w:val="auto"/>
                <w:sz w:val="24"/>
                <w:highlight w:val="none"/>
              </w:rPr>
              <w:t>采购（招标）人</w:t>
            </w:r>
            <w:r>
              <w:rPr>
                <w:rFonts w:hint="eastAsia" w:ascii="宋体" w:hAnsi="宋体"/>
                <w:color w:val="auto"/>
                <w:sz w:val="24"/>
                <w:highlight w:val="none"/>
              </w:rPr>
              <w:t>签订合同。</w:t>
            </w:r>
          </w:p>
        </w:tc>
      </w:tr>
      <w:tr w14:paraId="102569D9">
        <w:tblPrEx>
          <w:tblCellMar>
            <w:top w:w="0" w:type="dxa"/>
            <w:left w:w="108" w:type="dxa"/>
            <w:bottom w:w="0" w:type="dxa"/>
            <w:right w:w="108" w:type="dxa"/>
          </w:tblCellMar>
        </w:tblPrEx>
        <w:trPr>
          <w:trHeight w:val="1386"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top"/>
          </w:tcPr>
          <w:p w14:paraId="64D5E60D">
            <w:pPr>
              <w:spacing w:line="360" w:lineRule="auto"/>
              <w:jc w:val="center"/>
              <w:rPr>
                <w:rFonts w:ascii="宋体" w:hAnsi="宋体"/>
                <w:color w:val="auto"/>
                <w:sz w:val="24"/>
                <w:highlight w:val="none"/>
              </w:rPr>
            </w:pPr>
            <w:r>
              <w:rPr>
                <w:rFonts w:hint="eastAsia" w:ascii="宋体" w:hAnsi="宋体"/>
                <w:color w:val="auto"/>
                <w:sz w:val="24"/>
                <w:highlight w:val="none"/>
              </w:rPr>
              <w:t>8.5</w:t>
            </w:r>
          </w:p>
        </w:tc>
        <w:tc>
          <w:tcPr>
            <w:tcW w:w="1680" w:type="dxa"/>
            <w:tcBorders>
              <w:top w:val="single" w:color="auto" w:sz="4" w:space="0"/>
              <w:left w:val="single" w:color="auto" w:sz="4" w:space="0"/>
              <w:bottom w:val="single" w:color="auto" w:sz="4" w:space="0"/>
              <w:right w:val="single" w:color="auto" w:sz="4" w:space="0"/>
            </w:tcBorders>
            <w:noWrap w:val="0"/>
            <w:vAlign w:val="top"/>
          </w:tcPr>
          <w:p w14:paraId="38AD6797">
            <w:pPr>
              <w:spacing w:line="360" w:lineRule="auto"/>
              <w:jc w:val="center"/>
              <w:rPr>
                <w:rFonts w:ascii="宋体" w:hAnsi="宋体"/>
                <w:color w:val="auto"/>
                <w:sz w:val="24"/>
                <w:highlight w:val="none"/>
              </w:rPr>
            </w:pPr>
            <w:r>
              <w:rPr>
                <w:rFonts w:hint="eastAsia" w:ascii="宋体" w:hAnsi="宋体"/>
                <w:color w:val="auto"/>
                <w:sz w:val="24"/>
                <w:highlight w:val="none"/>
              </w:rPr>
              <w:t>质疑、投诉</w:t>
            </w:r>
          </w:p>
        </w:tc>
        <w:tc>
          <w:tcPr>
            <w:tcW w:w="6302" w:type="dxa"/>
            <w:tcBorders>
              <w:top w:val="single" w:color="auto" w:sz="4" w:space="0"/>
              <w:left w:val="single" w:color="auto" w:sz="4" w:space="0"/>
              <w:bottom w:val="single" w:color="auto" w:sz="4" w:space="0"/>
              <w:right w:val="single" w:color="auto" w:sz="4" w:space="0"/>
            </w:tcBorders>
            <w:noWrap w:val="0"/>
            <w:vAlign w:val="top"/>
          </w:tcPr>
          <w:p w14:paraId="5E14906D">
            <w:pPr>
              <w:spacing w:line="360" w:lineRule="auto"/>
              <w:rPr>
                <w:rFonts w:ascii="宋体" w:hAnsi="宋体"/>
                <w:color w:val="auto"/>
                <w:sz w:val="24"/>
                <w:highlight w:val="none"/>
              </w:rPr>
            </w:pPr>
            <w:r>
              <w:rPr>
                <w:rFonts w:hint="eastAsia" w:ascii="宋体" w:hAnsi="宋体"/>
                <w:color w:val="auto"/>
                <w:sz w:val="24"/>
                <w:highlight w:val="none"/>
              </w:rPr>
              <w:t>根据开封市公共资源交易管理委员会办公室文件（汴公管办【2020】13号）的规定：</w:t>
            </w:r>
          </w:p>
          <w:p w14:paraId="27DFECA7">
            <w:pPr>
              <w:spacing w:line="360" w:lineRule="auto"/>
              <w:rPr>
                <w:rFonts w:ascii="宋体" w:hAnsi="宋体"/>
                <w:color w:val="auto"/>
                <w:sz w:val="24"/>
                <w:highlight w:val="none"/>
              </w:rPr>
            </w:pPr>
            <w:r>
              <w:rPr>
                <w:rFonts w:hint="eastAsia" w:ascii="宋体" w:hAnsi="宋体"/>
                <w:color w:val="auto"/>
                <w:sz w:val="24"/>
                <w:highlight w:val="none"/>
              </w:rPr>
              <w:t>投标人(供应商)向招标人、招标代理机构提出质疑(异议)的方式为线上提起，并在规定时间内对投标人(供应商)的质疑函(异议书)进行回复，各投标人应时刻关注电子交易系统中的项目进度和状态。</w:t>
            </w:r>
          </w:p>
        </w:tc>
      </w:tr>
      <w:tr w14:paraId="50DEDE2A">
        <w:tblPrEx>
          <w:tblCellMar>
            <w:top w:w="0" w:type="dxa"/>
            <w:left w:w="108" w:type="dxa"/>
            <w:bottom w:w="0" w:type="dxa"/>
            <w:right w:w="108" w:type="dxa"/>
          </w:tblCellMar>
        </w:tblPrEx>
        <w:trPr>
          <w:trHeight w:val="46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4B016E33">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10</w:t>
            </w:r>
          </w:p>
        </w:tc>
        <w:tc>
          <w:tcPr>
            <w:tcW w:w="7982" w:type="dxa"/>
            <w:gridSpan w:val="2"/>
            <w:tcBorders>
              <w:top w:val="single" w:color="auto" w:sz="4" w:space="0"/>
              <w:left w:val="single" w:color="auto" w:sz="4" w:space="0"/>
              <w:bottom w:val="single" w:color="auto" w:sz="4" w:space="0"/>
              <w:right w:val="single" w:color="auto" w:sz="4" w:space="0"/>
            </w:tcBorders>
            <w:noWrap w:val="0"/>
            <w:vAlign w:val="center"/>
          </w:tcPr>
          <w:p w14:paraId="38EBE121">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需要补充的其他内容</w:t>
            </w:r>
          </w:p>
        </w:tc>
      </w:tr>
      <w:tr w14:paraId="5995B6B2">
        <w:tblPrEx>
          <w:tblCellMar>
            <w:top w:w="0" w:type="dxa"/>
            <w:left w:w="108" w:type="dxa"/>
            <w:bottom w:w="0" w:type="dxa"/>
            <w:right w:w="108" w:type="dxa"/>
          </w:tblCellMar>
        </w:tblPrEx>
        <w:trPr>
          <w:trHeight w:val="46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6E038EAF">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10.1</w:t>
            </w:r>
          </w:p>
        </w:tc>
        <w:tc>
          <w:tcPr>
            <w:tcW w:w="7982" w:type="dxa"/>
            <w:gridSpan w:val="2"/>
            <w:tcBorders>
              <w:top w:val="single" w:color="auto" w:sz="4" w:space="0"/>
              <w:left w:val="single" w:color="auto" w:sz="4" w:space="0"/>
              <w:bottom w:val="single" w:color="auto" w:sz="4" w:space="0"/>
              <w:right w:val="single" w:color="auto" w:sz="4" w:space="0"/>
            </w:tcBorders>
            <w:noWrap w:val="0"/>
            <w:vAlign w:val="center"/>
          </w:tcPr>
          <w:p w14:paraId="6BC1F8C5">
            <w:pPr>
              <w:spacing w:line="360" w:lineRule="auto"/>
              <w:jc w:val="left"/>
              <w:rPr>
                <w:rFonts w:ascii="宋体" w:hAnsi="宋体" w:cs="宋体"/>
                <w:color w:val="auto"/>
                <w:sz w:val="24"/>
                <w:highlight w:val="none"/>
              </w:rPr>
            </w:pPr>
            <w:r>
              <w:rPr>
                <w:rFonts w:hint="eastAsia" w:ascii="宋体" w:hAnsi="宋体"/>
                <w:color w:val="auto"/>
                <w:sz w:val="24"/>
                <w:highlight w:val="none"/>
              </w:rPr>
              <w:t>监督单位</w:t>
            </w:r>
            <w:r>
              <w:rPr>
                <w:rFonts w:hint="eastAsia" w:ascii="宋体" w:hAnsi="宋体" w:cs="宋体"/>
                <w:color w:val="auto"/>
                <w:sz w:val="24"/>
                <w:highlight w:val="none"/>
              </w:rPr>
              <w:t>：杞县财政局采购办</w:t>
            </w:r>
          </w:p>
        </w:tc>
      </w:tr>
      <w:tr w14:paraId="2C89C165">
        <w:tblPrEx>
          <w:tblCellMar>
            <w:top w:w="0" w:type="dxa"/>
            <w:left w:w="108" w:type="dxa"/>
            <w:bottom w:w="0" w:type="dxa"/>
            <w:right w:w="108" w:type="dxa"/>
          </w:tblCellMar>
        </w:tblPrEx>
        <w:trPr>
          <w:trHeight w:val="92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6F0549CA">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10.2</w:t>
            </w:r>
          </w:p>
        </w:tc>
        <w:tc>
          <w:tcPr>
            <w:tcW w:w="7982" w:type="dxa"/>
            <w:gridSpan w:val="2"/>
            <w:tcBorders>
              <w:top w:val="single" w:color="auto" w:sz="4" w:space="0"/>
              <w:left w:val="single" w:color="auto" w:sz="4" w:space="0"/>
              <w:bottom w:val="single" w:color="auto" w:sz="4" w:space="0"/>
              <w:right w:val="single" w:color="auto" w:sz="4" w:space="0"/>
            </w:tcBorders>
            <w:noWrap w:val="0"/>
            <w:vAlign w:val="center"/>
          </w:tcPr>
          <w:p w14:paraId="0B3EF242">
            <w:pPr>
              <w:spacing w:line="360" w:lineRule="auto"/>
              <w:jc w:val="lef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付</w:t>
            </w:r>
            <w:r>
              <w:rPr>
                <w:rFonts w:hint="eastAsia" w:ascii="宋体" w:hAnsi="宋体"/>
                <w:color w:val="auto"/>
                <w:sz w:val="24"/>
                <w:highlight w:val="none"/>
              </w:rPr>
              <w:t>款方式：中标方与</w:t>
            </w:r>
            <w:r>
              <w:rPr>
                <w:rFonts w:ascii="宋体" w:hAnsi="宋体"/>
                <w:color w:val="auto"/>
                <w:sz w:val="24"/>
                <w:highlight w:val="none"/>
              </w:rPr>
              <w:t>采购（招标）人</w:t>
            </w:r>
            <w:r>
              <w:rPr>
                <w:rFonts w:hint="eastAsia" w:ascii="宋体" w:hAnsi="宋体"/>
                <w:color w:val="auto"/>
                <w:sz w:val="24"/>
                <w:highlight w:val="none"/>
              </w:rPr>
              <w:t>协商，按双方约定合同条款支付</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具体以合同约定为准。</w:t>
            </w:r>
          </w:p>
        </w:tc>
      </w:tr>
      <w:tr w14:paraId="7C2F14E7">
        <w:tblPrEx>
          <w:tblCellMar>
            <w:top w:w="0" w:type="dxa"/>
            <w:left w:w="108" w:type="dxa"/>
            <w:bottom w:w="0" w:type="dxa"/>
            <w:right w:w="108" w:type="dxa"/>
          </w:tblCellMar>
        </w:tblPrEx>
        <w:trPr>
          <w:trHeight w:val="46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1ABE86AC">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10.3</w:t>
            </w:r>
          </w:p>
        </w:tc>
        <w:tc>
          <w:tcPr>
            <w:tcW w:w="7982" w:type="dxa"/>
            <w:gridSpan w:val="2"/>
            <w:tcBorders>
              <w:top w:val="single" w:color="auto" w:sz="4" w:space="0"/>
              <w:left w:val="single" w:color="auto" w:sz="4" w:space="0"/>
              <w:bottom w:val="single" w:color="auto" w:sz="4" w:space="0"/>
              <w:right w:val="single" w:color="auto" w:sz="4" w:space="0"/>
            </w:tcBorders>
            <w:noWrap w:val="0"/>
            <w:vAlign w:val="center"/>
          </w:tcPr>
          <w:p w14:paraId="31C641FC">
            <w:pPr>
              <w:spacing w:line="360" w:lineRule="auto"/>
              <w:jc w:val="left"/>
              <w:rPr>
                <w:rFonts w:ascii="宋体" w:hAnsi="宋体" w:cs="宋体"/>
                <w:color w:val="auto"/>
                <w:sz w:val="24"/>
                <w:highlight w:val="none"/>
              </w:rPr>
            </w:pPr>
            <w:r>
              <w:rPr>
                <w:rFonts w:hint="eastAsia" w:ascii="宋体" w:hAnsi="宋体" w:cs="宋体"/>
                <w:color w:val="auto"/>
                <w:sz w:val="24"/>
                <w:highlight w:val="none"/>
              </w:rPr>
              <w:t>支付标准：</w:t>
            </w:r>
            <w:r>
              <w:rPr>
                <w:rFonts w:hint="eastAsia" w:ascii="宋体" w:hAnsi="宋体"/>
                <w:color w:val="auto"/>
                <w:sz w:val="24"/>
                <w:highlight w:val="none"/>
              </w:rPr>
              <w:t>以中标方与</w:t>
            </w:r>
            <w:r>
              <w:rPr>
                <w:rFonts w:ascii="宋体" w:hAnsi="宋体"/>
                <w:color w:val="auto"/>
                <w:sz w:val="24"/>
                <w:highlight w:val="none"/>
              </w:rPr>
              <w:t>采购（招标）人</w:t>
            </w:r>
            <w:r>
              <w:rPr>
                <w:rFonts w:hint="eastAsia" w:ascii="宋体" w:hAnsi="宋体"/>
                <w:color w:val="auto"/>
                <w:sz w:val="24"/>
                <w:highlight w:val="none"/>
              </w:rPr>
              <w:t>签定合同规定为准</w:t>
            </w:r>
          </w:p>
        </w:tc>
      </w:tr>
      <w:tr w14:paraId="004A49E2">
        <w:tblPrEx>
          <w:tblCellMar>
            <w:top w:w="0" w:type="dxa"/>
            <w:left w:w="108" w:type="dxa"/>
            <w:bottom w:w="0" w:type="dxa"/>
            <w:right w:w="108" w:type="dxa"/>
          </w:tblCellMar>
        </w:tblPrEx>
        <w:trPr>
          <w:trHeight w:val="1846"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3290DBE3">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10.4</w:t>
            </w:r>
          </w:p>
        </w:tc>
        <w:tc>
          <w:tcPr>
            <w:tcW w:w="7982" w:type="dxa"/>
            <w:gridSpan w:val="2"/>
            <w:tcBorders>
              <w:top w:val="single" w:color="auto" w:sz="4" w:space="0"/>
              <w:left w:val="single" w:color="auto" w:sz="4" w:space="0"/>
              <w:bottom w:val="single" w:color="auto" w:sz="4" w:space="0"/>
              <w:right w:val="single" w:color="auto" w:sz="4" w:space="0"/>
            </w:tcBorders>
            <w:noWrap w:val="0"/>
            <w:vAlign w:val="center"/>
          </w:tcPr>
          <w:p w14:paraId="6D2EB394">
            <w:pPr>
              <w:spacing w:line="360" w:lineRule="auto"/>
              <w:jc w:val="left"/>
              <w:rPr>
                <w:rFonts w:hint="eastAsia" w:eastAsia="宋体" w:cs="宋体"/>
                <w:b/>
                <w:color w:val="auto"/>
                <w:sz w:val="24"/>
                <w:highlight w:val="none"/>
                <w:lang w:eastAsia="zh-CN"/>
              </w:rPr>
            </w:pPr>
            <w:r>
              <w:rPr>
                <w:rFonts w:hint="eastAsia" w:cs="宋体"/>
                <w:b/>
                <w:color w:val="auto"/>
                <w:sz w:val="24"/>
                <w:highlight w:val="none"/>
              </w:rPr>
              <w:t>招标代理服务费</w:t>
            </w:r>
            <w:r>
              <w:rPr>
                <w:rFonts w:hint="eastAsia" w:cs="宋体"/>
                <w:b/>
                <w:color w:val="auto"/>
                <w:sz w:val="24"/>
                <w:highlight w:val="none"/>
                <w:lang w:eastAsia="zh-CN"/>
              </w:rPr>
              <w:t>：</w:t>
            </w:r>
          </w:p>
          <w:p w14:paraId="320E7C52">
            <w:pPr>
              <w:spacing w:line="360" w:lineRule="auto"/>
              <w:jc w:val="left"/>
              <w:rPr>
                <w:rFonts w:hint="eastAsia" w:cs="宋体"/>
                <w:b/>
                <w:color w:val="auto"/>
                <w:sz w:val="24"/>
                <w:highlight w:val="none"/>
              </w:rPr>
            </w:pPr>
            <w:r>
              <w:rPr>
                <w:rFonts w:hint="eastAsia" w:cs="宋体"/>
                <w:b/>
                <w:color w:val="auto"/>
                <w:sz w:val="24"/>
                <w:highlight w:val="none"/>
                <w:lang w:val="en-US" w:eastAsia="zh-CN"/>
              </w:rPr>
              <w:t>中标人</w:t>
            </w:r>
            <w:r>
              <w:rPr>
                <w:rFonts w:hint="eastAsia" w:cs="宋体"/>
                <w:b/>
                <w:color w:val="auto"/>
                <w:sz w:val="24"/>
                <w:highlight w:val="none"/>
              </w:rPr>
              <w:t>参照国家相关标准向</w:t>
            </w:r>
            <w:r>
              <w:rPr>
                <w:rFonts w:hint="eastAsia" w:cs="宋体"/>
                <w:b/>
                <w:color w:val="auto"/>
                <w:sz w:val="24"/>
                <w:highlight w:val="none"/>
                <w:lang w:val="en-US" w:eastAsia="zh-CN"/>
              </w:rPr>
              <w:t>招标代理机构缴纳</w:t>
            </w:r>
            <w:r>
              <w:rPr>
                <w:rFonts w:hint="eastAsia" w:cs="宋体"/>
                <w:b/>
                <w:color w:val="auto"/>
                <w:sz w:val="24"/>
                <w:highlight w:val="none"/>
              </w:rPr>
              <w:t>代理服务费，金额为：中标金额的1.5%。</w:t>
            </w:r>
          </w:p>
          <w:p w14:paraId="29B9561B">
            <w:pPr>
              <w:spacing w:line="360" w:lineRule="auto"/>
              <w:jc w:val="left"/>
              <w:rPr>
                <w:rFonts w:cs="宋体"/>
                <w:b/>
                <w:color w:val="auto"/>
                <w:sz w:val="24"/>
                <w:highlight w:val="none"/>
              </w:rPr>
            </w:pPr>
            <w:r>
              <w:rPr>
                <w:rFonts w:hint="eastAsia" w:cs="宋体"/>
                <w:b/>
                <w:color w:val="auto"/>
                <w:sz w:val="24"/>
                <w:highlight w:val="none"/>
              </w:rPr>
              <w:t>综合服务费：由中标人到杞县公共资源交易中心完善相关手续。</w:t>
            </w:r>
          </w:p>
        </w:tc>
      </w:tr>
      <w:tr w14:paraId="4BA2B5DE">
        <w:tblPrEx>
          <w:tblCellMar>
            <w:top w:w="0" w:type="dxa"/>
            <w:left w:w="108" w:type="dxa"/>
            <w:bottom w:w="0" w:type="dxa"/>
            <w:right w:w="108" w:type="dxa"/>
          </w:tblCellMar>
        </w:tblPrEx>
        <w:trPr>
          <w:trHeight w:val="3222"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1408806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10.5</w:t>
            </w:r>
          </w:p>
        </w:tc>
        <w:tc>
          <w:tcPr>
            <w:tcW w:w="7982" w:type="dxa"/>
            <w:gridSpan w:val="2"/>
            <w:tcBorders>
              <w:top w:val="single" w:color="auto" w:sz="4" w:space="0"/>
              <w:left w:val="single" w:color="auto" w:sz="4" w:space="0"/>
              <w:bottom w:val="single" w:color="auto" w:sz="4" w:space="0"/>
              <w:right w:val="single" w:color="auto" w:sz="4" w:space="0"/>
            </w:tcBorders>
            <w:noWrap w:val="0"/>
            <w:vAlign w:val="center"/>
          </w:tcPr>
          <w:p w14:paraId="1B1D6DC6">
            <w:pPr>
              <w:spacing w:line="360" w:lineRule="auto"/>
              <w:jc w:val="left"/>
              <w:rPr>
                <w:rFonts w:ascii="宋体" w:hAnsi="宋体" w:cs="宋体"/>
                <w:color w:val="auto"/>
                <w:sz w:val="24"/>
                <w:highlight w:val="none"/>
              </w:rPr>
            </w:pPr>
            <w:r>
              <w:rPr>
                <w:rFonts w:hint="eastAsia" w:ascii="宋体" w:hAnsi="宋体" w:cs="宋体"/>
                <w:color w:val="auto"/>
                <w:sz w:val="24"/>
                <w:highlight w:val="none"/>
              </w:rPr>
              <w:t>解释权:</w:t>
            </w:r>
            <w:r>
              <w:rPr>
                <w:rFonts w:hint="eastAsia" w:ascii="宋体" w:hAnsi="宋体"/>
                <w:color w:val="auto"/>
                <w:sz w:val="24"/>
                <w:highlight w:val="none"/>
              </w:rPr>
              <w:t>构成本招标文件的各个组成部分应互为解释、互为说明，如有不明确或不一致，除招标文件中有特别规定外，在招标投标和评标阶段的优先解释顺序如下：按招标公告（投标邀请书）、投标人须知、评标办法、项目</w:t>
            </w:r>
            <w:r>
              <w:rPr>
                <w:rFonts w:ascii="宋体" w:hAnsi="宋体"/>
                <w:color w:val="auto"/>
                <w:sz w:val="24"/>
                <w:highlight w:val="none"/>
              </w:rPr>
              <w:t>服务内容</w:t>
            </w:r>
            <w:r>
              <w:rPr>
                <w:rFonts w:hint="eastAsia" w:ascii="宋体" w:hAnsi="宋体"/>
                <w:color w:val="auto"/>
                <w:sz w:val="24"/>
                <w:highlight w:val="none"/>
              </w:rPr>
              <w:t>及要求、投标文件格式的先后顺序解释；同一组成部分中就同一事项的规定或约定不一致的，以编排顺序在后者为准；同一组成部分不同版本之间有不一致的，以形成时间在后者为准。按本款前述规定仍不能形成结论的，由</w:t>
            </w:r>
            <w:r>
              <w:rPr>
                <w:rFonts w:ascii="宋体" w:hAnsi="宋体"/>
                <w:color w:val="auto"/>
                <w:sz w:val="24"/>
                <w:highlight w:val="none"/>
              </w:rPr>
              <w:t>采购（招标）人</w:t>
            </w:r>
            <w:r>
              <w:rPr>
                <w:rFonts w:hint="eastAsia" w:ascii="宋体" w:hAnsi="宋体"/>
                <w:color w:val="auto"/>
                <w:sz w:val="24"/>
                <w:highlight w:val="none"/>
              </w:rPr>
              <w:t>或采购代理机构负责解释。</w:t>
            </w:r>
          </w:p>
        </w:tc>
      </w:tr>
      <w:tr w14:paraId="4DD55304">
        <w:tblPrEx>
          <w:tblCellMar>
            <w:top w:w="0" w:type="dxa"/>
            <w:left w:w="108" w:type="dxa"/>
            <w:bottom w:w="0" w:type="dxa"/>
            <w:right w:w="108" w:type="dxa"/>
          </w:tblCellMar>
        </w:tblPrEx>
        <w:trPr>
          <w:trHeight w:val="92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2CB0E76C">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10.6</w:t>
            </w:r>
          </w:p>
        </w:tc>
        <w:tc>
          <w:tcPr>
            <w:tcW w:w="7982" w:type="dxa"/>
            <w:gridSpan w:val="2"/>
            <w:tcBorders>
              <w:top w:val="single" w:color="auto" w:sz="4" w:space="0"/>
              <w:left w:val="single" w:color="auto" w:sz="4" w:space="0"/>
              <w:bottom w:val="single" w:color="auto" w:sz="4" w:space="0"/>
              <w:right w:val="single" w:color="auto" w:sz="4" w:space="0"/>
            </w:tcBorders>
            <w:noWrap w:val="0"/>
            <w:vAlign w:val="center"/>
          </w:tcPr>
          <w:p w14:paraId="2593A1AB">
            <w:pPr>
              <w:spacing w:line="360" w:lineRule="auto"/>
              <w:jc w:val="left"/>
              <w:rPr>
                <w:rFonts w:ascii="宋体" w:hAnsi="宋体"/>
                <w:color w:val="auto"/>
                <w:sz w:val="24"/>
                <w:highlight w:val="none"/>
              </w:rPr>
            </w:pPr>
            <w:r>
              <w:rPr>
                <w:rFonts w:hint="eastAsia" w:ascii="宋体" w:hAnsi="宋体"/>
                <w:color w:val="auto"/>
                <w:sz w:val="24"/>
                <w:highlight w:val="none"/>
              </w:rPr>
              <w:t>投标人承诺公司独立制作、修改和上传投标文件，并承担因“硬件特征码一致”所造成的不良后果，如造成不良后果投标人需自行承担。</w:t>
            </w:r>
          </w:p>
        </w:tc>
      </w:tr>
      <w:tr w14:paraId="7052E2B8">
        <w:tblPrEx>
          <w:tblCellMar>
            <w:top w:w="0" w:type="dxa"/>
            <w:left w:w="108" w:type="dxa"/>
            <w:bottom w:w="0" w:type="dxa"/>
            <w:right w:w="108" w:type="dxa"/>
          </w:tblCellMar>
        </w:tblPrEx>
        <w:trPr>
          <w:trHeight w:val="928" w:hRule="atLeast"/>
          <w:jc w:val="center"/>
        </w:trPr>
        <w:tc>
          <w:tcPr>
            <w:tcW w:w="976" w:type="dxa"/>
            <w:tcBorders>
              <w:top w:val="single" w:color="auto" w:sz="4" w:space="0"/>
              <w:left w:val="single" w:color="auto" w:sz="4" w:space="0"/>
              <w:bottom w:val="single" w:color="auto" w:sz="4" w:space="0"/>
              <w:right w:val="single" w:color="auto" w:sz="4" w:space="0"/>
            </w:tcBorders>
            <w:noWrap w:val="0"/>
            <w:vAlign w:val="center"/>
          </w:tcPr>
          <w:p w14:paraId="09AD2439">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w:t>
            </w:r>
            <w:r>
              <w:rPr>
                <w:rFonts w:ascii="宋体" w:hAnsi="宋体" w:cs="宋体"/>
                <w:color w:val="auto"/>
                <w:sz w:val="24"/>
                <w:highlight w:val="none"/>
              </w:rPr>
              <w:t>0.7</w:t>
            </w:r>
          </w:p>
        </w:tc>
        <w:tc>
          <w:tcPr>
            <w:tcW w:w="7982" w:type="dxa"/>
            <w:gridSpan w:val="2"/>
            <w:tcBorders>
              <w:top w:val="single" w:color="auto" w:sz="4" w:space="0"/>
              <w:left w:val="single" w:color="auto" w:sz="4" w:space="0"/>
              <w:bottom w:val="single" w:color="auto" w:sz="4" w:space="0"/>
              <w:right w:val="single" w:color="auto" w:sz="4" w:space="0"/>
            </w:tcBorders>
            <w:noWrap w:val="0"/>
            <w:vAlign w:val="center"/>
          </w:tcPr>
          <w:p w14:paraId="603780E6">
            <w:pPr>
              <w:spacing w:line="360" w:lineRule="auto"/>
              <w:jc w:val="left"/>
              <w:rPr>
                <w:rFonts w:ascii="宋体" w:hAnsi="宋体"/>
                <w:color w:val="auto"/>
                <w:sz w:val="24"/>
                <w:highlight w:val="none"/>
              </w:rPr>
            </w:pPr>
            <w:r>
              <w:rPr>
                <w:rFonts w:hint="eastAsia" w:ascii="宋体" w:hAnsi="宋体"/>
                <w:color w:val="auto"/>
                <w:sz w:val="24"/>
                <w:highlight w:val="none"/>
              </w:rPr>
              <w:t>本项目采购标的对应的中小企业划分标准所属行业为：</w:t>
            </w:r>
            <w:r>
              <w:rPr>
                <w:rFonts w:ascii="宋体" w:hAnsi="宋体" w:eastAsia="宋体" w:cs="宋体"/>
                <w:color w:val="auto"/>
                <w:sz w:val="24"/>
                <w:szCs w:val="24"/>
                <w:highlight w:val="none"/>
              </w:rPr>
              <w:t>农、林、牧、渔业</w:t>
            </w:r>
            <w:r>
              <w:rPr>
                <w:rFonts w:hint="eastAsia" w:ascii="宋体" w:hAnsi="宋体"/>
                <w:color w:val="auto"/>
                <w:sz w:val="24"/>
                <w:highlight w:val="none"/>
              </w:rPr>
              <w:t>。具体划分标准详见“工信部联企业[2011]300号”</w:t>
            </w:r>
          </w:p>
        </w:tc>
      </w:tr>
      <w:tr w14:paraId="05F23C55">
        <w:tblPrEx>
          <w:tblCellMar>
            <w:top w:w="0" w:type="dxa"/>
            <w:left w:w="108" w:type="dxa"/>
            <w:bottom w:w="0" w:type="dxa"/>
            <w:right w:w="108" w:type="dxa"/>
          </w:tblCellMar>
        </w:tblPrEx>
        <w:trPr>
          <w:trHeight w:val="1855" w:hRule="atLeast"/>
          <w:jc w:val="center"/>
        </w:trPr>
        <w:tc>
          <w:tcPr>
            <w:tcW w:w="8958" w:type="dxa"/>
            <w:gridSpan w:val="3"/>
            <w:tcBorders>
              <w:top w:val="single" w:color="auto" w:sz="4" w:space="0"/>
              <w:left w:val="single" w:color="auto" w:sz="4" w:space="0"/>
              <w:bottom w:val="single" w:color="auto" w:sz="4" w:space="0"/>
              <w:right w:val="single" w:color="auto" w:sz="4" w:space="0"/>
            </w:tcBorders>
            <w:noWrap w:val="0"/>
            <w:vAlign w:val="center"/>
          </w:tcPr>
          <w:p w14:paraId="50062137">
            <w:pPr>
              <w:spacing w:line="360" w:lineRule="auto"/>
              <w:rPr>
                <w:color w:val="auto"/>
                <w:sz w:val="24"/>
                <w:highlight w:val="none"/>
              </w:rPr>
            </w:pPr>
            <w:r>
              <w:rPr>
                <w:rFonts w:hint="eastAsia" w:ascii="宋体" w:hAnsi="宋体"/>
                <w:b/>
                <w:color w:val="auto"/>
                <w:sz w:val="24"/>
                <w:highlight w:val="none"/>
              </w:rPr>
              <w:t>注：各投标（响应）人从参与项目交易开始至项目交易活动结束止，应时刻关注电子交易系统中的项目进度和状态，特别是项目评审期间。由于自身原因错过变更通知、文件澄清、报价响应（自系统发起30分钟内做出）等重要信息的，后果由投标（响应）人自行承担。</w:t>
            </w:r>
          </w:p>
        </w:tc>
      </w:tr>
    </w:tbl>
    <w:p w14:paraId="042B4718">
      <w:pPr>
        <w:widowControl/>
        <w:spacing w:line="360" w:lineRule="auto"/>
        <w:jc w:val="left"/>
        <w:rPr>
          <w:rFonts w:hint="eastAsia"/>
          <w:b/>
          <w:bCs/>
          <w:color w:val="auto"/>
          <w:sz w:val="28"/>
          <w:szCs w:val="28"/>
          <w:highlight w:val="none"/>
        </w:rPr>
      </w:pPr>
      <w:bookmarkStart w:id="25" w:name="_Toc338840481"/>
      <w:bookmarkStart w:id="26" w:name="_Toc179632546"/>
      <w:bookmarkStart w:id="27" w:name="_Toc246996175"/>
      <w:bookmarkStart w:id="28" w:name="_Toc494102991"/>
      <w:bookmarkStart w:id="29" w:name="_Toc338840442"/>
      <w:bookmarkStart w:id="30" w:name="_Toc338840187"/>
      <w:bookmarkStart w:id="31" w:name="_Toc494093429"/>
      <w:bookmarkStart w:id="32" w:name="_Toc152042305"/>
      <w:bookmarkStart w:id="33" w:name="_Toc247085689"/>
      <w:bookmarkStart w:id="34" w:name="_Toc346523465"/>
      <w:bookmarkStart w:id="35" w:name="_Toc246996918"/>
      <w:bookmarkStart w:id="36" w:name="_Toc346523402"/>
      <w:bookmarkStart w:id="37" w:name="_Toc152045529"/>
      <w:bookmarkStart w:id="38" w:name="_Toc144974497"/>
      <w:bookmarkStart w:id="39" w:name="_Toc338840237"/>
      <w:bookmarkStart w:id="40" w:name="_Toc338840452"/>
      <w:bookmarkStart w:id="41" w:name="_Toc24945"/>
      <w:bookmarkStart w:id="42" w:name="_Toc152045598"/>
      <w:bookmarkStart w:id="43" w:name="_Toc346523475"/>
      <w:bookmarkStart w:id="44" w:name="_Toc152042375"/>
      <w:bookmarkStart w:id="45" w:name="_Toc21462"/>
      <w:bookmarkStart w:id="46" w:name="_Toc494093438"/>
      <w:bookmarkStart w:id="47" w:name="_Toc247085756"/>
      <w:bookmarkStart w:id="48" w:name="_Toc246996241"/>
      <w:bookmarkStart w:id="49" w:name="_Toc346523412"/>
      <w:bookmarkStart w:id="50" w:name="_Toc246996984"/>
      <w:bookmarkStart w:id="51" w:name="_Toc494103000"/>
      <w:bookmarkStart w:id="52" w:name="_Toc338840491"/>
      <w:bookmarkStart w:id="53" w:name="_Toc144974565"/>
      <w:bookmarkStart w:id="54" w:name="_Toc179632616"/>
      <w:bookmarkStart w:id="55" w:name="_Toc18752"/>
    </w:p>
    <w:p w14:paraId="52AE82C6">
      <w:pPr>
        <w:widowControl/>
        <w:spacing w:line="360" w:lineRule="auto"/>
        <w:jc w:val="left"/>
        <w:rPr>
          <w:rFonts w:ascii="宋体" w:hAnsi="宋体" w:cs="宋体"/>
          <w:b/>
          <w:bCs/>
          <w:color w:val="auto"/>
          <w:sz w:val="32"/>
          <w:szCs w:val="32"/>
          <w:highlight w:val="none"/>
        </w:rPr>
      </w:pPr>
      <w:r>
        <w:rPr>
          <w:rFonts w:hint="eastAsia"/>
          <w:b/>
          <w:bCs/>
          <w:color w:val="auto"/>
          <w:sz w:val="28"/>
          <w:szCs w:val="28"/>
          <w:highlight w:val="none"/>
        </w:rPr>
        <w:t>1. 总则</w:t>
      </w:r>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66B34CF5">
      <w:pPr>
        <w:spacing w:line="360" w:lineRule="auto"/>
        <w:rPr>
          <w:b/>
          <w:bCs/>
          <w:color w:val="auto"/>
          <w:sz w:val="28"/>
          <w:szCs w:val="28"/>
          <w:highlight w:val="none"/>
        </w:rPr>
      </w:pPr>
      <w:bookmarkStart w:id="56" w:name="_Toc246996919"/>
      <w:bookmarkStart w:id="57" w:name="_Toc144974498"/>
      <w:bookmarkStart w:id="58" w:name="_Toc247085690"/>
      <w:bookmarkStart w:id="59" w:name="_Toc338840188"/>
      <w:bookmarkStart w:id="60" w:name="_Toc152042306"/>
      <w:bookmarkStart w:id="61" w:name="_Toc179632547"/>
      <w:bookmarkStart w:id="62" w:name="_Toc152045530"/>
      <w:bookmarkStart w:id="63" w:name="_Toc246996176"/>
      <w:r>
        <w:rPr>
          <w:rFonts w:hint="eastAsia"/>
          <w:b/>
          <w:bCs/>
          <w:color w:val="auto"/>
          <w:sz w:val="28"/>
          <w:szCs w:val="28"/>
          <w:highlight w:val="none"/>
        </w:rPr>
        <w:t>1.1 项目概况</w:t>
      </w:r>
      <w:bookmarkEnd w:id="56"/>
      <w:bookmarkEnd w:id="57"/>
      <w:bookmarkEnd w:id="58"/>
      <w:bookmarkEnd w:id="59"/>
      <w:bookmarkEnd w:id="60"/>
      <w:bookmarkEnd w:id="61"/>
      <w:bookmarkEnd w:id="62"/>
      <w:bookmarkEnd w:id="63"/>
    </w:p>
    <w:p w14:paraId="768AC9A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1.1.1根据《中华人民共和国政府采购法》、《中华人民共和国招标投标法》等有关法律、法规和规章的规定，本招标项目已具备招标条件，现对本项目进行招标。</w:t>
      </w:r>
    </w:p>
    <w:p w14:paraId="637C365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1.1.2 本招标项目的</w:t>
      </w:r>
      <w:r>
        <w:rPr>
          <w:rFonts w:ascii="宋体" w:hAnsi="宋体" w:cs="宋体"/>
          <w:color w:val="auto"/>
          <w:sz w:val="24"/>
          <w:highlight w:val="none"/>
        </w:rPr>
        <w:t>采购</w:t>
      </w:r>
      <w:r>
        <w:rPr>
          <w:rFonts w:hint="eastAsia" w:ascii="宋体" w:hAnsi="宋体" w:cs="宋体"/>
          <w:color w:val="auto"/>
          <w:sz w:val="24"/>
          <w:highlight w:val="none"/>
        </w:rPr>
        <w:t>（招标）</w:t>
      </w:r>
      <w:r>
        <w:rPr>
          <w:rFonts w:ascii="宋体" w:hAnsi="宋体" w:cs="宋体"/>
          <w:color w:val="auto"/>
          <w:sz w:val="24"/>
          <w:highlight w:val="none"/>
        </w:rPr>
        <w:t>人</w:t>
      </w:r>
      <w:r>
        <w:rPr>
          <w:rFonts w:hint="eastAsia" w:ascii="宋体" w:hAnsi="宋体" w:cs="宋体"/>
          <w:color w:val="auto"/>
          <w:sz w:val="24"/>
          <w:highlight w:val="none"/>
        </w:rPr>
        <w:t>：见投标人须知前附表。</w:t>
      </w:r>
    </w:p>
    <w:p w14:paraId="1C99BC9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1.1.3 本招标项目的采购（招标）代理机构：见投标人须知前附表。</w:t>
      </w:r>
    </w:p>
    <w:p w14:paraId="7C2FE13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1.1.4 本招标项目的项目名称：见投标人须知前附表。</w:t>
      </w:r>
    </w:p>
    <w:p w14:paraId="3ED1774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1.1.5 本招标项目的服务地点：见投标人须知前附表。</w:t>
      </w:r>
    </w:p>
    <w:p w14:paraId="00DE406A">
      <w:pPr>
        <w:spacing w:line="360" w:lineRule="auto"/>
        <w:rPr>
          <w:b/>
          <w:bCs/>
          <w:color w:val="auto"/>
          <w:sz w:val="28"/>
          <w:szCs w:val="28"/>
          <w:highlight w:val="none"/>
        </w:rPr>
      </w:pPr>
      <w:bookmarkStart w:id="64" w:name="_Toc247085691"/>
      <w:bookmarkStart w:id="65" w:name="_Toc144974499"/>
      <w:bookmarkStart w:id="66" w:name="_Toc338840189"/>
      <w:bookmarkStart w:id="67" w:name="_Toc246996920"/>
      <w:bookmarkStart w:id="68" w:name="_Toc152045531"/>
      <w:bookmarkStart w:id="69" w:name="_Toc152042307"/>
      <w:bookmarkStart w:id="70" w:name="_Toc246996177"/>
      <w:bookmarkStart w:id="71" w:name="_Toc179632548"/>
      <w:r>
        <w:rPr>
          <w:rFonts w:hint="eastAsia"/>
          <w:b/>
          <w:bCs/>
          <w:color w:val="auto"/>
          <w:sz w:val="28"/>
          <w:szCs w:val="28"/>
          <w:highlight w:val="none"/>
        </w:rPr>
        <w:t>1.2 资金来源和落实情况</w:t>
      </w:r>
      <w:bookmarkEnd w:id="64"/>
      <w:bookmarkEnd w:id="65"/>
      <w:bookmarkEnd w:id="66"/>
      <w:bookmarkEnd w:id="67"/>
      <w:bookmarkEnd w:id="68"/>
      <w:bookmarkEnd w:id="69"/>
      <w:bookmarkEnd w:id="70"/>
      <w:bookmarkEnd w:id="71"/>
    </w:p>
    <w:p w14:paraId="3E35AD4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1.2.1 本招标项目的资金来源：见投标人须知前附表。</w:t>
      </w:r>
    </w:p>
    <w:p w14:paraId="09B55B4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1.2.2 本招标项目的资金落实情况：见投标人须知前附表。</w:t>
      </w:r>
    </w:p>
    <w:p w14:paraId="5DF4758C">
      <w:pPr>
        <w:spacing w:line="360" w:lineRule="auto"/>
        <w:rPr>
          <w:b/>
          <w:bCs/>
          <w:color w:val="auto"/>
          <w:sz w:val="28"/>
          <w:szCs w:val="28"/>
          <w:highlight w:val="none"/>
        </w:rPr>
      </w:pPr>
      <w:bookmarkStart w:id="72" w:name="_Toc144974500"/>
      <w:bookmarkStart w:id="73" w:name="_Toc152042308"/>
      <w:bookmarkStart w:id="74" w:name="_Toc179632549"/>
      <w:bookmarkStart w:id="75" w:name="_Toc338840190"/>
      <w:bookmarkStart w:id="76" w:name="_Toc152045532"/>
      <w:bookmarkStart w:id="77" w:name="_Toc247085692"/>
      <w:bookmarkStart w:id="78" w:name="_Toc246996921"/>
      <w:bookmarkStart w:id="79" w:name="_Toc246996178"/>
      <w:r>
        <w:rPr>
          <w:rFonts w:hint="eastAsia"/>
          <w:b/>
          <w:bCs/>
          <w:color w:val="auto"/>
          <w:sz w:val="28"/>
          <w:szCs w:val="28"/>
          <w:highlight w:val="none"/>
        </w:rPr>
        <w:t xml:space="preserve">1.3 </w:t>
      </w:r>
      <w:r>
        <w:rPr>
          <w:b/>
          <w:bCs/>
          <w:color w:val="auto"/>
          <w:sz w:val="28"/>
          <w:szCs w:val="28"/>
          <w:highlight w:val="none"/>
        </w:rPr>
        <w:t>服务内容</w:t>
      </w:r>
      <w:r>
        <w:rPr>
          <w:rFonts w:hint="eastAsia"/>
          <w:b/>
          <w:bCs/>
          <w:color w:val="auto"/>
          <w:sz w:val="28"/>
          <w:szCs w:val="28"/>
          <w:highlight w:val="none"/>
        </w:rPr>
        <w:t>、服务期限、质量要求</w:t>
      </w:r>
      <w:bookmarkEnd w:id="72"/>
      <w:bookmarkEnd w:id="73"/>
      <w:bookmarkEnd w:id="74"/>
      <w:bookmarkEnd w:id="75"/>
      <w:bookmarkEnd w:id="76"/>
      <w:bookmarkEnd w:id="77"/>
      <w:bookmarkEnd w:id="78"/>
      <w:bookmarkEnd w:id="79"/>
      <w:r>
        <w:rPr>
          <w:rFonts w:hint="eastAsia"/>
          <w:b/>
          <w:bCs/>
          <w:color w:val="auto"/>
          <w:sz w:val="28"/>
          <w:szCs w:val="28"/>
          <w:highlight w:val="none"/>
        </w:rPr>
        <w:t>等</w:t>
      </w:r>
    </w:p>
    <w:p w14:paraId="6525FB7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1.3.1 本招标项目的</w:t>
      </w:r>
      <w:r>
        <w:rPr>
          <w:rFonts w:ascii="宋体" w:hAnsi="宋体" w:cs="宋体"/>
          <w:color w:val="auto"/>
          <w:sz w:val="24"/>
          <w:highlight w:val="none"/>
        </w:rPr>
        <w:t>服务内容</w:t>
      </w:r>
      <w:r>
        <w:rPr>
          <w:rFonts w:hint="eastAsia" w:ascii="宋体" w:hAnsi="宋体" w:cs="宋体"/>
          <w:color w:val="auto"/>
          <w:sz w:val="24"/>
          <w:highlight w:val="none"/>
        </w:rPr>
        <w:t>：见投标人须知前附表。</w:t>
      </w:r>
    </w:p>
    <w:p w14:paraId="51CB59D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1.3.2 本招标项目的服务期限：见投标人须知前附表。</w:t>
      </w:r>
    </w:p>
    <w:p w14:paraId="1F4D884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1.3.3 本招标项目的质量要求：见投标人须知前附表。</w:t>
      </w:r>
    </w:p>
    <w:p w14:paraId="4B99BD18">
      <w:pPr>
        <w:spacing w:line="360" w:lineRule="auto"/>
        <w:rPr>
          <w:b/>
          <w:bCs/>
          <w:color w:val="auto"/>
          <w:sz w:val="28"/>
          <w:szCs w:val="28"/>
          <w:highlight w:val="none"/>
        </w:rPr>
      </w:pPr>
      <w:bookmarkStart w:id="80" w:name="_Toc246996922"/>
      <w:bookmarkStart w:id="81" w:name="_Toc247085693"/>
      <w:bookmarkStart w:id="82" w:name="_Toc152042310"/>
      <w:bookmarkStart w:id="83" w:name="_Toc338840191"/>
      <w:bookmarkStart w:id="84" w:name="_Toc152045534"/>
      <w:bookmarkStart w:id="85" w:name="_Toc144974502"/>
      <w:bookmarkStart w:id="86" w:name="_Toc179632551"/>
      <w:bookmarkStart w:id="87" w:name="_Toc246996179"/>
      <w:r>
        <w:rPr>
          <w:rFonts w:hint="eastAsia"/>
          <w:b/>
          <w:bCs/>
          <w:color w:val="auto"/>
          <w:sz w:val="28"/>
          <w:szCs w:val="28"/>
          <w:highlight w:val="none"/>
        </w:rPr>
        <w:t>1.4 投标人资格要求</w:t>
      </w:r>
      <w:bookmarkEnd w:id="80"/>
      <w:bookmarkEnd w:id="81"/>
      <w:bookmarkEnd w:id="82"/>
      <w:bookmarkEnd w:id="83"/>
      <w:bookmarkEnd w:id="84"/>
      <w:bookmarkEnd w:id="85"/>
      <w:bookmarkEnd w:id="86"/>
      <w:bookmarkEnd w:id="87"/>
      <w:r>
        <w:rPr>
          <w:rFonts w:hint="eastAsia"/>
          <w:b/>
          <w:bCs/>
          <w:color w:val="auto"/>
          <w:sz w:val="28"/>
          <w:szCs w:val="28"/>
          <w:highlight w:val="none"/>
        </w:rPr>
        <w:t>（所有证件以投标文件中原件扫描件为准）</w:t>
      </w:r>
    </w:p>
    <w:p w14:paraId="1927856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1.4.1 投标人应具备承担本项目的资格条件详见投标人须知前附表；</w:t>
      </w:r>
    </w:p>
    <w:p w14:paraId="54CF749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1.4.2 投标人不得存在下列情形之一：</w:t>
      </w:r>
    </w:p>
    <w:p w14:paraId="34CE6810">
      <w:pPr>
        <w:spacing w:line="360" w:lineRule="auto"/>
        <w:ind w:firstLine="480" w:firstLineChars="200"/>
        <w:rPr>
          <w:rFonts w:ascii="宋体" w:hAnsi="宋体" w:cs="宋体"/>
          <w:color w:val="auto"/>
          <w:sz w:val="24"/>
          <w:highlight w:val="none"/>
        </w:rPr>
      </w:pPr>
      <w:bookmarkStart w:id="88" w:name="_Toc179632552"/>
      <w:bookmarkStart w:id="89" w:name="_Toc338840192"/>
      <w:bookmarkStart w:id="90" w:name="_Toc144974503"/>
      <w:bookmarkStart w:id="91" w:name="_Toc247085694"/>
      <w:bookmarkStart w:id="92" w:name="_Toc246996180"/>
      <w:bookmarkStart w:id="93" w:name="_Toc152042311"/>
      <w:bookmarkStart w:id="94" w:name="_Toc152045535"/>
      <w:bookmarkStart w:id="95" w:name="_Toc246996923"/>
      <w:r>
        <w:rPr>
          <w:rFonts w:hint="eastAsia" w:ascii="宋体" w:hAnsi="宋体" w:cs="宋体"/>
          <w:color w:val="auto"/>
          <w:sz w:val="24"/>
          <w:highlight w:val="none"/>
        </w:rPr>
        <w:t>（1）为</w:t>
      </w:r>
      <w:r>
        <w:rPr>
          <w:rFonts w:ascii="宋体" w:hAnsi="宋体" w:cs="宋体"/>
          <w:color w:val="auto"/>
          <w:sz w:val="24"/>
          <w:highlight w:val="none"/>
        </w:rPr>
        <w:t>采购（招标）人</w:t>
      </w:r>
      <w:r>
        <w:rPr>
          <w:rFonts w:hint="eastAsia" w:ascii="宋体" w:hAnsi="宋体" w:cs="宋体"/>
          <w:color w:val="auto"/>
          <w:sz w:val="24"/>
          <w:highlight w:val="none"/>
        </w:rPr>
        <w:t>不具有独立法人资格的附属机构（单位）；</w:t>
      </w:r>
    </w:p>
    <w:p w14:paraId="3B2097D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（2）为本招标项目提供招标代理服务的；</w:t>
      </w:r>
    </w:p>
    <w:p w14:paraId="3106540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（3）与本招标项目的代建人或招标代理机构同为一个法定代表人的；</w:t>
      </w:r>
    </w:p>
    <w:p w14:paraId="17556AA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（4）与本招标项目的代建人或招标代理机构相互控股或参股的；</w:t>
      </w:r>
    </w:p>
    <w:p w14:paraId="6798891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（5）与本招标项目的代建人或招标代理机构相互任职或工作的；</w:t>
      </w:r>
    </w:p>
    <w:p w14:paraId="12A2483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（6）被责令停业的；</w:t>
      </w:r>
    </w:p>
    <w:p w14:paraId="73B1799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（7）被暂停或取消投标资格的；</w:t>
      </w:r>
    </w:p>
    <w:p w14:paraId="221B844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（8）财产被接管或冻结的；</w:t>
      </w:r>
    </w:p>
    <w:p w14:paraId="3E1A22D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（9）在最近三年内有骗取中标或严重违约或出现重大质量问题的。</w:t>
      </w:r>
    </w:p>
    <w:p w14:paraId="1466EFC0">
      <w:pPr>
        <w:spacing w:line="360" w:lineRule="auto"/>
        <w:rPr>
          <w:b/>
          <w:bCs/>
          <w:color w:val="auto"/>
          <w:sz w:val="28"/>
          <w:szCs w:val="28"/>
          <w:highlight w:val="none"/>
        </w:rPr>
      </w:pPr>
      <w:r>
        <w:rPr>
          <w:rFonts w:hint="eastAsia"/>
          <w:b/>
          <w:bCs/>
          <w:color w:val="auto"/>
          <w:sz w:val="28"/>
          <w:szCs w:val="28"/>
          <w:highlight w:val="none"/>
        </w:rPr>
        <w:t>1.5 费用承担</w:t>
      </w:r>
      <w:bookmarkEnd w:id="88"/>
      <w:bookmarkEnd w:id="89"/>
      <w:bookmarkEnd w:id="90"/>
      <w:bookmarkEnd w:id="91"/>
      <w:bookmarkEnd w:id="92"/>
      <w:bookmarkEnd w:id="93"/>
      <w:bookmarkEnd w:id="94"/>
      <w:bookmarkEnd w:id="95"/>
    </w:p>
    <w:p w14:paraId="2EC50B6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投标人准备和参加投标活动发生的费用自理。</w:t>
      </w:r>
    </w:p>
    <w:p w14:paraId="452853A4">
      <w:pPr>
        <w:spacing w:line="360" w:lineRule="auto"/>
        <w:rPr>
          <w:b/>
          <w:bCs/>
          <w:color w:val="auto"/>
          <w:sz w:val="28"/>
          <w:szCs w:val="28"/>
          <w:highlight w:val="none"/>
        </w:rPr>
      </w:pPr>
      <w:bookmarkStart w:id="96" w:name="_Toc246996181"/>
      <w:bookmarkStart w:id="97" w:name="_Toc144974504"/>
      <w:bookmarkStart w:id="98" w:name="_Toc247085695"/>
      <w:bookmarkStart w:id="99" w:name="_Toc152045536"/>
      <w:bookmarkStart w:id="100" w:name="_Toc152042312"/>
      <w:bookmarkStart w:id="101" w:name="_Toc338840193"/>
      <w:bookmarkStart w:id="102" w:name="_Toc179632553"/>
      <w:bookmarkStart w:id="103" w:name="_Toc246996924"/>
      <w:r>
        <w:rPr>
          <w:rFonts w:hint="eastAsia"/>
          <w:b/>
          <w:bCs/>
          <w:color w:val="auto"/>
          <w:sz w:val="28"/>
          <w:szCs w:val="28"/>
          <w:highlight w:val="none"/>
        </w:rPr>
        <w:t>1.6 保密</w:t>
      </w:r>
      <w:bookmarkEnd w:id="96"/>
      <w:bookmarkEnd w:id="97"/>
      <w:bookmarkEnd w:id="98"/>
      <w:bookmarkEnd w:id="99"/>
      <w:bookmarkEnd w:id="100"/>
      <w:bookmarkEnd w:id="101"/>
      <w:bookmarkEnd w:id="102"/>
      <w:bookmarkEnd w:id="103"/>
    </w:p>
    <w:p w14:paraId="6DEE63F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参与招标投标活动的各方应对招标文件和投标文件中的商业和技术等秘密保密，违者应对由此造成的后果承担法律责任。 </w:t>
      </w:r>
    </w:p>
    <w:p w14:paraId="4A0D4F80">
      <w:pPr>
        <w:spacing w:line="360" w:lineRule="auto"/>
        <w:rPr>
          <w:b/>
          <w:bCs/>
          <w:color w:val="auto"/>
          <w:sz w:val="28"/>
          <w:szCs w:val="28"/>
          <w:highlight w:val="none"/>
        </w:rPr>
      </w:pPr>
      <w:bookmarkStart w:id="104" w:name="_Toc144974505"/>
      <w:bookmarkStart w:id="105" w:name="_Toc338840194"/>
      <w:bookmarkStart w:id="106" w:name="_Toc246996182"/>
      <w:bookmarkStart w:id="107" w:name="_Toc152042313"/>
      <w:bookmarkStart w:id="108" w:name="_Toc179632554"/>
      <w:bookmarkStart w:id="109" w:name="_Toc246996925"/>
      <w:bookmarkStart w:id="110" w:name="_Toc152045537"/>
      <w:bookmarkStart w:id="111" w:name="_Toc247085696"/>
      <w:r>
        <w:rPr>
          <w:rFonts w:hint="eastAsia"/>
          <w:b/>
          <w:bCs/>
          <w:color w:val="auto"/>
          <w:sz w:val="28"/>
          <w:szCs w:val="28"/>
          <w:highlight w:val="none"/>
        </w:rPr>
        <w:t>1.7 语言</w:t>
      </w:r>
      <w:bookmarkEnd w:id="104"/>
      <w:r>
        <w:rPr>
          <w:rFonts w:hint="eastAsia"/>
          <w:b/>
          <w:bCs/>
          <w:color w:val="auto"/>
          <w:sz w:val="28"/>
          <w:szCs w:val="28"/>
          <w:highlight w:val="none"/>
        </w:rPr>
        <w:t>文字</w:t>
      </w:r>
      <w:bookmarkEnd w:id="105"/>
      <w:bookmarkEnd w:id="106"/>
      <w:bookmarkEnd w:id="107"/>
      <w:bookmarkEnd w:id="108"/>
      <w:bookmarkEnd w:id="109"/>
      <w:bookmarkEnd w:id="110"/>
      <w:bookmarkEnd w:id="111"/>
    </w:p>
    <w:p w14:paraId="42C6B143">
      <w:pPr>
        <w:spacing w:line="360" w:lineRule="auto"/>
        <w:ind w:firstLine="480" w:firstLineChars="200"/>
        <w:rPr>
          <w:rFonts w:ascii="宋体" w:hAnsi="宋体" w:cs="宋体"/>
          <w:color w:val="auto"/>
          <w:sz w:val="24"/>
          <w:highlight w:val="none"/>
        </w:rPr>
      </w:pPr>
      <w:bookmarkStart w:id="112" w:name="_Toc246996183"/>
      <w:bookmarkStart w:id="113" w:name="_Toc152042314"/>
      <w:bookmarkStart w:id="114" w:name="_Toc179632555"/>
      <w:bookmarkStart w:id="115" w:name="_Toc144974506"/>
      <w:bookmarkStart w:id="116" w:name="_Toc152045538"/>
      <w:bookmarkStart w:id="117" w:name="_Toc247085697"/>
      <w:bookmarkStart w:id="118" w:name="_Toc246996926"/>
      <w:r>
        <w:rPr>
          <w:rFonts w:hint="eastAsia" w:ascii="宋体" w:hAnsi="宋体" w:cs="宋体"/>
          <w:color w:val="auto"/>
          <w:sz w:val="24"/>
          <w:highlight w:val="none"/>
        </w:rPr>
        <w:t>招标投标文件使用的语言文字为中文。专用术语使用外文的，应附有中文注释。证书证件应使用中文版本，无中文版本的应附相应的中文注释。</w:t>
      </w:r>
    </w:p>
    <w:p w14:paraId="417E5C81">
      <w:pPr>
        <w:spacing w:line="360" w:lineRule="auto"/>
        <w:rPr>
          <w:b/>
          <w:bCs/>
          <w:color w:val="auto"/>
          <w:sz w:val="28"/>
          <w:szCs w:val="28"/>
          <w:highlight w:val="none"/>
        </w:rPr>
      </w:pPr>
      <w:bookmarkStart w:id="119" w:name="_Toc338840195"/>
      <w:r>
        <w:rPr>
          <w:rFonts w:hint="eastAsia"/>
          <w:b/>
          <w:bCs/>
          <w:color w:val="auto"/>
          <w:sz w:val="28"/>
          <w:szCs w:val="28"/>
          <w:highlight w:val="none"/>
        </w:rPr>
        <w:t>1.8 计量单位</w:t>
      </w:r>
      <w:bookmarkEnd w:id="112"/>
      <w:bookmarkEnd w:id="113"/>
      <w:bookmarkEnd w:id="114"/>
      <w:bookmarkEnd w:id="115"/>
      <w:bookmarkEnd w:id="116"/>
      <w:bookmarkEnd w:id="117"/>
      <w:bookmarkEnd w:id="118"/>
      <w:bookmarkEnd w:id="119"/>
    </w:p>
    <w:p w14:paraId="5FCBAD3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所有计量均采用中华人民共和国法定计量单位。</w:t>
      </w:r>
    </w:p>
    <w:p w14:paraId="598668C4">
      <w:pPr>
        <w:spacing w:line="360" w:lineRule="auto"/>
        <w:rPr>
          <w:b/>
          <w:bCs/>
          <w:color w:val="auto"/>
          <w:sz w:val="28"/>
          <w:szCs w:val="28"/>
          <w:highlight w:val="none"/>
        </w:rPr>
      </w:pPr>
      <w:bookmarkStart w:id="120" w:name="_Toc247513962"/>
      <w:bookmarkStart w:id="121" w:name="_Toc144974507"/>
      <w:bookmarkStart w:id="122" w:name="_Toc247527563"/>
      <w:bookmarkStart w:id="123" w:name="_Toc152045539"/>
      <w:bookmarkStart w:id="124" w:name="_Toc338840196"/>
      <w:bookmarkStart w:id="125" w:name="_Toc152042315"/>
      <w:bookmarkStart w:id="126" w:name="_Toc247592876"/>
      <w:r>
        <w:rPr>
          <w:rFonts w:hint="eastAsia"/>
          <w:b/>
          <w:bCs/>
          <w:color w:val="auto"/>
          <w:sz w:val="28"/>
          <w:szCs w:val="28"/>
          <w:highlight w:val="none"/>
        </w:rPr>
        <w:t>1.9 踏勘现场</w:t>
      </w:r>
      <w:bookmarkEnd w:id="120"/>
      <w:bookmarkEnd w:id="121"/>
      <w:bookmarkEnd w:id="122"/>
      <w:bookmarkEnd w:id="123"/>
      <w:bookmarkEnd w:id="124"/>
      <w:bookmarkEnd w:id="125"/>
      <w:bookmarkEnd w:id="126"/>
      <w:r>
        <w:rPr>
          <w:rFonts w:hint="eastAsia"/>
          <w:b/>
          <w:bCs/>
          <w:color w:val="auto"/>
          <w:sz w:val="28"/>
          <w:szCs w:val="28"/>
          <w:highlight w:val="none"/>
        </w:rPr>
        <w:t>（不组织）</w:t>
      </w:r>
    </w:p>
    <w:p w14:paraId="6D47D85F">
      <w:pPr>
        <w:spacing w:line="360" w:lineRule="auto"/>
        <w:rPr>
          <w:b/>
          <w:bCs/>
          <w:color w:val="auto"/>
          <w:sz w:val="28"/>
          <w:szCs w:val="28"/>
          <w:highlight w:val="none"/>
        </w:rPr>
      </w:pPr>
      <w:bookmarkStart w:id="127" w:name="_Toc247513963"/>
      <w:bookmarkStart w:id="128" w:name="_Toc144974508"/>
      <w:bookmarkStart w:id="129" w:name="_Toc247527564"/>
      <w:bookmarkStart w:id="130" w:name="_Toc152042316"/>
      <w:bookmarkStart w:id="131" w:name="_Toc247592877"/>
      <w:bookmarkStart w:id="132" w:name="_Toc152045540"/>
      <w:bookmarkStart w:id="133" w:name="_Toc338840197"/>
      <w:r>
        <w:rPr>
          <w:rFonts w:hint="eastAsia"/>
          <w:b/>
          <w:bCs/>
          <w:color w:val="auto"/>
          <w:sz w:val="28"/>
          <w:szCs w:val="28"/>
          <w:highlight w:val="none"/>
        </w:rPr>
        <w:t>1.10 投标预备会</w:t>
      </w:r>
      <w:bookmarkEnd w:id="127"/>
      <w:bookmarkEnd w:id="128"/>
      <w:bookmarkEnd w:id="129"/>
      <w:bookmarkEnd w:id="130"/>
      <w:bookmarkEnd w:id="131"/>
      <w:bookmarkEnd w:id="132"/>
      <w:bookmarkEnd w:id="133"/>
      <w:r>
        <w:rPr>
          <w:rFonts w:hint="eastAsia"/>
          <w:b/>
          <w:bCs/>
          <w:color w:val="auto"/>
          <w:sz w:val="28"/>
          <w:szCs w:val="28"/>
          <w:highlight w:val="none"/>
        </w:rPr>
        <w:t>（不召开）</w:t>
      </w:r>
    </w:p>
    <w:p w14:paraId="44180131">
      <w:pPr>
        <w:spacing w:line="360" w:lineRule="auto"/>
        <w:rPr>
          <w:b/>
          <w:bCs/>
          <w:color w:val="auto"/>
          <w:sz w:val="28"/>
          <w:szCs w:val="28"/>
          <w:highlight w:val="none"/>
        </w:rPr>
      </w:pPr>
      <w:bookmarkStart w:id="134" w:name="_Toc338840198"/>
      <w:bookmarkStart w:id="135" w:name="_Toc346523403"/>
      <w:bookmarkStart w:id="136" w:name="_Toc144974510"/>
      <w:bookmarkStart w:id="137" w:name="_Toc494093430"/>
      <w:bookmarkStart w:id="138" w:name="_Toc247085701"/>
      <w:bookmarkStart w:id="139" w:name="_Toc494102992"/>
      <w:bookmarkStart w:id="140" w:name="_Toc246996930"/>
      <w:bookmarkStart w:id="141" w:name="_Toc346523466"/>
      <w:bookmarkStart w:id="142" w:name="_Toc338840443"/>
      <w:bookmarkStart w:id="143" w:name="_Toc338840482"/>
      <w:bookmarkStart w:id="144" w:name="_Toc152042318"/>
      <w:bookmarkStart w:id="145" w:name="_Toc152045542"/>
      <w:bookmarkStart w:id="146" w:name="_Toc179632560"/>
      <w:bookmarkStart w:id="147" w:name="_Toc246996187"/>
      <w:bookmarkStart w:id="148" w:name="_Toc338840199"/>
      <w:r>
        <w:rPr>
          <w:rFonts w:hint="eastAsia"/>
          <w:b/>
          <w:bCs/>
          <w:color w:val="auto"/>
          <w:sz w:val="28"/>
          <w:szCs w:val="28"/>
          <w:highlight w:val="none"/>
        </w:rPr>
        <w:t>1.11分包、转包（不允许）</w:t>
      </w:r>
    </w:p>
    <w:bookmarkEnd w:id="134"/>
    <w:p w14:paraId="4470F2A3">
      <w:pPr>
        <w:spacing w:line="360" w:lineRule="auto"/>
        <w:rPr>
          <w:b/>
          <w:bCs/>
          <w:color w:val="auto"/>
          <w:sz w:val="28"/>
          <w:szCs w:val="28"/>
          <w:highlight w:val="none"/>
        </w:rPr>
      </w:pPr>
      <w:r>
        <w:rPr>
          <w:rFonts w:hint="eastAsia"/>
          <w:b/>
          <w:bCs/>
          <w:color w:val="auto"/>
          <w:sz w:val="28"/>
          <w:szCs w:val="28"/>
          <w:highlight w:val="none"/>
        </w:rPr>
        <w:t>2. 招标文件</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3CA11F28">
      <w:pPr>
        <w:spacing w:line="360" w:lineRule="auto"/>
        <w:rPr>
          <w:b/>
          <w:bCs/>
          <w:color w:val="auto"/>
          <w:sz w:val="28"/>
          <w:szCs w:val="28"/>
          <w:highlight w:val="none"/>
        </w:rPr>
      </w:pPr>
      <w:bookmarkStart w:id="149" w:name="_Toc247085702"/>
      <w:bookmarkStart w:id="150" w:name="_Toc152042319"/>
      <w:bookmarkStart w:id="151" w:name="_Toc338840200"/>
      <w:bookmarkStart w:id="152" w:name="_Toc152045543"/>
      <w:bookmarkStart w:id="153" w:name="_Toc246996931"/>
      <w:bookmarkStart w:id="154" w:name="_Toc144974511"/>
      <w:bookmarkStart w:id="155" w:name="_Toc246996188"/>
      <w:bookmarkStart w:id="156" w:name="_Toc179632561"/>
      <w:r>
        <w:rPr>
          <w:rFonts w:hint="eastAsia"/>
          <w:b/>
          <w:bCs/>
          <w:color w:val="auto"/>
          <w:sz w:val="28"/>
          <w:szCs w:val="28"/>
          <w:highlight w:val="none"/>
        </w:rPr>
        <w:t>2.1 招标文件的组成</w:t>
      </w:r>
      <w:bookmarkEnd w:id="149"/>
      <w:bookmarkEnd w:id="150"/>
      <w:bookmarkEnd w:id="151"/>
      <w:bookmarkEnd w:id="152"/>
      <w:bookmarkEnd w:id="153"/>
      <w:bookmarkEnd w:id="154"/>
      <w:bookmarkEnd w:id="155"/>
      <w:bookmarkEnd w:id="156"/>
    </w:p>
    <w:p w14:paraId="19D4DC08">
      <w:pPr>
        <w:spacing w:line="360" w:lineRule="auto"/>
        <w:ind w:firstLine="420" w:firstLineChars="200"/>
        <w:rPr>
          <w:rFonts w:ascii="宋体" w:hAnsi="宋体" w:cs="宋体"/>
          <w:color w:val="auto"/>
          <w:sz w:val="24"/>
          <w:highlight w:val="none"/>
        </w:rPr>
      </w:pPr>
      <w:r>
        <w:rPr>
          <w:rFonts w:hint="eastAsia" w:ascii="宋体" w:hAnsi="宋体" w:cs="宋体"/>
          <w:color w:val="auto"/>
          <w:highlight w:val="none"/>
        </w:rPr>
        <w:t>　　</w:t>
      </w:r>
      <w:r>
        <w:rPr>
          <w:rFonts w:hint="eastAsia" w:ascii="宋体" w:hAnsi="宋体" w:cs="宋体"/>
          <w:color w:val="auto"/>
          <w:sz w:val="24"/>
          <w:highlight w:val="none"/>
        </w:rPr>
        <w:t>2.1.1 本招标文件包括：</w:t>
      </w:r>
    </w:p>
    <w:p w14:paraId="74D2C04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（1）招标公告；</w:t>
      </w:r>
    </w:p>
    <w:p w14:paraId="68152BA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（2）投标人须知；</w:t>
      </w:r>
    </w:p>
    <w:p w14:paraId="4363241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（3）评标办法；</w:t>
      </w:r>
    </w:p>
    <w:p w14:paraId="4BF18E2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（4）政府采购合同（样本）；</w:t>
      </w:r>
    </w:p>
    <w:p w14:paraId="24D0D6A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（5）项目</w:t>
      </w:r>
      <w:r>
        <w:rPr>
          <w:rFonts w:ascii="宋体" w:hAnsi="宋体" w:cs="宋体"/>
          <w:color w:val="auto"/>
          <w:sz w:val="24"/>
          <w:highlight w:val="none"/>
        </w:rPr>
        <w:t>服务内容</w:t>
      </w:r>
      <w:r>
        <w:rPr>
          <w:rFonts w:hint="eastAsia" w:ascii="宋体" w:hAnsi="宋体" w:cs="宋体"/>
          <w:color w:val="auto"/>
          <w:sz w:val="24"/>
          <w:highlight w:val="none"/>
        </w:rPr>
        <w:t xml:space="preserve">及要求； </w:t>
      </w:r>
    </w:p>
    <w:p w14:paraId="155F894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（6）投标文件格式；</w:t>
      </w:r>
    </w:p>
    <w:p w14:paraId="62E634D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2.1.2 根据本章第1.10款、第2.2款和第2.3款对招标文件所作的澄清、修改，构成招标文件的组成部分。</w:t>
      </w:r>
    </w:p>
    <w:p w14:paraId="3B3D917B">
      <w:pPr>
        <w:spacing w:line="360" w:lineRule="auto"/>
        <w:rPr>
          <w:b/>
          <w:bCs/>
          <w:color w:val="auto"/>
          <w:sz w:val="28"/>
          <w:szCs w:val="28"/>
          <w:highlight w:val="none"/>
        </w:rPr>
      </w:pPr>
      <w:bookmarkStart w:id="157" w:name="_Toc179632562"/>
      <w:bookmarkStart w:id="158" w:name="_Toc247085703"/>
      <w:bookmarkStart w:id="159" w:name="_Toc246996189"/>
      <w:bookmarkStart w:id="160" w:name="_Toc152045544"/>
      <w:bookmarkStart w:id="161" w:name="_Toc338840201"/>
      <w:bookmarkStart w:id="162" w:name="_Toc144974512"/>
      <w:bookmarkStart w:id="163" w:name="_Toc152042320"/>
      <w:bookmarkStart w:id="164" w:name="_Toc246996932"/>
      <w:r>
        <w:rPr>
          <w:rFonts w:hint="eastAsia"/>
          <w:b/>
          <w:bCs/>
          <w:color w:val="auto"/>
          <w:sz w:val="28"/>
          <w:szCs w:val="28"/>
          <w:highlight w:val="none"/>
        </w:rPr>
        <w:t>2.2 招标文件的澄清</w:t>
      </w:r>
      <w:bookmarkEnd w:id="157"/>
      <w:bookmarkEnd w:id="158"/>
      <w:bookmarkEnd w:id="159"/>
      <w:bookmarkEnd w:id="160"/>
      <w:bookmarkEnd w:id="161"/>
      <w:bookmarkEnd w:id="162"/>
      <w:bookmarkEnd w:id="163"/>
      <w:bookmarkEnd w:id="164"/>
      <w:r>
        <w:rPr>
          <w:rFonts w:hint="eastAsia"/>
          <w:b/>
          <w:bCs/>
          <w:color w:val="auto"/>
          <w:sz w:val="28"/>
          <w:szCs w:val="28"/>
          <w:highlight w:val="none"/>
        </w:rPr>
        <w:t>和修改</w:t>
      </w:r>
    </w:p>
    <w:p w14:paraId="3037F96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2.2.1 投标人应仔细阅读和检查招标文件的全部内容。如发现缺页或附件不全，应及时向</w:t>
      </w:r>
      <w:r>
        <w:rPr>
          <w:rFonts w:ascii="宋体" w:hAnsi="宋体" w:cs="宋体"/>
          <w:color w:val="auto"/>
          <w:sz w:val="24"/>
          <w:highlight w:val="none"/>
        </w:rPr>
        <w:t>采购（招标）人</w:t>
      </w:r>
      <w:r>
        <w:rPr>
          <w:rFonts w:hint="eastAsia" w:ascii="宋体" w:hAnsi="宋体" w:cs="宋体"/>
          <w:color w:val="auto"/>
          <w:sz w:val="24"/>
          <w:highlight w:val="none"/>
        </w:rPr>
        <w:t>提出，以便补齐。如有疑问，应在投标人须知前附表规定的时间前以数据电文形式通过电子交易平台提出疑问，要求</w:t>
      </w:r>
      <w:r>
        <w:rPr>
          <w:rFonts w:ascii="宋体" w:hAnsi="宋体" w:cs="宋体"/>
          <w:color w:val="auto"/>
          <w:sz w:val="24"/>
          <w:highlight w:val="none"/>
        </w:rPr>
        <w:t>采购（招标）人</w:t>
      </w:r>
      <w:r>
        <w:rPr>
          <w:rFonts w:hint="eastAsia" w:ascii="宋体" w:hAnsi="宋体" w:cs="宋体"/>
          <w:color w:val="auto"/>
          <w:sz w:val="24"/>
          <w:highlight w:val="none"/>
        </w:rPr>
        <w:t>对招标文件予以澄清。</w:t>
      </w:r>
    </w:p>
    <w:p w14:paraId="057C55D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2.2.2招标文件的澄清将以公告形式发出不再以书面形式单独发给所有已获取招标文件的供应商。如果澄清发出的时间距投标人须知前附表规定的投标截止时间不足15天，并且澄清内容影响投标文件编制的，将相应延长投标截止时间。</w:t>
      </w:r>
    </w:p>
    <w:p w14:paraId="0AECC57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2.2.3 供应商应及时关注相关媒体，查看澄清和修改。查阅公告后无需以书面形式回复通知</w:t>
      </w:r>
      <w:r>
        <w:rPr>
          <w:rFonts w:ascii="宋体" w:hAnsi="宋体" w:cs="宋体"/>
          <w:color w:val="auto"/>
          <w:sz w:val="24"/>
          <w:highlight w:val="none"/>
        </w:rPr>
        <w:t>采购（招标）人</w:t>
      </w:r>
      <w:r>
        <w:rPr>
          <w:rFonts w:hint="eastAsia" w:ascii="宋体" w:hAnsi="宋体" w:cs="宋体"/>
          <w:color w:val="auto"/>
          <w:sz w:val="24"/>
          <w:highlight w:val="none"/>
        </w:rPr>
        <w:t>。</w:t>
      </w:r>
    </w:p>
    <w:p w14:paraId="7CC1B8D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2.2.4 除非</w:t>
      </w:r>
      <w:r>
        <w:rPr>
          <w:rFonts w:ascii="宋体" w:hAnsi="宋体" w:cs="宋体"/>
          <w:color w:val="auto"/>
          <w:sz w:val="24"/>
          <w:highlight w:val="none"/>
        </w:rPr>
        <w:t>采购（招标）人</w:t>
      </w:r>
      <w:r>
        <w:rPr>
          <w:rFonts w:hint="eastAsia" w:ascii="宋体" w:hAnsi="宋体" w:cs="宋体"/>
          <w:color w:val="auto"/>
          <w:sz w:val="24"/>
          <w:highlight w:val="none"/>
        </w:rPr>
        <w:t>认为确有必要答复，否则，</w:t>
      </w:r>
      <w:r>
        <w:rPr>
          <w:rFonts w:ascii="宋体" w:hAnsi="宋体" w:cs="宋体"/>
          <w:color w:val="auto"/>
          <w:sz w:val="24"/>
          <w:highlight w:val="none"/>
        </w:rPr>
        <w:t>采购（招标）人</w:t>
      </w:r>
      <w:r>
        <w:rPr>
          <w:rFonts w:hint="eastAsia" w:ascii="宋体" w:hAnsi="宋体" w:cs="宋体"/>
          <w:color w:val="auto"/>
          <w:sz w:val="24"/>
          <w:highlight w:val="none"/>
        </w:rPr>
        <w:t>有权拒绝回复供应商在本章第 2.2.1 项规定的时间后的任何澄清要求。</w:t>
      </w:r>
    </w:p>
    <w:p w14:paraId="12FED639">
      <w:pPr>
        <w:spacing w:line="360" w:lineRule="auto"/>
        <w:rPr>
          <w:b/>
          <w:bCs/>
          <w:color w:val="auto"/>
          <w:sz w:val="28"/>
          <w:szCs w:val="28"/>
          <w:highlight w:val="none"/>
        </w:rPr>
      </w:pPr>
      <w:bookmarkStart w:id="165" w:name="_Toc494102993"/>
      <w:bookmarkStart w:id="166" w:name="_Toc338840444"/>
      <w:bookmarkStart w:id="167" w:name="_Toc246996191"/>
      <w:bookmarkStart w:id="168" w:name="_Toc144974514"/>
      <w:bookmarkStart w:id="169" w:name="_Toc346523467"/>
      <w:bookmarkStart w:id="170" w:name="_Toc494093431"/>
      <w:bookmarkStart w:id="171" w:name="_Toc152042322"/>
      <w:bookmarkStart w:id="172" w:name="_Toc346523404"/>
      <w:bookmarkStart w:id="173" w:name="_Toc179632564"/>
      <w:bookmarkStart w:id="174" w:name="_Toc338840203"/>
      <w:bookmarkStart w:id="175" w:name="_Toc152045546"/>
      <w:bookmarkStart w:id="176" w:name="_Toc338840483"/>
      <w:bookmarkStart w:id="177" w:name="_Toc247085705"/>
      <w:bookmarkStart w:id="178" w:name="_Toc246996934"/>
      <w:r>
        <w:rPr>
          <w:rFonts w:hint="eastAsia"/>
          <w:b/>
          <w:bCs/>
          <w:color w:val="auto"/>
          <w:sz w:val="28"/>
          <w:szCs w:val="28"/>
          <w:highlight w:val="none"/>
        </w:rPr>
        <w:t>3. 投标文件</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14:paraId="61D274AF">
      <w:pPr>
        <w:spacing w:line="360" w:lineRule="auto"/>
        <w:rPr>
          <w:b/>
          <w:bCs/>
          <w:color w:val="auto"/>
          <w:sz w:val="28"/>
          <w:szCs w:val="28"/>
          <w:highlight w:val="none"/>
        </w:rPr>
      </w:pPr>
      <w:bookmarkStart w:id="179" w:name="_Toc247085706"/>
      <w:bookmarkStart w:id="180" w:name="_Toc152045547"/>
      <w:bookmarkStart w:id="181" w:name="_Toc144974515"/>
      <w:bookmarkStart w:id="182" w:name="_Toc338840204"/>
      <w:bookmarkStart w:id="183" w:name="_Toc246996935"/>
      <w:bookmarkStart w:id="184" w:name="_Toc246996192"/>
      <w:bookmarkStart w:id="185" w:name="_Toc152042323"/>
      <w:bookmarkStart w:id="186" w:name="_Toc179632565"/>
      <w:r>
        <w:rPr>
          <w:rFonts w:hint="eastAsia"/>
          <w:b/>
          <w:bCs/>
          <w:color w:val="auto"/>
          <w:sz w:val="28"/>
          <w:szCs w:val="28"/>
          <w:highlight w:val="none"/>
        </w:rPr>
        <w:t>3.1 投标文件的组成</w:t>
      </w:r>
      <w:bookmarkEnd w:id="179"/>
      <w:bookmarkEnd w:id="180"/>
      <w:bookmarkEnd w:id="181"/>
      <w:bookmarkEnd w:id="182"/>
      <w:bookmarkEnd w:id="183"/>
      <w:bookmarkEnd w:id="184"/>
      <w:bookmarkEnd w:id="185"/>
      <w:bookmarkEnd w:id="186"/>
    </w:p>
    <w:p w14:paraId="23C3C42E">
      <w:pPr>
        <w:spacing w:line="360" w:lineRule="auto"/>
        <w:ind w:firstLine="480" w:firstLineChars="200"/>
        <w:rPr>
          <w:rFonts w:ascii="宋体" w:hAnsi="宋体" w:cs="宋体"/>
          <w:color w:val="auto"/>
          <w:sz w:val="24"/>
          <w:highlight w:val="none"/>
        </w:rPr>
      </w:pPr>
      <w:bookmarkStart w:id="187" w:name="_Toc179632566"/>
      <w:bookmarkStart w:id="188" w:name="_Toc152042324"/>
      <w:bookmarkStart w:id="189" w:name="_Toc144974516"/>
      <w:bookmarkStart w:id="190" w:name="_Toc338840205"/>
      <w:bookmarkStart w:id="191" w:name="_Toc246996936"/>
      <w:bookmarkStart w:id="192" w:name="_Toc246996193"/>
      <w:bookmarkStart w:id="193" w:name="_Toc247085707"/>
      <w:bookmarkStart w:id="194" w:name="_Toc152045548"/>
      <w:r>
        <w:rPr>
          <w:rFonts w:hint="eastAsia" w:ascii="宋体" w:hAnsi="宋体" w:cs="宋体"/>
          <w:color w:val="auto"/>
          <w:sz w:val="24"/>
          <w:highlight w:val="none"/>
        </w:rPr>
        <w:t>投标文件应包括的内容：见第六章投标文件格式</w:t>
      </w:r>
    </w:p>
    <w:bookmarkEnd w:id="187"/>
    <w:bookmarkEnd w:id="188"/>
    <w:bookmarkEnd w:id="189"/>
    <w:bookmarkEnd w:id="190"/>
    <w:bookmarkEnd w:id="191"/>
    <w:bookmarkEnd w:id="192"/>
    <w:bookmarkEnd w:id="193"/>
    <w:bookmarkEnd w:id="194"/>
    <w:p w14:paraId="172C6967">
      <w:pPr>
        <w:spacing w:line="360" w:lineRule="auto"/>
        <w:rPr>
          <w:rFonts w:hint="eastAsia" w:eastAsia="宋体" w:cs="Times New Roman"/>
          <w:b/>
          <w:bCs/>
          <w:color w:val="auto"/>
          <w:sz w:val="28"/>
          <w:szCs w:val="28"/>
          <w:highlight w:val="none"/>
        </w:rPr>
      </w:pPr>
      <w:r>
        <w:rPr>
          <w:rFonts w:hint="eastAsia" w:eastAsia="宋体" w:cs="Times New Roman"/>
          <w:b/>
          <w:bCs/>
          <w:color w:val="auto"/>
          <w:sz w:val="28"/>
          <w:szCs w:val="28"/>
          <w:highlight w:val="none"/>
        </w:rPr>
        <w:t>3.2 投标报价</w:t>
      </w:r>
    </w:p>
    <w:p w14:paraId="4E7F617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3.2.1 报价范围：见供应商须知前附表。</w:t>
      </w:r>
    </w:p>
    <w:p w14:paraId="4B53A00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3.2.2 报价应具有唯一性，即只能有一个有效报价（要求只进行分类分项报价的项目除外）。本项目不接受任何有选择性的报价。</w:t>
      </w:r>
    </w:p>
    <w:p w14:paraId="1D91F52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3.2.3 招标人设有最高投标限价的，供应商的投标报价不得超过最高投标限价，最高投标限价在供应商须知前附表中载明。</w:t>
      </w:r>
    </w:p>
    <w:p w14:paraId="65C2277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3.2.4 报价币种：见供应商须知前附表。</w:t>
      </w:r>
    </w:p>
    <w:p w14:paraId="05BEC9DB">
      <w:pPr>
        <w:spacing w:line="360" w:lineRule="auto"/>
        <w:rPr>
          <w:b/>
          <w:bCs/>
          <w:color w:val="auto"/>
          <w:sz w:val="28"/>
          <w:szCs w:val="28"/>
          <w:highlight w:val="none"/>
        </w:rPr>
      </w:pPr>
      <w:bookmarkStart w:id="195" w:name="_Toc144974517"/>
      <w:bookmarkStart w:id="196" w:name="_Toc338840206"/>
      <w:bookmarkStart w:id="197" w:name="_Toc179632567"/>
      <w:bookmarkStart w:id="198" w:name="_Toc246996194"/>
      <w:bookmarkStart w:id="199" w:name="_Toc152042325"/>
      <w:bookmarkStart w:id="200" w:name="_Toc247085708"/>
      <w:bookmarkStart w:id="201" w:name="_Toc246996937"/>
      <w:bookmarkStart w:id="202" w:name="_Toc152045549"/>
      <w:r>
        <w:rPr>
          <w:rFonts w:hint="eastAsia"/>
          <w:b/>
          <w:bCs/>
          <w:color w:val="auto"/>
          <w:sz w:val="28"/>
          <w:szCs w:val="28"/>
          <w:highlight w:val="none"/>
        </w:rPr>
        <w:t>3.3 投标有效期</w:t>
      </w:r>
      <w:bookmarkEnd w:id="195"/>
      <w:bookmarkEnd w:id="196"/>
      <w:bookmarkEnd w:id="197"/>
      <w:bookmarkEnd w:id="198"/>
      <w:bookmarkEnd w:id="199"/>
      <w:bookmarkEnd w:id="200"/>
      <w:bookmarkEnd w:id="201"/>
      <w:bookmarkEnd w:id="202"/>
    </w:p>
    <w:p w14:paraId="2417B24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3.3.1 除投标人须知前附表另有规定外，自投标截止之日起</w:t>
      </w:r>
      <w:r>
        <w:rPr>
          <w:rFonts w:hint="eastAsia" w:ascii="宋体" w:hAnsi="宋体" w:cs="宋体"/>
          <w:color w:val="auto"/>
          <w:sz w:val="24"/>
          <w:highlight w:val="none"/>
          <w:u w:val="single"/>
        </w:rPr>
        <w:t xml:space="preserve"> 60</w:t>
      </w:r>
      <w:r>
        <w:rPr>
          <w:rFonts w:hint="eastAsia" w:ascii="宋体" w:hAnsi="宋体" w:cs="宋体"/>
          <w:color w:val="auto"/>
          <w:sz w:val="24"/>
          <w:highlight w:val="none"/>
        </w:rPr>
        <w:t>日历天（投标人承诺的投标有效期不得少于该时间要求）。</w:t>
      </w:r>
    </w:p>
    <w:p w14:paraId="20422CA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3.3.2在投标有效期内，投标人撤销或修改其投标文件的，应承担招标文件和法律规定的责任。</w:t>
      </w:r>
    </w:p>
    <w:p w14:paraId="1C81469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3.3.3出现特殊情况需要延长投标有效期的，</w:t>
      </w:r>
      <w:bookmarkStart w:id="203" w:name="_Toc246996195"/>
      <w:bookmarkEnd w:id="203"/>
      <w:bookmarkStart w:id="204" w:name="_Toc152045550"/>
      <w:bookmarkEnd w:id="204"/>
      <w:bookmarkStart w:id="205" w:name="_Toc144974518"/>
      <w:bookmarkEnd w:id="205"/>
      <w:bookmarkStart w:id="206" w:name="_Toc152042326"/>
      <w:bookmarkEnd w:id="206"/>
      <w:bookmarkStart w:id="207" w:name="_Toc338840207"/>
      <w:bookmarkEnd w:id="207"/>
      <w:bookmarkStart w:id="208" w:name="_Toc247085709"/>
      <w:bookmarkEnd w:id="208"/>
      <w:bookmarkStart w:id="209" w:name="_Toc246996938"/>
      <w:bookmarkEnd w:id="209"/>
      <w:bookmarkStart w:id="210" w:name="_Toc179632568"/>
      <w:bookmarkEnd w:id="210"/>
      <w:r>
        <w:rPr>
          <w:rFonts w:ascii="宋体" w:hAnsi="宋体" w:cs="宋体"/>
          <w:color w:val="auto"/>
          <w:sz w:val="24"/>
          <w:highlight w:val="none"/>
        </w:rPr>
        <w:t>采购（招标）人</w:t>
      </w:r>
      <w:r>
        <w:rPr>
          <w:rFonts w:hint="eastAsia" w:ascii="宋体" w:hAnsi="宋体" w:cs="宋体"/>
          <w:color w:val="auto"/>
          <w:sz w:val="24"/>
          <w:highlight w:val="none"/>
        </w:rPr>
        <w:t>以数据电文形式通过电子交易平台通知所有投标人延长投标有效期。</w:t>
      </w:r>
    </w:p>
    <w:p w14:paraId="3749BF5E">
      <w:pPr>
        <w:spacing w:line="360" w:lineRule="auto"/>
        <w:rPr>
          <w:b/>
          <w:bCs/>
          <w:color w:val="auto"/>
          <w:sz w:val="28"/>
          <w:szCs w:val="28"/>
          <w:highlight w:val="none"/>
        </w:rPr>
      </w:pPr>
      <w:r>
        <w:rPr>
          <w:rFonts w:hint="eastAsia"/>
          <w:b/>
          <w:bCs/>
          <w:color w:val="auto"/>
          <w:sz w:val="28"/>
          <w:szCs w:val="28"/>
          <w:highlight w:val="none"/>
        </w:rPr>
        <w:t>3.4 投标保证金（不收取）</w:t>
      </w:r>
    </w:p>
    <w:p w14:paraId="4C6A6ADB">
      <w:pPr>
        <w:spacing w:line="360" w:lineRule="auto"/>
        <w:rPr>
          <w:b/>
          <w:bCs/>
          <w:color w:val="auto"/>
          <w:sz w:val="28"/>
          <w:szCs w:val="28"/>
          <w:highlight w:val="none"/>
        </w:rPr>
      </w:pPr>
      <w:bookmarkStart w:id="211" w:name="_Toc152045552"/>
      <w:bookmarkStart w:id="212" w:name="_Toc144974520"/>
      <w:bookmarkStart w:id="213" w:name="_Toc247085710"/>
      <w:bookmarkStart w:id="214" w:name="_Toc152042328"/>
      <w:bookmarkStart w:id="215" w:name="_Toc179632570"/>
      <w:bookmarkStart w:id="216" w:name="_Toc338840208"/>
      <w:bookmarkStart w:id="217" w:name="_Toc246996196"/>
      <w:bookmarkStart w:id="218" w:name="_Toc246996939"/>
      <w:r>
        <w:rPr>
          <w:rFonts w:hint="eastAsia"/>
          <w:b/>
          <w:bCs/>
          <w:color w:val="auto"/>
          <w:sz w:val="28"/>
          <w:szCs w:val="28"/>
          <w:highlight w:val="none"/>
        </w:rPr>
        <w:t>3.5 资格审查资料</w:t>
      </w:r>
      <w:bookmarkEnd w:id="211"/>
      <w:bookmarkEnd w:id="212"/>
      <w:bookmarkEnd w:id="213"/>
      <w:bookmarkEnd w:id="214"/>
      <w:bookmarkEnd w:id="215"/>
      <w:bookmarkEnd w:id="216"/>
      <w:bookmarkEnd w:id="217"/>
      <w:bookmarkEnd w:id="218"/>
      <w:r>
        <w:rPr>
          <w:rFonts w:hint="eastAsia"/>
          <w:color w:val="auto"/>
          <w:highlight w:val="none"/>
        </w:rPr>
        <w:t>（</w:t>
      </w:r>
      <w:r>
        <w:rPr>
          <w:rFonts w:hint="eastAsia"/>
          <w:b/>
          <w:bCs/>
          <w:color w:val="auto"/>
          <w:sz w:val="28"/>
          <w:szCs w:val="28"/>
          <w:highlight w:val="none"/>
        </w:rPr>
        <w:t>所有证件以电子投标文件中原件扫描件为准</w:t>
      </w:r>
      <w:r>
        <w:rPr>
          <w:rFonts w:hint="eastAsia"/>
          <w:color w:val="auto"/>
          <w:highlight w:val="none"/>
        </w:rPr>
        <w:t>）</w:t>
      </w:r>
    </w:p>
    <w:p w14:paraId="41EBDF9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按投标人须知前附表中要求的投标人资格审查材料应将原件扫描件附到投标文件中。</w:t>
      </w:r>
    </w:p>
    <w:p w14:paraId="7BACCFA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注：本项目为资格后审，由</w:t>
      </w:r>
      <w:r>
        <w:rPr>
          <w:rFonts w:ascii="宋体" w:hAnsi="宋体" w:cs="宋体"/>
          <w:color w:val="auto"/>
          <w:sz w:val="24"/>
          <w:highlight w:val="none"/>
        </w:rPr>
        <w:t>采购（招标）人</w:t>
      </w:r>
      <w:r>
        <w:rPr>
          <w:rFonts w:hint="eastAsia" w:ascii="宋体" w:hAnsi="宋体" w:cs="宋体"/>
          <w:color w:val="auto"/>
          <w:sz w:val="24"/>
          <w:highlight w:val="none"/>
        </w:rPr>
        <w:t>代表或代理机构人员进行资格性审查。</w:t>
      </w:r>
    </w:p>
    <w:p w14:paraId="6C684CBA">
      <w:pPr>
        <w:spacing w:line="360" w:lineRule="auto"/>
        <w:rPr>
          <w:b/>
          <w:bCs/>
          <w:color w:val="auto"/>
          <w:sz w:val="28"/>
          <w:szCs w:val="28"/>
          <w:highlight w:val="none"/>
        </w:rPr>
      </w:pPr>
      <w:bookmarkStart w:id="219" w:name="_Toc144974521"/>
      <w:bookmarkStart w:id="220" w:name="_Toc247085711"/>
      <w:bookmarkStart w:id="221" w:name="_Toc152042329"/>
      <w:bookmarkStart w:id="222" w:name="_Toc246996940"/>
      <w:bookmarkStart w:id="223" w:name="_Toc152045553"/>
      <w:bookmarkStart w:id="224" w:name="_Toc246996197"/>
      <w:bookmarkStart w:id="225" w:name="_Toc179632571"/>
      <w:r>
        <w:rPr>
          <w:rFonts w:hint="eastAsia"/>
          <w:b/>
          <w:bCs/>
          <w:color w:val="auto"/>
          <w:sz w:val="28"/>
          <w:szCs w:val="28"/>
          <w:highlight w:val="none"/>
        </w:rPr>
        <w:t>3.6 备选投标方案</w:t>
      </w:r>
    </w:p>
    <w:p w14:paraId="5F43CD7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按投标人须知前附规定不允许投标人递交备选投标方案。</w:t>
      </w:r>
    </w:p>
    <w:bookmarkEnd w:id="219"/>
    <w:bookmarkEnd w:id="220"/>
    <w:bookmarkEnd w:id="221"/>
    <w:bookmarkEnd w:id="222"/>
    <w:bookmarkEnd w:id="223"/>
    <w:bookmarkEnd w:id="224"/>
    <w:bookmarkEnd w:id="225"/>
    <w:p w14:paraId="221B82B0">
      <w:pPr>
        <w:spacing w:line="360" w:lineRule="auto"/>
        <w:rPr>
          <w:b/>
          <w:bCs/>
          <w:color w:val="auto"/>
          <w:sz w:val="28"/>
          <w:szCs w:val="28"/>
          <w:highlight w:val="none"/>
        </w:rPr>
      </w:pPr>
      <w:bookmarkStart w:id="226" w:name="_Toc246996199"/>
      <w:bookmarkStart w:id="227" w:name="_Toc346523468"/>
      <w:bookmarkStart w:id="228" w:name="_Toc338840445"/>
      <w:bookmarkStart w:id="229" w:name="_Toc338840484"/>
      <w:bookmarkStart w:id="230" w:name="_Toc152045555"/>
      <w:bookmarkStart w:id="231" w:name="_Toc494093432"/>
      <w:bookmarkStart w:id="232" w:name="_Toc346523405"/>
      <w:bookmarkStart w:id="233" w:name="_Toc144974523"/>
      <w:bookmarkStart w:id="234" w:name="_Toc152042331"/>
      <w:bookmarkStart w:id="235" w:name="_Toc246996942"/>
      <w:bookmarkStart w:id="236" w:name="_Toc179632573"/>
      <w:bookmarkStart w:id="237" w:name="_Toc247085713"/>
      <w:bookmarkStart w:id="238" w:name="_Toc338840210"/>
      <w:bookmarkStart w:id="239" w:name="_Toc494102994"/>
      <w:r>
        <w:rPr>
          <w:rFonts w:hint="eastAsia"/>
          <w:b/>
          <w:bCs/>
          <w:color w:val="auto"/>
          <w:sz w:val="28"/>
          <w:szCs w:val="28"/>
          <w:highlight w:val="none"/>
        </w:rPr>
        <w:t>3.7 投标文件的编制</w:t>
      </w:r>
    </w:p>
    <w:p w14:paraId="3C2E03AD">
      <w:pPr>
        <w:spacing w:line="4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3.7.1 投标文件应按第六章“投标文件格式”进行编写，如有必要，可以增加附页，作为投标文件的组成部分。在满足招标文件实质性要求的基础上，可以提出比招标文件要求更有利于</w:t>
      </w:r>
      <w:r>
        <w:rPr>
          <w:rFonts w:ascii="宋体" w:hAnsi="宋体" w:cs="宋体"/>
          <w:color w:val="auto"/>
          <w:sz w:val="24"/>
          <w:highlight w:val="none"/>
        </w:rPr>
        <w:t>采购（招标）人</w:t>
      </w:r>
      <w:r>
        <w:rPr>
          <w:rFonts w:hint="eastAsia" w:ascii="宋体" w:hAnsi="宋体" w:cs="宋体"/>
          <w:color w:val="auto"/>
          <w:sz w:val="24"/>
          <w:highlight w:val="none"/>
        </w:rPr>
        <w:t>的承诺。</w:t>
      </w:r>
    </w:p>
    <w:p w14:paraId="5F6FDB0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3.7.2 投标文件应当对招标文件服务期限、投标有效期、质量要求、项目</w:t>
      </w:r>
      <w:r>
        <w:rPr>
          <w:rFonts w:ascii="宋体" w:hAnsi="宋体" w:cs="宋体"/>
          <w:color w:val="auto"/>
          <w:sz w:val="24"/>
          <w:highlight w:val="none"/>
        </w:rPr>
        <w:t>服务内容</w:t>
      </w:r>
      <w:r>
        <w:rPr>
          <w:rFonts w:hint="eastAsia" w:ascii="宋体" w:hAnsi="宋体" w:cs="宋体"/>
          <w:color w:val="auto"/>
          <w:sz w:val="24"/>
          <w:highlight w:val="none"/>
        </w:rPr>
        <w:t>及要求、</w:t>
      </w:r>
      <w:r>
        <w:rPr>
          <w:rFonts w:ascii="宋体" w:hAnsi="宋体" w:cs="宋体"/>
          <w:color w:val="auto"/>
          <w:sz w:val="24"/>
          <w:highlight w:val="none"/>
        </w:rPr>
        <w:t>服务内容</w:t>
      </w:r>
      <w:r>
        <w:rPr>
          <w:rFonts w:hint="eastAsia" w:ascii="宋体" w:hAnsi="宋体" w:cs="宋体"/>
          <w:color w:val="auto"/>
          <w:sz w:val="24"/>
          <w:highlight w:val="none"/>
        </w:rPr>
        <w:t>等实质性内容作出响应。</w:t>
      </w:r>
    </w:p>
    <w:p w14:paraId="2C10CF84">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3.7.3实行电子招标投标时，</w:t>
      </w:r>
      <w:r>
        <w:rPr>
          <w:rFonts w:ascii="宋体" w:hAnsi="宋体" w:cs="宋体"/>
          <w:color w:val="auto"/>
          <w:sz w:val="24"/>
          <w:highlight w:val="none"/>
        </w:rPr>
        <w:t>投标文件全部采用电子文档，除</w:t>
      </w:r>
      <w:r>
        <w:rPr>
          <w:rFonts w:hint="eastAsia" w:ascii="宋体" w:hAnsi="宋体" w:cs="宋体"/>
          <w:color w:val="auto"/>
          <w:sz w:val="24"/>
          <w:highlight w:val="none"/>
        </w:rPr>
        <w:t>投标人（</w:t>
      </w:r>
      <w:r>
        <w:rPr>
          <w:rFonts w:ascii="宋体" w:hAnsi="宋体" w:cs="宋体"/>
          <w:color w:val="auto"/>
          <w:sz w:val="24"/>
          <w:highlight w:val="none"/>
        </w:rPr>
        <w:t>供应商</w:t>
      </w:r>
      <w:r>
        <w:rPr>
          <w:rFonts w:hint="eastAsia" w:ascii="宋体" w:hAnsi="宋体" w:cs="宋体"/>
          <w:color w:val="auto"/>
          <w:sz w:val="24"/>
          <w:highlight w:val="none"/>
        </w:rPr>
        <w:t>）</w:t>
      </w:r>
      <w:r>
        <w:rPr>
          <w:rFonts w:ascii="宋体" w:hAnsi="宋体" w:cs="宋体"/>
          <w:color w:val="auto"/>
          <w:sz w:val="24"/>
          <w:highlight w:val="none"/>
        </w:rPr>
        <w:t>须知前附表另有规定外，投标文件所附证书证件均为原件扫描件，并采用</w:t>
      </w:r>
      <w:r>
        <w:rPr>
          <w:rFonts w:hint="eastAsia" w:ascii="宋体" w:hAnsi="宋体" w:cs="宋体"/>
          <w:color w:val="auto"/>
          <w:sz w:val="24"/>
          <w:highlight w:val="none"/>
        </w:rPr>
        <w:t>CA密钥</w:t>
      </w:r>
      <w:r>
        <w:rPr>
          <w:rFonts w:ascii="宋体" w:hAnsi="宋体" w:cs="宋体"/>
          <w:color w:val="auto"/>
          <w:sz w:val="24"/>
          <w:highlight w:val="none"/>
        </w:rPr>
        <w:t>，按招标文件要求在相应位置加盖电子签章。签字或盖章的具体要求见供应商须知前附表。</w:t>
      </w:r>
    </w:p>
    <w:p w14:paraId="37BCA309">
      <w:pPr>
        <w:wordWrap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3.7.4</w:t>
      </w:r>
      <w:r>
        <w:rPr>
          <w:rFonts w:hint="eastAsia" w:ascii="宋体" w:hAnsi="宋体" w:cs="宋体"/>
          <w:color w:val="auto"/>
          <w:sz w:val="24"/>
          <w:highlight w:val="none"/>
        </w:rPr>
        <w:t>电子投标文件须在投标截止时间前在开封市公共资源交易中心网站（</w:t>
      </w:r>
      <w:r>
        <w:rPr>
          <w:rFonts w:hint="eastAsia"/>
          <w:color w:val="auto"/>
          <w:sz w:val="24"/>
          <w:highlight w:val="none"/>
        </w:rPr>
        <w:t>http://www.kfsggzyjyw.cn/kfggzy/</w:t>
      </w:r>
      <w:r>
        <w:rPr>
          <w:rFonts w:hint="eastAsia" w:ascii="宋体" w:hAnsi="宋体" w:cs="宋体"/>
          <w:color w:val="auto"/>
          <w:sz w:val="24"/>
          <w:highlight w:val="none"/>
        </w:rPr>
        <w:t>）会员系统中加密上传。</w:t>
      </w:r>
    </w:p>
    <w:p w14:paraId="5D12209F">
      <w:pPr>
        <w:spacing w:line="360" w:lineRule="auto"/>
        <w:rPr>
          <w:b/>
          <w:bCs/>
          <w:color w:val="auto"/>
          <w:sz w:val="28"/>
          <w:szCs w:val="28"/>
          <w:highlight w:val="none"/>
        </w:rPr>
      </w:pPr>
      <w:r>
        <w:rPr>
          <w:rFonts w:hint="eastAsia"/>
          <w:b/>
          <w:bCs/>
          <w:color w:val="auto"/>
          <w:sz w:val="28"/>
          <w:szCs w:val="28"/>
          <w:highlight w:val="none"/>
        </w:rPr>
        <w:t>4. 投标</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14:paraId="5DAF06C7">
      <w:pPr>
        <w:spacing w:line="360" w:lineRule="auto"/>
        <w:rPr>
          <w:b/>
          <w:bCs/>
          <w:color w:val="auto"/>
          <w:sz w:val="28"/>
          <w:szCs w:val="28"/>
          <w:highlight w:val="none"/>
        </w:rPr>
      </w:pPr>
      <w:bookmarkStart w:id="240" w:name="_Toc152042332"/>
      <w:bookmarkStart w:id="241" w:name="_Toc144974524"/>
      <w:bookmarkStart w:id="242" w:name="_Toc338840211"/>
      <w:bookmarkStart w:id="243" w:name="_Toc179632574"/>
      <w:bookmarkStart w:id="244" w:name="_Toc247085714"/>
      <w:bookmarkStart w:id="245" w:name="_Toc152045556"/>
      <w:bookmarkStart w:id="246" w:name="_Toc246996200"/>
      <w:bookmarkStart w:id="247" w:name="_Toc246996943"/>
      <w:r>
        <w:rPr>
          <w:rFonts w:hint="eastAsia"/>
          <w:b/>
          <w:bCs/>
          <w:color w:val="auto"/>
          <w:sz w:val="28"/>
          <w:szCs w:val="28"/>
          <w:highlight w:val="none"/>
        </w:rPr>
        <w:t>4.1 投标文件的密封和标记</w:t>
      </w:r>
      <w:bookmarkEnd w:id="240"/>
      <w:bookmarkEnd w:id="241"/>
      <w:bookmarkEnd w:id="242"/>
      <w:bookmarkEnd w:id="243"/>
      <w:bookmarkEnd w:id="244"/>
      <w:bookmarkEnd w:id="245"/>
      <w:bookmarkEnd w:id="246"/>
      <w:bookmarkEnd w:id="247"/>
      <w:r>
        <w:rPr>
          <w:rFonts w:hint="eastAsia"/>
          <w:b/>
          <w:bCs/>
          <w:color w:val="auto"/>
          <w:sz w:val="28"/>
          <w:szCs w:val="28"/>
          <w:highlight w:val="none"/>
        </w:rPr>
        <w:t>（不再提供纸质投标文件，需在规定时间内加密上传电子投标文件）</w:t>
      </w:r>
    </w:p>
    <w:p w14:paraId="2CA76D89">
      <w:pPr>
        <w:spacing w:line="360" w:lineRule="auto"/>
        <w:rPr>
          <w:rFonts w:ascii="宋体" w:hAnsi="宋体" w:cs="宋体"/>
          <w:color w:val="auto"/>
          <w:sz w:val="24"/>
          <w:highlight w:val="none"/>
        </w:rPr>
      </w:pPr>
      <w:bookmarkStart w:id="248" w:name="_Toc246996944"/>
      <w:bookmarkStart w:id="249" w:name="_Toc179632575"/>
      <w:bookmarkStart w:id="250" w:name="_Toc152045557"/>
      <w:bookmarkStart w:id="251" w:name="_Toc144974525"/>
      <w:bookmarkStart w:id="252" w:name="_Toc152042333"/>
      <w:bookmarkStart w:id="253" w:name="_Toc246996201"/>
      <w:bookmarkStart w:id="254" w:name="_Toc247085715"/>
      <w:bookmarkStart w:id="255" w:name="_Toc338840212"/>
      <w:r>
        <w:rPr>
          <w:rFonts w:hint="eastAsia"/>
          <w:b/>
          <w:bCs/>
          <w:color w:val="auto"/>
          <w:sz w:val="28"/>
          <w:szCs w:val="28"/>
          <w:highlight w:val="none"/>
        </w:rPr>
        <w:t>4.2 投标文件的递交</w:t>
      </w:r>
      <w:bookmarkEnd w:id="248"/>
      <w:bookmarkEnd w:id="249"/>
      <w:bookmarkEnd w:id="250"/>
      <w:bookmarkEnd w:id="251"/>
      <w:bookmarkEnd w:id="252"/>
      <w:bookmarkEnd w:id="253"/>
      <w:bookmarkEnd w:id="254"/>
      <w:bookmarkEnd w:id="255"/>
    </w:p>
    <w:p w14:paraId="03DD60B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4.2.1供应商应在规定的投标截止时间前，通过下载招标文件的电子招标投标交易平台上传提交电子投标文件。</w:t>
      </w:r>
    </w:p>
    <w:p w14:paraId="75C55A0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4.2.2除供应商须知前附表另有规定外，供应商所递交的投标文件不予退还。</w:t>
      </w:r>
    </w:p>
    <w:p w14:paraId="1BAC383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4.2.3逾期送达的投标文件，电子招标投标交易平台将予以拒收。</w:t>
      </w:r>
    </w:p>
    <w:p w14:paraId="230E699D">
      <w:pPr>
        <w:spacing w:line="360" w:lineRule="auto"/>
        <w:rPr>
          <w:rFonts w:ascii="宋体" w:hAnsi="宋体"/>
          <w:b/>
          <w:color w:val="auto"/>
          <w:highlight w:val="none"/>
        </w:rPr>
      </w:pPr>
      <w:bookmarkStart w:id="256" w:name="_Toc338840213"/>
      <w:bookmarkStart w:id="257" w:name="_Toc152045558"/>
      <w:bookmarkStart w:id="258" w:name="_Toc246996202"/>
      <w:bookmarkStart w:id="259" w:name="_Toc152042334"/>
      <w:bookmarkStart w:id="260" w:name="_Toc247085716"/>
      <w:bookmarkStart w:id="261" w:name="_Toc179632576"/>
      <w:bookmarkStart w:id="262" w:name="_Toc144974526"/>
      <w:bookmarkStart w:id="263" w:name="_Toc246996945"/>
      <w:r>
        <w:rPr>
          <w:rFonts w:hint="eastAsia"/>
          <w:b/>
          <w:bCs/>
          <w:color w:val="auto"/>
          <w:sz w:val="28"/>
          <w:szCs w:val="28"/>
          <w:highlight w:val="none"/>
        </w:rPr>
        <w:t>4.3 投标文件的修改与撤回</w:t>
      </w:r>
      <w:bookmarkEnd w:id="256"/>
      <w:bookmarkEnd w:id="257"/>
      <w:bookmarkEnd w:id="258"/>
      <w:bookmarkEnd w:id="259"/>
      <w:bookmarkEnd w:id="260"/>
      <w:bookmarkEnd w:id="261"/>
      <w:bookmarkEnd w:id="262"/>
      <w:bookmarkEnd w:id="263"/>
    </w:p>
    <w:p w14:paraId="01415A41">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4.3.1 在规定的投标截止及开标时间前，供应商可以修改或撤回已上传的投标文件。</w:t>
      </w:r>
    </w:p>
    <w:p w14:paraId="513E4CF4">
      <w:pPr>
        <w:spacing w:line="360" w:lineRule="auto"/>
        <w:rPr>
          <w:b/>
          <w:bCs/>
          <w:color w:val="auto"/>
          <w:sz w:val="28"/>
          <w:szCs w:val="28"/>
          <w:highlight w:val="none"/>
        </w:rPr>
      </w:pPr>
      <w:bookmarkStart w:id="264" w:name="_Toc246996946"/>
      <w:bookmarkStart w:id="265" w:name="_Toc338840446"/>
      <w:bookmarkStart w:id="266" w:name="_Toc152042335"/>
      <w:bookmarkStart w:id="267" w:name="_Toc346523406"/>
      <w:bookmarkStart w:id="268" w:name="_Toc338840214"/>
      <w:bookmarkStart w:id="269" w:name="_Toc494093433"/>
      <w:bookmarkStart w:id="270" w:name="_Toc179632577"/>
      <w:bookmarkStart w:id="271" w:name="_Toc246996203"/>
      <w:bookmarkStart w:id="272" w:name="_Toc338840485"/>
      <w:bookmarkStart w:id="273" w:name="_Toc247085717"/>
      <w:bookmarkStart w:id="274" w:name="_Toc152045559"/>
      <w:bookmarkStart w:id="275" w:name="_Toc346523469"/>
      <w:bookmarkStart w:id="276" w:name="_Toc494102995"/>
      <w:bookmarkStart w:id="277" w:name="_Toc144974527"/>
      <w:r>
        <w:rPr>
          <w:rFonts w:hint="eastAsia"/>
          <w:b/>
          <w:bCs/>
          <w:color w:val="auto"/>
          <w:sz w:val="28"/>
          <w:szCs w:val="28"/>
          <w:highlight w:val="none"/>
        </w:rPr>
        <w:t>5. 开标</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14:paraId="0C88E346">
      <w:pPr>
        <w:spacing w:line="360" w:lineRule="auto"/>
        <w:rPr>
          <w:b/>
          <w:bCs/>
          <w:color w:val="auto"/>
          <w:sz w:val="28"/>
          <w:szCs w:val="28"/>
          <w:highlight w:val="none"/>
        </w:rPr>
      </w:pPr>
      <w:bookmarkStart w:id="278" w:name="_Toc144974528"/>
      <w:bookmarkStart w:id="279" w:name="_Toc152045560"/>
      <w:bookmarkStart w:id="280" w:name="_Toc246996204"/>
      <w:bookmarkStart w:id="281" w:name="_Toc247085718"/>
      <w:bookmarkStart w:id="282" w:name="_Toc246996947"/>
      <w:bookmarkStart w:id="283" w:name="_Toc152042336"/>
      <w:bookmarkStart w:id="284" w:name="_Toc338840215"/>
      <w:bookmarkStart w:id="285" w:name="_Toc179632578"/>
      <w:r>
        <w:rPr>
          <w:rFonts w:hint="eastAsia"/>
          <w:b/>
          <w:bCs/>
          <w:color w:val="auto"/>
          <w:sz w:val="28"/>
          <w:szCs w:val="28"/>
          <w:highlight w:val="none"/>
        </w:rPr>
        <w:t>5.1 开标时间和地点</w:t>
      </w:r>
      <w:bookmarkEnd w:id="278"/>
      <w:bookmarkEnd w:id="279"/>
      <w:bookmarkEnd w:id="280"/>
      <w:bookmarkEnd w:id="281"/>
      <w:bookmarkEnd w:id="282"/>
      <w:bookmarkEnd w:id="283"/>
      <w:bookmarkEnd w:id="284"/>
      <w:bookmarkEnd w:id="285"/>
    </w:p>
    <w:p w14:paraId="02EC313D">
      <w:p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采购（招标）人</w:t>
      </w:r>
      <w:r>
        <w:rPr>
          <w:rFonts w:hint="eastAsia" w:ascii="宋体" w:hAnsi="宋体" w:cs="宋体"/>
          <w:color w:val="auto"/>
          <w:sz w:val="24"/>
          <w:highlight w:val="none"/>
        </w:rPr>
        <w:t>在投标人须知前附表规定的投标截止及开标时间和地点进行, 本项目采用“远程不见面”开标方式,投标人无需到现场提交原件资料、无需到开封市公共资源交易中心现场参加开标会议；投标人应当在开标时间前,登录远程开标大厅,在线准时参加开标活动并进行投标文件解密、答疑澄清等。</w:t>
      </w:r>
    </w:p>
    <w:p w14:paraId="4B031F0E">
      <w:pPr>
        <w:spacing w:line="360" w:lineRule="auto"/>
        <w:rPr>
          <w:b/>
          <w:bCs/>
          <w:color w:val="auto"/>
          <w:sz w:val="28"/>
          <w:szCs w:val="28"/>
          <w:highlight w:val="none"/>
        </w:rPr>
      </w:pPr>
      <w:bookmarkStart w:id="286" w:name="_Toc338840216"/>
      <w:bookmarkStart w:id="287" w:name="_Toc246996948"/>
      <w:bookmarkStart w:id="288" w:name="_Toc152042337"/>
      <w:bookmarkStart w:id="289" w:name="_Toc246996205"/>
      <w:bookmarkStart w:id="290" w:name="_Toc179632579"/>
      <w:bookmarkStart w:id="291" w:name="_Toc247085719"/>
      <w:bookmarkStart w:id="292" w:name="_Toc152045561"/>
      <w:bookmarkStart w:id="293" w:name="_Toc144974529"/>
      <w:r>
        <w:rPr>
          <w:rFonts w:hint="eastAsia"/>
          <w:b/>
          <w:bCs/>
          <w:color w:val="auto"/>
          <w:sz w:val="28"/>
          <w:szCs w:val="28"/>
          <w:highlight w:val="none"/>
        </w:rPr>
        <w:t>5.2 开标程序</w:t>
      </w:r>
      <w:bookmarkEnd w:id="286"/>
      <w:bookmarkEnd w:id="287"/>
      <w:bookmarkEnd w:id="288"/>
      <w:bookmarkEnd w:id="289"/>
      <w:bookmarkEnd w:id="290"/>
      <w:bookmarkEnd w:id="291"/>
      <w:bookmarkEnd w:id="292"/>
      <w:bookmarkEnd w:id="293"/>
    </w:p>
    <w:p w14:paraId="3DC2F48E">
      <w:pPr>
        <w:spacing w:line="360" w:lineRule="auto"/>
        <w:ind w:firstLine="480" w:firstLineChars="200"/>
        <w:rPr>
          <w:rFonts w:ascii="宋体" w:hAnsi="宋体" w:cs="宋体"/>
          <w:color w:val="auto"/>
          <w:sz w:val="24"/>
          <w:highlight w:val="none"/>
        </w:rPr>
      </w:pPr>
      <w:bookmarkStart w:id="294" w:name="_Toc338840217"/>
      <w:r>
        <w:rPr>
          <w:rFonts w:hint="eastAsia" w:ascii="宋体" w:hAnsi="宋体" w:cs="宋体"/>
          <w:color w:val="auto"/>
          <w:sz w:val="24"/>
          <w:highlight w:val="none"/>
        </w:rPr>
        <w:t>详见投标人须知前附表</w:t>
      </w:r>
    </w:p>
    <w:p w14:paraId="42D7E977">
      <w:pPr>
        <w:spacing w:line="360" w:lineRule="auto"/>
        <w:rPr>
          <w:b/>
          <w:bCs/>
          <w:color w:val="auto"/>
          <w:sz w:val="28"/>
          <w:szCs w:val="28"/>
          <w:highlight w:val="none"/>
        </w:rPr>
      </w:pPr>
      <w:r>
        <w:rPr>
          <w:rFonts w:hint="eastAsia"/>
          <w:b/>
          <w:bCs/>
          <w:color w:val="auto"/>
          <w:sz w:val="28"/>
          <w:szCs w:val="28"/>
          <w:highlight w:val="none"/>
        </w:rPr>
        <w:t>5.3 开标异议</w:t>
      </w:r>
      <w:bookmarkEnd w:id="294"/>
    </w:p>
    <w:p w14:paraId="634375B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投标人在线准时参加开标活动并进行投标文件解密、答疑澄清等。</w:t>
      </w:r>
    </w:p>
    <w:p w14:paraId="5BB93990">
      <w:pPr>
        <w:spacing w:line="360" w:lineRule="auto"/>
        <w:rPr>
          <w:b/>
          <w:bCs/>
          <w:color w:val="auto"/>
          <w:sz w:val="28"/>
          <w:szCs w:val="28"/>
          <w:highlight w:val="none"/>
        </w:rPr>
      </w:pPr>
      <w:bookmarkStart w:id="295" w:name="_Toc494102996"/>
      <w:bookmarkStart w:id="296" w:name="_Toc494093434"/>
      <w:bookmarkStart w:id="297" w:name="_Toc338840447"/>
      <w:bookmarkStart w:id="298" w:name="_Toc338840486"/>
      <w:bookmarkStart w:id="299" w:name="_Toc246996949"/>
      <w:bookmarkStart w:id="300" w:name="_Toc338840218"/>
      <w:bookmarkStart w:id="301" w:name="_Toc144974530"/>
      <w:bookmarkStart w:id="302" w:name="_Toc152042338"/>
      <w:bookmarkStart w:id="303" w:name="_Toc179632580"/>
      <w:bookmarkStart w:id="304" w:name="_Toc246996206"/>
      <w:bookmarkStart w:id="305" w:name="_Toc247085720"/>
      <w:bookmarkStart w:id="306" w:name="_Toc346523470"/>
      <w:bookmarkStart w:id="307" w:name="_Toc346523407"/>
      <w:bookmarkStart w:id="308" w:name="_Toc152045562"/>
      <w:r>
        <w:rPr>
          <w:rFonts w:hint="eastAsia"/>
          <w:b/>
          <w:bCs/>
          <w:color w:val="auto"/>
          <w:sz w:val="28"/>
          <w:szCs w:val="28"/>
          <w:highlight w:val="none"/>
        </w:rPr>
        <w:t>6. 评标</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24F4C45A">
      <w:pPr>
        <w:spacing w:line="360" w:lineRule="auto"/>
        <w:rPr>
          <w:b/>
          <w:bCs/>
          <w:color w:val="auto"/>
          <w:sz w:val="28"/>
          <w:szCs w:val="28"/>
          <w:highlight w:val="none"/>
        </w:rPr>
      </w:pPr>
      <w:bookmarkStart w:id="309" w:name="_Toc144974531"/>
      <w:bookmarkStart w:id="310" w:name="_Toc152045563"/>
      <w:bookmarkStart w:id="311" w:name="_Toc338840219"/>
      <w:bookmarkStart w:id="312" w:name="_Toc152042339"/>
      <w:bookmarkStart w:id="313" w:name="_Toc246996207"/>
      <w:bookmarkStart w:id="314" w:name="_Toc247085721"/>
      <w:bookmarkStart w:id="315" w:name="_Toc246996950"/>
      <w:bookmarkStart w:id="316" w:name="_Toc179632581"/>
      <w:r>
        <w:rPr>
          <w:rFonts w:hint="eastAsia"/>
          <w:b/>
          <w:bCs/>
          <w:color w:val="auto"/>
          <w:sz w:val="28"/>
          <w:szCs w:val="28"/>
          <w:highlight w:val="none"/>
        </w:rPr>
        <w:t>6.1 评标委员会</w:t>
      </w:r>
      <w:bookmarkEnd w:id="309"/>
      <w:bookmarkEnd w:id="310"/>
      <w:bookmarkEnd w:id="311"/>
      <w:bookmarkEnd w:id="312"/>
      <w:bookmarkEnd w:id="313"/>
      <w:bookmarkEnd w:id="314"/>
      <w:bookmarkEnd w:id="315"/>
      <w:bookmarkEnd w:id="316"/>
    </w:p>
    <w:p w14:paraId="59AA29E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6.1.1 评标由</w:t>
      </w:r>
      <w:r>
        <w:rPr>
          <w:rFonts w:ascii="宋体" w:hAnsi="宋体" w:cs="宋体"/>
          <w:color w:val="auto"/>
          <w:sz w:val="24"/>
          <w:highlight w:val="none"/>
        </w:rPr>
        <w:t>采购（招标）人</w:t>
      </w:r>
      <w:r>
        <w:rPr>
          <w:rFonts w:hint="eastAsia" w:ascii="宋体" w:hAnsi="宋体" w:cs="宋体"/>
          <w:color w:val="auto"/>
          <w:sz w:val="24"/>
          <w:highlight w:val="none"/>
        </w:rPr>
        <w:t>依法组建的评标委员会负责。评标委员会由</w:t>
      </w:r>
      <w:r>
        <w:rPr>
          <w:rFonts w:ascii="宋体" w:hAnsi="宋体" w:cs="宋体"/>
          <w:color w:val="auto"/>
          <w:sz w:val="24"/>
          <w:highlight w:val="none"/>
        </w:rPr>
        <w:t>采购（招标）人</w:t>
      </w:r>
      <w:r>
        <w:rPr>
          <w:rFonts w:hint="eastAsia" w:ascii="宋体" w:hAnsi="宋体" w:cs="宋体"/>
          <w:color w:val="auto"/>
          <w:sz w:val="24"/>
          <w:highlight w:val="none"/>
        </w:rPr>
        <w:t>熟悉相关业务的代表，以及有关技术、经济等方面的专家组成。评标委员会成员人数以及技术、经济等方面专家的确定方式见投标人须知前附表。</w:t>
      </w:r>
    </w:p>
    <w:p w14:paraId="0F656A8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6.1.2 评标委员会成员有下列情形之一的，应当回避：</w:t>
      </w:r>
    </w:p>
    <w:p w14:paraId="08D8521D">
      <w:pPr>
        <w:spacing w:line="360" w:lineRule="auto"/>
        <w:ind w:firstLine="480" w:firstLineChars="200"/>
        <w:rPr>
          <w:rFonts w:ascii="宋体" w:hAnsi="宋体" w:cs="宋体"/>
          <w:color w:val="auto"/>
          <w:sz w:val="24"/>
          <w:highlight w:val="none"/>
        </w:rPr>
      </w:pPr>
      <w:bookmarkStart w:id="317" w:name="_Toc338840220"/>
      <w:bookmarkStart w:id="318" w:name="_Toc179632582"/>
      <w:bookmarkStart w:id="319" w:name="_Toc246996951"/>
      <w:bookmarkStart w:id="320" w:name="_Toc247085722"/>
      <w:bookmarkStart w:id="321" w:name="_Toc152045564"/>
      <w:bookmarkStart w:id="322" w:name="_Toc246996208"/>
      <w:bookmarkStart w:id="323" w:name="_Toc144974532"/>
      <w:bookmarkStart w:id="324" w:name="_Toc152042340"/>
      <w:r>
        <w:rPr>
          <w:rFonts w:hint="eastAsia" w:ascii="宋体" w:hAnsi="宋体" w:cs="宋体"/>
          <w:color w:val="auto"/>
          <w:sz w:val="24"/>
          <w:highlight w:val="none"/>
        </w:rPr>
        <w:t>（1）</w:t>
      </w:r>
      <w:r>
        <w:rPr>
          <w:rFonts w:ascii="宋体" w:hAnsi="宋体" w:cs="宋体"/>
          <w:color w:val="auto"/>
          <w:sz w:val="24"/>
          <w:highlight w:val="none"/>
        </w:rPr>
        <w:t>采购（招标）人</w:t>
      </w:r>
      <w:r>
        <w:rPr>
          <w:rFonts w:hint="eastAsia" w:ascii="宋体" w:hAnsi="宋体" w:cs="宋体"/>
          <w:color w:val="auto"/>
          <w:sz w:val="24"/>
          <w:highlight w:val="none"/>
        </w:rPr>
        <w:t>或投标人的主要负责人的近亲属；</w:t>
      </w:r>
    </w:p>
    <w:p w14:paraId="489A466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（2）项目主管部门或者行政监督部门的人员；</w:t>
      </w:r>
    </w:p>
    <w:p w14:paraId="48CCBC4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（3）与投标人有经济利益关系，可能影响对投标公正评审的；</w:t>
      </w:r>
    </w:p>
    <w:p w14:paraId="00FA1DA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（4）曾因在招标、评标以及其他与招标投标有关活动中从事违法行为而受过行政处罚或刑事处罚的。</w:t>
      </w:r>
    </w:p>
    <w:p w14:paraId="0D070D7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6.1.3 评标过程中，评标委员会成员有回避事由、擅离职守或者因健康等原因不能继续评标的，</w:t>
      </w:r>
      <w:r>
        <w:rPr>
          <w:rFonts w:ascii="宋体" w:hAnsi="宋体" w:cs="宋体"/>
          <w:color w:val="auto"/>
          <w:sz w:val="24"/>
          <w:highlight w:val="none"/>
        </w:rPr>
        <w:t>采购（招标）人</w:t>
      </w:r>
      <w:r>
        <w:rPr>
          <w:rFonts w:hint="eastAsia" w:ascii="宋体" w:hAnsi="宋体" w:cs="宋体"/>
          <w:color w:val="auto"/>
          <w:sz w:val="24"/>
          <w:highlight w:val="none"/>
        </w:rPr>
        <w:t>有权更换。被更换的评标委员会成员作出的评审结论无效，由更换后的评标委员会成员重新进行评审。</w:t>
      </w:r>
    </w:p>
    <w:p w14:paraId="0A4463BE">
      <w:pPr>
        <w:spacing w:line="360" w:lineRule="auto"/>
        <w:rPr>
          <w:b/>
          <w:bCs/>
          <w:color w:val="auto"/>
          <w:sz w:val="28"/>
          <w:szCs w:val="28"/>
          <w:highlight w:val="none"/>
        </w:rPr>
      </w:pPr>
      <w:r>
        <w:rPr>
          <w:rFonts w:hint="eastAsia"/>
          <w:b/>
          <w:bCs/>
          <w:color w:val="auto"/>
          <w:sz w:val="28"/>
          <w:szCs w:val="28"/>
          <w:highlight w:val="none"/>
        </w:rPr>
        <w:t>6.2 评标原则</w:t>
      </w:r>
      <w:bookmarkEnd w:id="317"/>
      <w:bookmarkEnd w:id="318"/>
      <w:bookmarkEnd w:id="319"/>
      <w:bookmarkEnd w:id="320"/>
      <w:bookmarkEnd w:id="321"/>
      <w:bookmarkEnd w:id="322"/>
      <w:bookmarkEnd w:id="323"/>
      <w:bookmarkEnd w:id="324"/>
    </w:p>
    <w:p w14:paraId="024AFBB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评标活动遵循公平、公正、科学和择优的原则。</w:t>
      </w:r>
    </w:p>
    <w:p w14:paraId="1B4BC216">
      <w:pPr>
        <w:spacing w:line="360" w:lineRule="auto"/>
        <w:rPr>
          <w:b/>
          <w:bCs/>
          <w:color w:val="auto"/>
          <w:sz w:val="28"/>
          <w:szCs w:val="28"/>
          <w:highlight w:val="none"/>
        </w:rPr>
      </w:pPr>
      <w:bookmarkStart w:id="325" w:name="_Toc144974533"/>
      <w:bookmarkStart w:id="326" w:name="_Toc246996209"/>
      <w:bookmarkStart w:id="327" w:name="_Toc152042341"/>
      <w:bookmarkStart w:id="328" w:name="_Toc179632583"/>
      <w:bookmarkStart w:id="329" w:name="_Toc246996952"/>
      <w:bookmarkStart w:id="330" w:name="_Toc247085723"/>
      <w:bookmarkStart w:id="331" w:name="_Toc152045565"/>
      <w:bookmarkStart w:id="332" w:name="_Toc338840221"/>
      <w:r>
        <w:rPr>
          <w:rFonts w:hint="eastAsia"/>
          <w:b/>
          <w:bCs/>
          <w:color w:val="auto"/>
          <w:sz w:val="28"/>
          <w:szCs w:val="28"/>
          <w:highlight w:val="none"/>
        </w:rPr>
        <w:t>6.3 评标</w:t>
      </w:r>
      <w:bookmarkEnd w:id="325"/>
      <w:bookmarkEnd w:id="326"/>
      <w:bookmarkEnd w:id="327"/>
      <w:bookmarkEnd w:id="328"/>
      <w:bookmarkEnd w:id="329"/>
      <w:bookmarkEnd w:id="330"/>
      <w:bookmarkEnd w:id="331"/>
      <w:bookmarkEnd w:id="332"/>
    </w:p>
    <w:p w14:paraId="29ADDF7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6.3.1评标委员会按照第三章“评标办法”规定的方法、评审因素、标准和程序对投标文件进行评审。第三章“评标办法”没有规定的方法、评审因素和标准，不作为评标依据。</w:t>
      </w:r>
    </w:p>
    <w:p w14:paraId="2C081C0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6.3.2评标完成后，评标委员会应当向</w:t>
      </w:r>
      <w:r>
        <w:rPr>
          <w:rFonts w:ascii="宋体" w:hAnsi="宋体" w:cs="宋体"/>
          <w:color w:val="auto"/>
          <w:sz w:val="24"/>
          <w:highlight w:val="none"/>
        </w:rPr>
        <w:t>采购（招标）人</w:t>
      </w:r>
      <w:r>
        <w:rPr>
          <w:rFonts w:hint="eastAsia" w:ascii="宋体" w:hAnsi="宋体" w:cs="宋体"/>
          <w:color w:val="auto"/>
          <w:sz w:val="24"/>
          <w:highlight w:val="none"/>
        </w:rPr>
        <w:t>提交书面评标报告和中标候选人名单。评标委员会推荐中标候选人的人数见供应商须知前附表</w:t>
      </w:r>
    </w:p>
    <w:p w14:paraId="009548F8">
      <w:pPr>
        <w:spacing w:line="360" w:lineRule="auto"/>
        <w:rPr>
          <w:b/>
          <w:bCs/>
          <w:color w:val="auto"/>
          <w:sz w:val="28"/>
          <w:szCs w:val="28"/>
          <w:highlight w:val="none"/>
        </w:rPr>
      </w:pPr>
      <w:r>
        <w:rPr>
          <w:rFonts w:hint="eastAsia"/>
          <w:b/>
          <w:bCs/>
          <w:color w:val="auto"/>
          <w:sz w:val="28"/>
          <w:szCs w:val="28"/>
          <w:highlight w:val="none"/>
        </w:rPr>
        <w:t>6.4评审程序</w:t>
      </w:r>
    </w:p>
    <w:p w14:paraId="0508822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分初步评审、详细评审和推荐中标候选人三个阶段详见第三章评标办法</w:t>
      </w:r>
    </w:p>
    <w:p w14:paraId="3A42A304">
      <w:pPr>
        <w:spacing w:line="360" w:lineRule="auto"/>
        <w:rPr>
          <w:b/>
          <w:bCs/>
          <w:color w:val="auto"/>
          <w:sz w:val="28"/>
          <w:szCs w:val="28"/>
          <w:highlight w:val="none"/>
        </w:rPr>
      </w:pPr>
      <w:bookmarkStart w:id="333" w:name="_Toc246996210"/>
      <w:bookmarkStart w:id="334" w:name="_Toc246996953"/>
      <w:bookmarkStart w:id="335" w:name="_Toc338840448"/>
      <w:bookmarkStart w:id="336" w:name="_Toc152042342"/>
      <w:bookmarkStart w:id="337" w:name="_Toc338840487"/>
      <w:bookmarkStart w:id="338" w:name="_Toc494093435"/>
      <w:bookmarkStart w:id="339" w:name="_Toc179632584"/>
      <w:bookmarkStart w:id="340" w:name="_Toc346523408"/>
      <w:bookmarkStart w:id="341" w:name="_Toc152045566"/>
      <w:bookmarkStart w:id="342" w:name="_Toc338840222"/>
      <w:bookmarkStart w:id="343" w:name="_Toc247085724"/>
      <w:bookmarkStart w:id="344" w:name="_Toc494102997"/>
      <w:bookmarkStart w:id="345" w:name="_Toc346523471"/>
      <w:bookmarkStart w:id="346" w:name="_Toc144974534"/>
      <w:r>
        <w:rPr>
          <w:rFonts w:hint="eastAsia"/>
          <w:b/>
          <w:bCs/>
          <w:color w:val="auto"/>
          <w:sz w:val="28"/>
          <w:szCs w:val="28"/>
          <w:highlight w:val="none"/>
        </w:rPr>
        <w:t>7. 合同授予</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7B446F5B">
      <w:pPr>
        <w:spacing w:line="360" w:lineRule="auto"/>
        <w:rPr>
          <w:b/>
          <w:bCs/>
          <w:color w:val="auto"/>
          <w:sz w:val="28"/>
          <w:szCs w:val="28"/>
          <w:highlight w:val="none"/>
        </w:rPr>
      </w:pPr>
      <w:bookmarkStart w:id="347" w:name="_Toc338840223"/>
      <w:bookmarkStart w:id="348" w:name="_Toc179632585"/>
      <w:bookmarkStart w:id="349" w:name="_Toc152042343"/>
      <w:bookmarkStart w:id="350" w:name="_Toc246996954"/>
      <w:bookmarkStart w:id="351" w:name="_Toc152045567"/>
      <w:bookmarkStart w:id="352" w:name="_Toc246996211"/>
      <w:bookmarkStart w:id="353" w:name="_Toc247085725"/>
      <w:bookmarkStart w:id="354" w:name="_Toc144974535"/>
      <w:r>
        <w:rPr>
          <w:rFonts w:hint="eastAsia"/>
          <w:b/>
          <w:bCs/>
          <w:color w:val="auto"/>
          <w:sz w:val="28"/>
          <w:szCs w:val="28"/>
          <w:highlight w:val="none"/>
        </w:rPr>
        <w:t>7.1 定标方式</w:t>
      </w:r>
      <w:bookmarkEnd w:id="347"/>
      <w:bookmarkEnd w:id="348"/>
      <w:bookmarkEnd w:id="349"/>
      <w:bookmarkEnd w:id="350"/>
      <w:bookmarkEnd w:id="351"/>
      <w:bookmarkEnd w:id="352"/>
      <w:bookmarkEnd w:id="353"/>
      <w:bookmarkEnd w:id="354"/>
    </w:p>
    <w:p w14:paraId="7A580F66">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除投标人须知前附表规定评标委员会直接确定中标人外，</w:t>
      </w:r>
      <w:r>
        <w:rPr>
          <w:rFonts w:ascii="宋体" w:hAnsi="宋体" w:cs="宋体"/>
          <w:color w:val="auto"/>
          <w:sz w:val="24"/>
          <w:highlight w:val="none"/>
        </w:rPr>
        <w:t>采购（招标）人</w:t>
      </w:r>
      <w:r>
        <w:rPr>
          <w:rFonts w:hint="eastAsia" w:ascii="宋体" w:hAnsi="宋体" w:cs="宋体"/>
          <w:color w:val="auto"/>
          <w:sz w:val="24"/>
          <w:highlight w:val="none"/>
        </w:rPr>
        <w:t>依据评标委员会推荐的中标候选人名单，按排序确定中标人，评标委员会推荐中标候选人的人数见投标人须知前附表。</w:t>
      </w:r>
    </w:p>
    <w:p w14:paraId="7E0138B6">
      <w:pPr>
        <w:spacing w:line="360" w:lineRule="auto"/>
        <w:rPr>
          <w:b/>
          <w:bCs/>
          <w:color w:val="auto"/>
          <w:sz w:val="28"/>
          <w:szCs w:val="28"/>
          <w:highlight w:val="none"/>
        </w:rPr>
      </w:pPr>
      <w:bookmarkStart w:id="355" w:name="_Toc338840224"/>
      <w:r>
        <w:rPr>
          <w:rFonts w:hint="eastAsia"/>
          <w:b/>
          <w:bCs/>
          <w:color w:val="auto"/>
          <w:sz w:val="28"/>
          <w:szCs w:val="28"/>
          <w:highlight w:val="none"/>
        </w:rPr>
        <w:t>7.2 中标人公布</w:t>
      </w:r>
      <w:bookmarkEnd w:id="355"/>
    </w:p>
    <w:p w14:paraId="6DE180E0">
      <w:p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采购（招标）人</w:t>
      </w:r>
      <w:r>
        <w:rPr>
          <w:rFonts w:hint="eastAsia" w:ascii="宋体" w:hAnsi="宋体" w:cs="宋体"/>
          <w:color w:val="auto"/>
          <w:sz w:val="24"/>
          <w:highlight w:val="none"/>
        </w:rPr>
        <w:t>在投标人须知前附表规定的媒介公布中标人。</w:t>
      </w:r>
    </w:p>
    <w:p w14:paraId="3F067A71">
      <w:pPr>
        <w:spacing w:line="360" w:lineRule="auto"/>
        <w:rPr>
          <w:b/>
          <w:bCs/>
          <w:color w:val="auto"/>
          <w:sz w:val="28"/>
          <w:szCs w:val="28"/>
          <w:highlight w:val="none"/>
        </w:rPr>
      </w:pPr>
      <w:bookmarkStart w:id="356" w:name="_Toc179632586"/>
      <w:bookmarkStart w:id="357" w:name="_Toc152042344"/>
      <w:bookmarkStart w:id="358" w:name="_Toc247085726"/>
      <w:bookmarkStart w:id="359" w:name="_Toc246996955"/>
      <w:bookmarkStart w:id="360" w:name="_Toc152045568"/>
      <w:bookmarkStart w:id="361" w:name="_Toc144974536"/>
      <w:bookmarkStart w:id="362" w:name="_Toc246996212"/>
      <w:bookmarkStart w:id="363" w:name="_Toc338840225"/>
      <w:r>
        <w:rPr>
          <w:rFonts w:hint="eastAsia"/>
          <w:b/>
          <w:bCs/>
          <w:color w:val="auto"/>
          <w:sz w:val="28"/>
          <w:szCs w:val="28"/>
          <w:highlight w:val="none"/>
        </w:rPr>
        <w:t>7.3 中标通知</w:t>
      </w:r>
      <w:bookmarkEnd w:id="356"/>
      <w:bookmarkEnd w:id="357"/>
      <w:bookmarkEnd w:id="358"/>
      <w:bookmarkEnd w:id="359"/>
      <w:bookmarkEnd w:id="360"/>
      <w:bookmarkEnd w:id="361"/>
      <w:bookmarkEnd w:id="362"/>
      <w:bookmarkEnd w:id="363"/>
    </w:p>
    <w:p w14:paraId="21C0B78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在投标有效期内，</w:t>
      </w:r>
      <w:r>
        <w:rPr>
          <w:rFonts w:ascii="宋体" w:hAnsi="宋体" w:cs="宋体"/>
          <w:color w:val="auto"/>
          <w:sz w:val="24"/>
          <w:highlight w:val="none"/>
        </w:rPr>
        <w:t>采购（招标）人</w:t>
      </w:r>
      <w:r>
        <w:rPr>
          <w:rFonts w:hint="eastAsia" w:ascii="宋体" w:hAnsi="宋体" w:cs="宋体"/>
          <w:color w:val="auto"/>
          <w:sz w:val="24"/>
          <w:highlight w:val="none"/>
        </w:rPr>
        <w:t>确定中标人后，以书面形式向中标人发出中标通知书，同时将中标结果通知未中标的投标人。详见投标人须知前附表。</w:t>
      </w:r>
    </w:p>
    <w:p w14:paraId="584E2399">
      <w:pPr>
        <w:spacing w:line="360" w:lineRule="auto"/>
        <w:rPr>
          <w:b/>
          <w:bCs/>
          <w:color w:val="auto"/>
          <w:sz w:val="28"/>
          <w:szCs w:val="28"/>
          <w:highlight w:val="none"/>
        </w:rPr>
      </w:pPr>
      <w:bookmarkStart w:id="364" w:name="_Toc144974537"/>
      <w:bookmarkStart w:id="365" w:name="_Toc152042345"/>
      <w:bookmarkStart w:id="366" w:name="_Toc247085727"/>
      <w:bookmarkStart w:id="367" w:name="_Toc338840226"/>
      <w:bookmarkStart w:id="368" w:name="_Toc179632587"/>
      <w:bookmarkStart w:id="369" w:name="_Toc246996213"/>
      <w:bookmarkStart w:id="370" w:name="_Toc246996956"/>
      <w:bookmarkStart w:id="371" w:name="_Toc152045569"/>
      <w:r>
        <w:rPr>
          <w:rFonts w:hint="eastAsia"/>
          <w:b/>
          <w:bCs/>
          <w:color w:val="auto"/>
          <w:sz w:val="28"/>
          <w:szCs w:val="28"/>
          <w:highlight w:val="none"/>
        </w:rPr>
        <w:t>7.4 履约担保</w:t>
      </w:r>
      <w:bookmarkEnd w:id="364"/>
      <w:bookmarkEnd w:id="365"/>
      <w:bookmarkEnd w:id="366"/>
      <w:bookmarkEnd w:id="367"/>
      <w:bookmarkEnd w:id="368"/>
      <w:bookmarkEnd w:id="369"/>
      <w:bookmarkEnd w:id="370"/>
      <w:bookmarkEnd w:id="371"/>
    </w:p>
    <w:p w14:paraId="28619C42">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7.4.1在签订合同前，</w:t>
      </w:r>
      <w:r>
        <w:rPr>
          <w:rFonts w:ascii="宋体" w:hAnsi="宋体" w:cs="宋体"/>
          <w:color w:val="auto"/>
          <w:sz w:val="24"/>
          <w:highlight w:val="none"/>
        </w:rPr>
        <w:t>采购（招标）人</w:t>
      </w:r>
      <w:r>
        <w:rPr>
          <w:rFonts w:hint="eastAsia" w:ascii="宋体" w:hAnsi="宋体" w:cs="宋体"/>
          <w:color w:val="auto"/>
          <w:sz w:val="24"/>
          <w:highlight w:val="none"/>
        </w:rPr>
        <w:t>与中标人协商拟定。</w:t>
      </w:r>
    </w:p>
    <w:p w14:paraId="3B7E6A8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7.4.2 中标人不能按本章第7.4.1项要求提交履约担保的，视为放弃中标，给</w:t>
      </w:r>
      <w:r>
        <w:rPr>
          <w:rFonts w:ascii="宋体" w:hAnsi="宋体" w:cs="宋体"/>
          <w:color w:val="auto"/>
          <w:sz w:val="24"/>
          <w:highlight w:val="none"/>
        </w:rPr>
        <w:t>采购（招标）人</w:t>
      </w:r>
      <w:r>
        <w:rPr>
          <w:rFonts w:hint="eastAsia" w:ascii="宋体" w:hAnsi="宋体" w:cs="宋体"/>
          <w:color w:val="auto"/>
          <w:sz w:val="24"/>
          <w:highlight w:val="none"/>
        </w:rPr>
        <w:t>造成的损失的，中标人还应予以赔偿。</w:t>
      </w:r>
    </w:p>
    <w:p w14:paraId="67D972EC">
      <w:pPr>
        <w:spacing w:line="360" w:lineRule="auto"/>
        <w:rPr>
          <w:b/>
          <w:bCs/>
          <w:color w:val="auto"/>
          <w:sz w:val="28"/>
          <w:szCs w:val="28"/>
          <w:highlight w:val="none"/>
        </w:rPr>
      </w:pPr>
      <w:bookmarkStart w:id="372" w:name="_Toc144974538"/>
      <w:bookmarkStart w:id="373" w:name="_Toc152045570"/>
      <w:bookmarkStart w:id="374" w:name="_Toc246996957"/>
      <w:bookmarkStart w:id="375" w:name="_Toc338840227"/>
      <w:bookmarkStart w:id="376" w:name="_Toc152042346"/>
      <w:bookmarkStart w:id="377" w:name="_Toc247085728"/>
      <w:bookmarkStart w:id="378" w:name="_Toc246996214"/>
      <w:bookmarkStart w:id="379" w:name="_Toc179632588"/>
      <w:r>
        <w:rPr>
          <w:rFonts w:hint="eastAsia"/>
          <w:b/>
          <w:bCs/>
          <w:color w:val="auto"/>
          <w:sz w:val="28"/>
          <w:szCs w:val="28"/>
          <w:highlight w:val="none"/>
        </w:rPr>
        <w:t>7.5 签订合同</w:t>
      </w:r>
      <w:bookmarkEnd w:id="372"/>
      <w:bookmarkEnd w:id="373"/>
      <w:bookmarkEnd w:id="374"/>
      <w:bookmarkEnd w:id="375"/>
      <w:bookmarkEnd w:id="376"/>
      <w:bookmarkEnd w:id="377"/>
      <w:bookmarkEnd w:id="378"/>
      <w:bookmarkEnd w:id="379"/>
    </w:p>
    <w:p w14:paraId="0E5E772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7.5.1</w:t>
      </w:r>
      <w:r>
        <w:rPr>
          <w:rFonts w:ascii="宋体" w:hAnsi="宋体" w:cs="宋体"/>
          <w:color w:val="auto"/>
          <w:sz w:val="24"/>
          <w:highlight w:val="none"/>
        </w:rPr>
        <w:t>采购（招标）人</w:t>
      </w:r>
      <w:r>
        <w:rPr>
          <w:rFonts w:hint="eastAsia" w:ascii="宋体" w:hAnsi="宋体" w:cs="宋体"/>
          <w:color w:val="auto"/>
          <w:sz w:val="24"/>
          <w:highlight w:val="none"/>
        </w:rPr>
        <w:t>和中标人应当自中标通知书发出之日起30天内（投标人须知前附表另有规定者从其规定），根据招标文件和中标人的投标文件订立书面合同。中标人无正当理由拒签合同的，</w:t>
      </w:r>
      <w:r>
        <w:rPr>
          <w:rFonts w:ascii="宋体" w:hAnsi="宋体" w:cs="宋体"/>
          <w:color w:val="auto"/>
          <w:sz w:val="24"/>
          <w:highlight w:val="none"/>
        </w:rPr>
        <w:t>采购（招标）人</w:t>
      </w:r>
      <w:r>
        <w:rPr>
          <w:rFonts w:hint="eastAsia" w:ascii="宋体" w:hAnsi="宋体" w:cs="宋体"/>
          <w:color w:val="auto"/>
          <w:sz w:val="24"/>
          <w:highlight w:val="none"/>
        </w:rPr>
        <w:t>取消其中标资格，给</w:t>
      </w:r>
      <w:r>
        <w:rPr>
          <w:rFonts w:ascii="宋体" w:hAnsi="宋体" w:cs="宋体"/>
          <w:color w:val="auto"/>
          <w:sz w:val="24"/>
          <w:highlight w:val="none"/>
        </w:rPr>
        <w:t>采购（招标）人</w:t>
      </w:r>
      <w:r>
        <w:rPr>
          <w:rFonts w:hint="eastAsia" w:ascii="宋体" w:hAnsi="宋体" w:cs="宋体"/>
          <w:color w:val="auto"/>
          <w:sz w:val="24"/>
          <w:highlight w:val="none"/>
        </w:rPr>
        <w:t>造成的损失的，中标人还应予以赔偿。</w:t>
      </w:r>
    </w:p>
    <w:p w14:paraId="127E8D47">
      <w:pPr>
        <w:spacing w:line="360" w:lineRule="auto"/>
        <w:ind w:firstLine="480" w:firstLineChars="200"/>
        <w:rPr>
          <w:rFonts w:ascii="宋体" w:hAnsi="宋体" w:cs="宋体"/>
          <w:color w:val="auto"/>
          <w:highlight w:val="none"/>
        </w:rPr>
      </w:pPr>
      <w:r>
        <w:rPr>
          <w:rFonts w:hint="eastAsia" w:ascii="宋体" w:hAnsi="宋体" w:cs="宋体"/>
          <w:color w:val="auto"/>
          <w:sz w:val="24"/>
          <w:highlight w:val="none"/>
        </w:rPr>
        <w:t>7.5.2 发出中标通知书后，</w:t>
      </w:r>
      <w:r>
        <w:rPr>
          <w:rFonts w:ascii="宋体" w:hAnsi="宋体" w:cs="宋体"/>
          <w:color w:val="auto"/>
          <w:sz w:val="24"/>
          <w:highlight w:val="none"/>
        </w:rPr>
        <w:t>采购（招标）人</w:t>
      </w:r>
      <w:r>
        <w:rPr>
          <w:rFonts w:hint="eastAsia" w:ascii="宋体" w:hAnsi="宋体" w:cs="宋体"/>
          <w:color w:val="auto"/>
          <w:sz w:val="24"/>
          <w:highlight w:val="none"/>
        </w:rPr>
        <w:t>无正当理由拒签合同的，给中标人造成损失的，还应当赔偿损失。</w:t>
      </w:r>
    </w:p>
    <w:p w14:paraId="3E31BD29">
      <w:pPr>
        <w:spacing w:line="360" w:lineRule="auto"/>
        <w:rPr>
          <w:b/>
          <w:bCs/>
          <w:color w:val="auto"/>
          <w:sz w:val="28"/>
          <w:szCs w:val="28"/>
          <w:highlight w:val="none"/>
        </w:rPr>
      </w:pPr>
      <w:bookmarkStart w:id="380" w:name="_Toc346523472"/>
      <w:bookmarkStart w:id="381" w:name="_Toc338840449"/>
      <w:bookmarkStart w:id="382" w:name="_Toc338840488"/>
      <w:bookmarkStart w:id="383" w:name="_Toc494093436"/>
      <w:bookmarkStart w:id="384" w:name="_Toc338840228"/>
      <w:bookmarkStart w:id="385" w:name="_Toc494102998"/>
      <w:bookmarkStart w:id="386" w:name="_Toc346523409"/>
      <w:r>
        <w:rPr>
          <w:rFonts w:hint="eastAsia"/>
          <w:b/>
          <w:bCs/>
          <w:color w:val="auto"/>
          <w:sz w:val="28"/>
          <w:szCs w:val="28"/>
          <w:highlight w:val="none"/>
        </w:rPr>
        <w:t>8. 纪律和监督</w:t>
      </w:r>
      <w:bookmarkEnd w:id="380"/>
      <w:bookmarkEnd w:id="381"/>
      <w:bookmarkEnd w:id="382"/>
      <w:bookmarkEnd w:id="383"/>
      <w:bookmarkEnd w:id="384"/>
      <w:bookmarkEnd w:id="385"/>
      <w:bookmarkEnd w:id="386"/>
    </w:p>
    <w:p w14:paraId="668FEE6A">
      <w:pPr>
        <w:spacing w:line="360" w:lineRule="auto"/>
        <w:rPr>
          <w:b/>
          <w:bCs/>
          <w:color w:val="auto"/>
          <w:sz w:val="28"/>
          <w:szCs w:val="28"/>
          <w:highlight w:val="none"/>
        </w:rPr>
      </w:pPr>
      <w:bookmarkStart w:id="387" w:name="_Toc296590983"/>
      <w:bookmarkStart w:id="388" w:name="_Toc246996219"/>
      <w:bookmarkStart w:id="389" w:name="_Toc152042351"/>
      <w:bookmarkStart w:id="390" w:name="_Toc152045575"/>
      <w:bookmarkStart w:id="391" w:name="_Toc246996962"/>
      <w:bookmarkStart w:id="392" w:name="_Toc247085733"/>
      <w:bookmarkStart w:id="393" w:name="_Toc338840229"/>
      <w:bookmarkStart w:id="394" w:name="_Toc179632593"/>
      <w:bookmarkStart w:id="395" w:name="_Toc144974543"/>
      <w:r>
        <w:rPr>
          <w:rFonts w:hint="eastAsia"/>
          <w:b/>
          <w:bCs/>
          <w:color w:val="auto"/>
          <w:sz w:val="28"/>
          <w:szCs w:val="28"/>
          <w:highlight w:val="none"/>
        </w:rPr>
        <w:t>8.1 对</w:t>
      </w:r>
      <w:r>
        <w:rPr>
          <w:b/>
          <w:bCs/>
          <w:color w:val="auto"/>
          <w:sz w:val="28"/>
          <w:szCs w:val="28"/>
          <w:highlight w:val="none"/>
        </w:rPr>
        <w:t>采购（招标）人</w:t>
      </w:r>
      <w:r>
        <w:rPr>
          <w:rFonts w:hint="eastAsia"/>
          <w:b/>
          <w:bCs/>
          <w:color w:val="auto"/>
          <w:sz w:val="28"/>
          <w:szCs w:val="28"/>
          <w:highlight w:val="none"/>
        </w:rPr>
        <w:t>的纪律要求</w:t>
      </w:r>
      <w:bookmarkEnd w:id="387"/>
      <w:bookmarkEnd w:id="388"/>
      <w:bookmarkEnd w:id="389"/>
      <w:bookmarkEnd w:id="390"/>
      <w:bookmarkEnd w:id="391"/>
      <w:bookmarkEnd w:id="392"/>
      <w:bookmarkEnd w:id="393"/>
      <w:bookmarkEnd w:id="394"/>
      <w:bookmarkEnd w:id="395"/>
    </w:p>
    <w:p w14:paraId="149BB964">
      <w:pPr>
        <w:spacing w:line="360" w:lineRule="auto"/>
        <w:ind w:firstLine="480" w:firstLineChars="200"/>
        <w:rPr>
          <w:rFonts w:ascii="宋体" w:hAnsi="宋体" w:cs="宋体"/>
          <w:color w:val="auto"/>
          <w:sz w:val="24"/>
          <w:highlight w:val="none"/>
        </w:rPr>
      </w:pPr>
      <w:r>
        <w:rPr>
          <w:rFonts w:ascii="宋体" w:hAnsi="宋体" w:cs="宋体"/>
          <w:color w:val="auto"/>
          <w:sz w:val="24"/>
          <w:highlight w:val="none"/>
        </w:rPr>
        <w:t>采购（招标）人</w:t>
      </w:r>
      <w:r>
        <w:rPr>
          <w:rFonts w:hint="eastAsia" w:ascii="宋体" w:hAnsi="宋体" w:cs="宋体"/>
          <w:color w:val="auto"/>
          <w:sz w:val="24"/>
          <w:highlight w:val="none"/>
        </w:rPr>
        <w:t>不得泄漏招标投标活动中应当保密的情况和资料，不得与投标人串通损害国家利益、社会公共利益或者他人合法权益。</w:t>
      </w:r>
    </w:p>
    <w:p w14:paraId="789911F8">
      <w:pPr>
        <w:spacing w:line="360" w:lineRule="auto"/>
        <w:rPr>
          <w:b/>
          <w:bCs/>
          <w:color w:val="auto"/>
          <w:sz w:val="28"/>
          <w:szCs w:val="28"/>
          <w:highlight w:val="none"/>
        </w:rPr>
      </w:pPr>
      <w:bookmarkStart w:id="396" w:name="_Toc144974544"/>
      <w:bookmarkStart w:id="397" w:name="_Toc246996220"/>
      <w:bookmarkStart w:id="398" w:name="_Toc152045576"/>
      <w:bookmarkStart w:id="399" w:name="_Toc179632594"/>
      <w:bookmarkStart w:id="400" w:name="_Toc338840230"/>
      <w:bookmarkStart w:id="401" w:name="_Toc247085734"/>
      <w:bookmarkStart w:id="402" w:name="_Toc246996963"/>
      <w:bookmarkStart w:id="403" w:name="_Toc152042352"/>
      <w:r>
        <w:rPr>
          <w:rFonts w:hint="eastAsia"/>
          <w:b/>
          <w:bCs/>
          <w:color w:val="auto"/>
          <w:sz w:val="28"/>
          <w:szCs w:val="28"/>
          <w:highlight w:val="none"/>
        </w:rPr>
        <w:t>8.2 对投标人的纪律要求</w:t>
      </w:r>
      <w:bookmarkEnd w:id="396"/>
      <w:bookmarkEnd w:id="397"/>
      <w:bookmarkEnd w:id="398"/>
      <w:bookmarkEnd w:id="399"/>
      <w:bookmarkEnd w:id="400"/>
      <w:bookmarkEnd w:id="401"/>
      <w:bookmarkEnd w:id="402"/>
      <w:bookmarkEnd w:id="403"/>
    </w:p>
    <w:p w14:paraId="4322F1A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投标人不得相互串通投标或者与</w:t>
      </w:r>
      <w:r>
        <w:rPr>
          <w:rFonts w:ascii="宋体" w:hAnsi="宋体" w:cs="宋体"/>
          <w:color w:val="auto"/>
          <w:sz w:val="24"/>
          <w:highlight w:val="none"/>
        </w:rPr>
        <w:t>采购（招标）人</w:t>
      </w:r>
      <w:r>
        <w:rPr>
          <w:rFonts w:hint="eastAsia" w:ascii="宋体" w:hAnsi="宋体" w:cs="宋体"/>
          <w:color w:val="auto"/>
          <w:sz w:val="24"/>
          <w:highlight w:val="none"/>
        </w:rPr>
        <w:t>串通投标，不得向</w:t>
      </w:r>
      <w:r>
        <w:rPr>
          <w:rFonts w:ascii="宋体" w:hAnsi="宋体" w:cs="宋体"/>
          <w:color w:val="auto"/>
          <w:sz w:val="24"/>
          <w:highlight w:val="none"/>
        </w:rPr>
        <w:t>采购（招标）人</w:t>
      </w:r>
      <w:r>
        <w:rPr>
          <w:rFonts w:hint="eastAsia" w:ascii="宋体" w:hAnsi="宋体" w:cs="宋体"/>
          <w:color w:val="auto"/>
          <w:sz w:val="24"/>
          <w:highlight w:val="none"/>
        </w:rPr>
        <w:t>或者评标委员会成员行贿谋取中标，不得以他人名义投标或者以其他方式弄虚作假骗取中标；投标人不得以任何方式干扰、影响评标工作。</w:t>
      </w:r>
    </w:p>
    <w:p w14:paraId="2C1D67E1">
      <w:pPr>
        <w:spacing w:line="360" w:lineRule="auto"/>
        <w:rPr>
          <w:b/>
          <w:bCs/>
          <w:color w:val="auto"/>
          <w:sz w:val="28"/>
          <w:szCs w:val="28"/>
          <w:highlight w:val="none"/>
        </w:rPr>
      </w:pPr>
      <w:bookmarkStart w:id="404" w:name="_Toc144974545"/>
      <w:bookmarkStart w:id="405" w:name="_Toc152042353"/>
      <w:bookmarkStart w:id="406" w:name="_Toc338840231"/>
      <w:bookmarkStart w:id="407" w:name="_Toc179632595"/>
      <w:bookmarkStart w:id="408" w:name="_Toc152045577"/>
      <w:bookmarkStart w:id="409" w:name="_Toc246996964"/>
      <w:bookmarkStart w:id="410" w:name="_Toc246996221"/>
      <w:bookmarkStart w:id="411" w:name="_Toc247085735"/>
      <w:r>
        <w:rPr>
          <w:rFonts w:hint="eastAsia"/>
          <w:b/>
          <w:bCs/>
          <w:color w:val="auto"/>
          <w:sz w:val="28"/>
          <w:szCs w:val="28"/>
          <w:highlight w:val="none"/>
        </w:rPr>
        <w:t>8.3 对评标委员会成员的纪律要求</w:t>
      </w:r>
      <w:bookmarkEnd w:id="404"/>
      <w:bookmarkEnd w:id="405"/>
      <w:bookmarkEnd w:id="406"/>
      <w:bookmarkEnd w:id="407"/>
      <w:bookmarkEnd w:id="408"/>
      <w:bookmarkEnd w:id="409"/>
      <w:bookmarkEnd w:id="410"/>
      <w:bookmarkEnd w:id="411"/>
    </w:p>
    <w:p w14:paraId="3649470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不得干扰评标程序正常进行，不得使用第三章“评标办法”规定以外的评审因素和标准进行评标。</w:t>
      </w:r>
    </w:p>
    <w:p w14:paraId="62317C4D">
      <w:pPr>
        <w:spacing w:line="360" w:lineRule="auto"/>
        <w:rPr>
          <w:b/>
          <w:bCs/>
          <w:color w:val="auto"/>
          <w:sz w:val="28"/>
          <w:szCs w:val="28"/>
          <w:highlight w:val="none"/>
        </w:rPr>
      </w:pPr>
      <w:bookmarkStart w:id="412" w:name="_Toc338840232"/>
      <w:bookmarkStart w:id="413" w:name="_Toc152045578"/>
      <w:bookmarkStart w:id="414" w:name="_Toc246996965"/>
      <w:bookmarkStart w:id="415" w:name="_Toc247085736"/>
      <w:bookmarkStart w:id="416" w:name="_Toc179632596"/>
      <w:bookmarkStart w:id="417" w:name="_Toc246996222"/>
      <w:bookmarkStart w:id="418" w:name="_Toc152042354"/>
      <w:bookmarkStart w:id="419" w:name="_Toc144974546"/>
      <w:r>
        <w:rPr>
          <w:rFonts w:hint="eastAsia"/>
          <w:b/>
          <w:bCs/>
          <w:color w:val="auto"/>
          <w:sz w:val="28"/>
          <w:szCs w:val="28"/>
          <w:highlight w:val="none"/>
        </w:rPr>
        <w:t>8.4 对有关招投标工作人员的纪律要求</w:t>
      </w:r>
      <w:bookmarkEnd w:id="412"/>
      <w:bookmarkEnd w:id="413"/>
      <w:bookmarkEnd w:id="414"/>
      <w:bookmarkEnd w:id="415"/>
      <w:bookmarkEnd w:id="416"/>
      <w:bookmarkEnd w:id="417"/>
      <w:bookmarkEnd w:id="418"/>
    </w:p>
    <w:p w14:paraId="015FDF87">
      <w:pPr>
        <w:spacing w:line="360" w:lineRule="auto"/>
        <w:ind w:firstLine="480" w:firstLineChars="200"/>
        <w:rPr>
          <w:rFonts w:ascii="宋体" w:hAnsi="宋体" w:cs="宋体"/>
          <w:color w:val="auto"/>
          <w:sz w:val="24"/>
          <w:highlight w:val="none"/>
        </w:rPr>
      </w:pPr>
      <w:bookmarkStart w:id="420" w:name="_Toc152042355"/>
      <w:r>
        <w:rPr>
          <w:rFonts w:hint="eastAsia" w:ascii="宋体" w:hAnsi="宋体" w:cs="宋体"/>
          <w:color w:val="auto"/>
          <w:sz w:val="24"/>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不得影响评标程序正常进行。</w:t>
      </w:r>
      <w:bookmarkEnd w:id="420"/>
    </w:p>
    <w:p w14:paraId="30D9047F">
      <w:pPr>
        <w:spacing w:line="360" w:lineRule="auto"/>
        <w:rPr>
          <w:b/>
          <w:bCs/>
          <w:color w:val="auto"/>
          <w:sz w:val="28"/>
          <w:szCs w:val="28"/>
          <w:highlight w:val="none"/>
        </w:rPr>
      </w:pPr>
      <w:bookmarkStart w:id="421" w:name="_Toc338840233"/>
      <w:bookmarkStart w:id="422" w:name="_Toc246996966"/>
      <w:bookmarkStart w:id="423" w:name="_Toc179632597"/>
      <w:bookmarkStart w:id="424" w:name="_Toc152045579"/>
      <w:bookmarkStart w:id="425" w:name="_Toc246996223"/>
      <w:bookmarkStart w:id="426" w:name="_Toc152042356"/>
      <w:bookmarkStart w:id="427" w:name="_Toc247085737"/>
      <w:r>
        <w:rPr>
          <w:rFonts w:hint="eastAsia"/>
          <w:b/>
          <w:bCs/>
          <w:color w:val="auto"/>
          <w:sz w:val="28"/>
          <w:szCs w:val="28"/>
          <w:highlight w:val="none"/>
        </w:rPr>
        <w:t>8.5 质疑</w:t>
      </w:r>
      <w:bookmarkEnd w:id="421"/>
      <w:r>
        <w:rPr>
          <w:rFonts w:hint="eastAsia"/>
          <w:b/>
          <w:bCs/>
          <w:color w:val="auto"/>
          <w:sz w:val="28"/>
          <w:szCs w:val="28"/>
          <w:highlight w:val="none"/>
        </w:rPr>
        <w:t>、</w:t>
      </w:r>
      <w:bookmarkStart w:id="428" w:name="_Toc338840234"/>
      <w:r>
        <w:rPr>
          <w:rFonts w:hint="eastAsia"/>
          <w:b/>
          <w:bCs/>
          <w:color w:val="auto"/>
          <w:sz w:val="28"/>
          <w:szCs w:val="28"/>
          <w:highlight w:val="none"/>
        </w:rPr>
        <w:t>投诉</w:t>
      </w:r>
      <w:bookmarkEnd w:id="428"/>
    </w:p>
    <w:p w14:paraId="7F01096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8.5.1投标人招标文件有异议的，应当在投标截止时间10日前提出。对招标、评标过程和中标结果使自己的权益受到损害的，可以在知道或者应知其权益受到损害之日起七个工作日内提出</w:t>
      </w:r>
    </w:p>
    <w:bookmarkEnd w:id="419"/>
    <w:bookmarkEnd w:id="422"/>
    <w:bookmarkEnd w:id="423"/>
    <w:bookmarkEnd w:id="424"/>
    <w:bookmarkEnd w:id="425"/>
    <w:bookmarkEnd w:id="426"/>
    <w:bookmarkEnd w:id="427"/>
    <w:p w14:paraId="449CEF9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8.5.2质疑投标人对</w:t>
      </w:r>
      <w:r>
        <w:rPr>
          <w:rFonts w:ascii="宋体" w:hAnsi="宋体" w:cs="宋体"/>
          <w:color w:val="auto"/>
          <w:sz w:val="24"/>
          <w:highlight w:val="none"/>
        </w:rPr>
        <w:t>采购（招标）人</w:t>
      </w:r>
      <w:r>
        <w:rPr>
          <w:rFonts w:hint="eastAsia" w:ascii="宋体" w:hAnsi="宋体" w:cs="宋体"/>
          <w:color w:val="auto"/>
          <w:sz w:val="24"/>
          <w:highlight w:val="none"/>
        </w:rPr>
        <w:t>、采购代理机构的答复不满意或者</w:t>
      </w:r>
      <w:r>
        <w:rPr>
          <w:rFonts w:ascii="宋体" w:hAnsi="宋体" w:cs="宋体"/>
          <w:color w:val="auto"/>
          <w:sz w:val="24"/>
          <w:highlight w:val="none"/>
        </w:rPr>
        <w:t>采购（招标）人</w:t>
      </w:r>
      <w:r>
        <w:rPr>
          <w:rFonts w:hint="eastAsia" w:ascii="宋体" w:hAnsi="宋体" w:cs="宋体"/>
          <w:color w:val="auto"/>
          <w:sz w:val="24"/>
          <w:highlight w:val="none"/>
        </w:rPr>
        <w:t>、采购代理机构未在规定的时间内作出答复的，可以在答复期满后十五个工作日内向同级政府采购监督管理部门投诉。</w:t>
      </w:r>
    </w:p>
    <w:p w14:paraId="073D614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8.5.3根据开封市公共资源交易管理委员会办公室文件（汴公管办【2020】13号）的规定：</w:t>
      </w:r>
    </w:p>
    <w:p w14:paraId="12F9A0A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投标人(供应商)向招标人、招标代理机构提出质疑(异议)的方式为线上提起，并在规定时间内对投标人(供应商)的质疑函(异议书)进行回复，各投标人应时刻关注电子交易系统中的项目进度和状态。</w:t>
      </w:r>
      <w:bookmarkStart w:id="429" w:name="_Toc419645322"/>
    </w:p>
    <w:p w14:paraId="5C71103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8.5.4投标人(供应商)提出投诉的，应当先向</w:t>
      </w:r>
      <w:r>
        <w:rPr>
          <w:rFonts w:ascii="宋体" w:hAnsi="宋体" w:cs="宋体"/>
          <w:color w:val="auto"/>
          <w:sz w:val="24"/>
          <w:highlight w:val="none"/>
        </w:rPr>
        <w:t>采购（招标）人</w:t>
      </w:r>
      <w:r>
        <w:rPr>
          <w:rFonts w:hint="eastAsia" w:ascii="宋体" w:hAnsi="宋体" w:cs="宋体"/>
          <w:color w:val="auto"/>
          <w:sz w:val="24"/>
          <w:highlight w:val="none"/>
        </w:rPr>
        <w:t>、采购代理机构提出质疑。质疑投标人(供应商)对</w:t>
      </w:r>
      <w:r>
        <w:rPr>
          <w:rFonts w:ascii="宋体" w:hAnsi="宋体" w:cs="宋体"/>
          <w:color w:val="auto"/>
          <w:sz w:val="24"/>
          <w:highlight w:val="none"/>
        </w:rPr>
        <w:t>采购（招标）人</w:t>
      </w:r>
      <w:r>
        <w:rPr>
          <w:rFonts w:hint="eastAsia" w:ascii="宋体" w:hAnsi="宋体" w:cs="宋体"/>
          <w:color w:val="auto"/>
          <w:sz w:val="24"/>
          <w:highlight w:val="none"/>
        </w:rPr>
        <w:t>、采购代理机构的答复不满意或者</w:t>
      </w:r>
      <w:r>
        <w:rPr>
          <w:rFonts w:ascii="宋体" w:hAnsi="宋体" w:cs="宋体"/>
          <w:color w:val="auto"/>
          <w:sz w:val="24"/>
          <w:highlight w:val="none"/>
        </w:rPr>
        <w:t>采购（招标）人</w:t>
      </w:r>
      <w:r>
        <w:rPr>
          <w:rFonts w:hint="eastAsia" w:ascii="宋体" w:hAnsi="宋体" w:cs="宋体"/>
          <w:color w:val="auto"/>
          <w:sz w:val="24"/>
          <w:highlight w:val="none"/>
        </w:rPr>
        <w:t>、采购代理机构未在规定的时间内作出答复的，可以在答复期满后15个工作日内向同级政府采购监督管理部门投诉。</w:t>
      </w:r>
    </w:p>
    <w:bookmarkEnd w:id="429"/>
    <w:p w14:paraId="635E8B3A">
      <w:pPr>
        <w:spacing w:line="360" w:lineRule="auto"/>
        <w:rPr>
          <w:b/>
          <w:bCs/>
          <w:color w:val="auto"/>
          <w:sz w:val="28"/>
          <w:szCs w:val="28"/>
          <w:highlight w:val="none"/>
        </w:rPr>
      </w:pPr>
      <w:bookmarkStart w:id="430" w:name="_Toc31310"/>
      <w:bookmarkStart w:id="431" w:name="_Toc29701"/>
      <w:bookmarkStart w:id="432" w:name="_Toc17117"/>
      <w:bookmarkStart w:id="433" w:name="_Toc6099"/>
      <w:bookmarkStart w:id="434" w:name="_Toc247085738"/>
      <w:bookmarkStart w:id="435" w:name="_Toc338840489"/>
      <w:bookmarkStart w:id="436" w:name="_Toc152045580"/>
      <w:bookmarkStart w:id="437" w:name="_Toc144974547"/>
      <w:bookmarkStart w:id="438" w:name="_Toc346523473"/>
      <w:bookmarkStart w:id="439" w:name="_Toc179632598"/>
      <w:bookmarkStart w:id="440" w:name="_Toc152042357"/>
      <w:bookmarkStart w:id="441" w:name="_Toc338840235"/>
      <w:bookmarkStart w:id="442" w:name="_Toc338840450"/>
      <w:bookmarkStart w:id="443" w:name="_Toc246996224"/>
      <w:bookmarkStart w:id="444" w:name="_Toc246996967"/>
      <w:bookmarkStart w:id="445" w:name="_Toc346523410"/>
      <w:r>
        <w:rPr>
          <w:rFonts w:hint="eastAsia"/>
          <w:b/>
          <w:bCs/>
          <w:color w:val="auto"/>
          <w:sz w:val="28"/>
          <w:szCs w:val="28"/>
          <w:highlight w:val="none"/>
        </w:rPr>
        <w:t>9. 关于中小企业、监狱企业、残疾人福利性单位投标的说明</w:t>
      </w:r>
      <w:bookmarkEnd w:id="430"/>
      <w:bookmarkEnd w:id="431"/>
      <w:bookmarkEnd w:id="432"/>
      <w:bookmarkEnd w:id="433"/>
    </w:p>
    <w:p w14:paraId="30AF50D8">
      <w:pPr>
        <w:spacing w:line="360" w:lineRule="auto"/>
        <w:rPr>
          <w:b/>
          <w:bCs/>
          <w:color w:val="auto"/>
          <w:sz w:val="28"/>
          <w:szCs w:val="28"/>
          <w:highlight w:val="none"/>
        </w:rPr>
      </w:pPr>
      <w:r>
        <w:rPr>
          <w:rFonts w:hint="eastAsia"/>
          <w:b/>
          <w:bCs/>
          <w:color w:val="auto"/>
          <w:sz w:val="28"/>
          <w:szCs w:val="28"/>
          <w:highlight w:val="none"/>
        </w:rPr>
        <w:t>9.1 含义</w:t>
      </w:r>
    </w:p>
    <w:p w14:paraId="27761C2E">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9.1.1中小企业。符合国务院有关部门制定的中小企业划型标准，提供本企业制造的货物、承担的工程或者服务，或者提供其他中小企业制造的货物。</w:t>
      </w:r>
    </w:p>
    <w:p w14:paraId="4F4BF3E8">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9.1.2监狱企业。监狱企业参加政府采购活动时，应当提供由省级以上监狱管理局、戒毒管理局（含新疆生产建设兵团）出具的属于监狱企业的证明文件，才可享受相关政策。</w:t>
      </w:r>
      <w:r>
        <w:rPr>
          <w:rFonts w:hint="eastAsia" w:ascii="宋体" w:hAnsi="宋体" w:cs="宋体"/>
          <w:color w:val="auto"/>
          <w:sz w:val="24"/>
          <w:highlight w:val="none"/>
        </w:rPr>
        <w:br w:type="textWrapping"/>
      </w:r>
      <w:r>
        <w:rPr>
          <w:rFonts w:hint="eastAsia" w:ascii="宋体" w:hAnsi="宋体" w:cs="宋体"/>
          <w:color w:val="auto"/>
          <w:sz w:val="24"/>
          <w:highlight w:val="none"/>
        </w:rPr>
        <w:t>　　在政府采购活动中监狱企业视同小型、微型企业并适用其相关规定，提供本企业制造的货物、承担的工程或服务，享受预留份额、评审中价格扣除等政府采购促进中小企业发展的政府采购政策。</w:t>
      </w:r>
    </w:p>
    <w:p w14:paraId="105A90EC">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9.1.3残疾人福利性单位。</w:t>
      </w:r>
    </w:p>
    <w:p w14:paraId="7FEA2136">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9.1.3.1享受政府采购支持政策的残疾人福利性单位应当同时满足以下条件：</w:t>
      </w:r>
    </w:p>
    <w:p w14:paraId="077BD802">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（一）安置的残疾人占本单位在职职工人数的比例不低于25%（含25%），并且安置的残疾人人数不少于10人（含10人）；</w:t>
      </w:r>
    </w:p>
    <w:p w14:paraId="22B420AB">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（二）依法与安置的每位残疾人签订了一年以上（含一年）的劳动合同或服务协议；</w:t>
      </w:r>
    </w:p>
    <w:p w14:paraId="73E7B082">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（三）为安置的每位残疾人按月足额缴纳了基本养老保险、基本医疗保险、失业保险、工伤保险和生育保险等社会保险费；</w:t>
      </w:r>
    </w:p>
    <w:p w14:paraId="73DFD0AD">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（四）通过银行等金融机构向安置的每位残疾人，按月支付了不低于单位所在区县适用的经省级人民政府批准的月最低工资标准的工资；</w:t>
      </w:r>
    </w:p>
    <w:p w14:paraId="014A710B">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（五）提供本单位制造的货物、承担的工程或者服务（以下简称产品），或者提供其他残疾人福利性单位制造的货物（不包括使用非残疾人福利性单位注册商标的货物）。</w:t>
      </w:r>
    </w:p>
    <w:p w14:paraId="08F80AA7">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653AE643">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9.1.3.2、符合条件的残疾人福利性单位在参加政府采购活动时，应当提供规定的《残疾人福利性单位声明函》（见附件），并对声明的真实性负责。</w:t>
      </w:r>
    </w:p>
    <w:p w14:paraId="5203270B">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供应商提供的《残疾人福利性单位声明函》与事实不符的，依照《政府采购法》第七十七条第一款和招标文件规定追究法律责任。</w:t>
      </w:r>
    </w:p>
    <w:p w14:paraId="41B1FA4B">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9.1.3.3、在政府采购活动中残疾人福利性单位视同小型、微型企业并适用其相关规定，提供本企业制造的货物、承担的工程或服务，享受预留份额、评审中价格扣除等促进中小企业发展的政府采购政策。</w:t>
      </w:r>
    </w:p>
    <w:p w14:paraId="46BFDC28">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9.1.4 中标、成交结果公告同时公告其小微企业、监狱企业、残疾人福利性单位的证明材料及相关资料，接受社会监督。</w:t>
      </w:r>
    </w:p>
    <w:p w14:paraId="587ECD78">
      <w:pPr>
        <w:spacing w:line="360" w:lineRule="auto"/>
        <w:rPr>
          <w:rFonts w:hint="eastAsia" w:eastAsia="宋体"/>
          <w:b/>
          <w:bCs/>
          <w:color w:val="auto"/>
          <w:sz w:val="28"/>
          <w:szCs w:val="28"/>
          <w:highlight w:val="none"/>
          <w:lang w:eastAsia="zh-CN"/>
        </w:rPr>
      </w:pPr>
      <w:r>
        <w:rPr>
          <w:rFonts w:hint="eastAsia"/>
          <w:b/>
          <w:bCs/>
          <w:color w:val="auto"/>
          <w:sz w:val="28"/>
          <w:szCs w:val="28"/>
          <w:highlight w:val="none"/>
        </w:rPr>
        <w:t>9.2价格扣除</w:t>
      </w:r>
      <w:r>
        <w:rPr>
          <w:rFonts w:hint="eastAsia"/>
          <w:b/>
          <w:bCs/>
          <w:color w:val="auto"/>
          <w:sz w:val="28"/>
          <w:szCs w:val="28"/>
          <w:highlight w:val="none"/>
          <w:lang w:eastAsia="zh-CN"/>
        </w:rPr>
        <w:t>（</w:t>
      </w:r>
      <w:r>
        <w:rPr>
          <w:rFonts w:hint="eastAsia"/>
          <w:b/>
          <w:bCs/>
          <w:color w:val="auto"/>
          <w:sz w:val="28"/>
          <w:szCs w:val="28"/>
          <w:highlight w:val="none"/>
          <w:lang w:val="en-US" w:eastAsia="zh-CN"/>
        </w:rPr>
        <w:t>无</w:t>
      </w:r>
      <w:r>
        <w:rPr>
          <w:rFonts w:hint="eastAsia"/>
          <w:b/>
          <w:bCs/>
          <w:color w:val="auto"/>
          <w:sz w:val="28"/>
          <w:szCs w:val="28"/>
          <w:highlight w:val="none"/>
          <w:lang w:eastAsia="zh-CN"/>
        </w:rPr>
        <w:t>）</w:t>
      </w:r>
    </w:p>
    <w:p w14:paraId="06C91597">
      <w:pPr>
        <w:spacing w:line="360" w:lineRule="auto"/>
        <w:rPr>
          <w:b/>
          <w:bCs/>
          <w:color w:val="auto"/>
          <w:sz w:val="28"/>
          <w:szCs w:val="28"/>
          <w:highlight w:val="none"/>
        </w:rPr>
      </w:pPr>
      <w:r>
        <w:rPr>
          <w:rFonts w:hint="eastAsia"/>
          <w:b/>
          <w:bCs/>
          <w:color w:val="auto"/>
          <w:sz w:val="28"/>
          <w:szCs w:val="28"/>
          <w:highlight w:val="none"/>
        </w:rPr>
        <w:t>10．需要补充的其他内容</w:t>
      </w:r>
      <w:bookmarkEnd w:id="434"/>
      <w:bookmarkEnd w:id="435"/>
      <w:bookmarkEnd w:id="436"/>
      <w:bookmarkEnd w:id="437"/>
      <w:bookmarkEnd w:id="438"/>
      <w:bookmarkEnd w:id="439"/>
      <w:bookmarkEnd w:id="440"/>
      <w:bookmarkEnd w:id="441"/>
      <w:bookmarkEnd w:id="442"/>
      <w:bookmarkEnd w:id="443"/>
      <w:bookmarkEnd w:id="444"/>
      <w:bookmarkEnd w:id="445"/>
    </w:p>
    <w:p w14:paraId="14A78B56">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需要补充的其他内容：见投标人须知前附表。</w:t>
      </w:r>
    </w:p>
    <w:p w14:paraId="3F93CD01">
      <w:pPr>
        <w:spacing w:line="360" w:lineRule="auto"/>
        <w:rPr>
          <w:b/>
          <w:bCs/>
          <w:color w:val="auto"/>
          <w:sz w:val="28"/>
          <w:szCs w:val="28"/>
          <w:highlight w:val="none"/>
        </w:rPr>
      </w:pPr>
      <w:bookmarkStart w:id="446" w:name="_Toc346523474"/>
      <w:bookmarkStart w:id="447" w:name="_Toc346523411"/>
      <w:bookmarkStart w:id="448" w:name="_Toc494093437"/>
      <w:bookmarkStart w:id="449" w:name="_Toc494102999"/>
      <w:bookmarkStart w:id="450" w:name="_Toc338840236"/>
      <w:bookmarkStart w:id="451" w:name="_Toc338840451"/>
      <w:bookmarkStart w:id="452" w:name="_Toc338840490"/>
      <w:r>
        <w:rPr>
          <w:rFonts w:hint="eastAsia"/>
          <w:b/>
          <w:bCs/>
          <w:color w:val="auto"/>
          <w:sz w:val="28"/>
          <w:szCs w:val="28"/>
          <w:highlight w:val="none"/>
        </w:rPr>
        <w:t>11．电子招标投标</w:t>
      </w:r>
      <w:bookmarkEnd w:id="446"/>
      <w:bookmarkEnd w:id="447"/>
      <w:bookmarkEnd w:id="448"/>
      <w:bookmarkEnd w:id="449"/>
      <w:bookmarkEnd w:id="450"/>
      <w:bookmarkEnd w:id="451"/>
      <w:bookmarkEnd w:id="452"/>
    </w:p>
    <w:p w14:paraId="232C3704">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采用电子招标投标，对投标文件的编制、递交、开标、评标等的具体要求，见投标人须知前附表。</w:t>
      </w:r>
    </w:p>
    <w:p w14:paraId="5BC4B0D3">
      <w:pPr>
        <w:pStyle w:val="3"/>
        <w:spacing w:line="360" w:lineRule="auto"/>
        <w:ind w:left="0" w:firstLine="0"/>
        <w:jc w:val="center"/>
        <w:rPr>
          <w:rFonts w:ascii="宋体" w:hAnsi="宋体" w:cs="宋体"/>
          <w:color w:val="auto"/>
          <w:highlight w:val="none"/>
        </w:rPr>
      </w:pPr>
      <w:r>
        <w:rPr>
          <w:rStyle w:val="21"/>
          <w:rFonts w:ascii="宋体" w:hAnsi="宋体" w:cs="宋体"/>
          <w:b w:val="0"/>
          <w:bCs w:val="0"/>
          <w:color w:val="auto"/>
          <w:highlight w:val="none"/>
        </w:rPr>
        <w:br w:type="page"/>
      </w:r>
      <w:bookmarkStart w:id="453" w:name="_Toc28401"/>
      <w:r>
        <w:rPr>
          <w:rStyle w:val="21"/>
          <w:rFonts w:hint="eastAsia" w:ascii="宋体" w:hAnsi="宋体" w:cs="宋体"/>
          <w:bCs w:val="0"/>
          <w:color w:val="auto"/>
          <w:highlight w:val="none"/>
        </w:rPr>
        <w:t>第三章</w:t>
      </w:r>
      <w:r>
        <w:rPr>
          <w:rStyle w:val="21"/>
          <w:rFonts w:hint="eastAsia" w:ascii="宋体" w:hAnsi="宋体" w:cs="宋体"/>
          <w:bCs w:val="0"/>
          <w:color w:val="auto"/>
          <w:highlight w:val="none"/>
          <w:lang w:val="en-US" w:eastAsia="zh-CN"/>
        </w:rPr>
        <w:t xml:space="preserve"> </w:t>
      </w:r>
      <w:r>
        <w:rPr>
          <w:rStyle w:val="21"/>
          <w:rFonts w:hint="eastAsia" w:ascii="宋体" w:hAnsi="宋体" w:cs="宋体"/>
          <w:bCs w:val="0"/>
          <w:color w:val="auto"/>
          <w:highlight w:val="none"/>
        </w:rPr>
        <w:t>评标办法</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453"/>
      <w:bookmarkStart w:id="454" w:name="_Toc152042376"/>
      <w:bookmarkStart w:id="455" w:name="_Toc246996985"/>
      <w:bookmarkStart w:id="456" w:name="_Toc144974566"/>
      <w:bookmarkStart w:id="457" w:name="_Toc247085757"/>
      <w:bookmarkStart w:id="458" w:name="_Toc179632617"/>
      <w:bookmarkStart w:id="459" w:name="_Toc246996242"/>
      <w:bookmarkStart w:id="460" w:name="_Toc152045599"/>
    </w:p>
    <w:bookmarkEnd w:id="454"/>
    <w:bookmarkEnd w:id="455"/>
    <w:bookmarkEnd w:id="456"/>
    <w:bookmarkEnd w:id="457"/>
    <w:bookmarkEnd w:id="458"/>
    <w:bookmarkEnd w:id="459"/>
    <w:bookmarkEnd w:id="460"/>
    <w:p w14:paraId="416880FE">
      <w:pPr>
        <w:bidi w:val="0"/>
        <w:jc w:val="center"/>
        <w:rPr>
          <w:b/>
          <w:bCs/>
          <w:color w:val="auto"/>
          <w:sz w:val="32"/>
          <w:szCs w:val="32"/>
          <w:highlight w:val="none"/>
        </w:rPr>
      </w:pPr>
      <w:bookmarkStart w:id="461" w:name="_Toc4960"/>
      <w:bookmarkStart w:id="462" w:name="_Toc494103007"/>
      <w:bookmarkStart w:id="463" w:name="_Toc338840460"/>
      <w:bookmarkStart w:id="464" w:name="_Toc346523483"/>
      <w:bookmarkStart w:id="465" w:name="_Toc346523420"/>
      <w:bookmarkStart w:id="466" w:name="_Toc338840251"/>
      <w:bookmarkStart w:id="467" w:name="_Toc494093445"/>
      <w:bookmarkStart w:id="468" w:name="_Toc338840499"/>
      <w:bookmarkStart w:id="469" w:name="_Toc3571"/>
      <w:bookmarkStart w:id="470" w:name="_Toc32134"/>
      <w:bookmarkStart w:id="471" w:name="_Toc24183"/>
      <w:r>
        <w:rPr>
          <w:rFonts w:hint="eastAsia"/>
          <w:b/>
          <w:bCs/>
          <w:color w:val="auto"/>
          <w:sz w:val="32"/>
          <w:szCs w:val="32"/>
          <w:highlight w:val="none"/>
        </w:rPr>
        <w:t>评标办法前附表</w:t>
      </w:r>
    </w:p>
    <w:tbl>
      <w:tblPr>
        <w:tblStyle w:val="16"/>
        <w:tblW w:w="91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2"/>
        <w:gridCol w:w="709"/>
        <w:gridCol w:w="709"/>
        <w:gridCol w:w="2601"/>
        <w:gridCol w:w="4111"/>
      </w:tblGrid>
      <w:tr w14:paraId="2DC2E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2470" w:type="dxa"/>
            <w:gridSpan w:val="3"/>
            <w:tcBorders>
              <w:top w:val="single" w:color="auto" w:sz="4" w:space="0"/>
              <w:left w:val="single" w:color="auto" w:sz="4" w:space="0"/>
              <w:bottom w:val="single" w:color="auto" w:sz="4" w:space="0"/>
              <w:right w:val="single" w:color="auto" w:sz="4" w:space="0"/>
            </w:tcBorders>
            <w:noWrap w:val="0"/>
            <w:vAlign w:val="center"/>
          </w:tcPr>
          <w:p w14:paraId="01F07419">
            <w:pPr>
              <w:spacing w:line="276" w:lineRule="auto"/>
              <w:jc w:val="center"/>
              <w:rPr>
                <w:b/>
                <w:color w:val="auto"/>
                <w:sz w:val="24"/>
                <w:highlight w:val="none"/>
              </w:rPr>
            </w:pPr>
            <w:r>
              <w:rPr>
                <w:rFonts w:hint="eastAsia"/>
                <w:b/>
                <w:color w:val="auto"/>
                <w:sz w:val="24"/>
                <w:highlight w:val="none"/>
              </w:rPr>
              <w:t>条款号</w:t>
            </w:r>
          </w:p>
        </w:tc>
        <w:tc>
          <w:tcPr>
            <w:tcW w:w="2601" w:type="dxa"/>
            <w:tcBorders>
              <w:top w:val="single" w:color="auto" w:sz="4" w:space="0"/>
              <w:left w:val="single" w:color="auto" w:sz="4" w:space="0"/>
              <w:bottom w:val="single" w:color="auto" w:sz="4" w:space="0"/>
              <w:right w:val="single" w:color="auto" w:sz="4" w:space="0"/>
            </w:tcBorders>
            <w:noWrap w:val="0"/>
            <w:vAlign w:val="center"/>
          </w:tcPr>
          <w:p w14:paraId="56B3E47D">
            <w:pPr>
              <w:spacing w:line="276" w:lineRule="auto"/>
              <w:jc w:val="center"/>
              <w:rPr>
                <w:b/>
                <w:color w:val="auto"/>
                <w:sz w:val="24"/>
                <w:highlight w:val="none"/>
              </w:rPr>
            </w:pPr>
            <w:r>
              <w:rPr>
                <w:rFonts w:hint="eastAsia"/>
                <w:b/>
                <w:color w:val="auto"/>
                <w:sz w:val="24"/>
                <w:highlight w:val="none"/>
              </w:rPr>
              <w:t>评审因素</w:t>
            </w:r>
          </w:p>
        </w:tc>
        <w:tc>
          <w:tcPr>
            <w:tcW w:w="4111" w:type="dxa"/>
            <w:tcBorders>
              <w:top w:val="single" w:color="auto" w:sz="4" w:space="0"/>
              <w:left w:val="single" w:color="auto" w:sz="4" w:space="0"/>
              <w:bottom w:val="single" w:color="auto" w:sz="4" w:space="0"/>
              <w:right w:val="single" w:color="auto" w:sz="4" w:space="0"/>
            </w:tcBorders>
            <w:noWrap w:val="0"/>
            <w:vAlign w:val="center"/>
          </w:tcPr>
          <w:p w14:paraId="1E1E4EB5">
            <w:pPr>
              <w:spacing w:line="276" w:lineRule="auto"/>
              <w:jc w:val="center"/>
              <w:rPr>
                <w:b/>
                <w:color w:val="auto"/>
                <w:sz w:val="24"/>
                <w:highlight w:val="none"/>
              </w:rPr>
            </w:pPr>
            <w:r>
              <w:rPr>
                <w:rFonts w:hint="eastAsia"/>
                <w:b/>
                <w:color w:val="auto"/>
                <w:sz w:val="24"/>
                <w:highlight w:val="none"/>
              </w:rPr>
              <w:t>评审标准</w:t>
            </w:r>
          </w:p>
        </w:tc>
      </w:tr>
      <w:tr w14:paraId="552A9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052" w:type="dxa"/>
            <w:vMerge w:val="restart"/>
            <w:tcBorders>
              <w:left w:val="single" w:color="auto" w:sz="4" w:space="0"/>
              <w:right w:val="single" w:color="auto" w:sz="4" w:space="0"/>
            </w:tcBorders>
            <w:noWrap w:val="0"/>
            <w:vAlign w:val="center"/>
          </w:tcPr>
          <w:p w14:paraId="5159BDBE">
            <w:pPr>
              <w:spacing w:line="276" w:lineRule="auto"/>
              <w:jc w:val="center"/>
              <w:rPr>
                <w:color w:val="auto"/>
                <w:sz w:val="24"/>
                <w:highlight w:val="none"/>
              </w:rPr>
            </w:pPr>
            <w:r>
              <w:rPr>
                <w:rFonts w:hint="eastAsia"/>
                <w:color w:val="auto"/>
                <w:sz w:val="24"/>
                <w:highlight w:val="none"/>
              </w:rPr>
              <w:t>2.1初步评审</w:t>
            </w:r>
          </w:p>
        </w:tc>
        <w:tc>
          <w:tcPr>
            <w:tcW w:w="709" w:type="dxa"/>
            <w:vMerge w:val="restart"/>
            <w:tcBorders>
              <w:top w:val="single" w:color="auto" w:sz="4" w:space="0"/>
              <w:left w:val="single" w:color="auto" w:sz="4" w:space="0"/>
              <w:right w:val="single" w:color="auto" w:sz="4" w:space="0"/>
            </w:tcBorders>
            <w:noWrap w:val="0"/>
            <w:vAlign w:val="center"/>
          </w:tcPr>
          <w:p w14:paraId="39E9005F">
            <w:pPr>
              <w:widowControl/>
              <w:spacing w:line="276" w:lineRule="auto"/>
              <w:jc w:val="center"/>
              <w:rPr>
                <w:color w:val="auto"/>
                <w:sz w:val="24"/>
                <w:highlight w:val="none"/>
              </w:rPr>
            </w:pPr>
            <w:r>
              <w:rPr>
                <w:rFonts w:hint="eastAsia"/>
                <w:color w:val="auto"/>
                <w:sz w:val="24"/>
                <w:highlight w:val="none"/>
              </w:rPr>
              <w:t xml:space="preserve">2.1.1 </w:t>
            </w:r>
          </w:p>
        </w:tc>
        <w:tc>
          <w:tcPr>
            <w:tcW w:w="709" w:type="dxa"/>
            <w:vMerge w:val="restart"/>
            <w:tcBorders>
              <w:top w:val="single" w:color="auto" w:sz="4" w:space="0"/>
              <w:left w:val="single" w:color="auto" w:sz="4" w:space="0"/>
              <w:right w:val="single" w:color="auto" w:sz="4" w:space="0"/>
            </w:tcBorders>
            <w:noWrap w:val="0"/>
            <w:vAlign w:val="center"/>
          </w:tcPr>
          <w:p w14:paraId="3A7ADE94">
            <w:pPr>
              <w:spacing w:line="276" w:lineRule="auto"/>
              <w:jc w:val="center"/>
              <w:rPr>
                <w:color w:val="auto"/>
                <w:sz w:val="24"/>
                <w:highlight w:val="none"/>
              </w:rPr>
            </w:pPr>
            <w:r>
              <w:rPr>
                <w:rFonts w:hint="eastAsia"/>
                <w:color w:val="auto"/>
                <w:sz w:val="24"/>
                <w:highlight w:val="none"/>
              </w:rPr>
              <w:t>资格评审标准</w:t>
            </w:r>
          </w:p>
        </w:tc>
        <w:tc>
          <w:tcPr>
            <w:tcW w:w="2601" w:type="dxa"/>
            <w:tcBorders>
              <w:top w:val="single" w:color="auto" w:sz="4" w:space="0"/>
              <w:left w:val="single" w:color="auto" w:sz="4" w:space="0"/>
              <w:right w:val="single" w:color="auto" w:sz="4" w:space="0"/>
            </w:tcBorders>
            <w:noWrap w:val="0"/>
            <w:vAlign w:val="center"/>
          </w:tcPr>
          <w:p w14:paraId="4DD8F130">
            <w:pPr>
              <w:spacing w:line="276" w:lineRule="auto"/>
              <w:jc w:val="center"/>
              <w:rPr>
                <w:color w:val="auto"/>
                <w:sz w:val="24"/>
                <w:highlight w:val="none"/>
              </w:rPr>
            </w:pPr>
            <w:r>
              <w:rPr>
                <w:rFonts w:hint="eastAsia" w:ascii="宋体" w:hAnsi="宋体"/>
                <w:color w:val="auto"/>
                <w:sz w:val="24"/>
                <w:highlight w:val="none"/>
              </w:rPr>
              <w:t>独立承担民事责任的能力</w:t>
            </w:r>
          </w:p>
        </w:tc>
        <w:tc>
          <w:tcPr>
            <w:tcW w:w="4111" w:type="dxa"/>
            <w:tcBorders>
              <w:top w:val="single" w:color="auto" w:sz="4" w:space="0"/>
              <w:left w:val="single" w:color="auto" w:sz="4" w:space="0"/>
              <w:right w:val="single" w:color="auto" w:sz="4" w:space="0"/>
            </w:tcBorders>
            <w:noWrap w:val="0"/>
            <w:vAlign w:val="center"/>
          </w:tcPr>
          <w:p w14:paraId="077658CE">
            <w:pPr>
              <w:spacing w:line="276" w:lineRule="auto"/>
              <w:jc w:val="center"/>
              <w:rPr>
                <w:color w:val="auto"/>
                <w:sz w:val="24"/>
                <w:highlight w:val="none"/>
              </w:rPr>
            </w:pPr>
            <w:r>
              <w:rPr>
                <w:rFonts w:hint="eastAsia" w:ascii="宋体" w:hAnsi="宋体"/>
                <w:color w:val="auto"/>
                <w:sz w:val="24"/>
                <w:highlight w:val="none"/>
              </w:rPr>
              <w:t>提供有效的营业执照副本或其他相关证明材料</w:t>
            </w:r>
          </w:p>
        </w:tc>
      </w:tr>
      <w:tr w14:paraId="4AAA6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052" w:type="dxa"/>
            <w:vMerge w:val="continue"/>
            <w:tcBorders>
              <w:left w:val="single" w:color="auto" w:sz="4" w:space="0"/>
              <w:right w:val="single" w:color="auto" w:sz="4" w:space="0"/>
            </w:tcBorders>
            <w:noWrap w:val="0"/>
            <w:vAlign w:val="center"/>
          </w:tcPr>
          <w:p w14:paraId="4703F1C1">
            <w:pPr>
              <w:spacing w:line="276" w:lineRule="auto"/>
              <w:jc w:val="center"/>
              <w:rPr>
                <w:color w:val="auto"/>
                <w:sz w:val="24"/>
                <w:highlight w:val="none"/>
              </w:rPr>
            </w:pPr>
          </w:p>
        </w:tc>
        <w:tc>
          <w:tcPr>
            <w:tcW w:w="709" w:type="dxa"/>
            <w:vMerge w:val="continue"/>
            <w:tcBorders>
              <w:left w:val="single" w:color="auto" w:sz="4" w:space="0"/>
              <w:right w:val="single" w:color="auto" w:sz="4" w:space="0"/>
            </w:tcBorders>
            <w:noWrap w:val="0"/>
            <w:vAlign w:val="center"/>
          </w:tcPr>
          <w:p w14:paraId="5BAE5B8A">
            <w:pPr>
              <w:spacing w:line="276" w:lineRule="auto"/>
              <w:jc w:val="center"/>
              <w:rPr>
                <w:rFonts w:ascii="宋体" w:hAnsi="宋体"/>
                <w:color w:val="auto"/>
                <w:sz w:val="24"/>
                <w:highlight w:val="none"/>
              </w:rPr>
            </w:pPr>
          </w:p>
        </w:tc>
        <w:tc>
          <w:tcPr>
            <w:tcW w:w="709" w:type="dxa"/>
            <w:vMerge w:val="continue"/>
            <w:tcBorders>
              <w:left w:val="single" w:color="auto" w:sz="4" w:space="0"/>
              <w:right w:val="single" w:color="auto" w:sz="4" w:space="0"/>
            </w:tcBorders>
            <w:noWrap w:val="0"/>
            <w:vAlign w:val="center"/>
          </w:tcPr>
          <w:p w14:paraId="35128831">
            <w:pPr>
              <w:spacing w:line="276" w:lineRule="auto"/>
              <w:jc w:val="center"/>
              <w:rPr>
                <w:color w:val="auto"/>
                <w:sz w:val="24"/>
                <w:highlight w:val="none"/>
              </w:rPr>
            </w:pPr>
          </w:p>
        </w:tc>
        <w:tc>
          <w:tcPr>
            <w:tcW w:w="2601" w:type="dxa"/>
            <w:tcBorders>
              <w:top w:val="single" w:color="auto" w:sz="4" w:space="0"/>
              <w:left w:val="single" w:color="auto" w:sz="4" w:space="0"/>
              <w:bottom w:val="single" w:color="auto" w:sz="4" w:space="0"/>
              <w:right w:val="single" w:color="auto" w:sz="4" w:space="0"/>
            </w:tcBorders>
            <w:noWrap w:val="0"/>
            <w:vAlign w:val="center"/>
          </w:tcPr>
          <w:p w14:paraId="0904B37A">
            <w:pPr>
              <w:spacing w:line="276" w:lineRule="auto"/>
              <w:jc w:val="center"/>
              <w:rPr>
                <w:color w:val="auto"/>
                <w:sz w:val="24"/>
                <w:highlight w:val="none"/>
              </w:rPr>
            </w:pPr>
            <w:r>
              <w:rPr>
                <w:rFonts w:hint="eastAsia"/>
                <w:color w:val="auto"/>
                <w:sz w:val="24"/>
                <w:highlight w:val="none"/>
              </w:rPr>
              <w:t>财务状况</w:t>
            </w:r>
          </w:p>
        </w:tc>
        <w:tc>
          <w:tcPr>
            <w:tcW w:w="4111" w:type="dxa"/>
            <w:tcBorders>
              <w:top w:val="single" w:color="auto" w:sz="4" w:space="0"/>
              <w:left w:val="single" w:color="auto" w:sz="4" w:space="0"/>
              <w:bottom w:val="single" w:color="auto" w:sz="4" w:space="0"/>
              <w:right w:val="single" w:color="auto" w:sz="4" w:space="0"/>
            </w:tcBorders>
            <w:noWrap w:val="0"/>
            <w:vAlign w:val="center"/>
          </w:tcPr>
          <w:p w14:paraId="5EAAF8DF">
            <w:pPr>
              <w:tabs>
                <w:tab w:val="left" w:pos="7770"/>
              </w:tabs>
              <w:spacing w:line="276" w:lineRule="auto"/>
              <w:rPr>
                <w:rFonts w:hint="default" w:eastAsia="宋体"/>
                <w:color w:val="auto"/>
                <w:sz w:val="24"/>
                <w:highlight w:val="none"/>
                <w:lang w:val="en-US" w:eastAsia="zh-CN"/>
              </w:rPr>
            </w:pPr>
            <w:r>
              <w:rPr>
                <w:rFonts w:hint="eastAsia" w:ascii="宋体" w:hAnsi="宋体"/>
                <w:color w:val="auto"/>
                <w:sz w:val="24"/>
                <w:highlight w:val="none"/>
                <w:lang w:val="en-US" w:eastAsia="zh-CN"/>
              </w:rPr>
              <w:t>符合招标文件要求</w:t>
            </w:r>
          </w:p>
        </w:tc>
      </w:tr>
      <w:tr w14:paraId="3D556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052" w:type="dxa"/>
            <w:vMerge w:val="continue"/>
            <w:tcBorders>
              <w:left w:val="single" w:color="auto" w:sz="4" w:space="0"/>
              <w:right w:val="single" w:color="auto" w:sz="4" w:space="0"/>
            </w:tcBorders>
            <w:noWrap w:val="0"/>
            <w:vAlign w:val="center"/>
          </w:tcPr>
          <w:p w14:paraId="522A4F1C">
            <w:pPr>
              <w:spacing w:line="276" w:lineRule="auto"/>
              <w:jc w:val="center"/>
              <w:rPr>
                <w:color w:val="auto"/>
                <w:sz w:val="24"/>
                <w:highlight w:val="none"/>
              </w:rPr>
            </w:pPr>
          </w:p>
        </w:tc>
        <w:tc>
          <w:tcPr>
            <w:tcW w:w="709" w:type="dxa"/>
            <w:vMerge w:val="continue"/>
            <w:tcBorders>
              <w:left w:val="single" w:color="auto" w:sz="4" w:space="0"/>
              <w:right w:val="single" w:color="auto" w:sz="4" w:space="0"/>
            </w:tcBorders>
            <w:noWrap w:val="0"/>
            <w:vAlign w:val="center"/>
          </w:tcPr>
          <w:p w14:paraId="5B5A239D">
            <w:pPr>
              <w:spacing w:line="276" w:lineRule="auto"/>
              <w:jc w:val="center"/>
              <w:rPr>
                <w:rFonts w:ascii="宋体" w:hAnsi="宋体"/>
                <w:color w:val="auto"/>
                <w:sz w:val="24"/>
                <w:highlight w:val="none"/>
              </w:rPr>
            </w:pPr>
          </w:p>
        </w:tc>
        <w:tc>
          <w:tcPr>
            <w:tcW w:w="709" w:type="dxa"/>
            <w:vMerge w:val="continue"/>
            <w:tcBorders>
              <w:left w:val="single" w:color="auto" w:sz="4" w:space="0"/>
              <w:right w:val="single" w:color="auto" w:sz="4" w:space="0"/>
            </w:tcBorders>
            <w:noWrap w:val="0"/>
            <w:vAlign w:val="center"/>
          </w:tcPr>
          <w:p w14:paraId="6298A3A7">
            <w:pPr>
              <w:spacing w:line="276" w:lineRule="auto"/>
              <w:jc w:val="center"/>
              <w:rPr>
                <w:color w:val="auto"/>
                <w:sz w:val="24"/>
                <w:highlight w:val="none"/>
              </w:rPr>
            </w:pPr>
          </w:p>
        </w:tc>
        <w:tc>
          <w:tcPr>
            <w:tcW w:w="2601" w:type="dxa"/>
            <w:tcBorders>
              <w:top w:val="single" w:color="auto" w:sz="4" w:space="0"/>
              <w:left w:val="single" w:color="auto" w:sz="4" w:space="0"/>
              <w:bottom w:val="single" w:color="auto" w:sz="4" w:space="0"/>
              <w:right w:val="single" w:color="auto" w:sz="4" w:space="0"/>
            </w:tcBorders>
            <w:noWrap w:val="0"/>
            <w:vAlign w:val="center"/>
          </w:tcPr>
          <w:p w14:paraId="298788FE">
            <w:pPr>
              <w:spacing w:line="276" w:lineRule="auto"/>
              <w:jc w:val="center"/>
              <w:rPr>
                <w:color w:val="auto"/>
                <w:sz w:val="24"/>
                <w:highlight w:val="none"/>
              </w:rPr>
            </w:pPr>
            <w:r>
              <w:rPr>
                <w:rFonts w:hint="eastAsia"/>
                <w:color w:val="auto"/>
                <w:sz w:val="24"/>
                <w:highlight w:val="none"/>
              </w:rPr>
              <w:t>设备和专业技术能力</w:t>
            </w:r>
          </w:p>
        </w:tc>
        <w:tc>
          <w:tcPr>
            <w:tcW w:w="4111" w:type="dxa"/>
            <w:tcBorders>
              <w:top w:val="single" w:color="auto" w:sz="4" w:space="0"/>
              <w:left w:val="single" w:color="auto" w:sz="4" w:space="0"/>
              <w:bottom w:val="single" w:color="auto" w:sz="4" w:space="0"/>
              <w:right w:val="single" w:color="auto" w:sz="4" w:space="0"/>
            </w:tcBorders>
            <w:noWrap w:val="0"/>
            <w:vAlign w:val="center"/>
          </w:tcPr>
          <w:p w14:paraId="582D22DD">
            <w:pPr>
              <w:spacing w:line="276" w:lineRule="auto"/>
              <w:jc w:val="center"/>
              <w:rPr>
                <w:color w:val="auto"/>
                <w:sz w:val="24"/>
                <w:highlight w:val="none"/>
              </w:rPr>
            </w:pPr>
            <w:r>
              <w:rPr>
                <w:rFonts w:hint="eastAsia" w:ascii="宋体" w:hAnsi="宋体"/>
                <w:color w:val="auto"/>
                <w:sz w:val="24"/>
                <w:highlight w:val="none"/>
                <w:lang w:val="en-US" w:eastAsia="zh-CN"/>
              </w:rPr>
              <w:t>符合招标文件要求</w:t>
            </w:r>
          </w:p>
        </w:tc>
      </w:tr>
      <w:tr w14:paraId="3FC19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052" w:type="dxa"/>
            <w:vMerge w:val="continue"/>
            <w:tcBorders>
              <w:left w:val="single" w:color="auto" w:sz="4" w:space="0"/>
              <w:right w:val="single" w:color="auto" w:sz="4" w:space="0"/>
            </w:tcBorders>
            <w:noWrap w:val="0"/>
            <w:vAlign w:val="center"/>
          </w:tcPr>
          <w:p w14:paraId="5A09C12F">
            <w:pPr>
              <w:spacing w:line="276" w:lineRule="auto"/>
              <w:jc w:val="center"/>
              <w:rPr>
                <w:color w:val="auto"/>
                <w:sz w:val="24"/>
                <w:highlight w:val="none"/>
              </w:rPr>
            </w:pPr>
          </w:p>
        </w:tc>
        <w:tc>
          <w:tcPr>
            <w:tcW w:w="709" w:type="dxa"/>
            <w:vMerge w:val="continue"/>
            <w:tcBorders>
              <w:left w:val="single" w:color="auto" w:sz="4" w:space="0"/>
              <w:right w:val="single" w:color="auto" w:sz="4" w:space="0"/>
            </w:tcBorders>
            <w:noWrap w:val="0"/>
            <w:vAlign w:val="center"/>
          </w:tcPr>
          <w:p w14:paraId="46D3369C">
            <w:pPr>
              <w:spacing w:line="276" w:lineRule="auto"/>
              <w:jc w:val="center"/>
              <w:rPr>
                <w:rFonts w:ascii="宋体" w:hAnsi="宋体"/>
                <w:color w:val="auto"/>
                <w:sz w:val="24"/>
                <w:highlight w:val="none"/>
              </w:rPr>
            </w:pPr>
          </w:p>
        </w:tc>
        <w:tc>
          <w:tcPr>
            <w:tcW w:w="709" w:type="dxa"/>
            <w:vMerge w:val="continue"/>
            <w:tcBorders>
              <w:left w:val="single" w:color="auto" w:sz="4" w:space="0"/>
              <w:right w:val="single" w:color="auto" w:sz="4" w:space="0"/>
            </w:tcBorders>
            <w:noWrap w:val="0"/>
            <w:vAlign w:val="center"/>
          </w:tcPr>
          <w:p w14:paraId="1341B3B6">
            <w:pPr>
              <w:spacing w:line="276" w:lineRule="auto"/>
              <w:jc w:val="center"/>
              <w:rPr>
                <w:color w:val="auto"/>
                <w:sz w:val="24"/>
                <w:highlight w:val="none"/>
              </w:rPr>
            </w:pPr>
          </w:p>
        </w:tc>
        <w:tc>
          <w:tcPr>
            <w:tcW w:w="2601" w:type="dxa"/>
            <w:tcBorders>
              <w:top w:val="single" w:color="auto" w:sz="4" w:space="0"/>
              <w:left w:val="single" w:color="auto" w:sz="4" w:space="0"/>
              <w:bottom w:val="single" w:color="auto" w:sz="4" w:space="0"/>
              <w:right w:val="single" w:color="auto" w:sz="4" w:space="0"/>
            </w:tcBorders>
            <w:noWrap w:val="0"/>
            <w:vAlign w:val="center"/>
          </w:tcPr>
          <w:p w14:paraId="56B80BAC">
            <w:pPr>
              <w:spacing w:line="276" w:lineRule="auto"/>
              <w:jc w:val="center"/>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缴纳税收和社会保障资金的良好记录</w:t>
            </w:r>
          </w:p>
        </w:tc>
        <w:tc>
          <w:tcPr>
            <w:tcW w:w="4111" w:type="dxa"/>
            <w:tcBorders>
              <w:top w:val="single" w:color="auto" w:sz="4" w:space="0"/>
              <w:left w:val="single" w:color="auto" w:sz="4" w:space="0"/>
              <w:bottom w:val="single" w:color="auto" w:sz="4" w:space="0"/>
              <w:right w:val="single" w:color="auto" w:sz="4" w:space="0"/>
            </w:tcBorders>
            <w:noWrap w:val="0"/>
            <w:vAlign w:val="center"/>
          </w:tcPr>
          <w:p w14:paraId="24B1C1EF">
            <w:pPr>
              <w:spacing w:line="276" w:lineRule="auto"/>
              <w:jc w:val="center"/>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符合招标文件要求</w:t>
            </w:r>
          </w:p>
        </w:tc>
      </w:tr>
      <w:tr w14:paraId="197E2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052" w:type="dxa"/>
            <w:vMerge w:val="continue"/>
            <w:tcBorders>
              <w:left w:val="single" w:color="auto" w:sz="4" w:space="0"/>
              <w:right w:val="single" w:color="auto" w:sz="4" w:space="0"/>
            </w:tcBorders>
            <w:noWrap w:val="0"/>
            <w:vAlign w:val="center"/>
          </w:tcPr>
          <w:p w14:paraId="28159754">
            <w:pPr>
              <w:spacing w:line="276" w:lineRule="auto"/>
              <w:jc w:val="center"/>
              <w:rPr>
                <w:color w:val="auto"/>
                <w:sz w:val="24"/>
                <w:highlight w:val="none"/>
              </w:rPr>
            </w:pPr>
          </w:p>
        </w:tc>
        <w:tc>
          <w:tcPr>
            <w:tcW w:w="709" w:type="dxa"/>
            <w:vMerge w:val="continue"/>
            <w:tcBorders>
              <w:left w:val="single" w:color="auto" w:sz="4" w:space="0"/>
              <w:right w:val="single" w:color="auto" w:sz="4" w:space="0"/>
            </w:tcBorders>
            <w:noWrap w:val="0"/>
            <w:vAlign w:val="center"/>
          </w:tcPr>
          <w:p w14:paraId="09A8C82F">
            <w:pPr>
              <w:spacing w:line="276" w:lineRule="auto"/>
              <w:jc w:val="center"/>
              <w:rPr>
                <w:rFonts w:ascii="宋体" w:hAnsi="宋体"/>
                <w:color w:val="auto"/>
                <w:sz w:val="24"/>
                <w:highlight w:val="none"/>
              </w:rPr>
            </w:pPr>
          </w:p>
        </w:tc>
        <w:tc>
          <w:tcPr>
            <w:tcW w:w="709" w:type="dxa"/>
            <w:vMerge w:val="continue"/>
            <w:tcBorders>
              <w:left w:val="single" w:color="auto" w:sz="4" w:space="0"/>
              <w:right w:val="single" w:color="auto" w:sz="4" w:space="0"/>
            </w:tcBorders>
            <w:noWrap w:val="0"/>
            <w:vAlign w:val="center"/>
          </w:tcPr>
          <w:p w14:paraId="5E188594">
            <w:pPr>
              <w:spacing w:line="276" w:lineRule="auto"/>
              <w:jc w:val="center"/>
              <w:rPr>
                <w:color w:val="auto"/>
                <w:sz w:val="24"/>
                <w:highlight w:val="none"/>
              </w:rPr>
            </w:pPr>
          </w:p>
        </w:tc>
        <w:tc>
          <w:tcPr>
            <w:tcW w:w="2601" w:type="dxa"/>
            <w:tcBorders>
              <w:top w:val="single" w:color="auto" w:sz="4" w:space="0"/>
              <w:left w:val="single" w:color="auto" w:sz="4" w:space="0"/>
              <w:bottom w:val="single" w:color="auto" w:sz="4" w:space="0"/>
              <w:right w:val="single" w:color="auto" w:sz="4" w:space="0"/>
            </w:tcBorders>
            <w:noWrap w:val="0"/>
            <w:vAlign w:val="center"/>
          </w:tcPr>
          <w:p w14:paraId="4BD04F4B">
            <w:pPr>
              <w:spacing w:line="276" w:lineRule="auto"/>
              <w:jc w:val="center"/>
              <w:rPr>
                <w:color w:val="auto"/>
                <w:sz w:val="24"/>
                <w:highlight w:val="none"/>
              </w:rPr>
            </w:pPr>
            <w:r>
              <w:rPr>
                <w:rFonts w:hint="eastAsia"/>
                <w:color w:val="auto"/>
                <w:sz w:val="24"/>
                <w:highlight w:val="none"/>
              </w:rPr>
              <w:t>近三年，无重大违法记录</w:t>
            </w:r>
          </w:p>
        </w:tc>
        <w:tc>
          <w:tcPr>
            <w:tcW w:w="4111" w:type="dxa"/>
            <w:tcBorders>
              <w:top w:val="single" w:color="auto" w:sz="4" w:space="0"/>
              <w:left w:val="single" w:color="auto" w:sz="4" w:space="0"/>
              <w:bottom w:val="single" w:color="auto" w:sz="4" w:space="0"/>
              <w:right w:val="single" w:color="auto" w:sz="4" w:space="0"/>
            </w:tcBorders>
            <w:noWrap w:val="0"/>
            <w:vAlign w:val="center"/>
          </w:tcPr>
          <w:p w14:paraId="314D107F">
            <w:pPr>
              <w:spacing w:line="276" w:lineRule="auto"/>
              <w:jc w:val="center"/>
              <w:rPr>
                <w:color w:val="auto"/>
                <w:sz w:val="24"/>
                <w:highlight w:val="none"/>
              </w:rPr>
            </w:pPr>
            <w:r>
              <w:rPr>
                <w:rFonts w:hint="eastAsia" w:ascii="宋体" w:hAnsi="宋体"/>
                <w:color w:val="auto"/>
                <w:sz w:val="24"/>
                <w:highlight w:val="none"/>
                <w:lang w:val="en-US" w:eastAsia="zh-CN"/>
              </w:rPr>
              <w:t>符合招标文件要求</w:t>
            </w:r>
          </w:p>
        </w:tc>
      </w:tr>
      <w:tr w14:paraId="107F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052" w:type="dxa"/>
            <w:vMerge w:val="continue"/>
            <w:tcBorders>
              <w:left w:val="single" w:color="auto" w:sz="4" w:space="0"/>
              <w:right w:val="single" w:color="auto" w:sz="4" w:space="0"/>
            </w:tcBorders>
            <w:noWrap w:val="0"/>
            <w:vAlign w:val="center"/>
          </w:tcPr>
          <w:p w14:paraId="19658C55">
            <w:pPr>
              <w:widowControl/>
              <w:spacing w:line="276" w:lineRule="auto"/>
              <w:jc w:val="center"/>
              <w:rPr>
                <w:color w:val="auto"/>
                <w:sz w:val="24"/>
                <w:highlight w:val="none"/>
              </w:rPr>
            </w:pPr>
          </w:p>
        </w:tc>
        <w:tc>
          <w:tcPr>
            <w:tcW w:w="709" w:type="dxa"/>
            <w:vMerge w:val="continue"/>
            <w:tcBorders>
              <w:left w:val="single" w:color="auto" w:sz="4" w:space="0"/>
              <w:right w:val="single" w:color="auto" w:sz="4" w:space="0"/>
            </w:tcBorders>
            <w:noWrap w:val="0"/>
            <w:vAlign w:val="center"/>
          </w:tcPr>
          <w:p w14:paraId="38DD4CC5">
            <w:pPr>
              <w:widowControl/>
              <w:spacing w:line="276" w:lineRule="auto"/>
              <w:jc w:val="center"/>
              <w:rPr>
                <w:rFonts w:ascii="宋体" w:hAnsi="宋体"/>
                <w:color w:val="auto"/>
                <w:kern w:val="0"/>
                <w:sz w:val="24"/>
                <w:highlight w:val="none"/>
              </w:rPr>
            </w:pPr>
          </w:p>
        </w:tc>
        <w:tc>
          <w:tcPr>
            <w:tcW w:w="709" w:type="dxa"/>
            <w:vMerge w:val="continue"/>
            <w:tcBorders>
              <w:left w:val="single" w:color="auto" w:sz="4" w:space="0"/>
              <w:right w:val="single" w:color="auto" w:sz="4" w:space="0"/>
            </w:tcBorders>
            <w:noWrap w:val="0"/>
            <w:vAlign w:val="center"/>
          </w:tcPr>
          <w:p w14:paraId="59E7F824">
            <w:pPr>
              <w:spacing w:line="276" w:lineRule="auto"/>
              <w:jc w:val="center"/>
              <w:rPr>
                <w:color w:val="auto"/>
                <w:sz w:val="24"/>
                <w:highlight w:val="none"/>
              </w:rPr>
            </w:pPr>
          </w:p>
        </w:tc>
        <w:tc>
          <w:tcPr>
            <w:tcW w:w="2601" w:type="dxa"/>
            <w:tcBorders>
              <w:top w:val="single" w:color="auto" w:sz="4" w:space="0"/>
              <w:left w:val="single" w:color="auto" w:sz="4" w:space="0"/>
              <w:bottom w:val="single" w:color="auto" w:sz="4" w:space="0"/>
              <w:right w:val="single" w:color="auto" w:sz="4" w:space="0"/>
            </w:tcBorders>
            <w:noWrap w:val="0"/>
            <w:vAlign w:val="center"/>
          </w:tcPr>
          <w:p w14:paraId="64F68B02">
            <w:pPr>
              <w:spacing w:line="276" w:lineRule="auto"/>
              <w:jc w:val="center"/>
              <w:rPr>
                <w:color w:val="auto"/>
                <w:sz w:val="24"/>
                <w:highlight w:val="none"/>
              </w:rPr>
            </w:pPr>
            <w:r>
              <w:rPr>
                <w:rFonts w:hint="eastAsia"/>
                <w:color w:val="auto"/>
                <w:sz w:val="24"/>
                <w:highlight w:val="none"/>
              </w:rPr>
              <w:t>信用查询截图</w:t>
            </w:r>
          </w:p>
        </w:tc>
        <w:tc>
          <w:tcPr>
            <w:tcW w:w="4111" w:type="dxa"/>
            <w:tcBorders>
              <w:top w:val="single" w:color="auto" w:sz="4" w:space="0"/>
              <w:left w:val="single" w:color="auto" w:sz="4" w:space="0"/>
              <w:bottom w:val="single" w:color="auto" w:sz="4" w:space="0"/>
              <w:right w:val="single" w:color="auto" w:sz="4" w:space="0"/>
            </w:tcBorders>
            <w:noWrap w:val="0"/>
            <w:vAlign w:val="center"/>
          </w:tcPr>
          <w:p w14:paraId="711275DD">
            <w:pPr>
              <w:spacing w:line="276" w:lineRule="auto"/>
              <w:jc w:val="center"/>
              <w:rPr>
                <w:color w:val="auto"/>
                <w:sz w:val="24"/>
                <w:highlight w:val="none"/>
              </w:rPr>
            </w:pPr>
            <w:r>
              <w:rPr>
                <w:rFonts w:hint="eastAsia" w:ascii="宋体" w:hAnsi="宋体"/>
                <w:color w:val="auto"/>
                <w:sz w:val="24"/>
                <w:highlight w:val="none"/>
                <w:lang w:val="en-US" w:eastAsia="zh-CN"/>
              </w:rPr>
              <w:t>符合招标文件要求</w:t>
            </w:r>
          </w:p>
        </w:tc>
      </w:tr>
      <w:tr w14:paraId="49D8A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052" w:type="dxa"/>
            <w:vMerge w:val="continue"/>
            <w:tcBorders>
              <w:left w:val="single" w:color="auto" w:sz="4" w:space="0"/>
              <w:right w:val="single" w:color="auto" w:sz="4" w:space="0"/>
            </w:tcBorders>
            <w:noWrap w:val="0"/>
            <w:vAlign w:val="center"/>
          </w:tcPr>
          <w:p w14:paraId="3283776B">
            <w:pPr>
              <w:widowControl/>
              <w:spacing w:line="276" w:lineRule="auto"/>
              <w:jc w:val="center"/>
              <w:rPr>
                <w:color w:val="auto"/>
                <w:sz w:val="24"/>
                <w:highlight w:val="none"/>
              </w:rPr>
            </w:pPr>
          </w:p>
        </w:tc>
        <w:tc>
          <w:tcPr>
            <w:tcW w:w="709" w:type="dxa"/>
            <w:vMerge w:val="restart"/>
            <w:tcBorders>
              <w:top w:val="single" w:color="auto" w:sz="4" w:space="0"/>
              <w:left w:val="single" w:color="auto" w:sz="4" w:space="0"/>
              <w:right w:val="single" w:color="auto" w:sz="4" w:space="0"/>
            </w:tcBorders>
            <w:noWrap w:val="0"/>
            <w:vAlign w:val="center"/>
          </w:tcPr>
          <w:p w14:paraId="028CB8E1">
            <w:pPr>
              <w:spacing w:line="276" w:lineRule="auto"/>
              <w:jc w:val="center"/>
              <w:rPr>
                <w:color w:val="auto"/>
                <w:sz w:val="24"/>
                <w:highlight w:val="none"/>
              </w:rPr>
            </w:pPr>
            <w:r>
              <w:rPr>
                <w:rFonts w:hint="eastAsia"/>
                <w:color w:val="auto"/>
                <w:sz w:val="24"/>
                <w:highlight w:val="none"/>
              </w:rPr>
              <w:t xml:space="preserve">2.1.2 </w:t>
            </w:r>
          </w:p>
        </w:tc>
        <w:tc>
          <w:tcPr>
            <w:tcW w:w="709" w:type="dxa"/>
            <w:vMerge w:val="restart"/>
            <w:tcBorders>
              <w:top w:val="single" w:color="auto" w:sz="4" w:space="0"/>
              <w:left w:val="single" w:color="auto" w:sz="4" w:space="0"/>
              <w:right w:val="single" w:color="auto" w:sz="4" w:space="0"/>
            </w:tcBorders>
            <w:noWrap w:val="0"/>
            <w:vAlign w:val="center"/>
          </w:tcPr>
          <w:p w14:paraId="3C6AD93F">
            <w:pPr>
              <w:spacing w:line="276" w:lineRule="auto"/>
              <w:jc w:val="center"/>
              <w:rPr>
                <w:color w:val="auto"/>
                <w:sz w:val="24"/>
                <w:highlight w:val="none"/>
              </w:rPr>
            </w:pPr>
            <w:r>
              <w:rPr>
                <w:rFonts w:hint="eastAsia"/>
                <w:color w:val="auto"/>
                <w:sz w:val="24"/>
                <w:highlight w:val="none"/>
              </w:rPr>
              <w:t>符合性审查</w:t>
            </w:r>
          </w:p>
        </w:tc>
        <w:tc>
          <w:tcPr>
            <w:tcW w:w="2601" w:type="dxa"/>
            <w:tcBorders>
              <w:top w:val="single" w:color="auto" w:sz="4" w:space="0"/>
              <w:left w:val="single" w:color="auto" w:sz="4" w:space="0"/>
              <w:bottom w:val="single" w:color="auto" w:sz="4" w:space="0"/>
              <w:right w:val="single" w:color="auto" w:sz="4" w:space="0"/>
            </w:tcBorders>
            <w:noWrap w:val="0"/>
            <w:vAlign w:val="center"/>
          </w:tcPr>
          <w:p w14:paraId="77E1C5BC">
            <w:pPr>
              <w:spacing w:line="276" w:lineRule="auto"/>
              <w:jc w:val="center"/>
              <w:rPr>
                <w:color w:val="auto"/>
                <w:sz w:val="24"/>
                <w:highlight w:val="none"/>
              </w:rPr>
            </w:pPr>
            <w:r>
              <w:rPr>
                <w:rFonts w:hint="eastAsia"/>
                <w:color w:val="auto"/>
                <w:sz w:val="24"/>
                <w:highlight w:val="none"/>
              </w:rPr>
              <w:t>投标人名称</w:t>
            </w:r>
          </w:p>
        </w:tc>
        <w:tc>
          <w:tcPr>
            <w:tcW w:w="4111" w:type="dxa"/>
            <w:tcBorders>
              <w:top w:val="single" w:color="auto" w:sz="4" w:space="0"/>
              <w:left w:val="single" w:color="auto" w:sz="4" w:space="0"/>
              <w:bottom w:val="single" w:color="auto" w:sz="4" w:space="0"/>
              <w:right w:val="single" w:color="auto" w:sz="4" w:space="0"/>
            </w:tcBorders>
            <w:noWrap w:val="0"/>
            <w:vAlign w:val="center"/>
          </w:tcPr>
          <w:p w14:paraId="0D1E28D6">
            <w:pPr>
              <w:spacing w:line="276" w:lineRule="auto"/>
              <w:jc w:val="center"/>
              <w:rPr>
                <w:color w:val="auto"/>
                <w:sz w:val="24"/>
                <w:highlight w:val="none"/>
              </w:rPr>
            </w:pPr>
            <w:r>
              <w:rPr>
                <w:rFonts w:hint="eastAsia"/>
                <w:color w:val="auto"/>
                <w:sz w:val="24"/>
                <w:highlight w:val="none"/>
              </w:rPr>
              <w:t>与</w:t>
            </w:r>
            <w:r>
              <w:rPr>
                <w:rFonts w:hint="eastAsia" w:ascii="宋体" w:hAnsi="宋体"/>
                <w:color w:val="auto"/>
                <w:sz w:val="24"/>
                <w:highlight w:val="none"/>
              </w:rPr>
              <w:t>营业执照等证明文件</w:t>
            </w:r>
            <w:r>
              <w:rPr>
                <w:rFonts w:hint="eastAsia"/>
                <w:color w:val="auto"/>
                <w:sz w:val="24"/>
                <w:highlight w:val="none"/>
              </w:rPr>
              <w:t>一致</w:t>
            </w:r>
          </w:p>
        </w:tc>
      </w:tr>
      <w:tr w14:paraId="3A2E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052" w:type="dxa"/>
            <w:vMerge w:val="continue"/>
            <w:tcBorders>
              <w:left w:val="single" w:color="auto" w:sz="4" w:space="0"/>
              <w:right w:val="single" w:color="auto" w:sz="4" w:space="0"/>
            </w:tcBorders>
            <w:noWrap w:val="0"/>
            <w:vAlign w:val="center"/>
          </w:tcPr>
          <w:p w14:paraId="61EBB478">
            <w:pPr>
              <w:widowControl/>
              <w:spacing w:line="276" w:lineRule="auto"/>
              <w:jc w:val="center"/>
              <w:rPr>
                <w:color w:val="auto"/>
                <w:sz w:val="24"/>
                <w:highlight w:val="none"/>
              </w:rPr>
            </w:pPr>
          </w:p>
        </w:tc>
        <w:tc>
          <w:tcPr>
            <w:tcW w:w="709" w:type="dxa"/>
            <w:vMerge w:val="continue"/>
            <w:tcBorders>
              <w:left w:val="single" w:color="auto" w:sz="4" w:space="0"/>
              <w:right w:val="single" w:color="auto" w:sz="4" w:space="0"/>
            </w:tcBorders>
            <w:noWrap w:val="0"/>
            <w:vAlign w:val="center"/>
          </w:tcPr>
          <w:p w14:paraId="11B79909">
            <w:pPr>
              <w:spacing w:line="276" w:lineRule="auto"/>
              <w:jc w:val="center"/>
              <w:rPr>
                <w:color w:val="auto"/>
                <w:sz w:val="24"/>
                <w:highlight w:val="none"/>
              </w:rPr>
            </w:pPr>
          </w:p>
        </w:tc>
        <w:tc>
          <w:tcPr>
            <w:tcW w:w="709" w:type="dxa"/>
            <w:vMerge w:val="continue"/>
            <w:tcBorders>
              <w:left w:val="single" w:color="auto" w:sz="4" w:space="0"/>
              <w:right w:val="single" w:color="auto" w:sz="4" w:space="0"/>
            </w:tcBorders>
            <w:noWrap w:val="0"/>
            <w:vAlign w:val="center"/>
          </w:tcPr>
          <w:p w14:paraId="48F680F7">
            <w:pPr>
              <w:spacing w:line="276" w:lineRule="auto"/>
              <w:jc w:val="center"/>
              <w:rPr>
                <w:color w:val="auto"/>
                <w:sz w:val="24"/>
                <w:highlight w:val="none"/>
              </w:rPr>
            </w:pPr>
          </w:p>
        </w:tc>
        <w:tc>
          <w:tcPr>
            <w:tcW w:w="2601" w:type="dxa"/>
            <w:tcBorders>
              <w:top w:val="single" w:color="auto" w:sz="4" w:space="0"/>
              <w:left w:val="single" w:color="auto" w:sz="4" w:space="0"/>
              <w:bottom w:val="single" w:color="auto" w:sz="4" w:space="0"/>
              <w:right w:val="single" w:color="auto" w:sz="4" w:space="0"/>
            </w:tcBorders>
            <w:noWrap w:val="0"/>
            <w:vAlign w:val="center"/>
          </w:tcPr>
          <w:p w14:paraId="4408EDCD">
            <w:pPr>
              <w:spacing w:line="276" w:lineRule="auto"/>
              <w:jc w:val="center"/>
              <w:rPr>
                <w:color w:val="auto"/>
                <w:sz w:val="24"/>
                <w:highlight w:val="none"/>
              </w:rPr>
            </w:pPr>
            <w:r>
              <w:rPr>
                <w:rFonts w:hint="eastAsia"/>
                <w:color w:val="auto"/>
                <w:sz w:val="24"/>
                <w:highlight w:val="none"/>
              </w:rPr>
              <w:t>签字盖章的要求</w:t>
            </w:r>
          </w:p>
        </w:tc>
        <w:tc>
          <w:tcPr>
            <w:tcW w:w="4111" w:type="dxa"/>
            <w:tcBorders>
              <w:top w:val="single" w:color="auto" w:sz="4" w:space="0"/>
              <w:left w:val="single" w:color="auto" w:sz="4" w:space="0"/>
              <w:bottom w:val="single" w:color="auto" w:sz="4" w:space="0"/>
              <w:right w:val="single" w:color="auto" w:sz="4" w:space="0"/>
            </w:tcBorders>
            <w:noWrap w:val="0"/>
            <w:vAlign w:val="center"/>
          </w:tcPr>
          <w:p w14:paraId="1D235DFD">
            <w:pPr>
              <w:spacing w:line="276" w:lineRule="auto"/>
              <w:jc w:val="center"/>
              <w:rPr>
                <w:color w:val="auto"/>
                <w:sz w:val="24"/>
                <w:highlight w:val="none"/>
              </w:rPr>
            </w:pPr>
            <w:r>
              <w:rPr>
                <w:rFonts w:hint="eastAsia"/>
                <w:color w:val="auto"/>
                <w:sz w:val="24"/>
                <w:highlight w:val="none"/>
              </w:rPr>
              <w:t>符合投标人须知前附表的规定</w:t>
            </w:r>
          </w:p>
        </w:tc>
      </w:tr>
      <w:tr w14:paraId="11E83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052" w:type="dxa"/>
            <w:vMerge w:val="continue"/>
            <w:tcBorders>
              <w:left w:val="single" w:color="auto" w:sz="4" w:space="0"/>
              <w:right w:val="single" w:color="auto" w:sz="4" w:space="0"/>
            </w:tcBorders>
            <w:noWrap w:val="0"/>
            <w:vAlign w:val="center"/>
          </w:tcPr>
          <w:p w14:paraId="352E44DD">
            <w:pPr>
              <w:widowControl/>
              <w:spacing w:line="276" w:lineRule="auto"/>
              <w:jc w:val="center"/>
              <w:rPr>
                <w:color w:val="auto"/>
                <w:sz w:val="24"/>
                <w:highlight w:val="none"/>
              </w:rPr>
            </w:pPr>
          </w:p>
        </w:tc>
        <w:tc>
          <w:tcPr>
            <w:tcW w:w="709" w:type="dxa"/>
            <w:vMerge w:val="continue"/>
            <w:tcBorders>
              <w:left w:val="single" w:color="auto" w:sz="4" w:space="0"/>
              <w:right w:val="single" w:color="auto" w:sz="4" w:space="0"/>
            </w:tcBorders>
            <w:noWrap w:val="0"/>
            <w:vAlign w:val="center"/>
          </w:tcPr>
          <w:p w14:paraId="1C1160E4">
            <w:pPr>
              <w:spacing w:line="276" w:lineRule="auto"/>
              <w:jc w:val="center"/>
              <w:rPr>
                <w:color w:val="auto"/>
                <w:sz w:val="24"/>
                <w:highlight w:val="none"/>
              </w:rPr>
            </w:pPr>
          </w:p>
        </w:tc>
        <w:tc>
          <w:tcPr>
            <w:tcW w:w="709" w:type="dxa"/>
            <w:vMerge w:val="continue"/>
            <w:tcBorders>
              <w:left w:val="single" w:color="auto" w:sz="4" w:space="0"/>
              <w:right w:val="single" w:color="auto" w:sz="4" w:space="0"/>
            </w:tcBorders>
            <w:noWrap w:val="0"/>
            <w:vAlign w:val="center"/>
          </w:tcPr>
          <w:p w14:paraId="44C19BF9">
            <w:pPr>
              <w:spacing w:line="276" w:lineRule="auto"/>
              <w:jc w:val="center"/>
              <w:rPr>
                <w:color w:val="auto"/>
                <w:sz w:val="24"/>
                <w:highlight w:val="none"/>
              </w:rPr>
            </w:pPr>
          </w:p>
        </w:tc>
        <w:tc>
          <w:tcPr>
            <w:tcW w:w="2601" w:type="dxa"/>
            <w:tcBorders>
              <w:top w:val="single" w:color="auto" w:sz="4" w:space="0"/>
              <w:left w:val="single" w:color="auto" w:sz="4" w:space="0"/>
              <w:bottom w:val="single" w:color="auto" w:sz="4" w:space="0"/>
              <w:right w:val="single" w:color="auto" w:sz="4" w:space="0"/>
            </w:tcBorders>
            <w:noWrap w:val="0"/>
            <w:vAlign w:val="center"/>
          </w:tcPr>
          <w:p w14:paraId="1FBD42B8">
            <w:pPr>
              <w:spacing w:line="276" w:lineRule="auto"/>
              <w:jc w:val="center"/>
              <w:rPr>
                <w:color w:val="auto"/>
                <w:sz w:val="24"/>
                <w:highlight w:val="none"/>
              </w:rPr>
            </w:pPr>
            <w:r>
              <w:rPr>
                <w:rFonts w:hint="eastAsia"/>
                <w:color w:val="auto"/>
                <w:sz w:val="24"/>
                <w:highlight w:val="none"/>
              </w:rPr>
              <w:t>投标文件格式</w:t>
            </w:r>
          </w:p>
        </w:tc>
        <w:tc>
          <w:tcPr>
            <w:tcW w:w="4111" w:type="dxa"/>
            <w:tcBorders>
              <w:top w:val="single" w:color="auto" w:sz="4" w:space="0"/>
              <w:left w:val="single" w:color="auto" w:sz="4" w:space="0"/>
              <w:bottom w:val="single" w:color="auto" w:sz="4" w:space="0"/>
              <w:right w:val="single" w:color="auto" w:sz="4" w:space="0"/>
            </w:tcBorders>
            <w:noWrap w:val="0"/>
            <w:vAlign w:val="center"/>
          </w:tcPr>
          <w:p w14:paraId="310584C9">
            <w:pPr>
              <w:spacing w:line="276" w:lineRule="auto"/>
              <w:jc w:val="center"/>
              <w:rPr>
                <w:color w:val="auto"/>
                <w:sz w:val="24"/>
                <w:highlight w:val="none"/>
              </w:rPr>
            </w:pPr>
            <w:r>
              <w:rPr>
                <w:rFonts w:hint="eastAsia" w:ascii="宋体" w:hAnsi="宋体"/>
                <w:color w:val="auto"/>
                <w:sz w:val="24"/>
                <w:highlight w:val="none"/>
                <w:lang w:val="en-US" w:eastAsia="zh-CN"/>
              </w:rPr>
              <w:t>符合招标文件要求</w:t>
            </w:r>
          </w:p>
        </w:tc>
      </w:tr>
      <w:tr w14:paraId="535E5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52" w:type="dxa"/>
            <w:vMerge w:val="continue"/>
            <w:tcBorders>
              <w:left w:val="single" w:color="auto" w:sz="4" w:space="0"/>
              <w:right w:val="single" w:color="auto" w:sz="4" w:space="0"/>
            </w:tcBorders>
            <w:noWrap w:val="0"/>
            <w:vAlign w:val="center"/>
          </w:tcPr>
          <w:p w14:paraId="78BB6486">
            <w:pPr>
              <w:widowControl/>
              <w:spacing w:line="276" w:lineRule="auto"/>
              <w:jc w:val="center"/>
              <w:rPr>
                <w:color w:val="auto"/>
                <w:sz w:val="24"/>
                <w:highlight w:val="none"/>
              </w:rPr>
            </w:pPr>
          </w:p>
        </w:tc>
        <w:tc>
          <w:tcPr>
            <w:tcW w:w="709" w:type="dxa"/>
            <w:vMerge w:val="continue"/>
            <w:tcBorders>
              <w:left w:val="single" w:color="auto" w:sz="4" w:space="0"/>
              <w:right w:val="single" w:color="auto" w:sz="4" w:space="0"/>
            </w:tcBorders>
            <w:noWrap w:val="0"/>
            <w:vAlign w:val="center"/>
          </w:tcPr>
          <w:p w14:paraId="241B42BE">
            <w:pPr>
              <w:widowControl/>
              <w:spacing w:line="276" w:lineRule="auto"/>
              <w:jc w:val="center"/>
              <w:rPr>
                <w:color w:val="auto"/>
                <w:sz w:val="24"/>
                <w:highlight w:val="none"/>
              </w:rPr>
            </w:pPr>
          </w:p>
        </w:tc>
        <w:tc>
          <w:tcPr>
            <w:tcW w:w="709" w:type="dxa"/>
            <w:vMerge w:val="continue"/>
            <w:tcBorders>
              <w:left w:val="single" w:color="auto" w:sz="4" w:space="0"/>
              <w:right w:val="single" w:color="auto" w:sz="4" w:space="0"/>
            </w:tcBorders>
            <w:noWrap w:val="0"/>
            <w:vAlign w:val="center"/>
          </w:tcPr>
          <w:p w14:paraId="66BFD87F">
            <w:pPr>
              <w:widowControl/>
              <w:spacing w:line="276" w:lineRule="auto"/>
              <w:jc w:val="center"/>
              <w:rPr>
                <w:color w:val="auto"/>
                <w:sz w:val="24"/>
                <w:highlight w:val="none"/>
              </w:rPr>
            </w:pPr>
          </w:p>
        </w:tc>
        <w:tc>
          <w:tcPr>
            <w:tcW w:w="2601" w:type="dxa"/>
            <w:tcBorders>
              <w:top w:val="single" w:color="auto" w:sz="4" w:space="0"/>
              <w:left w:val="single" w:color="auto" w:sz="4" w:space="0"/>
              <w:bottom w:val="single" w:color="auto" w:sz="4" w:space="0"/>
              <w:right w:val="single" w:color="auto" w:sz="4" w:space="0"/>
            </w:tcBorders>
            <w:noWrap w:val="0"/>
            <w:vAlign w:val="center"/>
          </w:tcPr>
          <w:p w14:paraId="0A38150E">
            <w:pPr>
              <w:spacing w:line="276" w:lineRule="auto"/>
              <w:jc w:val="center"/>
              <w:rPr>
                <w:color w:val="auto"/>
                <w:sz w:val="24"/>
                <w:highlight w:val="none"/>
              </w:rPr>
            </w:pPr>
            <w:r>
              <w:rPr>
                <w:rFonts w:hint="eastAsia"/>
                <w:color w:val="auto"/>
                <w:sz w:val="24"/>
                <w:highlight w:val="none"/>
              </w:rPr>
              <w:t>投标有效期</w:t>
            </w:r>
          </w:p>
        </w:tc>
        <w:tc>
          <w:tcPr>
            <w:tcW w:w="4111" w:type="dxa"/>
            <w:tcBorders>
              <w:top w:val="single" w:color="auto" w:sz="4" w:space="0"/>
              <w:left w:val="single" w:color="auto" w:sz="4" w:space="0"/>
              <w:bottom w:val="single" w:color="auto" w:sz="4" w:space="0"/>
              <w:right w:val="single" w:color="auto" w:sz="4" w:space="0"/>
            </w:tcBorders>
            <w:noWrap w:val="0"/>
            <w:vAlign w:val="top"/>
          </w:tcPr>
          <w:p w14:paraId="0C9BA29F">
            <w:pPr>
              <w:spacing w:line="276" w:lineRule="auto"/>
              <w:jc w:val="center"/>
              <w:rPr>
                <w:color w:val="auto"/>
                <w:sz w:val="24"/>
                <w:highlight w:val="none"/>
              </w:rPr>
            </w:pPr>
            <w:r>
              <w:rPr>
                <w:rFonts w:hint="eastAsia" w:ascii="宋体" w:hAnsi="宋体"/>
                <w:color w:val="auto"/>
                <w:sz w:val="24"/>
                <w:highlight w:val="none"/>
                <w:lang w:val="en-US" w:eastAsia="zh-CN"/>
              </w:rPr>
              <w:t>符合招标文件要求</w:t>
            </w:r>
          </w:p>
        </w:tc>
      </w:tr>
      <w:tr w14:paraId="52782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052" w:type="dxa"/>
            <w:vMerge w:val="continue"/>
            <w:tcBorders>
              <w:left w:val="single" w:color="auto" w:sz="4" w:space="0"/>
              <w:right w:val="single" w:color="auto" w:sz="4" w:space="0"/>
            </w:tcBorders>
            <w:noWrap w:val="0"/>
            <w:vAlign w:val="center"/>
          </w:tcPr>
          <w:p w14:paraId="18B3A534">
            <w:pPr>
              <w:widowControl/>
              <w:spacing w:line="276" w:lineRule="auto"/>
              <w:jc w:val="center"/>
              <w:rPr>
                <w:color w:val="auto"/>
                <w:sz w:val="24"/>
                <w:highlight w:val="none"/>
              </w:rPr>
            </w:pPr>
          </w:p>
        </w:tc>
        <w:tc>
          <w:tcPr>
            <w:tcW w:w="709" w:type="dxa"/>
            <w:vMerge w:val="continue"/>
            <w:tcBorders>
              <w:left w:val="single" w:color="auto" w:sz="4" w:space="0"/>
              <w:right w:val="single" w:color="auto" w:sz="4" w:space="0"/>
            </w:tcBorders>
            <w:noWrap w:val="0"/>
            <w:vAlign w:val="center"/>
          </w:tcPr>
          <w:p w14:paraId="2495E825">
            <w:pPr>
              <w:widowControl/>
              <w:spacing w:line="276" w:lineRule="auto"/>
              <w:jc w:val="center"/>
              <w:rPr>
                <w:color w:val="auto"/>
                <w:sz w:val="24"/>
                <w:highlight w:val="none"/>
              </w:rPr>
            </w:pPr>
          </w:p>
        </w:tc>
        <w:tc>
          <w:tcPr>
            <w:tcW w:w="709" w:type="dxa"/>
            <w:vMerge w:val="continue"/>
            <w:tcBorders>
              <w:left w:val="single" w:color="auto" w:sz="4" w:space="0"/>
              <w:right w:val="single" w:color="auto" w:sz="4" w:space="0"/>
            </w:tcBorders>
            <w:noWrap w:val="0"/>
            <w:vAlign w:val="center"/>
          </w:tcPr>
          <w:p w14:paraId="2DBCBCF4">
            <w:pPr>
              <w:widowControl/>
              <w:spacing w:line="276" w:lineRule="auto"/>
              <w:jc w:val="center"/>
              <w:rPr>
                <w:color w:val="auto"/>
                <w:sz w:val="24"/>
                <w:highlight w:val="none"/>
              </w:rPr>
            </w:pPr>
          </w:p>
        </w:tc>
        <w:tc>
          <w:tcPr>
            <w:tcW w:w="2601" w:type="dxa"/>
            <w:tcBorders>
              <w:top w:val="single" w:color="auto" w:sz="4" w:space="0"/>
              <w:left w:val="single" w:color="auto" w:sz="4" w:space="0"/>
              <w:bottom w:val="single" w:color="auto" w:sz="4" w:space="0"/>
              <w:right w:val="single" w:color="auto" w:sz="4" w:space="0"/>
            </w:tcBorders>
            <w:noWrap w:val="0"/>
            <w:vAlign w:val="center"/>
          </w:tcPr>
          <w:p w14:paraId="12BD6A05">
            <w:pPr>
              <w:spacing w:line="276" w:lineRule="auto"/>
              <w:jc w:val="center"/>
              <w:rPr>
                <w:color w:val="auto"/>
                <w:sz w:val="24"/>
                <w:highlight w:val="none"/>
              </w:rPr>
            </w:pPr>
            <w:r>
              <w:rPr>
                <w:color w:val="auto"/>
                <w:sz w:val="24"/>
                <w:highlight w:val="none"/>
              </w:rPr>
              <w:t>服务内容</w:t>
            </w:r>
          </w:p>
        </w:tc>
        <w:tc>
          <w:tcPr>
            <w:tcW w:w="4111" w:type="dxa"/>
            <w:tcBorders>
              <w:top w:val="single" w:color="auto" w:sz="4" w:space="0"/>
              <w:left w:val="single" w:color="auto" w:sz="4" w:space="0"/>
              <w:bottom w:val="single" w:color="auto" w:sz="4" w:space="0"/>
              <w:right w:val="single" w:color="auto" w:sz="4" w:space="0"/>
            </w:tcBorders>
            <w:noWrap w:val="0"/>
            <w:vAlign w:val="center"/>
          </w:tcPr>
          <w:p w14:paraId="677C87C5">
            <w:pPr>
              <w:spacing w:line="276" w:lineRule="auto"/>
              <w:jc w:val="center"/>
              <w:rPr>
                <w:color w:val="auto"/>
                <w:sz w:val="24"/>
                <w:highlight w:val="none"/>
              </w:rPr>
            </w:pPr>
            <w:r>
              <w:rPr>
                <w:rFonts w:hint="eastAsia" w:ascii="宋体" w:hAnsi="宋体"/>
                <w:color w:val="auto"/>
                <w:sz w:val="24"/>
                <w:highlight w:val="none"/>
                <w:lang w:val="en-US" w:eastAsia="zh-CN"/>
              </w:rPr>
              <w:t>符合招标文件要求</w:t>
            </w:r>
          </w:p>
        </w:tc>
      </w:tr>
      <w:tr w14:paraId="71861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052" w:type="dxa"/>
            <w:vMerge w:val="continue"/>
            <w:tcBorders>
              <w:left w:val="single" w:color="auto" w:sz="4" w:space="0"/>
              <w:right w:val="single" w:color="auto" w:sz="4" w:space="0"/>
            </w:tcBorders>
            <w:noWrap w:val="0"/>
            <w:vAlign w:val="center"/>
          </w:tcPr>
          <w:p w14:paraId="227BA165">
            <w:pPr>
              <w:widowControl/>
              <w:spacing w:line="276" w:lineRule="auto"/>
              <w:jc w:val="center"/>
              <w:rPr>
                <w:color w:val="auto"/>
                <w:sz w:val="24"/>
                <w:highlight w:val="none"/>
              </w:rPr>
            </w:pPr>
          </w:p>
        </w:tc>
        <w:tc>
          <w:tcPr>
            <w:tcW w:w="709" w:type="dxa"/>
            <w:vMerge w:val="continue"/>
            <w:tcBorders>
              <w:left w:val="single" w:color="auto" w:sz="4" w:space="0"/>
              <w:right w:val="single" w:color="auto" w:sz="4" w:space="0"/>
            </w:tcBorders>
            <w:noWrap w:val="0"/>
            <w:vAlign w:val="center"/>
          </w:tcPr>
          <w:p w14:paraId="1C1844AE">
            <w:pPr>
              <w:widowControl/>
              <w:spacing w:line="276" w:lineRule="auto"/>
              <w:jc w:val="center"/>
              <w:rPr>
                <w:color w:val="auto"/>
                <w:sz w:val="24"/>
                <w:highlight w:val="none"/>
              </w:rPr>
            </w:pPr>
          </w:p>
        </w:tc>
        <w:tc>
          <w:tcPr>
            <w:tcW w:w="709" w:type="dxa"/>
            <w:vMerge w:val="continue"/>
            <w:tcBorders>
              <w:left w:val="single" w:color="auto" w:sz="4" w:space="0"/>
              <w:right w:val="single" w:color="auto" w:sz="4" w:space="0"/>
            </w:tcBorders>
            <w:noWrap w:val="0"/>
            <w:vAlign w:val="center"/>
          </w:tcPr>
          <w:p w14:paraId="1A3903DC">
            <w:pPr>
              <w:widowControl/>
              <w:spacing w:line="276" w:lineRule="auto"/>
              <w:jc w:val="center"/>
              <w:rPr>
                <w:color w:val="auto"/>
                <w:sz w:val="24"/>
                <w:highlight w:val="none"/>
              </w:rPr>
            </w:pPr>
          </w:p>
        </w:tc>
        <w:tc>
          <w:tcPr>
            <w:tcW w:w="2601" w:type="dxa"/>
            <w:tcBorders>
              <w:top w:val="single" w:color="auto" w:sz="4" w:space="0"/>
              <w:left w:val="single" w:color="auto" w:sz="4" w:space="0"/>
              <w:bottom w:val="single" w:color="auto" w:sz="4" w:space="0"/>
              <w:right w:val="single" w:color="auto" w:sz="4" w:space="0"/>
            </w:tcBorders>
            <w:noWrap w:val="0"/>
            <w:vAlign w:val="center"/>
          </w:tcPr>
          <w:p w14:paraId="6C97A8D3">
            <w:pPr>
              <w:spacing w:line="276" w:lineRule="auto"/>
              <w:jc w:val="center"/>
              <w:rPr>
                <w:color w:val="auto"/>
                <w:sz w:val="24"/>
                <w:highlight w:val="none"/>
              </w:rPr>
            </w:pPr>
            <w:r>
              <w:rPr>
                <w:rFonts w:hint="eastAsia"/>
                <w:color w:val="auto"/>
                <w:sz w:val="24"/>
                <w:highlight w:val="none"/>
              </w:rPr>
              <w:t>服务期限</w:t>
            </w:r>
          </w:p>
        </w:tc>
        <w:tc>
          <w:tcPr>
            <w:tcW w:w="4111" w:type="dxa"/>
            <w:tcBorders>
              <w:top w:val="single" w:color="auto" w:sz="4" w:space="0"/>
              <w:left w:val="single" w:color="auto" w:sz="4" w:space="0"/>
              <w:bottom w:val="single" w:color="auto" w:sz="4" w:space="0"/>
              <w:right w:val="single" w:color="auto" w:sz="4" w:space="0"/>
            </w:tcBorders>
            <w:noWrap w:val="0"/>
            <w:vAlign w:val="center"/>
          </w:tcPr>
          <w:p w14:paraId="058FC857">
            <w:pPr>
              <w:spacing w:line="276" w:lineRule="auto"/>
              <w:jc w:val="center"/>
              <w:rPr>
                <w:color w:val="auto"/>
                <w:sz w:val="24"/>
                <w:highlight w:val="none"/>
              </w:rPr>
            </w:pPr>
            <w:r>
              <w:rPr>
                <w:rFonts w:hint="eastAsia" w:ascii="宋体" w:hAnsi="宋体"/>
                <w:color w:val="auto"/>
                <w:sz w:val="24"/>
                <w:highlight w:val="none"/>
                <w:lang w:val="en-US" w:eastAsia="zh-CN"/>
              </w:rPr>
              <w:t>符合招标文件要求</w:t>
            </w:r>
          </w:p>
        </w:tc>
      </w:tr>
      <w:tr w14:paraId="7EEBB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052" w:type="dxa"/>
            <w:vMerge w:val="continue"/>
            <w:tcBorders>
              <w:left w:val="single" w:color="auto" w:sz="4" w:space="0"/>
              <w:right w:val="single" w:color="auto" w:sz="4" w:space="0"/>
            </w:tcBorders>
            <w:noWrap w:val="0"/>
            <w:vAlign w:val="center"/>
          </w:tcPr>
          <w:p w14:paraId="573D7D79">
            <w:pPr>
              <w:widowControl/>
              <w:spacing w:line="276" w:lineRule="auto"/>
              <w:jc w:val="center"/>
              <w:rPr>
                <w:color w:val="auto"/>
                <w:sz w:val="24"/>
                <w:highlight w:val="none"/>
              </w:rPr>
            </w:pPr>
          </w:p>
        </w:tc>
        <w:tc>
          <w:tcPr>
            <w:tcW w:w="709" w:type="dxa"/>
            <w:vMerge w:val="continue"/>
            <w:tcBorders>
              <w:left w:val="single" w:color="auto" w:sz="4" w:space="0"/>
              <w:right w:val="single" w:color="auto" w:sz="4" w:space="0"/>
            </w:tcBorders>
            <w:noWrap w:val="0"/>
            <w:vAlign w:val="center"/>
          </w:tcPr>
          <w:p w14:paraId="59B02E1B">
            <w:pPr>
              <w:widowControl/>
              <w:spacing w:line="276" w:lineRule="auto"/>
              <w:jc w:val="center"/>
              <w:rPr>
                <w:color w:val="auto"/>
                <w:sz w:val="24"/>
                <w:highlight w:val="none"/>
              </w:rPr>
            </w:pPr>
          </w:p>
        </w:tc>
        <w:tc>
          <w:tcPr>
            <w:tcW w:w="709" w:type="dxa"/>
            <w:vMerge w:val="continue"/>
            <w:tcBorders>
              <w:left w:val="single" w:color="auto" w:sz="4" w:space="0"/>
              <w:bottom w:val="single" w:color="auto" w:sz="4" w:space="0"/>
              <w:right w:val="single" w:color="auto" w:sz="4" w:space="0"/>
            </w:tcBorders>
            <w:noWrap w:val="0"/>
            <w:vAlign w:val="center"/>
          </w:tcPr>
          <w:p w14:paraId="2C3517D2">
            <w:pPr>
              <w:widowControl/>
              <w:spacing w:line="276" w:lineRule="auto"/>
              <w:jc w:val="center"/>
              <w:rPr>
                <w:color w:val="auto"/>
                <w:sz w:val="24"/>
                <w:highlight w:val="none"/>
              </w:rPr>
            </w:pPr>
          </w:p>
        </w:tc>
        <w:tc>
          <w:tcPr>
            <w:tcW w:w="2601" w:type="dxa"/>
            <w:tcBorders>
              <w:top w:val="single" w:color="auto" w:sz="4" w:space="0"/>
              <w:left w:val="single" w:color="auto" w:sz="4" w:space="0"/>
              <w:bottom w:val="single" w:color="auto" w:sz="4" w:space="0"/>
              <w:right w:val="single" w:color="auto" w:sz="4" w:space="0"/>
            </w:tcBorders>
            <w:noWrap w:val="0"/>
            <w:vAlign w:val="center"/>
          </w:tcPr>
          <w:p w14:paraId="7ED324F4">
            <w:pPr>
              <w:spacing w:line="276" w:lineRule="auto"/>
              <w:jc w:val="center"/>
              <w:rPr>
                <w:color w:val="auto"/>
                <w:sz w:val="24"/>
                <w:highlight w:val="none"/>
              </w:rPr>
            </w:pPr>
            <w:r>
              <w:rPr>
                <w:rFonts w:hint="eastAsia" w:ascii="宋体" w:hAnsi="宋体"/>
                <w:bCs/>
                <w:color w:val="auto"/>
                <w:sz w:val="24"/>
                <w:highlight w:val="none"/>
              </w:rPr>
              <w:t>质量要求</w:t>
            </w:r>
          </w:p>
        </w:tc>
        <w:tc>
          <w:tcPr>
            <w:tcW w:w="4111" w:type="dxa"/>
            <w:tcBorders>
              <w:top w:val="single" w:color="auto" w:sz="4" w:space="0"/>
              <w:left w:val="single" w:color="auto" w:sz="4" w:space="0"/>
              <w:bottom w:val="single" w:color="auto" w:sz="4" w:space="0"/>
              <w:right w:val="single" w:color="auto" w:sz="4" w:space="0"/>
            </w:tcBorders>
            <w:noWrap w:val="0"/>
            <w:vAlign w:val="center"/>
          </w:tcPr>
          <w:p w14:paraId="61CFE26E">
            <w:pPr>
              <w:spacing w:line="276" w:lineRule="auto"/>
              <w:jc w:val="center"/>
              <w:rPr>
                <w:color w:val="auto"/>
                <w:sz w:val="24"/>
                <w:highlight w:val="none"/>
              </w:rPr>
            </w:pPr>
            <w:r>
              <w:rPr>
                <w:rFonts w:hint="eastAsia" w:ascii="宋体" w:hAnsi="宋体"/>
                <w:color w:val="auto"/>
                <w:sz w:val="24"/>
                <w:highlight w:val="none"/>
                <w:lang w:val="en-US" w:eastAsia="zh-CN"/>
              </w:rPr>
              <w:t>符合招标文件要求</w:t>
            </w:r>
          </w:p>
        </w:tc>
      </w:tr>
      <w:tr w14:paraId="113F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9182" w:type="dxa"/>
            <w:gridSpan w:val="5"/>
            <w:tcBorders>
              <w:left w:val="single" w:color="auto" w:sz="4" w:space="0"/>
              <w:right w:val="single" w:color="auto" w:sz="4" w:space="0"/>
            </w:tcBorders>
            <w:noWrap w:val="0"/>
            <w:vAlign w:val="center"/>
          </w:tcPr>
          <w:p w14:paraId="21D07554">
            <w:pPr>
              <w:spacing w:line="276" w:lineRule="auto"/>
              <w:jc w:val="left"/>
              <w:rPr>
                <w:rFonts w:ascii="宋体" w:hAnsi="宋体"/>
                <w:b/>
                <w:bCs/>
                <w:color w:val="auto"/>
                <w:sz w:val="24"/>
                <w:highlight w:val="none"/>
              </w:rPr>
            </w:pPr>
            <w:r>
              <w:rPr>
                <w:rFonts w:hint="eastAsia" w:ascii="宋体" w:hAnsi="宋体"/>
                <w:b/>
                <w:bCs/>
                <w:color w:val="auto"/>
                <w:sz w:val="24"/>
                <w:highlight w:val="none"/>
              </w:rPr>
              <w:t>注：①第一部分内容：包括资格评审、符合性评审及其他与初审有关的要求。</w:t>
            </w:r>
          </w:p>
          <w:p w14:paraId="37C6E589">
            <w:pPr>
              <w:spacing w:line="276" w:lineRule="auto"/>
              <w:ind w:firstLine="472" w:firstLineChars="196"/>
              <w:jc w:val="left"/>
              <w:rPr>
                <w:color w:val="auto"/>
                <w:sz w:val="24"/>
                <w:highlight w:val="none"/>
              </w:rPr>
            </w:pPr>
            <w:r>
              <w:rPr>
                <w:rFonts w:hint="eastAsia" w:ascii="宋体" w:hAnsi="宋体"/>
                <w:b/>
                <w:bCs/>
                <w:color w:val="auto"/>
                <w:sz w:val="24"/>
                <w:highlight w:val="none"/>
              </w:rPr>
              <w:t>②以上各项如有一项不合格按废标处理，不得进入详细评审阶段。</w:t>
            </w:r>
          </w:p>
        </w:tc>
      </w:tr>
    </w:tbl>
    <w:p w14:paraId="295E1924">
      <w:pPr>
        <w:widowControl/>
        <w:wordWrap w:val="0"/>
        <w:spacing w:line="360" w:lineRule="auto"/>
        <w:jc w:val="left"/>
        <w:rPr>
          <w:rFonts w:ascii="宋体" w:hAnsi="宋体" w:cs="宋体"/>
          <w:b/>
          <w:bCs/>
          <w:color w:val="auto"/>
          <w:kern w:val="0"/>
          <w:sz w:val="24"/>
          <w:highlight w:val="none"/>
        </w:rPr>
      </w:pPr>
    </w:p>
    <w:p w14:paraId="693FC165">
      <w:pPr>
        <w:widowControl/>
        <w:wordWrap w:val="0"/>
        <w:spacing w:line="360" w:lineRule="auto"/>
        <w:jc w:val="left"/>
        <w:rPr>
          <w:rFonts w:ascii="宋体" w:hAnsi="宋体" w:cs="宋体"/>
          <w:b/>
          <w:bCs/>
          <w:color w:val="auto"/>
          <w:kern w:val="0"/>
          <w:sz w:val="24"/>
          <w:highlight w:val="none"/>
        </w:rPr>
      </w:pPr>
      <w:r>
        <w:rPr>
          <w:rFonts w:hint="eastAsia" w:ascii="宋体" w:hAnsi="宋体" w:cs="宋体"/>
          <w:b/>
          <w:bCs/>
          <w:color w:val="auto"/>
          <w:kern w:val="0"/>
          <w:sz w:val="24"/>
          <w:highlight w:val="none"/>
        </w:rPr>
        <w:t>本次招标采用综合评分法评标，评标因素和所占分值为：</w:t>
      </w:r>
    </w:p>
    <w:tbl>
      <w:tblPr>
        <w:tblStyle w:val="16"/>
        <w:tblW w:w="97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6"/>
        <w:gridCol w:w="1833"/>
        <w:gridCol w:w="6488"/>
      </w:tblGrid>
      <w:tr w14:paraId="7BEF0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426" w:type="dxa"/>
            <w:tcBorders>
              <w:top w:val="single" w:color="auto" w:sz="4" w:space="0"/>
              <w:left w:val="single" w:color="auto" w:sz="4" w:space="0"/>
              <w:bottom w:val="single" w:color="auto" w:sz="4" w:space="0"/>
              <w:right w:val="single" w:color="auto" w:sz="4" w:space="0"/>
            </w:tcBorders>
            <w:noWrap w:val="0"/>
            <w:vAlign w:val="center"/>
          </w:tcPr>
          <w:p w14:paraId="4A95D66E">
            <w:pPr>
              <w:ind w:firstLine="0" w:firstLineChars="0"/>
              <w:jc w:val="center"/>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评审内容</w:t>
            </w:r>
          </w:p>
        </w:tc>
        <w:tc>
          <w:tcPr>
            <w:tcW w:w="1833" w:type="dxa"/>
            <w:tcBorders>
              <w:top w:val="single" w:color="auto" w:sz="4" w:space="0"/>
              <w:left w:val="single" w:color="auto" w:sz="4" w:space="0"/>
              <w:bottom w:val="single" w:color="auto" w:sz="4" w:space="0"/>
              <w:right w:val="single" w:color="auto" w:sz="4" w:space="0"/>
            </w:tcBorders>
            <w:noWrap w:val="0"/>
            <w:vAlign w:val="center"/>
          </w:tcPr>
          <w:p w14:paraId="556EA28D">
            <w:pPr>
              <w:ind w:firstLine="0" w:firstLineChars="0"/>
              <w:jc w:val="center"/>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评审因素</w:t>
            </w:r>
          </w:p>
        </w:tc>
        <w:tc>
          <w:tcPr>
            <w:tcW w:w="6488" w:type="dxa"/>
            <w:tcBorders>
              <w:top w:val="single" w:color="auto" w:sz="4" w:space="0"/>
              <w:left w:val="single" w:color="auto" w:sz="4" w:space="0"/>
              <w:bottom w:val="single" w:color="auto" w:sz="4" w:space="0"/>
              <w:right w:val="single" w:color="auto" w:sz="4" w:space="0"/>
            </w:tcBorders>
            <w:noWrap w:val="0"/>
            <w:vAlign w:val="center"/>
          </w:tcPr>
          <w:p w14:paraId="4F908754">
            <w:pPr>
              <w:ind w:firstLine="0" w:firstLineChars="0"/>
              <w:jc w:val="center"/>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编列内容</w:t>
            </w:r>
          </w:p>
        </w:tc>
      </w:tr>
      <w:tr w14:paraId="18E65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 w:hRule="atLeast"/>
          <w:jc w:val="center"/>
        </w:trPr>
        <w:tc>
          <w:tcPr>
            <w:tcW w:w="1426" w:type="dxa"/>
            <w:tcBorders>
              <w:top w:val="single" w:color="auto" w:sz="4" w:space="0"/>
              <w:left w:val="single" w:color="auto" w:sz="4" w:space="0"/>
              <w:bottom w:val="single" w:color="auto" w:sz="4" w:space="0"/>
              <w:right w:val="single" w:color="auto" w:sz="4" w:space="0"/>
            </w:tcBorders>
            <w:noWrap w:val="0"/>
            <w:vAlign w:val="center"/>
          </w:tcPr>
          <w:p w14:paraId="45B5CDA1">
            <w:pPr>
              <w:ind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分值构成</w:t>
            </w:r>
          </w:p>
          <w:p w14:paraId="5314F20C">
            <w:pPr>
              <w:ind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(总分100分)</w:t>
            </w:r>
          </w:p>
        </w:tc>
        <w:tc>
          <w:tcPr>
            <w:tcW w:w="1833" w:type="dxa"/>
            <w:tcBorders>
              <w:top w:val="single" w:color="auto" w:sz="4" w:space="0"/>
              <w:left w:val="single" w:color="auto" w:sz="4" w:space="0"/>
              <w:bottom w:val="single" w:color="auto" w:sz="4" w:space="0"/>
              <w:right w:val="single" w:color="auto" w:sz="4" w:space="0"/>
            </w:tcBorders>
            <w:noWrap w:val="0"/>
            <w:vAlign w:val="center"/>
          </w:tcPr>
          <w:p w14:paraId="1C67E679">
            <w:pPr>
              <w:ind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分值构成</w:t>
            </w:r>
          </w:p>
        </w:tc>
        <w:tc>
          <w:tcPr>
            <w:tcW w:w="6488" w:type="dxa"/>
            <w:tcBorders>
              <w:top w:val="single" w:color="auto" w:sz="4" w:space="0"/>
              <w:left w:val="single" w:color="auto" w:sz="4" w:space="0"/>
              <w:bottom w:val="single" w:color="auto" w:sz="4" w:space="0"/>
              <w:right w:val="single" w:color="auto" w:sz="4" w:space="0"/>
            </w:tcBorders>
            <w:noWrap w:val="0"/>
            <w:vAlign w:val="center"/>
          </w:tcPr>
          <w:p w14:paraId="091B8768">
            <w:pPr>
              <w:ind w:firstLine="0" w:firstLineChars="0"/>
              <w:rPr>
                <w:rFonts w:hint="eastAsia" w:ascii="宋体" w:hAnsi="宋体" w:cs="宋体"/>
                <w:color w:val="auto"/>
                <w:sz w:val="24"/>
                <w:szCs w:val="24"/>
                <w:highlight w:val="none"/>
              </w:rPr>
            </w:pPr>
            <w:r>
              <w:rPr>
                <w:rFonts w:hint="eastAsia" w:ascii="宋体" w:hAnsi="宋体" w:cs="宋体"/>
                <w:color w:val="auto"/>
                <w:sz w:val="24"/>
                <w:szCs w:val="24"/>
                <w:highlight w:val="none"/>
              </w:rPr>
              <w:t>报价部分（</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0分）</w:t>
            </w:r>
          </w:p>
          <w:p w14:paraId="247A88CF">
            <w:pPr>
              <w:ind w:firstLine="0" w:firstLineChars="0"/>
              <w:rPr>
                <w:rFonts w:hint="eastAsia" w:ascii="宋体" w:hAnsi="宋体" w:cs="宋体"/>
                <w:color w:val="auto"/>
                <w:sz w:val="24"/>
                <w:szCs w:val="24"/>
                <w:highlight w:val="none"/>
              </w:rPr>
            </w:pPr>
            <w:r>
              <w:rPr>
                <w:rFonts w:hint="eastAsia" w:ascii="宋体" w:hAnsi="宋体" w:cs="宋体"/>
                <w:color w:val="auto"/>
                <w:sz w:val="24"/>
                <w:szCs w:val="24"/>
                <w:highlight w:val="none"/>
              </w:rPr>
              <w:t>技术部分（</w:t>
            </w:r>
            <w:r>
              <w:rPr>
                <w:rFonts w:hint="eastAsia" w:ascii="宋体" w:hAnsi="宋体" w:cs="宋体"/>
                <w:color w:val="auto"/>
                <w:sz w:val="24"/>
                <w:szCs w:val="24"/>
                <w:highlight w:val="none"/>
                <w:lang w:val="en-US" w:eastAsia="zh-CN"/>
              </w:rPr>
              <w:t>60</w:t>
            </w:r>
            <w:r>
              <w:rPr>
                <w:rFonts w:hint="eastAsia" w:ascii="宋体" w:hAnsi="宋体" w:cs="宋体"/>
                <w:color w:val="auto"/>
                <w:sz w:val="24"/>
                <w:szCs w:val="24"/>
                <w:highlight w:val="none"/>
              </w:rPr>
              <w:t>分）</w:t>
            </w:r>
          </w:p>
          <w:p w14:paraId="7C53E5BE">
            <w:pPr>
              <w:ind w:firstLine="0" w:firstLineChars="0"/>
              <w:rPr>
                <w:rFonts w:hint="eastAsia" w:ascii="宋体" w:hAnsi="宋体" w:cs="宋体"/>
                <w:color w:val="auto"/>
                <w:kern w:val="1"/>
                <w:sz w:val="24"/>
                <w:szCs w:val="24"/>
                <w:highlight w:val="none"/>
              </w:rPr>
            </w:pPr>
            <w:r>
              <w:rPr>
                <w:rFonts w:hint="eastAsia" w:ascii="宋体" w:hAnsi="宋体" w:cs="宋体"/>
                <w:color w:val="auto"/>
                <w:sz w:val="24"/>
                <w:szCs w:val="24"/>
                <w:highlight w:val="none"/>
              </w:rPr>
              <w:t>商务部分（</w:t>
            </w:r>
            <w:r>
              <w:rPr>
                <w:rFonts w:hint="eastAsia" w:ascii="宋体" w:hAnsi="宋体" w:cs="宋体"/>
                <w:color w:val="auto"/>
                <w:sz w:val="24"/>
                <w:szCs w:val="24"/>
                <w:highlight w:val="none"/>
                <w:lang w:val="en-US" w:eastAsia="zh-CN"/>
              </w:rPr>
              <w:t>30</w:t>
            </w:r>
            <w:r>
              <w:rPr>
                <w:rFonts w:hint="eastAsia" w:ascii="宋体" w:hAnsi="宋体" w:cs="宋体"/>
                <w:color w:val="auto"/>
                <w:sz w:val="24"/>
                <w:szCs w:val="24"/>
                <w:highlight w:val="none"/>
              </w:rPr>
              <w:t>分）</w:t>
            </w:r>
          </w:p>
        </w:tc>
      </w:tr>
      <w:tr w14:paraId="02F1F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426" w:type="dxa"/>
            <w:tcBorders>
              <w:top w:val="single" w:color="auto" w:sz="4" w:space="0"/>
              <w:left w:val="single" w:color="auto" w:sz="4" w:space="0"/>
              <w:bottom w:val="single" w:color="auto" w:sz="4" w:space="0"/>
              <w:right w:val="single" w:color="auto" w:sz="4" w:space="0"/>
            </w:tcBorders>
            <w:noWrap w:val="0"/>
            <w:vAlign w:val="center"/>
          </w:tcPr>
          <w:p w14:paraId="108D866C">
            <w:pPr>
              <w:ind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评分内容</w:t>
            </w:r>
          </w:p>
        </w:tc>
        <w:tc>
          <w:tcPr>
            <w:tcW w:w="1833" w:type="dxa"/>
            <w:tcBorders>
              <w:top w:val="single" w:color="auto" w:sz="4" w:space="0"/>
              <w:left w:val="single" w:color="auto" w:sz="4" w:space="0"/>
              <w:bottom w:val="single" w:color="auto" w:sz="4" w:space="0"/>
              <w:right w:val="single" w:color="auto" w:sz="4" w:space="0"/>
            </w:tcBorders>
            <w:noWrap w:val="0"/>
            <w:vAlign w:val="center"/>
          </w:tcPr>
          <w:p w14:paraId="61C57EF0">
            <w:pPr>
              <w:ind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评分因素</w:t>
            </w:r>
          </w:p>
        </w:tc>
        <w:tc>
          <w:tcPr>
            <w:tcW w:w="6488" w:type="dxa"/>
            <w:tcBorders>
              <w:top w:val="single" w:color="auto" w:sz="4" w:space="0"/>
              <w:left w:val="single" w:color="auto" w:sz="4" w:space="0"/>
              <w:bottom w:val="single" w:color="auto" w:sz="4" w:space="0"/>
              <w:right w:val="single" w:color="auto" w:sz="4" w:space="0"/>
            </w:tcBorders>
            <w:noWrap w:val="0"/>
            <w:vAlign w:val="center"/>
          </w:tcPr>
          <w:p w14:paraId="1F192BF0">
            <w:pPr>
              <w:ind w:firstLine="0" w:firstLineChars="0"/>
              <w:jc w:val="center"/>
              <w:rPr>
                <w:rFonts w:hint="eastAsia" w:ascii="宋体" w:hAnsi="宋体" w:cs="宋体"/>
                <w:color w:val="auto"/>
                <w:kern w:val="1"/>
                <w:sz w:val="24"/>
                <w:szCs w:val="24"/>
                <w:highlight w:val="none"/>
              </w:rPr>
            </w:pPr>
            <w:r>
              <w:rPr>
                <w:rFonts w:hint="eastAsia" w:ascii="宋体" w:hAnsi="宋体" w:cs="宋体"/>
                <w:color w:val="auto"/>
                <w:sz w:val="24"/>
                <w:szCs w:val="24"/>
                <w:highlight w:val="none"/>
              </w:rPr>
              <w:t>评分标准</w:t>
            </w:r>
          </w:p>
        </w:tc>
      </w:tr>
      <w:tr w14:paraId="7AA11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jc w:val="center"/>
        </w:trPr>
        <w:tc>
          <w:tcPr>
            <w:tcW w:w="1426" w:type="dxa"/>
            <w:tcBorders>
              <w:top w:val="single" w:color="auto" w:sz="4" w:space="0"/>
              <w:left w:val="single" w:color="auto" w:sz="4" w:space="0"/>
              <w:bottom w:val="single" w:color="auto" w:sz="4" w:space="0"/>
              <w:right w:val="single" w:color="auto" w:sz="4" w:space="0"/>
            </w:tcBorders>
            <w:noWrap w:val="0"/>
            <w:vAlign w:val="center"/>
          </w:tcPr>
          <w:p w14:paraId="1EC1D731">
            <w:pPr>
              <w:ind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报价部分</w:t>
            </w:r>
          </w:p>
          <w:p w14:paraId="5E809AD0">
            <w:pPr>
              <w:ind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0分）</w:t>
            </w:r>
          </w:p>
        </w:tc>
        <w:tc>
          <w:tcPr>
            <w:tcW w:w="1833" w:type="dxa"/>
            <w:tcBorders>
              <w:top w:val="single" w:color="auto" w:sz="4" w:space="0"/>
              <w:left w:val="single" w:color="auto" w:sz="4" w:space="0"/>
              <w:bottom w:val="single" w:color="auto" w:sz="4" w:space="0"/>
              <w:right w:val="single" w:color="auto" w:sz="4" w:space="0"/>
            </w:tcBorders>
            <w:noWrap w:val="0"/>
            <w:vAlign w:val="center"/>
          </w:tcPr>
          <w:p w14:paraId="03275A9B">
            <w:pPr>
              <w:ind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投标报价</w:t>
            </w:r>
          </w:p>
          <w:p w14:paraId="6AFEA2A2">
            <w:pPr>
              <w:ind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0分）</w:t>
            </w:r>
          </w:p>
        </w:tc>
        <w:tc>
          <w:tcPr>
            <w:tcW w:w="6488" w:type="dxa"/>
            <w:tcBorders>
              <w:top w:val="single" w:color="auto" w:sz="4" w:space="0"/>
              <w:left w:val="single" w:color="auto" w:sz="4" w:space="0"/>
              <w:bottom w:val="single" w:color="auto" w:sz="4" w:space="0"/>
              <w:right w:val="single" w:color="auto" w:sz="4" w:space="0"/>
            </w:tcBorders>
            <w:noWrap w:val="0"/>
            <w:vAlign w:val="center"/>
          </w:tcPr>
          <w:p w14:paraId="65E60106">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价格分采用低价优先法计算，即满足招标文件实质性要求且价格最低的投标报价为评标基准价，其价格分为满分，其它供应商的价格分统一按下列公式计算： </w:t>
            </w:r>
          </w:p>
          <w:p w14:paraId="6C8B2309">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投标报价得分=评标基准价／评标价×10，数值精度为小数点后二位（四舍五入）。  </w:t>
            </w:r>
          </w:p>
          <w:p w14:paraId="55A4F6D7">
            <w:pPr>
              <w:spacing w:line="276" w:lineRule="auto"/>
              <w:ind w:firstLine="482" w:firstLineChars="200"/>
              <w:jc w:val="left"/>
              <w:rPr>
                <w:rFonts w:hint="default" w:ascii="宋体" w:hAnsi="宋体" w:eastAsia="宋体" w:cs="宋体"/>
                <w:b/>
                <w:bCs/>
                <w:color w:val="auto"/>
                <w:sz w:val="24"/>
                <w:szCs w:val="24"/>
                <w:highlight w:val="none"/>
                <w:lang w:val="en-US" w:eastAsia="zh-CN"/>
              </w:rPr>
            </w:pPr>
            <w:r>
              <w:rPr>
                <w:rFonts w:ascii="宋体" w:hAnsi="宋体" w:eastAsia="宋体" w:cs="宋体"/>
                <w:b/>
                <w:bCs/>
                <w:color w:val="auto"/>
                <w:sz w:val="24"/>
                <w:szCs w:val="24"/>
                <w:highlight w:val="none"/>
              </w:rPr>
              <w:t xml:space="preserve">注： </w:t>
            </w:r>
            <w:r>
              <w:rPr>
                <w:rFonts w:hint="eastAsia" w:ascii="宋体" w:hAnsi="宋体" w:eastAsia="宋体" w:cs="宋体"/>
                <w:b/>
                <w:bCs/>
                <w:color w:val="auto"/>
                <w:sz w:val="24"/>
                <w:szCs w:val="24"/>
                <w:highlight w:val="none"/>
                <w:lang w:val="en-US" w:eastAsia="zh-CN"/>
              </w:rPr>
              <w:t>本项目为专门面向中小企业采购项目，不再执行价格评审优惠的扶持政策</w:t>
            </w:r>
            <w:r>
              <w:rPr>
                <w:rFonts w:ascii="宋体" w:hAnsi="宋体" w:eastAsia="宋体" w:cs="宋体"/>
                <w:b/>
                <w:bCs/>
                <w:color w:val="auto"/>
                <w:sz w:val="24"/>
                <w:szCs w:val="24"/>
                <w:highlight w:val="none"/>
              </w:rPr>
              <w:t>。</w:t>
            </w:r>
          </w:p>
          <w:p w14:paraId="26CEB5F2">
            <w:pPr>
              <w:spacing w:line="276" w:lineRule="auto"/>
              <w:ind w:firstLine="480" w:firstLineChars="200"/>
              <w:jc w:val="left"/>
              <w:rPr>
                <w:rFonts w:hint="eastAsia" w:eastAsia="宋体"/>
                <w:color w:val="auto"/>
                <w:highlight w:val="none"/>
                <w:lang w:eastAsia="zh-CN"/>
              </w:rPr>
            </w:pPr>
            <w:r>
              <w:rPr>
                <w:rFonts w:ascii="宋体" w:hAnsi="宋体" w:eastAsia="宋体" w:cs="宋体"/>
                <w:color w:val="auto"/>
                <w:sz w:val="24"/>
                <w:szCs w:val="24"/>
                <w:highlight w:val="none"/>
              </w:rPr>
              <w:t>评审委员会认定某供应商的投标报价明显低于其他有效供应商投标报价，有可能影响服务质量或者不能诚信履约的，执行财政部文件“财政部关于推动解决政府采购异常低价问题的通知（财库〔2026〕2号）”。</w:t>
            </w:r>
          </w:p>
        </w:tc>
      </w:tr>
      <w:tr w14:paraId="01D43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8" w:hRule="atLeast"/>
          <w:jc w:val="center"/>
        </w:trPr>
        <w:tc>
          <w:tcPr>
            <w:tcW w:w="1426" w:type="dxa"/>
            <w:vMerge w:val="restart"/>
            <w:tcBorders>
              <w:left w:val="single" w:color="auto" w:sz="4" w:space="0"/>
              <w:right w:val="single" w:color="auto" w:sz="4" w:space="0"/>
            </w:tcBorders>
            <w:noWrap w:val="0"/>
            <w:vAlign w:val="center"/>
          </w:tcPr>
          <w:p w14:paraId="74D2E52B">
            <w:pPr>
              <w:ind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技术部分</w:t>
            </w:r>
          </w:p>
          <w:p w14:paraId="5BD9E8B0">
            <w:pPr>
              <w:ind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60</w:t>
            </w:r>
            <w:r>
              <w:rPr>
                <w:rFonts w:hint="eastAsia" w:ascii="宋体" w:hAnsi="宋体" w:cs="宋体"/>
                <w:color w:val="auto"/>
                <w:sz w:val="24"/>
                <w:szCs w:val="24"/>
                <w:highlight w:val="none"/>
              </w:rPr>
              <w:t>分）</w:t>
            </w:r>
          </w:p>
        </w:tc>
        <w:tc>
          <w:tcPr>
            <w:tcW w:w="1833" w:type="dxa"/>
            <w:tcBorders>
              <w:top w:val="single" w:color="auto" w:sz="4" w:space="0"/>
              <w:left w:val="single" w:color="auto" w:sz="4" w:space="0"/>
              <w:bottom w:val="single" w:color="auto" w:sz="4" w:space="0"/>
              <w:right w:val="single" w:color="auto" w:sz="4" w:space="0"/>
            </w:tcBorders>
            <w:noWrap w:val="0"/>
            <w:vAlign w:val="center"/>
          </w:tcPr>
          <w:p w14:paraId="61F3FD4E">
            <w:pPr>
              <w:ind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作业计划</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分）</w:t>
            </w:r>
          </w:p>
          <w:p w14:paraId="2D6637BB">
            <w:pPr>
              <w:ind w:firstLine="0" w:firstLineChars="0"/>
              <w:jc w:val="both"/>
              <w:rPr>
                <w:rFonts w:hint="eastAsia" w:ascii="宋体" w:hAnsi="宋体" w:cs="宋体"/>
                <w:color w:val="auto"/>
                <w:sz w:val="24"/>
                <w:szCs w:val="24"/>
                <w:highlight w:val="none"/>
              </w:rPr>
            </w:pPr>
          </w:p>
        </w:tc>
        <w:tc>
          <w:tcPr>
            <w:tcW w:w="6488" w:type="dxa"/>
            <w:tcBorders>
              <w:top w:val="single" w:color="auto" w:sz="4" w:space="0"/>
              <w:left w:val="single" w:color="auto" w:sz="4" w:space="0"/>
              <w:bottom w:val="single" w:color="auto" w:sz="4" w:space="0"/>
              <w:right w:val="single" w:color="auto" w:sz="4" w:space="0"/>
            </w:tcBorders>
            <w:noWrap w:val="0"/>
            <w:vAlign w:val="top"/>
          </w:tcPr>
          <w:p w14:paraId="160032AD">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针对本项目区域耕地条件、地块分布、作业工期制定完整方案： </w:t>
            </w:r>
          </w:p>
          <w:p w14:paraId="493C0D7B">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方案完整，分片区排班、每日作业量、收耕衔接处理流程清晰，贴合本地地块：8分；</w:t>
            </w:r>
          </w:p>
          <w:p w14:paraId="3CFBE96F">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方案基本完整，流程简单，可满足基础作业：5分；</w:t>
            </w:r>
          </w:p>
          <w:p w14:paraId="1A982520">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方案简略、无针对性：3分；</w:t>
            </w:r>
          </w:p>
          <w:p w14:paraId="699F272B">
            <w:pPr>
              <w:spacing w:line="276" w:lineRule="auto"/>
              <w:ind w:firstLine="480" w:firstLineChars="200"/>
              <w:jc w:val="left"/>
              <w:rPr>
                <w:rFonts w:hint="eastAsia" w:ascii="宋体" w:hAnsi="宋体" w:eastAsia="宋体" w:cs="Times New Roman"/>
                <w:color w:val="auto"/>
                <w:sz w:val="24"/>
                <w:highlight w:val="none"/>
              </w:rPr>
            </w:pPr>
            <w:r>
              <w:rPr>
                <w:rFonts w:ascii="宋体" w:hAnsi="宋体" w:eastAsia="宋体" w:cs="宋体"/>
                <w:color w:val="auto"/>
                <w:sz w:val="24"/>
                <w:szCs w:val="24"/>
                <w:highlight w:val="none"/>
              </w:rPr>
              <w:t xml:space="preserve"> 未提供方案0分。</w:t>
            </w:r>
          </w:p>
        </w:tc>
      </w:tr>
      <w:tr w14:paraId="339BF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1426" w:type="dxa"/>
            <w:vMerge w:val="continue"/>
            <w:tcBorders>
              <w:left w:val="single" w:color="auto" w:sz="4" w:space="0"/>
              <w:right w:val="single" w:color="auto" w:sz="4" w:space="0"/>
            </w:tcBorders>
            <w:noWrap w:val="0"/>
            <w:vAlign w:val="center"/>
          </w:tcPr>
          <w:p w14:paraId="6CFE7CBE">
            <w:pPr>
              <w:ind w:firstLine="0" w:firstLineChars="0"/>
              <w:jc w:val="center"/>
              <w:rPr>
                <w:rFonts w:hint="eastAsia" w:ascii="宋体" w:hAnsi="宋体" w:cs="宋体"/>
                <w:color w:val="auto"/>
                <w:sz w:val="24"/>
                <w:szCs w:val="24"/>
                <w:highlight w:val="none"/>
              </w:rPr>
            </w:pPr>
          </w:p>
        </w:tc>
        <w:tc>
          <w:tcPr>
            <w:tcW w:w="1833" w:type="dxa"/>
            <w:tcBorders>
              <w:top w:val="single" w:color="auto" w:sz="4" w:space="0"/>
              <w:left w:val="single" w:color="auto" w:sz="4" w:space="0"/>
              <w:bottom w:val="single" w:color="auto" w:sz="4" w:space="0"/>
              <w:right w:val="single" w:color="auto" w:sz="4" w:space="0"/>
            </w:tcBorders>
            <w:noWrap w:val="0"/>
            <w:vAlign w:val="center"/>
          </w:tcPr>
          <w:p w14:paraId="09AB05C9">
            <w:pPr>
              <w:pStyle w:val="9"/>
              <w:ind w:left="239" w:leftChars="114" w:firstLine="307" w:firstLineChars="128"/>
              <w:rPr>
                <w:rFonts w:hint="eastAsia" w:ascii="宋体" w:hAnsi="宋体" w:cs="宋体"/>
                <w:color w:val="auto"/>
                <w:sz w:val="24"/>
                <w:szCs w:val="24"/>
                <w:highlight w:val="none"/>
              </w:rPr>
            </w:pPr>
            <w:r>
              <w:rPr>
                <w:rFonts w:hint="eastAsia" w:ascii="仿宋" w:hAnsi="仿宋" w:cs="仿宋"/>
                <w:color w:val="auto"/>
                <w:kern w:val="0"/>
                <w:sz w:val="24"/>
                <w:highlight w:val="none"/>
                <w:lang w:bidi="ar"/>
              </w:rPr>
              <w:t>运作机制</w:t>
            </w:r>
            <w:r>
              <w:rPr>
                <w:rFonts w:hint="eastAsia" w:ascii="宋体" w:hAnsi="宋体" w:cs="宋体"/>
                <w:color w:val="auto"/>
                <w:sz w:val="24"/>
                <w:szCs w:val="24"/>
                <w:highlight w:val="none"/>
              </w:rPr>
              <w:t>(</w:t>
            </w:r>
            <w:r>
              <w:rPr>
                <w:rFonts w:hint="eastAsia" w:cs="宋体"/>
                <w:color w:val="auto"/>
                <w:sz w:val="24"/>
                <w:szCs w:val="24"/>
                <w:highlight w:val="none"/>
                <w:lang w:val="en-US" w:eastAsia="zh-CN"/>
              </w:rPr>
              <w:t>8</w:t>
            </w:r>
            <w:r>
              <w:rPr>
                <w:rFonts w:hint="eastAsia" w:ascii="宋体" w:hAnsi="宋体" w:cs="宋体"/>
                <w:color w:val="auto"/>
                <w:sz w:val="24"/>
                <w:szCs w:val="24"/>
                <w:highlight w:val="none"/>
              </w:rPr>
              <w:t>分）</w:t>
            </w:r>
          </w:p>
          <w:p w14:paraId="10C3E08E">
            <w:pPr>
              <w:ind w:firstLine="0" w:firstLineChars="0"/>
              <w:jc w:val="center"/>
              <w:rPr>
                <w:rFonts w:hint="eastAsia" w:ascii="宋体" w:hAnsi="宋体" w:cs="宋体"/>
                <w:color w:val="auto"/>
                <w:sz w:val="24"/>
                <w:szCs w:val="24"/>
                <w:highlight w:val="none"/>
              </w:rPr>
            </w:pPr>
          </w:p>
        </w:tc>
        <w:tc>
          <w:tcPr>
            <w:tcW w:w="6488" w:type="dxa"/>
            <w:tcBorders>
              <w:top w:val="single" w:color="auto" w:sz="4" w:space="0"/>
              <w:left w:val="single" w:color="auto" w:sz="4" w:space="0"/>
              <w:bottom w:val="single" w:color="auto" w:sz="4" w:space="0"/>
              <w:right w:val="single" w:color="auto" w:sz="4" w:space="0"/>
            </w:tcBorders>
            <w:noWrap w:val="0"/>
            <w:vAlign w:val="top"/>
          </w:tcPr>
          <w:p w14:paraId="33304E81">
            <w:pPr>
              <w:spacing w:line="276" w:lineRule="auto"/>
              <w:ind w:firstLine="480" w:firstLineChars="200"/>
              <w:jc w:val="left"/>
              <w:rPr>
                <w:rFonts w:hint="eastAsia" w:ascii="仿宋" w:hAnsi="仿宋" w:cs="仿宋"/>
                <w:color w:val="auto"/>
                <w:kern w:val="0"/>
                <w:sz w:val="24"/>
                <w:highlight w:val="none"/>
                <w:lang w:bidi="ar"/>
              </w:rPr>
            </w:pPr>
            <w:r>
              <w:rPr>
                <w:rFonts w:hint="eastAsia" w:ascii="仿宋" w:hAnsi="仿宋" w:cs="仿宋"/>
                <w:color w:val="auto"/>
                <w:kern w:val="0"/>
                <w:sz w:val="24"/>
                <w:highlight w:val="none"/>
                <w:lang w:bidi="ar"/>
              </w:rPr>
              <w:t>运作机制协调、有序、高效，工作流程清晰、准确、完整，满足采购需求，得</w:t>
            </w:r>
            <w:r>
              <w:rPr>
                <w:rFonts w:hint="eastAsia" w:ascii="仿宋" w:hAnsi="仿宋" w:cs="仿宋"/>
                <w:color w:val="auto"/>
                <w:kern w:val="0"/>
                <w:sz w:val="24"/>
                <w:highlight w:val="none"/>
                <w:lang w:val="en-US" w:eastAsia="zh-CN" w:bidi="ar"/>
              </w:rPr>
              <w:t>8</w:t>
            </w:r>
            <w:r>
              <w:rPr>
                <w:rFonts w:hint="eastAsia" w:ascii="仿宋" w:hAnsi="仿宋" w:cs="仿宋"/>
                <w:color w:val="auto"/>
                <w:kern w:val="0"/>
                <w:sz w:val="24"/>
                <w:highlight w:val="none"/>
                <w:lang w:bidi="ar"/>
              </w:rPr>
              <w:t>分；</w:t>
            </w:r>
          </w:p>
          <w:p w14:paraId="5A329314">
            <w:pPr>
              <w:spacing w:line="276" w:lineRule="auto"/>
              <w:ind w:firstLine="480" w:firstLineChars="200"/>
              <w:jc w:val="left"/>
              <w:rPr>
                <w:rFonts w:hint="eastAsia" w:ascii="仿宋" w:hAnsi="仿宋" w:cs="仿宋"/>
                <w:color w:val="auto"/>
                <w:kern w:val="0"/>
                <w:sz w:val="24"/>
                <w:highlight w:val="none"/>
                <w:lang w:bidi="ar"/>
              </w:rPr>
            </w:pPr>
            <w:r>
              <w:rPr>
                <w:rFonts w:hint="eastAsia" w:ascii="仿宋" w:hAnsi="仿宋" w:cs="仿宋"/>
                <w:color w:val="auto"/>
                <w:kern w:val="0"/>
                <w:sz w:val="24"/>
                <w:highlight w:val="none"/>
                <w:lang w:bidi="ar"/>
              </w:rPr>
              <w:t>运作机制一般，工作流程基本完整，得</w:t>
            </w:r>
            <w:r>
              <w:rPr>
                <w:rFonts w:hint="eastAsia" w:ascii="仿宋" w:hAnsi="仿宋" w:cs="仿宋"/>
                <w:color w:val="auto"/>
                <w:kern w:val="0"/>
                <w:sz w:val="24"/>
                <w:highlight w:val="none"/>
                <w:lang w:val="en-US" w:eastAsia="zh-CN" w:bidi="ar"/>
              </w:rPr>
              <w:t>5</w:t>
            </w:r>
            <w:r>
              <w:rPr>
                <w:rFonts w:hint="eastAsia" w:ascii="仿宋" w:hAnsi="仿宋" w:cs="仿宋"/>
                <w:color w:val="auto"/>
                <w:kern w:val="0"/>
                <w:sz w:val="24"/>
                <w:highlight w:val="none"/>
                <w:lang w:bidi="ar"/>
              </w:rPr>
              <w:t>分；</w:t>
            </w:r>
          </w:p>
          <w:p w14:paraId="56F62DA8">
            <w:pPr>
              <w:spacing w:line="276" w:lineRule="auto"/>
              <w:ind w:firstLine="480" w:firstLineChars="200"/>
              <w:jc w:val="left"/>
              <w:rPr>
                <w:rFonts w:hint="eastAsia" w:ascii="仿宋" w:hAnsi="仿宋" w:cs="仿宋"/>
                <w:color w:val="auto"/>
                <w:kern w:val="0"/>
                <w:sz w:val="24"/>
                <w:highlight w:val="none"/>
                <w:lang w:bidi="ar"/>
              </w:rPr>
            </w:pPr>
            <w:r>
              <w:rPr>
                <w:rFonts w:hint="eastAsia" w:ascii="仿宋" w:hAnsi="仿宋" w:cs="仿宋"/>
                <w:color w:val="auto"/>
                <w:kern w:val="0"/>
                <w:sz w:val="24"/>
                <w:highlight w:val="none"/>
                <w:lang w:bidi="ar"/>
              </w:rPr>
              <w:t>运作机制差，工作流程不完整，得</w:t>
            </w:r>
            <w:r>
              <w:rPr>
                <w:rFonts w:hint="eastAsia" w:ascii="仿宋" w:hAnsi="仿宋" w:cs="仿宋"/>
                <w:color w:val="auto"/>
                <w:kern w:val="0"/>
                <w:sz w:val="24"/>
                <w:highlight w:val="none"/>
                <w:lang w:val="en-US" w:eastAsia="zh-CN" w:bidi="ar"/>
              </w:rPr>
              <w:t>3</w:t>
            </w:r>
            <w:r>
              <w:rPr>
                <w:rFonts w:hint="eastAsia" w:ascii="仿宋" w:hAnsi="仿宋" w:cs="仿宋"/>
                <w:color w:val="auto"/>
                <w:kern w:val="0"/>
                <w:sz w:val="24"/>
                <w:highlight w:val="none"/>
                <w:lang w:bidi="ar"/>
              </w:rPr>
              <w:t>分；</w:t>
            </w:r>
          </w:p>
          <w:p w14:paraId="2A06EDBA">
            <w:pPr>
              <w:spacing w:line="276" w:lineRule="auto"/>
              <w:ind w:firstLine="480" w:firstLineChars="200"/>
              <w:jc w:val="left"/>
              <w:rPr>
                <w:rFonts w:hint="eastAsia" w:ascii="宋体" w:hAnsi="宋体" w:eastAsia="宋体" w:cs="Times New Roman"/>
                <w:color w:val="auto"/>
                <w:sz w:val="24"/>
                <w:highlight w:val="none"/>
              </w:rPr>
            </w:pPr>
            <w:r>
              <w:rPr>
                <w:rFonts w:ascii="宋体" w:hAnsi="宋体" w:eastAsia="宋体" w:cs="宋体"/>
                <w:color w:val="auto"/>
                <w:sz w:val="24"/>
                <w:szCs w:val="24"/>
                <w:highlight w:val="none"/>
              </w:rPr>
              <w:t>未提供0分。</w:t>
            </w:r>
          </w:p>
        </w:tc>
      </w:tr>
      <w:tr w14:paraId="0DD9A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1426" w:type="dxa"/>
            <w:vMerge w:val="continue"/>
            <w:tcBorders>
              <w:left w:val="single" w:color="auto" w:sz="4" w:space="0"/>
              <w:right w:val="single" w:color="auto" w:sz="4" w:space="0"/>
            </w:tcBorders>
            <w:noWrap w:val="0"/>
            <w:vAlign w:val="center"/>
          </w:tcPr>
          <w:p w14:paraId="0F96878E">
            <w:pPr>
              <w:ind w:firstLine="0" w:firstLineChars="0"/>
              <w:jc w:val="center"/>
              <w:rPr>
                <w:rFonts w:hint="eastAsia" w:ascii="宋体" w:hAnsi="宋体" w:cs="宋体"/>
                <w:color w:val="auto"/>
                <w:sz w:val="24"/>
                <w:szCs w:val="24"/>
                <w:highlight w:val="none"/>
              </w:rPr>
            </w:pPr>
          </w:p>
        </w:tc>
        <w:tc>
          <w:tcPr>
            <w:tcW w:w="1833" w:type="dxa"/>
            <w:tcBorders>
              <w:top w:val="single" w:color="auto" w:sz="4" w:space="0"/>
              <w:left w:val="single" w:color="auto" w:sz="4" w:space="0"/>
              <w:bottom w:val="single" w:color="auto" w:sz="4" w:space="0"/>
              <w:right w:val="single" w:color="auto" w:sz="4" w:space="0"/>
            </w:tcBorders>
            <w:noWrap w:val="0"/>
            <w:vAlign w:val="center"/>
          </w:tcPr>
          <w:p w14:paraId="491D8CDA">
            <w:pPr>
              <w:ind w:firstLine="0" w:firstLineChars="0"/>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质量管控、 验收监测措施</w:t>
            </w:r>
          </w:p>
          <w:p w14:paraId="09427281">
            <w:pPr>
              <w:ind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w:t>
            </w:r>
            <w:r>
              <w:rPr>
                <w:rFonts w:hint="eastAsia" w:cs="宋体"/>
                <w:color w:val="auto"/>
                <w:sz w:val="24"/>
                <w:szCs w:val="24"/>
                <w:highlight w:val="none"/>
                <w:lang w:val="en-US" w:eastAsia="zh-CN"/>
              </w:rPr>
              <w:t>8</w:t>
            </w:r>
            <w:r>
              <w:rPr>
                <w:rFonts w:hint="eastAsia" w:ascii="宋体" w:hAnsi="宋体" w:cs="宋体"/>
                <w:color w:val="auto"/>
                <w:sz w:val="24"/>
                <w:szCs w:val="24"/>
                <w:highlight w:val="none"/>
              </w:rPr>
              <w:t>分）</w:t>
            </w:r>
          </w:p>
        </w:tc>
        <w:tc>
          <w:tcPr>
            <w:tcW w:w="6488" w:type="dxa"/>
            <w:tcBorders>
              <w:top w:val="single" w:color="auto" w:sz="4" w:space="0"/>
              <w:left w:val="single" w:color="auto" w:sz="4" w:space="0"/>
              <w:bottom w:val="single" w:color="auto" w:sz="4" w:space="0"/>
              <w:right w:val="single" w:color="auto" w:sz="4" w:space="0"/>
            </w:tcBorders>
            <w:noWrap w:val="0"/>
            <w:vAlign w:val="top"/>
          </w:tcPr>
          <w:p w14:paraId="44933412">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制定每日作业面积台账、智能平台数据溯源、乡镇/村联合抽检、不合格地块返工流程、面积复核机制：</w:t>
            </w:r>
          </w:p>
          <w:p w14:paraId="678D213D">
            <w:pPr>
              <w:spacing w:line="276" w:lineRule="auto"/>
              <w:ind w:left="479" w:leftChars="228" w:firstLine="0" w:firstLineChars="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全过程质量管控数字化监测，多重验收复核机制：</w:t>
            </w:r>
            <w:r>
              <w:rPr>
                <w:rFonts w:hint="eastAsia" w:ascii="宋体" w:hAnsi="宋体" w:eastAsia="宋体" w:cs="宋体"/>
                <w:color w:val="auto"/>
                <w:sz w:val="24"/>
                <w:szCs w:val="24"/>
                <w:highlight w:val="none"/>
                <w:lang w:val="en-US" w:eastAsia="zh-CN"/>
              </w:rPr>
              <w:t>8</w:t>
            </w:r>
            <w:r>
              <w:rPr>
                <w:rFonts w:ascii="宋体" w:hAnsi="宋体" w:eastAsia="宋体" w:cs="宋体"/>
                <w:color w:val="auto"/>
                <w:sz w:val="24"/>
                <w:szCs w:val="24"/>
                <w:highlight w:val="none"/>
              </w:rPr>
              <w:t>分；仅有简单质量描述、抽检流程：</w:t>
            </w:r>
            <w:r>
              <w:rPr>
                <w:rFonts w:hint="eastAsia" w:ascii="宋体" w:hAnsi="宋体" w:eastAsia="宋体" w:cs="宋体"/>
                <w:color w:val="auto"/>
                <w:sz w:val="24"/>
                <w:szCs w:val="24"/>
                <w:highlight w:val="none"/>
                <w:lang w:val="en-US" w:eastAsia="zh-CN"/>
              </w:rPr>
              <w:t>5</w:t>
            </w:r>
            <w:r>
              <w:rPr>
                <w:rFonts w:ascii="宋体" w:hAnsi="宋体" w:eastAsia="宋体" w:cs="宋体"/>
                <w:color w:val="auto"/>
                <w:sz w:val="24"/>
                <w:szCs w:val="24"/>
                <w:highlight w:val="none"/>
              </w:rPr>
              <w:t>分；</w:t>
            </w:r>
          </w:p>
          <w:p w14:paraId="690316D6">
            <w:pPr>
              <w:spacing w:line="276" w:lineRule="auto"/>
              <w:ind w:left="479" w:leftChars="228" w:firstLine="0" w:firstLineChars="0"/>
              <w:jc w:val="left"/>
              <w:rPr>
                <w:rFonts w:hint="default"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质量管控、 验收监测措施</w:t>
            </w:r>
            <w:r>
              <w:rPr>
                <w:rFonts w:hint="eastAsia" w:ascii="宋体" w:hAnsi="宋体" w:eastAsia="宋体" w:cs="宋体"/>
                <w:color w:val="auto"/>
                <w:sz w:val="24"/>
                <w:szCs w:val="24"/>
                <w:highlight w:val="none"/>
                <w:lang w:val="en-US" w:eastAsia="zh-CN"/>
              </w:rPr>
              <w:t>无针对性</w:t>
            </w:r>
            <w:r>
              <w:rPr>
                <w:rFonts w:hint="eastAsia" w:ascii="仿宋" w:hAnsi="仿宋" w:cs="仿宋"/>
                <w:color w:val="auto"/>
                <w:kern w:val="0"/>
                <w:sz w:val="24"/>
                <w:highlight w:val="none"/>
                <w:lang w:bidi="ar"/>
              </w:rPr>
              <w:t>得</w:t>
            </w:r>
            <w:r>
              <w:rPr>
                <w:rFonts w:hint="eastAsia" w:ascii="仿宋" w:hAnsi="仿宋" w:cs="仿宋"/>
                <w:color w:val="auto"/>
                <w:kern w:val="0"/>
                <w:sz w:val="24"/>
                <w:highlight w:val="none"/>
                <w:lang w:val="en-US" w:eastAsia="zh-CN" w:bidi="ar"/>
              </w:rPr>
              <w:t>3</w:t>
            </w:r>
            <w:r>
              <w:rPr>
                <w:rFonts w:hint="eastAsia" w:ascii="仿宋" w:hAnsi="仿宋" w:cs="仿宋"/>
                <w:color w:val="auto"/>
                <w:kern w:val="0"/>
                <w:sz w:val="24"/>
                <w:highlight w:val="none"/>
                <w:lang w:bidi="ar"/>
              </w:rPr>
              <w:t>分</w:t>
            </w:r>
          </w:p>
          <w:p w14:paraId="45427DC1">
            <w:pPr>
              <w:spacing w:line="276" w:lineRule="auto"/>
              <w:ind w:left="479" w:leftChars="228" w:firstLine="0" w:firstLineChars="0"/>
              <w:jc w:val="left"/>
              <w:rPr>
                <w:rFonts w:hint="eastAsia" w:ascii="宋体" w:hAnsi="宋体" w:eastAsia="宋体" w:cs="Times New Roman"/>
                <w:color w:val="auto"/>
                <w:sz w:val="24"/>
                <w:highlight w:val="none"/>
              </w:rPr>
            </w:pPr>
            <w:r>
              <w:rPr>
                <w:rFonts w:ascii="宋体" w:hAnsi="宋体" w:eastAsia="宋体" w:cs="宋体"/>
                <w:color w:val="auto"/>
                <w:sz w:val="24"/>
                <w:szCs w:val="24"/>
                <w:highlight w:val="none"/>
              </w:rPr>
              <w:t>无管理方案0分。</w:t>
            </w:r>
          </w:p>
        </w:tc>
      </w:tr>
      <w:tr w14:paraId="55C0E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1426" w:type="dxa"/>
            <w:vMerge w:val="continue"/>
            <w:tcBorders>
              <w:left w:val="single" w:color="auto" w:sz="4" w:space="0"/>
              <w:right w:val="single" w:color="auto" w:sz="4" w:space="0"/>
            </w:tcBorders>
            <w:noWrap w:val="0"/>
            <w:vAlign w:val="center"/>
          </w:tcPr>
          <w:p w14:paraId="70ED7D77">
            <w:pPr>
              <w:ind w:firstLine="0" w:firstLineChars="0"/>
              <w:jc w:val="center"/>
              <w:rPr>
                <w:rFonts w:hint="eastAsia" w:ascii="宋体" w:hAnsi="宋体" w:cs="宋体"/>
                <w:color w:val="auto"/>
                <w:sz w:val="24"/>
                <w:szCs w:val="24"/>
                <w:highlight w:val="none"/>
              </w:rPr>
            </w:pPr>
          </w:p>
        </w:tc>
        <w:tc>
          <w:tcPr>
            <w:tcW w:w="1833" w:type="dxa"/>
            <w:tcBorders>
              <w:top w:val="single" w:color="auto" w:sz="4" w:space="0"/>
              <w:left w:val="single" w:color="auto" w:sz="4" w:space="0"/>
              <w:bottom w:val="single" w:color="auto" w:sz="4" w:space="0"/>
              <w:right w:val="single" w:color="auto" w:sz="4" w:space="0"/>
            </w:tcBorders>
            <w:noWrap w:val="0"/>
            <w:vAlign w:val="center"/>
          </w:tcPr>
          <w:p w14:paraId="1BFA8833">
            <w:pPr>
              <w:ind w:firstLine="0" w:firstLineChars="0"/>
              <w:jc w:val="center"/>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val="en-US" w:eastAsia="zh-CN"/>
              </w:rPr>
              <w:t>应急方案</w:t>
            </w:r>
            <w:r>
              <w:rPr>
                <w:rFonts w:hint="eastAsia" w:ascii="宋体" w:hAnsi="宋体" w:cs="宋体"/>
                <w:color w:val="auto"/>
                <w:sz w:val="24"/>
                <w:szCs w:val="24"/>
                <w:highlight w:val="none"/>
              </w:rPr>
              <w:t>(</w:t>
            </w:r>
            <w:r>
              <w:rPr>
                <w:rFonts w:hint="eastAsia" w:cs="宋体"/>
                <w:color w:val="auto"/>
                <w:sz w:val="24"/>
                <w:szCs w:val="24"/>
                <w:highlight w:val="none"/>
                <w:lang w:val="en-US" w:eastAsia="zh-CN"/>
              </w:rPr>
              <w:t>8</w:t>
            </w:r>
            <w:r>
              <w:rPr>
                <w:rFonts w:hint="eastAsia" w:ascii="宋体" w:hAnsi="宋体" w:cs="宋体"/>
                <w:color w:val="auto"/>
                <w:sz w:val="24"/>
                <w:szCs w:val="24"/>
                <w:highlight w:val="none"/>
              </w:rPr>
              <w:t>分）</w:t>
            </w:r>
          </w:p>
        </w:tc>
        <w:tc>
          <w:tcPr>
            <w:tcW w:w="6488" w:type="dxa"/>
            <w:tcBorders>
              <w:top w:val="single" w:color="auto" w:sz="4" w:space="0"/>
              <w:left w:val="single" w:color="auto" w:sz="4" w:space="0"/>
              <w:bottom w:val="single" w:color="auto" w:sz="4" w:space="0"/>
              <w:right w:val="single" w:color="auto" w:sz="4" w:space="0"/>
            </w:tcBorders>
            <w:noWrap w:val="0"/>
            <w:vAlign w:val="top"/>
          </w:tcPr>
          <w:p w14:paraId="6F1AF98F">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结合极端天气降雨、农机大规模故障等情况，确保项目进度措施：包含农机维修备用配件库、就近维修人员驻场、备用农机调度机制、极端天气降雨/农机大规模故障处置措施等： </w:t>
            </w:r>
          </w:p>
          <w:p w14:paraId="60E1B355">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制定详细的应急预案，应急和保障机制健全，能够预见并有效应对各种突发事件，有明确的应急组织机构，能落实到具体负责人的：8分 </w:t>
            </w:r>
          </w:p>
          <w:p w14:paraId="3B8CC9B7">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制定了应急和保障机制，基本能预见并有效应对突发事件无具体备用农机和具体联系人：5分；</w:t>
            </w:r>
          </w:p>
          <w:p w14:paraId="4A4A74CF">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仅提供简单预案（不具体）：</w:t>
            </w:r>
            <w:r>
              <w:rPr>
                <w:rFonts w:hint="eastAsia" w:ascii="宋体" w:hAnsi="宋体" w:eastAsia="宋体" w:cs="宋体"/>
                <w:color w:val="auto"/>
                <w:sz w:val="24"/>
                <w:szCs w:val="24"/>
                <w:highlight w:val="none"/>
                <w:lang w:val="en-US" w:eastAsia="zh-CN"/>
              </w:rPr>
              <w:t>3</w:t>
            </w:r>
            <w:r>
              <w:rPr>
                <w:rFonts w:ascii="宋体" w:hAnsi="宋体" w:eastAsia="宋体" w:cs="宋体"/>
                <w:color w:val="auto"/>
                <w:sz w:val="24"/>
                <w:szCs w:val="24"/>
                <w:highlight w:val="none"/>
              </w:rPr>
              <w:t>分；</w:t>
            </w:r>
          </w:p>
          <w:p w14:paraId="5A7B6217">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无应急方案0分。</w:t>
            </w:r>
          </w:p>
        </w:tc>
      </w:tr>
      <w:tr w14:paraId="209AB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1426" w:type="dxa"/>
            <w:vMerge w:val="continue"/>
            <w:tcBorders>
              <w:left w:val="single" w:color="auto" w:sz="4" w:space="0"/>
              <w:right w:val="single" w:color="auto" w:sz="4" w:space="0"/>
            </w:tcBorders>
            <w:noWrap w:val="0"/>
            <w:vAlign w:val="center"/>
          </w:tcPr>
          <w:p w14:paraId="369D252F">
            <w:pPr>
              <w:ind w:firstLine="0" w:firstLineChars="0"/>
              <w:jc w:val="center"/>
              <w:rPr>
                <w:rFonts w:hint="eastAsia" w:ascii="宋体" w:hAnsi="宋体" w:cs="宋体"/>
                <w:color w:val="auto"/>
                <w:sz w:val="24"/>
                <w:szCs w:val="24"/>
                <w:highlight w:val="none"/>
              </w:rPr>
            </w:pPr>
          </w:p>
        </w:tc>
        <w:tc>
          <w:tcPr>
            <w:tcW w:w="1833" w:type="dxa"/>
            <w:tcBorders>
              <w:top w:val="single" w:color="auto" w:sz="4" w:space="0"/>
              <w:left w:val="single" w:color="auto" w:sz="4" w:space="0"/>
              <w:bottom w:val="single" w:color="auto" w:sz="4" w:space="0"/>
              <w:right w:val="single" w:color="auto" w:sz="4" w:space="0"/>
            </w:tcBorders>
            <w:noWrap w:val="0"/>
            <w:vAlign w:val="center"/>
          </w:tcPr>
          <w:p w14:paraId="72E998F8">
            <w:pPr>
              <w:widowControl/>
              <w:numPr>
                <w:ilvl w:val="0"/>
                <w:numId w:val="0"/>
              </w:numPr>
              <w:tabs>
                <w:tab w:val="left" w:pos="420"/>
              </w:tabs>
              <w:snapToGrid w:val="0"/>
              <w:spacing w:line="440" w:lineRule="exact"/>
              <w:ind w:left="0" w:leftChars="0" w:firstLine="0" w:firstLineChars="0"/>
              <w:jc w:val="center"/>
              <w:rPr>
                <w:rFonts w:hint="eastAsia" w:ascii="仿宋" w:hAnsi="仿宋" w:cs="仿宋"/>
                <w:color w:val="auto"/>
                <w:kern w:val="0"/>
                <w:sz w:val="24"/>
                <w:highlight w:val="none"/>
                <w:lang w:bidi="ar"/>
              </w:rPr>
            </w:pPr>
            <w:r>
              <w:rPr>
                <w:rFonts w:hint="eastAsia" w:ascii="仿宋" w:hAnsi="仿宋" w:cs="仿宋"/>
                <w:color w:val="auto"/>
                <w:kern w:val="0"/>
                <w:sz w:val="24"/>
                <w:highlight w:val="none"/>
                <w:lang w:bidi="ar"/>
              </w:rPr>
              <w:t xml:space="preserve">作业进度计划与措施 </w:t>
            </w:r>
          </w:p>
          <w:p w14:paraId="39F5934D">
            <w:pPr>
              <w:widowControl/>
              <w:numPr>
                <w:ilvl w:val="0"/>
                <w:numId w:val="0"/>
              </w:numPr>
              <w:tabs>
                <w:tab w:val="left" w:pos="420"/>
              </w:tabs>
              <w:snapToGrid w:val="0"/>
              <w:spacing w:line="440" w:lineRule="exact"/>
              <w:ind w:left="0" w:leftChars="0" w:firstLine="0" w:firstLineChars="0"/>
              <w:jc w:val="center"/>
              <w:rPr>
                <w:rFonts w:ascii="宋体" w:hAnsi="宋体" w:eastAsia="宋体" w:cs="宋体"/>
                <w:color w:val="auto"/>
                <w:sz w:val="24"/>
                <w:szCs w:val="24"/>
                <w:highlight w:val="none"/>
              </w:rPr>
            </w:pPr>
            <w:r>
              <w:rPr>
                <w:rFonts w:hint="eastAsia" w:ascii="仿宋" w:hAnsi="仿宋" w:cs="仿宋"/>
                <w:color w:val="auto"/>
                <w:kern w:val="0"/>
                <w:sz w:val="24"/>
                <w:highlight w:val="none"/>
                <w:lang w:bidi="ar"/>
              </w:rPr>
              <w:t>(</w:t>
            </w:r>
            <w:r>
              <w:rPr>
                <w:rFonts w:hint="eastAsia" w:ascii="仿宋" w:hAnsi="仿宋" w:cs="仿宋"/>
                <w:color w:val="auto"/>
                <w:kern w:val="0"/>
                <w:sz w:val="24"/>
                <w:highlight w:val="none"/>
                <w:lang w:val="en-US" w:eastAsia="zh-CN" w:bidi="ar"/>
              </w:rPr>
              <w:t>5</w:t>
            </w:r>
            <w:r>
              <w:rPr>
                <w:rFonts w:hint="eastAsia" w:ascii="仿宋" w:hAnsi="仿宋" w:cs="仿宋"/>
                <w:color w:val="auto"/>
                <w:kern w:val="0"/>
                <w:sz w:val="24"/>
                <w:highlight w:val="none"/>
                <w:lang w:bidi="ar"/>
              </w:rPr>
              <w:t>分）</w:t>
            </w:r>
          </w:p>
        </w:tc>
        <w:tc>
          <w:tcPr>
            <w:tcW w:w="6488" w:type="dxa"/>
            <w:tcBorders>
              <w:top w:val="single" w:color="auto" w:sz="4" w:space="0"/>
              <w:left w:val="single" w:color="auto" w:sz="4" w:space="0"/>
              <w:bottom w:val="single" w:color="auto" w:sz="4" w:space="0"/>
              <w:right w:val="single" w:color="auto" w:sz="4" w:space="0"/>
            </w:tcBorders>
            <w:noWrap w:val="0"/>
            <w:vAlign w:val="center"/>
          </w:tcPr>
          <w:p w14:paraId="12F48B79">
            <w:pPr>
              <w:widowControl/>
              <w:numPr>
                <w:ilvl w:val="0"/>
                <w:numId w:val="0"/>
              </w:numPr>
              <w:tabs>
                <w:tab w:val="left" w:pos="420"/>
              </w:tabs>
              <w:snapToGrid w:val="0"/>
              <w:spacing w:line="440" w:lineRule="exact"/>
              <w:ind w:left="0" w:leftChars="0" w:firstLine="0" w:firstLineChars="0"/>
              <w:jc w:val="left"/>
              <w:rPr>
                <w:rFonts w:hint="eastAsia" w:ascii="仿宋" w:hAnsi="仿宋" w:cs="仿宋"/>
                <w:color w:val="auto"/>
                <w:kern w:val="0"/>
                <w:sz w:val="24"/>
                <w:highlight w:val="none"/>
                <w:lang w:bidi="ar"/>
              </w:rPr>
            </w:pPr>
            <w:r>
              <w:rPr>
                <w:rFonts w:hint="eastAsia" w:ascii="仿宋" w:hAnsi="仿宋" w:cs="仿宋"/>
                <w:color w:val="auto"/>
                <w:kern w:val="0"/>
                <w:sz w:val="24"/>
                <w:highlight w:val="none"/>
                <w:lang w:bidi="ar"/>
              </w:rPr>
              <w:t>作业进度计划与措施内容全面、科学、合理的得</w:t>
            </w:r>
            <w:r>
              <w:rPr>
                <w:rFonts w:hint="eastAsia" w:ascii="仿宋" w:hAnsi="仿宋" w:cs="仿宋"/>
                <w:color w:val="auto"/>
                <w:kern w:val="0"/>
                <w:sz w:val="24"/>
                <w:highlight w:val="none"/>
                <w:lang w:val="en-US" w:eastAsia="zh-CN" w:bidi="ar"/>
              </w:rPr>
              <w:t>5</w:t>
            </w:r>
            <w:r>
              <w:rPr>
                <w:rFonts w:hint="eastAsia" w:ascii="仿宋" w:hAnsi="仿宋" w:cs="仿宋"/>
                <w:color w:val="auto"/>
                <w:kern w:val="0"/>
                <w:sz w:val="24"/>
                <w:highlight w:val="none"/>
                <w:lang w:bidi="ar"/>
              </w:rPr>
              <w:t>分；</w:t>
            </w:r>
          </w:p>
          <w:p w14:paraId="37EA914E">
            <w:pPr>
              <w:widowControl/>
              <w:numPr>
                <w:ilvl w:val="0"/>
                <w:numId w:val="0"/>
              </w:numPr>
              <w:tabs>
                <w:tab w:val="left" w:pos="420"/>
              </w:tabs>
              <w:snapToGrid w:val="0"/>
              <w:spacing w:line="440" w:lineRule="exact"/>
              <w:ind w:left="0" w:leftChars="0" w:firstLine="0" w:firstLineChars="0"/>
              <w:jc w:val="left"/>
              <w:rPr>
                <w:rFonts w:hint="eastAsia" w:ascii="仿宋" w:hAnsi="仿宋" w:cs="仿宋"/>
                <w:color w:val="auto"/>
                <w:kern w:val="0"/>
                <w:sz w:val="24"/>
                <w:highlight w:val="none"/>
                <w:lang w:bidi="ar"/>
              </w:rPr>
            </w:pPr>
            <w:r>
              <w:rPr>
                <w:rFonts w:hint="eastAsia" w:ascii="仿宋" w:hAnsi="仿宋" w:cs="仿宋"/>
                <w:color w:val="auto"/>
                <w:kern w:val="0"/>
                <w:sz w:val="24"/>
                <w:highlight w:val="none"/>
                <w:lang w:bidi="ar"/>
              </w:rPr>
              <w:t>措施内容比较全面、合理的得</w:t>
            </w:r>
            <w:r>
              <w:rPr>
                <w:rFonts w:hint="eastAsia" w:ascii="仿宋" w:hAnsi="仿宋" w:cs="仿宋"/>
                <w:color w:val="auto"/>
                <w:kern w:val="0"/>
                <w:sz w:val="24"/>
                <w:highlight w:val="none"/>
                <w:lang w:val="en-US" w:eastAsia="zh-CN" w:bidi="ar"/>
              </w:rPr>
              <w:t>3</w:t>
            </w:r>
            <w:r>
              <w:rPr>
                <w:rFonts w:hint="eastAsia" w:ascii="仿宋" w:hAnsi="仿宋" w:cs="仿宋"/>
                <w:color w:val="auto"/>
                <w:kern w:val="0"/>
                <w:sz w:val="24"/>
                <w:highlight w:val="none"/>
                <w:lang w:bidi="ar"/>
              </w:rPr>
              <w:t>分；</w:t>
            </w:r>
          </w:p>
          <w:p w14:paraId="40A2C1C4">
            <w:pPr>
              <w:widowControl/>
              <w:numPr>
                <w:ilvl w:val="0"/>
                <w:numId w:val="0"/>
              </w:numPr>
              <w:tabs>
                <w:tab w:val="left" w:pos="420"/>
              </w:tabs>
              <w:snapToGrid w:val="0"/>
              <w:spacing w:line="440" w:lineRule="exact"/>
              <w:ind w:left="0" w:leftChars="0" w:firstLine="0" w:firstLineChars="0"/>
              <w:jc w:val="left"/>
              <w:rPr>
                <w:rFonts w:hint="eastAsia" w:ascii="仿宋" w:hAnsi="仿宋" w:cs="仿宋"/>
                <w:color w:val="auto"/>
                <w:kern w:val="0"/>
                <w:sz w:val="24"/>
                <w:highlight w:val="none"/>
                <w:lang w:bidi="ar"/>
              </w:rPr>
            </w:pPr>
            <w:r>
              <w:rPr>
                <w:rFonts w:hint="eastAsia" w:ascii="仿宋" w:hAnsi="仿宋" w:cs="仿宋"/>
                <w:color w:val="auto"/>
                <w:kern w:val="0"/>
                <w:sz w:val="24"/>
                <w:highlight w:val="none"/>
                <w:lang w:bidi="ar"/>
              </w:rPr>
              <w:t>措施内容不全面、合理性差的得1分,</w:t>
            </w:r>
          </w:p>
          <w:p w14:paraId="1E32E0C1">
            <w:pPr>
              <w:widowControl/>
              <w:numPr>
                <w:ilvl w:val="0"/>
                <w:numId w:val="0"/>
              </w:numPr>
              <w:tabs>
                <w:tab w:val="left" w:pos="420"/>
              </w:tabs>
              <w:snapToGrid w:val="0"/>
              <w:spacing w:line="440" w:lineRule="exact"/>
              <w:ind w:left="0" w:leftChars="0" w:firstLine="0" w:firstLineChars="0"/>
              <w:jc w:val="left"/>
              <w:rPr>
                <w:rFonts w:ascii="宋体" w:hAnsi="宋体" w:eastAsia="宋体" w:cs="宋体"/>
                <w:color w:val="auto"/>
                <w:sz w:val="24"/>
                <w:szCs w:val="24"/>
                <w:highlight w:val="none"/>
              </w:rPr>
            </w:pPr>
            <w:r>
              <w:rPr>
                <w:rFonts w:hint="eastAsia" w:ascii="仿宋" w:hAnsi="仿宋" w:cs="仿宋"/>
                <w:color w:val="auto"/>
                <w:kern w:val="0"/>
                <w:sz w:val="24"/>
                <w:highlight w:val="none"/>
                <w:lang w:bidi="ar"/>
              </w:rPr>
              <w:t>缺项得 0 分。</w:t>
            </w:r>
          </w:p>
        </w:tc>
      </w:tr>
      <w:tr w14:paraId="41F7C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5" w:hRule="atLeast"/>
          <w:jc w:val="center"/>
        </w:trPr>
        <w:tc>
          <w:tcPr>
            <w:tcW w:w="1426" w:type="dxa"/>
            <w:vMerge w:val="continue"/>
            <w:tcBorders>
              <w:left w:val="single" w:color="auto" w:sz="4" w:space="0"/>
              <w:right w:val="single" w:color="auto" w:sz="4" w:space="0"/>
            </w:tcBorders>
            <w:noWrap w:val="0"/>
            <w:vAlign w:val="center"/>
          </w:tcPr>
          <w:p w14:paraId="7C8902F5">
            <w:pPr>
              <w:ind w:firstLine="0" w:firstLineChars="0"/>
              <w:jc w:val="center"/>
              <w:rPr>
                <w:rFonts w:hint="eastAsia" w:ascii="宋体" w:hAnsi="宋体" w:cs="宋体"/>
                <w:color w:val="auto"/>
                <w:sz w:val="24"/>
                <w:szCs w:val="24"/>
                <w:highlight w:val="none"/>
              </w:rPr>
            </w:pPr>
          </w:p>
        </w:tc>
        <w:tc>
          <w:tcPr>
            <w:tcW w:w="1833" w:type="dxa"/>
            <w:tcBorders>
              <w:top w:val="single" w:color="auto" w:sz="4" w:space="0"/>
              <w:left w:val="single" w:color="auto" w:sz="4" w:space="0"/>
              <w:bottom w:val="single" w:color="auto" w:sz="4" w:space="0"/>
              <w:right w:val="single" w:color="auto" w:sz="4" w:space="0"/>
            </w:tcBorders>
            <w:noWrap w:val="0"/>
            <w:vAlign w:val="center"/>
          </w:tcPr>
          <w:p w14:paraId="7924A7F8">
            <w:pPr>
              <w:widowControl/>
              <w:numPr>
                <w:ilvl w:val="0"/>
                <w:numId w:val="0"/>
              </w:numPr>
              <w:tabs>
                <w:tab w:val="left" w:pos="420"/>
              </w:tabs>
              <w:snapToGrid w:val="0"/>
              <w:spacing w:line="440" w:lineRule="exact"/>
              <w:ind w:left="0" w:leftChars="0" w:firstLine="0" w:firstLineChars="0"/>
              <w:jc w:val="center"/>
              <w:rPr>
                <w:rFonts w:ascii="宋体" w:hAnsi="宋体" w:eastAsia="宋体" w:cs="宋体"/>
                <w:color w:val="auto"/>
                <w:sz w:val="24"/>
                <w:szCs w:val="24"/>
                <w:highlight w:val="none"/>
              </w:rPr>
            </w:pPr>
            <w:r>
              <w:rPr>
                <w:rFonts w:hint="eastAsia" w:ascii="仿宋" w:hAnsi="仿宋" w:cs="仿宋"/>
                <w:color w:val="auto"/>
                <w:kern w:val="0"/>
                <w:sz w:val="24"/>
                <w:highlight w:val="none"/>
                <w:lang w:bidi="ar"/>
              </w:rPr>
              <w:t>主要机械与设备 (</w:t>
            </w:r>
            <w:r>
              <w:rPr>
                <w:rFonts w:hint="eastAsia" w:ascii="仿宋" w:hAnsi="仿宋" w:cs="仿宋"/>
                <w:color w:val="auto"/>
                <w:kern w:val="0"/>
                <w:sz w:val="24"/>
                <w:highlight w:val="none"/>
                <w:lang w:val="en-US" w:eastAsia="zh-CN" w:bidi="ar"/>
              </w:rPr>
              <w:t>5</w:t>
            </w:r>
            <w:r>
              <w:rPr>
                <w:rFonts w:hint="eastAsia" w:ascii="仿宋" w:hAnsi="仿宋" w:cs="仿宋"/>
                <w:color w:val="auto"/>
                <w:kern w:val="0"/>
                <w:sz w:val="24"/>
                <w:highlight w:val="none"/>
                <w:lang w:bidi="ar"/>
              </w:rPr>
              <w:t>分）</w:t>
            </w:r>
          </w:p>
        </w:tc>
        <w:tc>
          <w:tcPr>
            <w:tcW w:w="6488" w:type="dxa"/>
            <w:tcBorders>
              <w:top w:val="single" w:color="auto" w:sz="4" w:space="0"/>
              <w:left w:val="single" w:color="auto" w:sz="4" w:space="0"/>
              <w:bottom w:val="single" w:color="auto" w:sz="4" w:space="0"/>
              <w:right w:val="single" w:color="auto" w:sz="4" w:space="0"/>
            </w:tcBorders>
            <w:noWrap w:val="0"/>
            <w:vAlign w:val="center"/>
          </w:tcPr>
          <w:p w14:paraId="2F7B48CD">
            <w:pPr>
              <w:widowControl/>
              <w:numPr>
                <w:ilvl w:val="0"/>
                <w:numId w:val="0"/>
              </w:numPr>
              <w:tabs>
                <w:tab w:val="left" w:pos="420"/>
              </w:tabs>
              <w:snapToGrid w:val="0"/>
              <w:spacing w:line="440" w:lineRule="exact"/>
              <w:ind w:left="0" w:leftChars="0" w:firstLine="0" w:firstLineChars="0"/>
              <w:jc w:val="left"/>
              <w:rPr>
                <w:rFonts w:hint="eastAsia" w:ascii="仿宋" w:hAnsi="仿宋" w:cs="仿宋"/>
                <w:color w:val="auto"/>
                <w:kern w:val="0"/>
                <w:sz w:val="24"/>
                <w:highlight w:val="none"/>
                <w:lang w:bidi="ar"/>
              </w:rPr>
            </w:pPr>
            <w:r>
              <w:rPr>
                <w:rFonts w:hint="eastAsia" w:ascii="仿宋" w:hAnsi="仿宋" w:cs="仿宋"/>
                <w:color w:val="auto"/>
                <w:kern w:val="0"/>
                <w:sz w:val="24"/>
                <w:highlight w:val="none"/>
                <w:lang w:bidi="ar"/>
              </w:rPr>
              <w:t>主要机械与设备安排合理的得</w:t>
            </w:r>
            <w:r>
              <w:rPr>
                <w:rFonts w:hint="eastAsia" w:ascii="仿宋" w:hAnsi="仿宋" w:cs="仿宋"/>
                <w:color w:val="auto"/>
                <w:kern w:val="0"/>
                <w:sz w:val="24"/>
                <w:highlight w:val="none"/>
                <w:lang w:val="en-US" w:eastAsia="zh-CN" w:bidi="ar"/>
              </w:rPr>
              <w:t>5</w:t>
            </w:r>
            <w:r>
              <w:rPr>
                <w:rFonts w:hint="eastAsia" w:ascii="仿宋" w:hAnsi="仿宋" w:cs="仿宋"/>
                <w:color w:val="auto"/>
                <w:kern w:val="0"/>
                <w:sz w:val="24"/>
                <w:highlight w:val="none"/>
                <w:lang w:bidi="ar"/>
              </w:rPr>
              <w:t>分；</w:t>
            </w:r>
          </w:p>
          <w:p w14:paraId="490D76A3">
            <w:pPr>
              <w:widowControl/>
              <w:numPr>
                <w:ilvl w:val="0"/>
                <w:numId w:val="0"/>
              </w:numPr>
              <w:tabs>
                <w:tab w:val="left" w:pos="420"/>
              </w:tabs>
              <w:snapToGrid w:val="0"/>
              <w:spacing w:line="440" w:lineRule="exact"/>
              <w:ind w:left="0" w:leftChars="0" w:firstLine="0" w:firstLineChars="0"/>
              <w:jc w:val="left"/>
              <w:rPr>
                <w:rFonts w:hint="eastAsia" w:ascii="仿宋" w:hAnsi="仿宋" w:cs="仿宋"/>
                <w:color w:val="auto"/>
                <w:kern w:val="0"/>
                <w:sz w:val="24"/>
                <w:highlight w:val="none"/>
                <w:lang w:bidi="ar"/>
              </w:rPr>
            </w:pPr>
            <w:r>
              <w:rPr>
                <w:rFonts w:hint="eastAsia" w:ascii="仿宋" w:hAnsi="仿宋" w:cs="仿宋"/>
                <w:color w:val="auto"/>
                <w:kern w:val="0"/>
                <w:sz w:val="24"/>
                <w:highlight w:val="none"/>
                <w:lang w:bidi="ar"/>
              </w:rPr>
              <w:t>设备安排比较合理的得</w:t>
            </w:r>
            <w:r>
              <w:rPr>
                <w:rFonts w:hint="eastAsia" w:ascii="仿宋" w:hAnsi="仿宋" w:cs="仿宋"/>
                <w:color w:val="auto"/>
                <w:kern w:val="0"/>
                <w:sz w:val="24"/>
                <w:highlight w:val="none"/>
                <w:lang w:val="en-US" w:eastAsia="zh-CN" w:bidi="ar"/>
              </w:rPr>
              <w:t>3</w:t>
            </w:r>
            <w:r>
              <w:rPr>
                <w:rFonts w:hint="eastAsia" w:ascii="仿宋" w:hAnsi="仿宋" w:cs="仿宋"/>
                <w:color w:val="auto"/>
                <w:kern w:val="0"/>
                <w:sz w:val="24"/>
                <w:highlight w:val="none"/>
                <w:lang w:bidi="ar"/>
              </w:rPr>
              <w:t>分；</w:t>
            </w:r>
          </w:p>
          <w:p w14:paraId="1434B4A8">
            <w:pPr>
              <w:widowControl/>
              <w:numPr>
                <w:ilvl w:val="0"/>
                <w:numId w:val="0"/>
              </w:numPr>
              <w:tabs>
                <w:tab w:val="left" w:pos="420"/>
              </w:tabs>
              <w:snapToGrid w:val="0"/>
              <w:spacing w:line="440" w:lineRule="exact"/>
              <w:ind w:left="0" w:leftChars="0" w:firstLine="0" w:firstLineChars="0"/>
              <w:jc w:val="left"/>
              <w:rPr>
                <w:rFonts w:hint="eastAsia" w:ascii="仿宋" w:hAnsi="仿宋" w:cs="仿宋"/>
                <w:color w:val="auto"/>
                <w:kern w:val="0"/>
                <w:sz w:val="24"/>
                <w:highlight w:val="none"/>
                <w:lang w:bidi="ar"/>
              </w:rPr>
            </w:pPr>
            <w:r>
              <w:rPr>
                <w:rFonts w:hint="eastAsia" w:ascii="仿宋" w:hAnsi="仿宋" w:cs="仿宋"/>
                <w:color w:val="auto"/>
                <w:kern w:val="0"/>
                <w:sz w:val="24"/>
                <w:highlight w:val="none"/>
                <w:lang w:bidi="ar"/>
              </w:rPr>
              <w:t>设备安排不合理的得</w:t>
            </w:r>
            <w:r>
              <w:rPr>
                <w:rFonts w:hint="eastAsia" w:ascii="仿宋" w:hAnsi="仿宋" w:cs="仿宋"/>
                <w:color w:val="auto"/>
                <w:kern w:val="0"/>
                <w:sz w:val="24"/>
                <w:highlight w:val="none"/>
                <w:lang w:val="en-US" w:eastAsia="zh-CN" w:bidi="ar"/>
              </w:rPr>
              <w:t>1</w:t>
            </w:r>
            <w:r>
              <w:rPr>
                <w:rFonts w:hint="eastAsia" w:ascii="仿宋" w:hAnsi="仿宋" w:cs="仿宋"/>
                <w:color w:val="auto"/>
                <w:kern w:val="0"/>
                <w:sz w:val="24"/>
                <w:highlight w:val="none"/>
                <w:lang w:bidi="ar"/>
              </w:rPr>
              <w:t>分；</w:t>
            </w:r>
          </w:p>
          <w:p w14:paraId="183127F1">
            <w:pPr>
              <w:widowControl/>
              <w:numPr>
                <w:ilvl w:val="0"/>
                <w:numId w:val="0"/>
              </w:numPr>
              <w:tabs>
                <w:tab w:val="left" w:pos="420"/>
              </w:tabs>
              <w:snapToGrid w:val="0"/>
              <w:spacing w:line="440" w:lineRule="exact"/>
              <w:ind w:left="0" w:leftChars="0" w:firstLine="0" w:firstLineChars="0"/>
              <w:jc w:val="left"/>
              <w:rPr>
                <w:rFonts w:ascii="宋体" w:hAnsi="宋体" w:eastAsia="宋体" w:cs="宋体"/>
                <w:color w:val="auto"/>
                <w:sz w:val="24"/>
                <w:szCs w:val="24"/>
                <w:highlight w:val="none"/>
              </w:rPr>
            </w:pPr>
            <w:r>
              <w:rPr>
                <w:rFonts w:hint="eastAsia" w:ascii="仿宋" w:hAnsi="仿宋" w:cs="仿宋"/>
                <w:color w:val="auto"/>
                <w:kern w:val="0"/>
                <w:sz w:val="24"/>
                <w:highlight w:val="none"/>
                <w:lang w:bidi="ar"/>
              </w:rPr>
              <w:t>缺项得 0 分。</w:t>
            </w:r>
          </w:p>
        </w:tc>
      </w:tr>
      <w:tr w14:paraId="0955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1426" w:type="dxa"/>
            <w:vMerge w:val="continue"/>
            <w:tcBorders>
              <w:left w:val="single" w:color="auto" w:sz="4" w:space="0"/>
              <w:right w:val="single" w:color="auto" w:sz="4" w:space="0"/>
            </w:tcBorders>
            <w:noWrap w:val="0"/>
            <w:vAlign w:val="center"/>
          </w:tcPr>
          <w:p w14:paraId="11644AD8">
            <w:pPr>
              <w:ind w:firstLine="0" w:firstLineChars="0"/>
              <w:jc w:val="center"/>
              <w:rPr>
                <w:rFonts w:hint="eastAsia" w:ascii="宋体" w:hAnsi="宋体" w:cs="宋体"/>
                <w:color w:val="auto"/>
                <w:sz w:val="24"/>
                <w:szCs w:val="24"/>
                <w:highlight w:val="none"/>
              </w:rPr>
            </w:pPr>
          </w:p>
        </w:tc>
        <w:tc>
          <w:tcPr>
            <w:tcW w:w="1833" w:type="dxa"/>
            <w:tcBorders>
              <w:top w:val="single" w:color="auto" w:sz="4" w:space="0"/>
              <w:left w:val="single" w:color="auto" w:sz="4" w:space="0"/>
              <w:bottom w:val="single" w:color="auto" w:sz="4" w:space="0"/>
              <w:right w:val="single" w:color="auto" w:sz="4" w:space="0"/>
            </w:tcBorders>
            <w:noWrap w:val="0"/>
            <w:vAlign w:val="center"/>
          </w:tcPr>
          <w:p w14:paraId="07DB4B85">
            <w:pPr>
              <w:ind w:firstLine="0" w:firstLineChars="0"/>
              <w:jc w:val="center"/>
              <w:rPr>
                <w:rFonts w:ascii="宋体" w:hAnsi="宋体" w:eastAsia="宋体" w:cs="宋体"/>
                <w:color w:val="auto"/>
                <w:kern w:val="2"/>
                <w:sz w:val="24"/>
                <w:szCs w:val="24"/>
                <w:highlight w:val="none"/>
                <w:lang w:val="en-US" w:eastAsia="zh-CN" w:bidi="ar-SA"/>
              </w:rPr>
            </w:pPr>
            <w:r>
              <w:rPr>
                <w:rFonts w:ascii="宋体" w:hAnsi="宋体" w:eastAsia="宋体" w:cs="宋体"/>
                <w:color w:val="auto"/>
                <w:sz w:val="24"/>
                <w:szCs w:val="24"/>
                <w:highlight w:val="none"/>
              </w:rPr>
              <w:t>重点、难点解决方案</w:t>
            </w:r>
            <w:r>
              <w:rPr>
                <w:rFonts w:hint="eastAsia" w:ascii="宋体" w:hAnsi="宋体" w:cs="宋体"/>
                <w:color w:val="auto"/>
                <w:sz w:val="24"/>
                <w:szCs w:val="24"/>
                <w:highlight w:val="none"/>
              </w:rPr>
              <w:t>(</w:t>
            </w:r>
            <w:r>
              <w:rPr>
                <w:rFonts w:hint="eastAsia" w:cs="宋体"/>
                <w:color w:val="auto"/>
                <w:sz w:val="24"/>
                <w:szCs w:val="24"/>
                <w:highlight w:val="none"/>
                <w:lang w:val="en-US" w:eastAsia="zh-CN"/>
              </w:rPr>
              <w:t>8</w:t>
            </w:r>
            <w:r>
              <w:rPr>
                <w:rFonts w:hint="eastAsia" w:ascii="宋体" w:hAnsi="宋体" w:cs="宋体"/>
                <w:color w:val="auto"/>
                <w:sz w:val="24"/>
                <w:szCs w:val="24"/>
                <w:highlight w:val="none"/>
              </w:rPr>
              <w:t>分）</w:t>
            </w:r>
          </w:p>
        </w:tc>
        <w:tc>
          <w:tcPr>
            <w:tcW w:w="6488" w:type="dxa"/>
            <w:tcBorders>
              <w:top w:val="single" w:color="auto" w:sz="4" w:space="0"/>
              <w:left w:val="single" w:color="auto" w:sz="4" w:space="0"/>
              <w:bottom w:val="single" w:color="auto" w:sz="4" w:space="0"/>
              <w:right w:val="single" w:color="auto" w:sz="4" w:space="0"/>
            </w:tcBorders>
            <w:noWrap w:val="0"/>
            <w:vAlign w:val="top"/>
          </w:tcPr>
          <w:p w14:paraId="4B4CE302">
            <w:pPr>
              <w:spacing w:line="276" w:lineRule="auto"/>
              <w:ind w:firstLine="480" w:firstLineChars="200"/>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结合本项目特点，分析重点难点以及解决方案</w:t>
            </w:r>
          </w:p>
          <w:p w14:paraId="6A5A4B89">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对项目重难点问题进行分析全面，解决方案合理可行，得 </w:t>
            </w:r>
            <w:r>
              <w:rPr>
                <w:rFonts w:hint="eastAsia" w:ascii="宋体" w:hAnsi="宋体" w:cs="宋体"/>
                <w:color w:val="auto"/>
                <w:sz w:val="24"/>
                <w:szCs w:val="24"/>
                <w:highlight w:val="none"/>
                <w:lang w:val="en-US" w:eastAsia="zh-CN"/>
              </w:rPr>
              <w:t>8</w:t>
            </w:r>
            <w:r>
              <w:rPr>
                <w:rFonts w:ascii="宋体" w:hAnsi="宋体" w:eastAsia="宋体" w:cs="宋体"/>
                <w:color w:val="auto"/>
                <w:sz w:val="24"/>
                <w:szCs w:val="24"/>
                <w:highlight w:val="none"/>
              </w:rPr>
              <w:t xml:space="preserve">分； </w:t>
            </w:r>
          </w:p>
          <w:p w14:paraId="2B016FFC">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对项目重难点问题进行分析比较全面，解决方案比较合理可行，得 </w:t>
            </w:r>
            <w:r>
              <w:rPr>
                <w:rFonts w:hint="eastAsia" w:ascii="宋体" w:hAnsi="宋体" w:cs="宋体"/>
                <w:color w:val="auto"/>
                <w:sz w:val="24"/>
                <w:szCs w:val="24"/>
                <w:highlight w:val="none"/>
                <w:lang w:val="en-US" w:eastAsia="zh-CN"/>
              </w:rPr>
              <w:t>5</w:t>
            </w:r>
            <w:r>
              <w:rPr>
                <w:rFonts w:ascii="宋体" w:hAnsi="宋体" w:eastAsia="宋体" w:cs="宋体"/>
                <w:color w:val="auto"/>
                <w:sz w:val="24"/>
                <w:szCs w:val="24"/>
                <w:highlight w:val="none"/>
              </w:rPr>
              <w:t xml:space="preserve"> 分；</w:t>
            </w:r>
            <w:bookmarkStart w:id="534" w:name="_GoBack"/>
            <w:bookmarkEnd w:id="534"/>
          </w:p>
          <w:p w14:paraId="154F1ED5">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对项目重难点问题进行分析基本全面，解决方案基本合理可行，得</w:t>
            </w:r>
            <w:r>
              <w:rPr>
                <w:rFonts w:hint="eastAsia" w:ascii="宋体" w:hAnsi="宋体" w:cs="宋体"/>
                <w:color w:val="auto"/>
                <w:sz w:val="24"/>
                <w:szCs w:val="24"/>
                <w:highlight w:val="none"/>
                <w:lang w:val="en-US" w:eastAsia="zh-CN"/>
              </w:rPr>
              <w:t>3</w:t>
            </w:r>
            <w:r>
              <w:rPr>
                <w:rFonts w:ascii="宋体" w:hAnsi="宋体" w:eastAsia="宋体" w:cs="宋体"/>
                <w:color w:val="auto"/>
                <w:sz w:val="24"/>
                <w:szCs w:val="24"/>
                <w:highlight w:val="none"/>
              </w:rPr>
              <w:t xml:space="preserve">分； </w:t>
            </w:r>
          </w:p>
          <w:p w14:paraId="40E5D2CE">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对项目重难点问题进行分析不全面，解决方案不可行，得</w:t>
            </w:r>
            <w:r>
              <w:rPr>
                <w:rFonts w:hint="eastAsia" w:ascii="宋体" w:hAnsi="宋体" w:cs="宋体"/>
                <w:color w:val="auto"/>
                <w:sz w:val="24"/>
                <w:szCs w:val="24"/>
                <w:highlight w:val="none"/>
                <w:lang w:val="en-US" w:eastAsia="zh-CN"/>
              </w:rPr>
              <w:t>1</w:t>
            </w:r>
            <w:r>
              <w:rPr>
                <w:rFonts w:ascii="宋体" w:hAnsi="宋体" w:eastAsia="宋体" w:cs="宋体"/>
                <w:color w:val="auto"/>
                <w:sz w:val="24"/>
                <w:szCs w:val="24"/>
                <w:highlight w:val="none"/>
              </w:rPr>
              <w:t xml:space="preserve">分； </w:t>
            </w:r>
          </w:p>
          <w:p w14:paraId="6AA6B886">
            <w:pPr>
              <w:spacing w:line="276" w:lineRule="auto"/>
              <w:ind w:firstLine="480" w:firstLineChars="200"/>
              <w:jc w:val="left"/>
              <w:rPr>
                <w:rFonts w:ascii="宋体" w:hAnsi="宋体" w:eastAsia="宋体" w:cs="宋体"/>
                <w:color w:val="auto"/>
                <w:kern w:val="2"/>
                <w:sz w:val="24"/>
                <w:szCs w:val="24"/>
                <w:highlight w:val="none"/>
                <w:lang w:val="en-US" w:eastAsia="zh-CN" w:bidi="ar-SA"/>
              </w:rPr>
            </w:pPr>
            <w:r>
              <w:rPr>
                <w:rFonts w:ascii="宋体" w:hAnsi="宋体" w:eastAsia="宋体" w:cs="宋体"/>
                <w:color w:val="auto"/>
                <w:sz w:val="24"/>
                <w:szCs w:val="24"/>
                <w:highlight w:val="none"/>
              </w:rPr>
              <w:t>缺项得 0 分。</w:t>
            </w:r>
          </w:p>
        </w:tc>
      </w:tr>
      <w:tr w14:paraId="065C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1426" w:type="dxa"/>
            <w:vMerge w:val="continue"/>
            <w:tcBorders>
              <w:left w:val="single" w:color="auto" w:sz="4" w:space="0"/>
              <w:right w:val="single" w:color="auto" w:sz="4" w:space="0"/>
            </w:tcBorders>
            <w:noWrap w:val="0"/>
            <w:vAlign w:val="center"/>
          </w:tcPr>
          <w:p w14:paraId="39C1AB0F">
            <w:pPr>
              <w:ind w:firstLine="0" w:firstLineChars="0"/>
              <w:jc w:val="center"/>
              <w:rPr>
                <w:rFonts w:hint="eastAsia" w:ascii="宋体" w:hAnsi="宋体" w:cs="宋体"/>
                <w:color w:val="auto"/>
                <w:sz w:val="24"/>
                <w:szCs w:val="24"/>
                <w:highlight w:val="none"/>
              </w:rPr>
            </w:pPr>
          </w:p>
        </w:tc>
        <w:tc>
          <w:tcPr>
            <w:tcW w:w="1833" w:type="dxa"/>
            <w:tcBorders>
              <w:top w:val="single" w:color="auto" w:sz="4" w:space="0"/>
              <w:left w:val="single" w:color="auto" w:sz="4" w:space="0"/>
              <w:bottom w:val="single" w:color="auto" w:sz="4" w:space="0"/>
              <w:right w:val="single" w:color="auto" w:sz="4" w:space="0"/>
            </w:tcBorders>
            <w:noWrap w:val="0"/>
            <w:vAlign w:val="center"/>
          </w:tcPr>
          <w:p w14:paraId="6903EC19">
            <w:pPr>
              <w:ind w:firstLine="0" w:firstLineChars="0"/>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对项目制定内部沟通协调机制、 与采购人的沟通</w:t>
            </w:r>
            <w:r>
              <w:rPr>
                <w:rFonts w:hint="eastAsia" w:ascii="宋体" w:hAnsi="宋体" w:cs="宋体"/>
                <w:color w:val="auto"/>
                <w:sz w:val="24"/>
                <w:szCs w:val="24"/>
                <w:highlight w:val="none"/>
              </w:rPr>
              <w:t>(</w:t>
            </w:r>
            <w:r>
              <w:rPr>
                <w:rFonts w:hint="eastAsia" w:cs="宋体"/>
                <w:color w:val="auto"/>
                <w:sz w:val="24"/>
                <w:szCs w:val="24"/>
                <w:highlight w:val="none"/>
                <w:lang w:val="en-US" w:eastAsia="zh-CN"/>
              </w:rPr>
              <w:t>10</w:t>
            </w:r>
            <w:r>
              <w:rPr>
                <w:rFonts w:hint="eastAsia" w:ascii="宋体" w:hAnsi="宋体" w:cs="宋体"/>
                <w:color w:val="auto"/>
                <w:sz w:val="24"/>
                <w:szCs w:val="24"/>
                <w:highlight w:val="none"/>
              </w:rPr>
              <w:t>分）</w:t>
            </w:r>
          </w:p>
        </w:tc>
        <w:tc>
          <w:tcPr>
            <w:tcW w:w="6488" w:type="dxa"/>
            <w:tcBorders>
              <w:top w:val="single" w:color="auto" w:sz="4" w:space="0"/>
              <w:left w:val="single" w:color="auto" w:sz="4" w:space="0"/>
              <w:bottom w:val="single" w:color="auto" w:sz="4" w:space="0"/>
              <w:right w:val="single" w:color="auto" w:sz="4" w:space="0"/>
            </w:tcBorders>
            <w:noWrap w:val="0"/>
            <w:vAlign w:val="top"/>
          </w:tcPr>
          <w:p w14:paraId="673AE293">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协调机制、与社会的沟通协调机制： </w:t>
            </w:r>
          </w:p>
          <w:p w14:paraId="67D22417">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机制全面完善、 反馈解决问题时效合理，沟通方式科学有效的，得10分； </w:t>
            </w:r>
          </w:p>
          <w:p w14:paraId="303DDDBC">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机制较为完整、 反馈解决问题时效较为合理，沟通方式较为有效得 8分；</w:t>
            </w:r>
          </w:p>
          <w:p w14:paraId="3F023890">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机制基本完善、 反馈解决问题时效基本合理，沟通方式基本有效的，得4分；</w:t>
            </w:r>
          </w:p>
          <w:p w14:paraId="2BD4107E">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机制简略、 反馈解决问题时效不合理，得2分；</w:t>
            </w:r>
          </w:p>
          <w:p w14:paraId="59D2D3B8">
            <w:pPr>
              <w:spacing w:line="276" w:lineRule="auto"/>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rPr>
              <w:t>缺项得 0 分。</w:t>
            </w:r>
          </w:p>
        </w:tc>
      </w:tr>
      <w:tr w14:paraId="0F5BD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8" w:hRule="atLeast"/>
          <w:jc w:val="center"/>
        </w:trPr>
        <w:tc>
          <w:tcPr>
            <w:tcW w:w="1426" w:type="dxa"/>
            <w:vMerge w:val="restart"/>
            <w:tcBorders>
              <w:top w:val="single" w:color="auto" w:sz="4" w:space="0"/>
              <w:left w:val="single" w:color="auto" w:sz="4" w:space="0"/>
              <w:right w:val="single" w:color="auto" w:sz="4" w:space="0"/>
            </w:tcBorders>
            <w:noWrap w:val="0"/>
            <w:vAlign w:val="center"/>
          </w:tcPr>
          <w:p w14:paraId="74A05EE4">
            <w:pPr>
              <w:ind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商务部分</w:t>
            </w:r>
          </w:p>
          <w:p w14:paraId="47CADD18">
            <w:pPr>
              <w:ind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30</w:t>
            </w:r>
            <w:r>
              <w:rPr>
                <w:rFonts w:hint="eastAsia" w:ascii="宋体" w:hAnsi="宋体" w:cs="宋体"/>
                <w:color w:val="auto"/>
                <w:sz w:val="24"/>
                <w:szCs w:val="24"/>
                <w:highlight w:val="none"/>
              </w:rPr>
              <w:t>分）</w:t>
            </w:r>
          </w:p>
        </w:tc>
        <w:tc>
          <w:tcPr>
            <w:tcW w:w="1833" w:type="dxa"/>
            <w:tcBorders>
              <w:top w:val="single" w:color="auto" w:sz="4" w:space="0"/>
              <w:left w:val="single" w:color="auto" w:sz="4" w:space="0"/>
              <w:right w:val="single" w:color="auto" w:sz="4" w:space="0"/>
            </w:tcBorders>
            <w:noWrap w:val="0"/>
            <w:vAlign w:val="center"/>
          </w:tcPr>
          <w:p w14:paraId="5DD9B6C7">
            <w:pPr>
              <w:widowControl/>
              <w:ind w:firstLine="0" w:firstLineChars="0"/>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bidi="ar"/>
              </w:rPr>
              <w:t>企业业绩（6分）</w:t>
            </w:r>
          </w:p>
        </w:tc>
        <w:tc>
          <w:tcPr>
            <w:tcW w:w="6488" w:type="dxa"/>
            <w:tcBorders>
              <w:top w:val="single" w:color="auto" w:sz="4" w:space="0"/>
              <w:left w:val="single" w:color="auto" w:sz="4" w:space="0"/>
              <w:right w:val="single" w:color="auto" w:sz="4" w:space="0"/>
            </w:tcBorders>
            <w:noWrap w:val="0"/>
            <w:vAlign w:val="center"/>
          </w:tcPr>
          <w:p w14:paraId="166A9248">
            <w:pPr>
              <w:spacing w:line="276" w:lineRule="auto"/>
              <w:jc w:val="left"/>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sz w:val="24"/>
                <w:highlight w:val="none"/>
              </w:rPr>
              <w:t>投标人2020年1月1日以来每提供一份农业社会化服务的类似业绩得2分，最多得6分（提供合同原件扫描件，日期以合同签订日期为准，不提供不得分）。</w:t>
            </w:r>
          </w:p>
        </w:tc>
      </w:tr>
      <w:tr w14:paraId="22149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1426" w:type="dxa"/>
            <w:vMerge w:val="continue"/>
            <w:tcBorders>
              <w:left w:val="single" w:color="auto" w:sz="4" w:space="0"/>
              <w:right w:val="single" w:color="auto" w:sz="4" w:space="0"/>
            </w:tcBorders>
            <w:noWrap w:val="0"/>
            <w:vAlign w:val="center"/>
          </w:tcPr>
          <w:p w14:paraId="3038DBA7">
            <w:pPr>
              <w:ind w:firstLine="0" w:firstLineChars="0"/>
              <w:jc w:val="center"/>
              <w:rPr>
                <w:rFonts w:hint="eastAsia" w:ascii="宋体" w:hAnsi="宋体" w:cs="宋体"/>
                <w:color w:val="auto"/>
                <w:sz w:val="24"/>
                <w:szCs w:val="24"/>
                <w:highlight w:val="none"/>
              </w:rPr>
            </w:pPr>
          </w:p>
        </w:tc>
        <w:tc>
          <w:tcPr>
            <w:tcW w:w="1833" w:type="dxa"/>
            <w:tcBorders>
              <w:top w:val="single" w:color="auto" w:sz="4" w:space="0"/>
              <w:left w:val="single" w:color="auto" w:sz="4" w:space="0"/>
              <w:right w:val="single" w:color="auto" w:sz="4" w:space="0"/>
            </w:tcBorders>
            <w:noWrap w:val="0"/>
            <w:vAlign w:val="center"/>
          </w:tcPr>
          <w:p w14:paraId="56256934">
            <w:pPr>
              <w:widowControl/>
              <w:ind w:firstLine="0" w:firstLineChars="0"/>
              <w:rPr>
                <w:rFonts w:hint="eastAsia" w:ascii="宋体" w:hAnsi="宋体" w:cs="宋体"/>
                <w:color w:val="auto"/>
                <w:kern w:val="0"/>
                <w:sz w:val="24"/>
                <w:szCs w:val="24"/>
                <w:highlight w:val="none"/>
                <w:lang w:bidi="ar"/>
              </w:rPr>
            </w:pPr>
            <w:r>
              <w:rPr>
                <w:rFonts w:ascii="宋体" w:hAnsi="宋体" w:eastAsia="宋体" w:cs="宋体"/>
                <w:color w:val="auto"/>
                <w:sz w:val="24"/>
                <w:szCs w:val="24"/>
                <w:highlight w:val="none"/>
              </w:rPr>
              <w:t>安全记录</w:t>
            </w:r>
            <w:r>
              <w:rPr>
                <w:rFonts w:hint="eastAsia" w:ascii="宋体" w:hAnsi="宋体" w:cs="宋体"/>
                <w:color w:val="auto"/>
                <w:kern w:val="0"/>
                <w:sz w:val="24"/>
                <w:szCs w:val="24"/>
                <w:highlight w:val="none"/>
                <w:lang w:bidi="ar"/>
              </w:rPr>
              <w:t>（</w:t>
            </w:r>
            <w:r>
              <w:rPr>
                <w:rFonts w:hint="eastAsia" w:ascii="宋体" w:hAnsi="宋体" w:cs="宋体"/>
                <w:color w:val="auto"/>
                <w:kern w:val="0"/>
                <w:sz w:val="24"/>
                <w:szCs w:val="24"/>
                <w:highlight w:val="none"/>
                <w:lang w:val="en-US" w:eastAsia="zh-CN" w:bidi="ar"/>
              </w:rPr>
              <w:t>3</w:t>
            </w:r>
            <w:r>
              <w:rPr>
                <w:rFonts w:hint="eastAsia" w:ascii="宋体" w:hAnsi="宋体" w:cs="宋体"/>
                <w:color w:val="auto"/>
                <w:kern w:val="0"/>
                <w:sz w:val="24"/>
                <w:szCs w:val="24"/>
                <w:highlight w:val="none"/>
                <w:lang w:bidi="ar"/>
              </w:rPr>
              <w:t>分）</w:t>
            </w:r>
          </w:p>
        </w:tc>
        <w:tc>
          <w:tcPr>
            <w:tcW w:w="6488" w:type="dxa"/>
            <w:tcBorders>
              <w:top w:val="single" w:color="auto" w:sz="4" w:space="0"/>
              <w:left w:val="single" w:color="auto" w:sz="4" w:space="0"/>
              <w:right w:val="single" w:color="auto" w:sz="4" w:space="0"/>
            </w:tcBorders>
            <w:noWrap w:val="0"/>
            <w:vAlign w:val="center"/>
          </w:tcPr>
          <w:p w14:paraId="74C542DE">
            <w:pPr>
              <w:spacing w:line="276" w:lineRule="auto"/>
              <w:ind w:firstLine="480" w:firstLineChars="200"/>
              <w:jc w:val="lef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投标人近3年无农机安全事故、无信访、无政府采购行政处罚：3分；</w:t>
            </w:r>
          </w:p>
          <w:p w14:paraId="1EDF8107">
            <w:pPr>
              <w:spacing w:line="276" w:lineRule="auto"/>
              <w:ind w:firstLine="480" w:firstLineChars="200"/>
              <w:jc w:val="lef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有1次轻微安全投诉记录：1分；</w:t>
            </w:r>
          </w:p>
          <w:p w14:paraId="092E98D6">
            <w:pPr>
              <w:spacing w:line="276" w:lineRule="auto"/>
              <w:ind w:firstLine="480" w:firstLineChars="200"/>
              <w:jc w:val="lef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发生安全事故/行政处罚：0分；</w:t>
            </w:r>
          </w:p>
          <w:p w14:paraId="3F685C7A">
            <w:pPr>
              <w:spacing w:line="276" w:lineRule="auto"/>
              <w:ind w:firstLine="480" w:firstLineChars="200"/>
              <w:jc w:val="lef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提供承诺书和相关证明材料（如政府采购信用平台截图、农机主管部门安全证明等）</w:t>
            </w:r>
          </w:p>
        </w:tc>
      </w:tr>
      <w:tr w14:paraId="5D5C9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1426" w:type="dxa"/>
            <w:vMerge w:val="continue"/>
            <w:tcBorders>
              <w:left w:val="single" w:color="auto" w:sz="4" w:space="0"/>
              <w:right w:val="single" w:color="auto" w:sz="4" w:space="0"/>
            </w:tcBorders>
            <w:noWrap w:val="0"/>
            <w:vAlign w:val="center"/>
          </w:tcPr>
          <w:p w14:paraId="26686A1C">
            <w:pPr>
              <w:ind w:firstLine="0" w:firstLineChars="0"/>
              <w:jc w:val="center"/>
              <w:rPr>
                <w:rFonts w:hint="eastAsia" w:ascii="宋体" w:hAnsi="宋体" w:cs="宋体"/>
                <w:color w:val="auto"/>
                <w:sz w:val="24"/>
                <w:szCs w:val="24"/>
                <w:highlight w:val="none"/>
              </w:rPr>
            </w:pPr>
          </w:p>
        </w:tc>
        <w:tc>
          <w:tcPr>
            <w:tcW w:w="1833" w:type="dxa"/>
            <w:tcBorders>
              <w:top w:val="single" w:color="auto" w:sz="4" w:space="0"/>
              <w:left w:val="single" w:color="auto" w:sz="4" w:space="0"/>
              <w:right w:val="single" w:color="auto" w:sz="4" w:space="0"/>
            </w:tcBorders>
            <w:noWrap w:val="0"/>
            <w:vAlign w:val="center"/>
          </w:tcPr>
          <w:p w14:paraId="0D52B999">
            <w:pPr>
              <w:widowControl/>
              <w:ind w:firstLine="0" w:firstLineChars="0"/>
              <w:rPr>
                <w:rFonts w:hint="eastAsia" w:ascii="宋体" w:hAnsi="宋体" w:eastAsia="宋体" w:cs="宋体"/>
                <w:color w:val="auto"/>
                <w:kern w:val="0"/>
                <w:sz w:val="24"/>
                <w:szCs w:val="24"/>
                <w:highlight w:val="none"/>
                <w:lang w:eastAsia="zh-CN" w:bidi="ar"/>
              </w:rPr>
            </w:pPr>
            <w:r>
              <w:rPr>
                <w:rFonts w:hint="eastAsia" w:ascii="宋体" w:hAnsi="宋体" w:cs="宋体"/>
                <w:color w:val="auto"/>
                <w:kern w:val="0"/>
                <w:sz w:val="24"/>
                <w:szCs w:val="24"/>
                <w:highlight w:val="none"/>
                <w:lang w:bidi="ar"/>
              </w:rPr>
              <w:t>拟投入项目专业农业机械设备和农机（8分）</w:t>
            </w:r>
          </w:p>
        </w:tc>
        <w:tc>
          <w:tcPr>
            <w:tcW w:w="6488" w:type="dxa"/>
            <w:tcBorders>
              <w:top w:val="single" w:color="auto" w:sz="4" w:space="0"/>
              <w:left w:val="single" w:color="auto" w:sz="4" w:space="0"/>
              <w:right w:val="single" w:color="auto" w:sz="4" w:space="0"/>
            </w:tcBorders>
            <w:noWrap w:val="0"/>
            <w:vAlign w:val="center"/>
          </w:tcPr>
          <w:p w14:paraId="15D199F7">
            <w:pPr>
              <w:spacing w:line="276" w:lineRule="auto"/>
              <w:jc w:val="lef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rPr>
              <w:t>1、针对本项目主导产业（本项目实施农业生产社会化服务的主导产业为玉米、小麦等种植农作物）的特点及项目需求配备专业农业机械设备和农机，投标人应具有旋耕机，</w:t>
            </w:r>
            <w:r>
              <w:rPr>
                <w:rFonts w:hint="eastAsia" w:ascii="宋体" w:hAnsi="宋体" w:cs="Times New Roman"/>
                <w:color w:val="auto"/>
                <w:sz w:val="24"/>
                <w:highlight w:val="none"/>
                <w:lang w:eastAsia="zh-CN"/>
              </w:rPr>
              <w:t>深松机</w:t>
            </w:r>
            <w:r>
              <w:rPr>
                <w:rFonts w:hint="eastAsia" w:ascii="宋体" w:hAnsi="宋体" w:eastAsia="宋体" w:cs="Times New Roman"/>
                <w:color w:val="auto"/>
                <w:sz w:val="24"/>
                <w:highlight w:val="none"/>
              </w:rPr>
              <w:t>各10台，</w:t>
            </w:r>
            <w:r>
              <w:rPr>
                <w:rFonts w:hint="eastAsia" w:ascii="宋体" w:hAnsi="宋体" w:cs="Times New Roman"/>
                <w:color w:val="auto"/>
                <w:sz w:val="24"/>
                <w:highlight w:val="none"/>
                <w:lang w:eastAsia="zh-CN"/>
              </w:rPr>
              <w:t>或者</w:t>
            </w:r>
            <w:r>
              <w:rPr>
                <w:rFonts w:hint="eastAsia" w:ascii="宋体" w:hAnsi="宋体" w:cs="Times New Roman"/>
                <w:color w:val="auto"/>
                <w:sz w:val="24"/>
                <w:highlight w:val="none"/>
                <w:lang w:val="en-US" w:eastAsia="zh-CN"/>
              </w:rPr>
              <w:t>10台双轴旋耕深松联合整地机。</w:t>
            </w:r>
            <w:r>
              <w:rPr>
                <w:rFonts w:hint="eastAsia" w:ascii="宋体" w:hAnsi="宋体" w:eastAsia="宋体" w:cs="Times New Roman"/>
                <w:color w:val="auto"/>
                <w:sz w:val="24"/>
                <w:highlight w:val="none"/>
              </w:rPr>
              <w:t>在此基础上每增加一套得1分，最多得5分。</w:t>
            </w:r>
          </w:p>
          <w:p w14:paraId="2F31A047">
            <w:pPr>
              <w:spacing w:line="276" w:lineRule="auto"/>
              <w:jc w:val="lef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rPr>
              <w:t>2、参加作业的车辆具有作业智能检测设备的得3分(以作业智能检测设备购销合同和收据为准)。</w:t>
            </w:r>
          </w:p>
          <w:p w14:paraId="0F30EF00">
            <w:pPr>
              <w:spacing w:line="276" w:lineRule="auto"/>
              <w:jc w:val="lef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注：(电子投标文件中附相关证件或证明材料原件的扫描件，否则不得分。)</w:t>
            </w:r>
          </w:p>
        </w:tc>
      </w:tr>
      <w:tr w14:paraId="208B9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426" w:type="dxa"/>
            <w:vMerge w:val="continue"/>
            <w:tcBorders>
              <w:left w:val="single" w:color="auto" w:sz="4" w:space="0"/>
              <w:right w:val="single" w:color="auto" w:sz="4" w:space="0"/>
            </w:tcBorders>
            <w:noWrap w:val="0"/>
            <w:vAlign w:val="center"/>
          </w:tcPr>
          <w:p w14:paraId="797ED260">
            <w:pPr>
              <w:ind w:firstLine="0" w:firstLineChars="0"/>
              <w:jc w:val="center"/>
              <w:rPr>
                <w:rFonts w:hint="eastAsia" w:ascii="宋体" w:hAnsi="宋体" w:cs="宋体"/>
                <w:color w:val="auto"/>
                <w:sz w:val="24"/>
                <w:szCs w:val="24"/>
                <w:highlight w:val="none"/>
              </w:rPr>
            </w:pPr>
          </w:p>
        </w:tc>
        <w:tc>
          <w:tcPr>
            <w:tcW w:w="1833" w:type="dxa"/>
            <w:tcBorders>
              <w:top w:val="single" w:color="auto" w:sz="4" w:space="0"/>
              <w:left w:val="single" w:color="auto" w:sz="4" w:space="0"/>
              <w:right w:val="single" w:color="auto" w:sz="4" w:space="0"/>
            </w:tcBorders>
            <w:noWrap w:val="0"/>
            <w:vAlign w:val="center"/>
          </w:tcPr>
          <w:p w14:paraId="12A169F2">
            <w:pPr>
              <w:widowControl/>
              <w:ind w:firstLine="0" w:firstLineChars="0"/>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服务承诺（10分）</w:t>
            </w:r>
          </w:p>
        </w:tc>
        <w:tc>
          <w:tcPr>
            <w:tcW w:w="6488" w:type="dxa"/>
            <w:tcBorders>
              <w:top w:val="single" w:color="auto" w:sz="4" w:space="0"/>
              <w:left w:val="single" w:color="auto" w:sz="4" w:space="0"/>
              <w:right w:val="single" w:color="auto" w:sz="4" w:space="0"/>
            </w:tcBorders>
            <w:noWrap w:val="0"/>
            <w:vAlign w:val="center"/>
          </w:tcPr>
          <w:p w14:paraId="7B71E16A">
            <w:pPr>
              <w:spacing w:line="276" w:lineRule="auto"/>
              <w:jc w:val="lef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rPr>
              <w:t>1、承诺遵守国家、省、市作业标准在0-2之间打分，缺项不得分。</w:t>
            </w:r>
          </w:p>
          <w:p w14:paraId="7B6BA597">
            <w:pPr>
              <w:spacing w:line="276" w:lineRule="auto"/>
              <w:jc w:val="lef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rPr>
              <w:t>2、承诺随时配合采购人进行作业实施及其他实质性承诺事项的内容在0-2之间打分，缺项不得分。</w:t>
            </w:r>
          </w:p>
          <w:p w14:paraId="1F585E6E">
            <w:pPr>
              <w:spacing w:line="276" w:lineRule="auto"/>
              <w:jc w:val="lef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rPr>
              <w:t>3、投标人服务体系完善，响应时间迅速及后续服务体系合理、措施有力的内容在0-4之间打分，缺项不得分</w:t>
            </w:r>
          </w:p>
          <w:p w14:paraId="2C576D9D">
            <w:pPr>
              <w:spacing w:line="276" w:lineRule="auto"/>
              <w:jc w:val="lef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4、发生意外后，意外伤害赔偿及善后工作处理承诺内容的得0-2分，缺项不得分。</w:t>
            </w:r>
          </w:p>
        </w:tc>
      </w:tr>
      <w:tr w14:paraId="3F380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426" w:type="dxa"/>
            <w:vMerge w:val="continue"/>
            <w:tcBorders>
              <w:left w:val="single" w:color="auto" w:sz="4" w:space="0"/>
              <w:right w:val="single" w:color="auto" w:sz="4" w:space="0"/>
            </w:tcBorders>
            <w:noWrap w:val="0"/>
            <w:vAlign w:val="center"/>
          </w:tcPr>
          <w:p w14:paraId="7133DB58">
            <w:pPr>
              <w:ind w:firstLine="0" w:firstLineChars="0"/>
              <w:jc w:val="center"/>
              <w:rPr>
                <w:rFonts w:hint="eastAsia" w:ascii="宋体" w:hAnsi="宋体" w:cs="宋体"/>
                <w:color w:val="auto"/>
                <w:sz w:val="24"/>
                <w:szCs w:val="24"/>
                <w:highlight w:val="none"/>
              </w:rPr>
            </w:pPr>
          </w:p>
        </w:tc>
        <w:tc>
          <w:tcPr>
            <w:tcW w:w="1833" w:type="dxa"/>
            <w:tcBorders>
              <w:top w:val="single" w:color="auto" w:sz="4" w:space="0"/>
              <w:left w:val="single" w:color="auto" w:sz="4" w:space="0"/>
              <w:right w:val="single" w:color="auto" w:sz="4" w:space="0"/>
            </w:tcBorders>
            <w:noWrap w:val="0"/>
            <w:vAlign w:val="center"/>
          </w:tcPr>
          <w:p w14:paraId="7FC10025">
            <w:pPr>
              <w:widowControl/>
              <w:ind w:firstLine="0" w:firstLineChars="0"/>
              <w:jc w:val="center"/>
              <w:rPr>
                <w:rFonts w:hint="eastAsia"/>
                <w:color w:val="auto"/>
                <w:highlight w:val="none"/>
              </w:rPr>
            </w:pPr>
            <w:r>
              <w:rPr>
                <w:rFonts w:hint="eastAsia"/>
                <w:color w:val="auto"/>
                <w:highlight w:val="none"/>
              </w:rPr>
              <w:t>招标人意见</w:t>
            </w:r>
          </w:p>
          <w:p w14:paraId="75F3AA44">
            <w:pPr>
              <w:pStyle w:val="9"/>
              <w:ind w:firstLine="480"/>
              <w:rPr>
                <w:color w:val="auto"/>
                <w:highlight w:val="none"/>
              </w:rPr>
            </w:pPr>
            <w:r>
              <w:rPr>
                <w:rFonts w:hint="eastAsia" w:ascii="宋体" w:hAnsi="宋体" w:cs="宋体"/>
                <w:color w:val="auto"/>
                <w:kern w:val="0"/>
                <w:sz w:val="24"/>
                <w:szCs w:val="24"/>
                <w:highlight w:val="none"/>
                <w:lang w:bidi="ar"/>
              </w:rPr>
              <w:t>(3分）</w:t>
            </w:r>
          </w:p>
        </w:tc>
        <w:tc>
          <w:tcPr>
            <w:tcW w:w="6488" w:type="dxa"/>
            <w:tcBorders>
              <w:top w:val="single" w:color="auto" w:sz="4" w:space="0"/>
              <w:left w:val="single" w:color="auto" w:sz="4" w:space="0"/>
              <w:right w:val="single" w:color="auto" w:sz="4" w:space="0"/>
            </w:tcBorders>
            <w:noWrap w:val="0"/>
            <w:vAlign w:val="center"/>
          </w:tcPr>
          <w:p w14:paraId="5E7DB8A7">
            <w:pPr>
              <w:spacing w:line="276" w:lineRule="auto"/>
              <w:jc w:val="lef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招标人依据对投标单位整体实力、履行合同的能力、拟投入本项目力量、标书的规范情况及对本项目重视程序等在0－3分内给予总体评价打分，此项共3分。</w:t>
            </w:r>
          </w:p>
        </w:tc>
      </w:tr>
      <w:tr w14:paraId="7D9EF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747" w:type="dxa"/>
            <w:gridSpan w:val="3"/>
            <w:tcBorders>
              <w:left w:val="single" w:color="auto" w:sz="4" w:space="0"/>
              <w:bottom w:val="single" w:color="auto" w:sz="4" w:space="0"/>
              <w:right w:val="single" w:color="auto" w:sz="4" w:space="0"/>
            </w:tcBorders>
            <w:noWrap w:val="0"/>
            <w:vAlign w:val="center"/>
          </w:tcPr>
          <w:p w14:paraId="78B1F3F8">
            <w:pPr>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本办法计算过程中分值按四舍五入保留两位小数，最终结果为评标委员会所有成员计算出的各供应商综合评估得分的算术平均值，按四舍五入保留两位小数。</w:t>
            </w:r>
          </w:p>
        </w:tc>
      </w:tr>
      <w:bookmarkEnd w:id="461"/>
    </w:tbl>
    <w:p w14:paraId="360F2F12">
      <w:pPr>
        <w:spacing w:line="360" w:lineRule="auto"/>
        <w:rPr>
          <w:rFonts w:hint="eastAsia" w:eastAsia="宋体" w:cs="Times New Roman"/>
          <w:b/>
          <w:bCs/>
          <w:color w:val="auto"/>
          <w:sz w:val="28"/>
          <w:szCs w:val="28"/>
          <w:highlight w:val="none"/>
        </w:rPr>
      </w:pPr>
      <w:r>
        <w:rPr>
          <w:rFonts w:hint="eastAsia" w:eastAsia="宋体" w:cs="Times New Roman"/>
          <w:b/>
          <w:bCs/>
          <w:color w:val="auto"/>
          <w:sz w:val="28"/>
          <w:szCs w:val="28"/>
          <w:highlight w:val="none"/>
        </w:rPr>
        <w:t>1. 评标方法</w:t>
      </w:r>
    </w:p>
    <w:p w14:paraId="3D3925A8">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192115F8">
      <w:pPr>
        <w:spacing w:line="360" w:lineRule="auto"/>
        <w:rPr>
          <w:rFonts w:hint="eastAsia" w:eastAsia="宋体" w:cs="Times New Roman"/>
          <w:b/>
          <w:bCs/>
          <w:color w:val="auto"/>
          <w:sz w:val="28"/>
          <w:szCs w:val="28"/>
          <w:highlight w:val="none"/>
        </w:rPr>
      </w:pPr>
      <w:r>
        <w:rPr>
          <w:rFonts w:hint="eastAsia" w:eastAsia="宋体" w:cs="Times New Roman"/>
          <w:b/>
          <w:bCs/>
          <w:color w:val="auto"/>
          <w:sz w:val="28"/>
          <w:szCs w:val="28"/>
          <w:highlight w:val="none"/>
        </w:rPr>
        <w:t>2. 评审标准</w:t>
      </w:r>
    </w:p>
    <w:p w14:paraId="3DA2434B">
      <w:pPr>
        <w:spacing w:line="360" w:lineRule="auto"/>
        <w:rPr>
          <w:rFonts w:hint="eastAsia" w:eastAsia="宋体" w:cs="Times New Roman"/>
          <w:b/>
          <w:bCs/>
          <w:color w:val="auto"/>
          <w:sz w:val="28"/>
          <w:szCs w:val="28"/>
          <w:highlight w:val="none"/>
        </w:rPr>
      </w:pPr>
      <w:r>
        <w:rPr>
          <w:rFonts w:hint="eastAsia" w:eastAsia="宋体" w:cs="Times New Roman"/>
          <w:b/>
          <w:bCs/>
          <w:color w:val="auto"/>
          <w:sz w:val="28"/>
          <w:szCs w:val="28"/>
          <w:highlight w:val="none"/>
        </w:rPr>
        <w:t>2.1 初步评审标准</w:t>
      </w:r>
    </w:p>
    <w:p w14:paraId="24A2969A">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资格评审标准：见评标办法前附表。</w:t>
      </w:r>
    </w:p>
    <w:p w14:paraId="4C1F934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形式评审标准：见评标办法前附表。</w:t>
      </w:r>
    </w:p>
    <w:p w14:paraId="3138B94E">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响应性评审标准：见评标办法前附表。</w:t>
      </w:r>
    </w:p>
    <w:p w14:paraId="3C6D5E24">
      <w:pPr>
        <w:spacing w:line="360" w:lineRule="auto"/>
        <w:rPr>
          <w:rFonts w:hint="eastAsia" w:eastAsia="宋体" w:cs="Times New Roman"/>
          <w:b/>
          <w:bCs/>
          <w:color w:val="auto"/>
          <w:sz w:val="28"/>
          <w:szCs w:val="28"/>
          <w:highlight w:val="none"/>
        </w:rPr>
      </w:pPr>
      <w:r>
        <w:rPr>
          <w:rFonts w:hint="eastAsia" w:eastAsia="宋体" w:cs="Times New Roman"/>
          <w:b/>
          <w:bCs/>
          <w:color w:val="auto"/>
          <w:sz w:val="28"/>
          <w:szCs w:val="28"/>
          <w:highlight w:val="none"/>
        </w:rPr>
        <w:t>2.2 详细评审：分值构成与评分标准</w:t>
      </w:r>
    </w:p>
    <w:p w14:paraId="5E91053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见评标办法前附表。</w:t>
      </w:r>
    </w:p>
    <w:p w14:paraId="1E45F241">
      <w:pPr>
        <w:spacing w:line="360" w:lineRule="auto"/>
        <w:rPr>
          <w:rFonts w:hint="eastAsia" w:eastAsia="宋体" w:cs="Times New Roman"/>
          <w:b/>
          <w:bCs/>
          <w:color w:val="auto"/>
          <w:sz w:val="28"/>
          <w:szCs w:val="28"/>
          <w:highlight w:val="none"/>
        </w:rPr>
      </w:pPr>
      <w:r>
        <w:rPr>
          <w:rFonts w:hint="eastAsia" w:eastAsia="宋体" w:cs="Times New Roman"/>
          <w:b/>
          <w:bCs/>
          <w:color w:val="auto"/>
          <w:sz w:val="28"/>
          <w:szCs w:val="28"/>
          <w:highlight w:val="none"/>
        </w:rPr>
        <w:t>3. 评标程序</w:t>
      </w:r>
    </w:p>
    <w:p w14:paraId="0243DC3C">
      <w:pPr>
        <w:spacing w:line="360" w:lineRule="auto"/>
        <w:rPr>
          <w:rFonts w:hint="eastAsia" w:eastAsia="宋体" w:cs="Times New Roman"/>
          <w:b/>
          <w:bCs/>
          <w:color w:val="auto"/>
          <w:sz w:val="28"/>
          <w:szCs w:val="28"/>
          <w:highlight w:val="none"/>
        </w:rPr>
      </w:pPr>
      <w:r>
        <w:rPr>
          <w:rFonts w:hint="eastAsia" w:eastAsia="宋体" w:cs="Times New Roman"/>
          <w:b/>
          <w:bCs/>
          <w:color w:val="auto"/>
          <w:sz w:val="28"/>
          <w:szCs w:val="28"/>
          <w:highlight w:val="none"/>
        </w:rPr>
        <w:t>3.1 初步评审</w:t>
      </w:r>
    </w:p>
    <w:p w14:paraId="151A956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3.1.1 评标委员会依据本章形式评审标准、响应性评审标准对投标文件进行初步评审。有一项不符合评审标准的，作无效标处理。</w:t>
      </w:r>
    </w:p>
    <w:p w14:paraId="13C2D9E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3.1.2 供应商投标文件有以下情形之一的，其投标作无效标处理：</w:t>
      </w:r>
    </w:p>
    <w:p w14:paraId="5C73CD33">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（1）第二章“供应商须知”第1.4.2项规定的任何一种情形的；</w:t>
      </w:r>
    </w:p>
    <w:p w14:paraId="35FFF67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（2）串通投标或弄虚作假或有其他违法行为的；有下列情形之一的，属于供应商相互串通投标：</w:t>
      </w:r>
    </w:p>
    <w:p w14:paraId="72C05EF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a.供应商之间协商投标报价等投标文件的实质性内容；</w:t>
      </w:r>
    </w:p>
    <w:p w14:paraId="1F5C803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b.供应商之间约定中标人；</w:t>
      </w:r>
    </w:p>
    <w:p w14:paraId="465D411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c.供应商之间约定部分供应商放弃投标或者中标；</w:t>
      </w:r>
    </w:p>
    <w:p w14:paraId="6999B2F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d.投标人之间为谋取中标或者排斥特定投标人而采取的其他联合行动。</w:t>
      </w:r>
    </w:p>
    <w:p w14:paraId="109F9513">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（3）不按评标委员会要求澄清、说明或补正的。</w:t>
      </w:r>
    </w:p>
    <w:p w14:paraId="6C9885C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3.1.3 投标报价有算术错误的，评标委员会按以下原则对投标报价进行修正，修正的价格经供应商系统确认后具有约束力。供应商不接受修正价格的，其投标作无效标处理。</w:t>
      </w:r>
    </w:p>
    <w:p w14:paraId="42F05798">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（1）投标文件中的大写金额与小写金额不一致的，以大写金额为准；</w:t>
      </w:r>
    </w:p>
    <w:p w14:paraId="60B0A93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（2）总价金额与依据单价计算出的结果不一致的，以单价金额为准修正总价，但单价金额小数点有明显错误的除外。</w:t>
      </w:r>
    </w:p>
    <w:p w14:paraId="598810A5">
      <w:pPr>
        <w:spacing w:line="360" w:lineRule="auto"/>
        <w:rPr>
          <w:rFonts w:hint="eastAsia" w:eastAsia="宋体" w:cs="Times New Roman"/>
          <w:b/>
          <w:bCs/>
          <w:color w:val="auto"/>
          <w:sz w:val="28"/>
          <w:szCs w:val="28"/>
          <w:highlight w:val="none"/>
        </w:rPr>
      </w:pPr>
      <w:r>
        <w:rPr>
          <w:rFonts w:hint="eastAsia" w:eastAsia="宋体" w:cs="Times New Roman"/>
          <w:b/>
          <w:bCs/>
          <w:color w:val="auto"/>
          <w:sz w:val="28"/>
          <w:szCs w:val="28"/>
          <w:highlight w:val="none"/>
        </w:rPr>
        <w:t>3.2 详细评审</w:t>
      </w:r>
    </w:p>
    <w:p w14:paraId="1C872269">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3.2.1 评标委员会按本章第2.2 款规定的量化因素和分值进行打分，并计算出综合评估得分。</w:t>
      </w:r>
    </w:p>
    <w:p w14:paraId="2FF331C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 汇总全体评标委员会对各供应商的打分并计算算术平均值，即供应商的最终评审得分。</w:t>
      </w:r>
    </w:p>
    <w:p w14:paraId="0D0A962E">
      <w:pPr>
        <w:adjustRightInd w:val="0"/>
        <w:snapToGrid w:val="0"/>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3.2.3 评标委员会发现供应商的报价明显低于其他投标报价，或者在设有标底时明显低于标底，使得其投标报价可能低于其个别成本的，应当要求该供应商在系统作出说明并提供相应的证明材料。供应商不能合理说明或者不能提供相应证明材料的，由评标委员会认定该供应商以低于成本报价竞标，其投标作无效标处理。</w:t>
      </w:r>
      <w:r>
        <w:rPr>
          <w:rFonts w:hint="eastAsia" w:ascii="宋体" w:hAnsi="宋体" w:cs="宋体"/>
          <w:color w:val="auto"/>
          <w:sz w:val="24"/>
          <w:szCs w:val="24"/>
          <w:highlight w:val="none"/>
          <w:lang w:val="en-US" w:eastAsia="zh-CN"/>
        </w:rPr>
        <w:t>具体程序如下：</w:t>
      </w:r>
    </w:p>
    <w:p w14:paraId="649EC0DC">
      <w:pPr>
        <w:adjustRightInd w:val="0"/>
        <w:snapToGrid w:val="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评审中出现下列情形之一的，评审委员会应当启动异常低价投标（响应）审查程序：</w:t>
      </w:r>
    </w:p>
    <w:p w14:paraId="608707AE">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投标（响应）报价低于全部通过符合性审查供应商投标（响应）报价平均50 %的，即投标（响应）报价&lt;全部通过符合性审查供应商投标（响应）报价平均值× 50 %；</w:t>
      </w:r>
    </w:p>
    <w:p w14:paraId="4ACB041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2.投标（响应）报价低于通过符合性审查的次低报价供应商投标（响应）报价 50 %的，即投标（响应）报价&lt;通过符合性审查的次低报价供应商投标（响应）报价× 50 %；</w:t>
      </w:r>
    </w:p>
    <w:p w14:paraId="3F09B53F">
      <w:pPr>
        <w:adjustRightInd w:val="0"/>
        <w:snapToGrid w:val="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3.投标（响应）报价低于采购项目最高限价45 %的，即投标（响应）报价&lt;采</w:t>
      </w:r>
      <w:r>
        <w:rPr>
          <w:rFonts w:ascii="宋体" w:hAnsi="宋体" w:eastAsia="宋体" w:cs="宋体"/>
          <w:color w:val="auto"/>
          <w:sz w:val="24"/>
          <w:szCs w:val="24"/>
          <w:highlight w:val="none"/>
        </w:rPr>
        <w:t>购项目最高限价× 45 %；</w:t>
      </w:r>
    </w:p>
    <w:p w14:paraId="0712DAF0">
      <w:pPr>
        <w:adjustRightInd w:val="0"/>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4.评审委员会基于专业判断，认为供应商报价过低，有可能影响产品质量或者不能诚信履约的其他情形。</w:t>
      </w:r>
    </w:p>
    <w:p w14:paraId="618FD9BE">
      <w:pPr>
        <w:adjustRightInd w:val="0"/>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采购人可以结合具体项目实际情况，提高上述第1 项至第3项中启动异常低价投标（响应）审查的数值标准，但是最高不得超过65%。 </w:t>
      </w:r>
    </w:p>
    <w:p w14:paraId="25EDE573">
      <w:pPr>
        <w:adjustRightInd w:val="0"/>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（2）评审委员会启动异常低价投标（响应）审查后，属于前述第 1 项至第 4 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 30 分钟。其中，属于第 3 项情形，供应商已随投标（响应）文件一并提交相关书面说明及必要的证明材料的，在评审现场可不再重复提交。</w:t>
      </w:r>
    </w:p>
    <w:p w14:paraId="258ADFD3">
      <w:pPr>
        <w:adjustRightInd w:val="0"/>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供应商书面说明应按照要求在规定时间内提交交易系统。</w:t>
      </w:r>
    </w:p>
    <w:p w14:paraId="5F17015B">
      <w:pPr>
        <w:adjustRightInd w:val="0"/>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供应商提供书面说明后、评标委员会应当结合采购项目采购需求、实际情况、供应商财务状况报告、与其他供应商比较情况等就供应商书面说明进行审查评价。供应商拒绝或者变相拒绝提供有效书面说明或者书面说明不能证明其报价合理性的、评标委员会应当对其投标认定为投标无效。 </w:t>
      </w:r>
    </w:p>
    <w:p w14:paraId="464D885F">
      <w:pPr>
        <w:adjustRightInd w:val="0"/>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异常低价投标（响应）审查的启动原因、审查意见和审查结果应当在评审报告中记录，并随供应商提供的相关书面说明及证明材料一并归档。</w:t>
      </w:r>
    </w:p>
    <w:p w14:paraId="5FCCBBC4">
      <w:pPr>
        <w:adjustRightInd w:val="0"/>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 如供应商计划以较低价格参与投标并有可能会被评标委员会告知需提供书面说明的，可自行提前准备好相关证明材料及说明。</w:t>
      </w:r>
    </w:p>
    <w:p w14:paraId="791ABFDF">
      <w:pPr>
        <w:spacing w:line="360" w:lineRule="auto"/>
        <w:rPr>
          <w:rFonts w:hint="eastAsia" w:eastAsia="宋体" w:cs="Times New Roman"/>
          <w:b/>
          <w:bCs/>
          <w:color w:val="auto"/>
          <w:sz w:val="28"/>
          <w:szCs w:val="28"/>
          <w:highlight w:val="none"/>
        </w:rPr>
      </w:pPr>
      <w:r>
        <w:rPr>
          <w:rFonts w:hint="eastAsia" w:eastAsia="宋体" w:cs="Times New Roman"/>
          <w:b/>
          <w:bCs/>
          <w:color w:val="auto"/>
          <w:sz w:val="28"/>
          <w:szCs w:val="28"/>
          <w:highlight w:val="none"/>
        </w:rPr>
        <w:t>3.3 投标文件的澄清和补正</w:t>
      </w:r>
    </w:p>
    <w:p w14:paraId="2EE9FD48">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3.3.1 在评标过程中，评标委员会可以系统形式要求供应商对所提交投标文件中不明确的内容进行系统澄清或说明，或者对细微偏差进行补正。评标委员会不接受供应商主动提出的澄清、说明或补正（供应商应时刻通过电子交易系统关注项目情况，评标委员会向供应商提出的澄清要求、报价要求等，供应商应自系统发出30分钟（另有约定的从其约定）内回复，否则供应商自行承担责任。）。</w:t>
      </w:r>
    </w:p>
    <w:p w14:paraId="7E084E7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3.3.2 澄清、说明和补正不得改变投标文件的实质性内容（算术性错误修正的除外）。供应商的系统澄清、说明和补正属于投标文件的组成部分。</w:t>
      </w:r>
    </w:p>
    <w:p w14:paraId="31B059B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3.3.3 评标委员会对供应商提交的澄清、说明或补正有疑问的，可以要求供应商进一步澄清、说明或补正，直至满足评标委员会的要求。</w:t>
      </w:r>
    </w:p>
    <w:p w14:paraId="08078ECB">
      <w:pPr>
        <w:spacing w:line="360" w:lineRule="auto"/>
        <w:rPr>
          <w:rFonts w:hint="eastAsia" w:eastAsia="宋体" w:cs="Times New Roman"/>
          <w:b/>
          <w:bCs/>
          <w:color w:val="auto"/>
          <w:sz w:val="28"/>
          <w:szCs w:val="28"/>
          <w:highlight w:val="none"/>
        </w:rPr>
      </w:pPr>
      <w:r>
        <w:rPr>
          <w:rFonts w:hint="eastAsia" w:eastAsia="宋体" w:cs="Times New Roman"/>
          <w:b/>
          <w:bCs/>
          <w:color w:val="auto"/>
          <w:sz w:val="28"/>
          <w:szCs w:val="28"/>
          <w:highlight w:val="none"/>
        </w:rPr>
        <w:t>3.4 评标结果</w:t>
      </w:r>
    </w:p>
    <w:p w14:paraId="6DCEC57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3.4.1 除第二章“供应商须知”前附表授权直接确定中标人外，评标委员会按照得分由高到低的顺序推荐中标候选人。</w:t>
      </w:r>
    </w:p>
    <w:p w14:paraId="1560B022">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3.4.2 评标委员会完成评标后，应当向采购人提交书面评标报告。</w:t>
      </w:r>
    </w:p>
    <w:p w14:paraId="104148D0">
      <w:pPr>
        <w:pStyle w:val="3"/>
        <w:spacing w:line="360" w:lineRule="auto"/>
        <w:ind w:left="0" w:firstLine="0"/>
        <w:jc w:val="center"/>
        <w:rPr>
          <w:rFonts w:ascii="宋体" w:hAnsi="宋体" w:cs="宋体"/>
          <w:b/>
          <w:color w:val="auto"/>
          <w:highlight w:val="none"/>
        </w:rPr>
      </w:pPr>
      <w:r>
        <w:rPr>
          <w:rFonts w:ascii="宋体" w:hAnsi="宋体" w:cs="宋体"/>
          <w:color w:val="auto"/>
          <w:highlight w:val="none"/>
        </w:rPr>
        <w:br w:type="page"/>
      </w:r>
      <w:bookmarkStart w:id="472" w:name="_Toc9470"/>
      <w:r>
        <w:rPr>
          <w:rFonts w:hint="eastAsia" w:ascii="宋体" w:hAnsi="宋体" w:cs="宋体"/>
          <w:b/>
          <w:color w:val="auto"/>
          <w:highlight w:val="none"/>
        </w:rPr>
        <w:t>第四章</w:t>
      </w:r>
      <w:bookmarkEnd w:id="462"/>
      <w:bookmarkEnd w:id="463"/>
      <w:bookmarkEnd w:id="464"/>
      <w:bookmarkEnd w:id="465"/>
      <w:bookmarkEnd w:id="466"/>
      <w:bookmarkEnd w:id="467"/>
      <w:bookmarkEnd w:id="468"/>
      <w:bookmarkEnd w:id="469"/>
      <w:bookmarkEnd w:id="470"/>
      <w:bookmarkEnd w:id="471"/>
      <w:r>
        <w:rPr>
          <w:rFonts w:hint="eastAsia" w:ascii="宋体" w:hAnsi="宋体" w:cs="宋体"/>
          <w:b/>
          <w:color w:val="auto"/>
          <w:highlight w:val="none"/>
          <w:lang w:val="en-US" w:eastAsia="zh-CN"/>
        </w:rPr>
        <w:t xml:space="preserve"> </w:t>
      </w:r>
      <w:r>
        <w:rPr>
          <w:rFonts w:hint="eastAsia" w:ascii="宋体" w:hAnsi="宋体" w:cs="宋体"/>
          <w:b/>
          <w:color w:val="auto"/>
          <w:highlight w:val="none"/>
        </w:rPr>
        <w:t>政府采购合同</w:t>
      </w:r>
      <w:bookmarkEnd w:id="472"/>
    </w:p>
    <w:p w14:paraId="0D4F5DB2">
      <w:pPr>
        <w:adjustRightInd w:val="0"/>
        <w:snapToGrid w:val="0"/>
        <w:spacing w:line="360" w:lineRule="auto"/>
        <w:jc w:val="center"/>
        <w:rPr>
          <w:rFonts w:ascii="宋体" w:hAnsi="宋体" w:cs="宋体"/>
          <w:color w:val="auto"/>
          <w:sz w:val="24"/>
          <w:szCs w:val="24"/>
          <w:highlight w:val="none"/>
        </w:rPr>
      </w:pPr>
      <w:bookmarkStart w:id="473" w:name="_Toc1185"/>
      <w:bookmarkStart w:id="474" w:name="_Toc12935"/>
      <w:r>
        <w:rPr>
          <w:rFonts w:hint="eastAsia" w:ascii="宋体" w:hAnsi="宋体" w:cs="宋体"/>
          <w:color w:val="auto"/>
          <w:sz w:val="24"/>
          <w:szCs w:val="24"/>
          <w:highlight w:val="none"/>
        </w:rPr>
        <w:t>（以实际签订合同为准）</w:t>
      </w:r>
    </w:p>
    <w:p w14:paraId="25A2971D">
      <w:pPr>
        <w:pStyle w:val="3"/>
        <w:spacing w:line="360" w:lineRule="auto"/>
        <w:ind w:left="0" w:firstLine="0"/>
        <w:jc w:val="center"/>
        <w:rPr>
          <w:color w:val="auto"/>
          <w:highlight w:val="none"/>
        </w:rPr>
      </w:pPr>
      <w:r>
        <w:rPr>
          <w:rFonts w:ascii="宋体" w:hAnsi="宋体" w:cs="宋体"/>
          <w:color w:val="auto"/>
          <w:highlight w:val="none"/>
        </w:rPr>
        <w:br w:type="page"/>
      </w:r>
      <w:bookmarkEnd w:id="473"/>
      <w:bookmarkEnd w:id="474"/>
      <w:bookmarkStart w:id="475" w:name="_Toc338840500"/>
      <w:bookmarkStart w:id="476" w:name="_Toc246996350"/>
      <w:bookmarkStart w:id="477" w:name="_Toc247096438"/>
      <w:bookmarkStart w:id="478" w:name="_Toc338840461"/>
      <w:bookmarkStart w:id="479" w:name="_Toc346523484"/>
      <w:bookmarkStart w:id="480" w:name="_Toc338840252"/>
      <w:bookmarkStart w:id="481" w:name="_Toc144974851"/>
      <w:bookmarkStart w:id="482" w:name="_Toc247085866"/>
      <w:bookmarkStart w:id="483" w:name="_Toc246997093"/>
      <w:bookmarkStart w:id="484" w:name="_Toc19781"/>
      <w:bookmarkStart w:id="485" w:name="_Toc494103008"/>
      <w:bookmarkStart w:id="486" w:name="_Toc29418"/>
      <w:bookmarkStart w:id="487" w:name="_Toc346523421"/>
      <w:bookmarkStart w:id="488" w:name="_Toc494093446"/>
      <w:bookmarkStart w:id="489" w:name="_Toc24122"/>
      <w:bookmarkStart w:id="490" w:name="_Toc152042571"/>
      <w:bookmarkStart w:id="491" w:name="_Toc152045782"/>
      <w:bookmarkStart w:id="492" w:name="_Toc765"/>
      <w:bookmarkStart w:id="493" w:name="_Toc179632800"/>
      <w:r>
        <w:rPr>
          <w:rFonts w:hint="eastAsia" w:ascii="宋体" w:hAnsi="宋体" w:cs="宋体"/>
          <w:b/>
          <w:bCs/>
          <w:color w:val="auto"/>
          <w:highlight w:val="none"/>
        </w:rPr>
        <w:t>第五章</w:t>
      </w:r>
      <w:r>
        <w:rPr>
          <w:rFonts w:hint="eastAsia" w:ascii="宋体" w:hAnsi="宋体" w:cs="宋体"/>
          <w:b/>
          <w:bCs/>
          <w:color w:val="auto"/>
          <w:highlight w:val="none"/>
          <w:lang w:val="en-US" w:eastAsia="zh-CN"/>
        </w:rPr>
        <w:t xml:space="preserve"> </w:t>
      </w:r>
      <w:r>
        <w:rPr>
          <w:rFonts w:hint="eastAsia" w:ascii="宋体" w:hAnsi="宋体" w:cs="宋体"/>
          <w:b/>
          <w:bCs/>
          <w:color w:val="auto"/>
          <w:highlight w:val="none"/>
        </w:rPr>
        <w:t>项目</w:t>
      </w:r>
      <w:r>
        <w:rPr>
          <w:rFonts w:ascii="宋体" w:hAnsi="宋体" w:cs="宋体"/>
          <w:b/>
          <w:bCs/>
          <w:color w:val="auto"/>
          <w:highlight w:val="none"/>
        </w:rPr>
        <w:t>服务内容</w:t>
      </w:r>
      <w:r>
        <w:rPr>
          <w:rFonts w:hint="eastAsia" w:ascii="宋体" w:hAnsi="宋体" w:cs="宋体"/>
          <w:b/>
          <w:bCs/>
          <w:color w:val="auto"/>
          <w:highlight w:val="none"/>
        </w:rPr>
        <w:t>及要求</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14:paraId="75BA7B1B">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一、基本概况</w:t>
      </w:r>
    </w:p>
    <w:p w14:paraId="65FC4548">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杞县是农业大县，素有“中原粮仓”之美称，近几年，杞县农业种植结构调整成效显著，现已建成90万亩优质小麦、40万亩优质大蒜、90万亩玉米、40万亩优质花生生产基地。年生产优质小麦50万吨、玉米40万吨、优质花生20万吨。。</w:t>
      </w:r>
    </w:p>
    <w:p w14:paraId="6B40045A">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项目目标</w:t>
      </w:r>
    </w:p>
    <w:p w14:paraId="5854B463">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杞县农业农村局2026年农业社会化服务项目</w:t>
      </w:r>
      <w:r>
        <w:rPr>
          <w:rFonts w:hint="eastAsia" w:ascii="宋体" w:hAnsi="宋体" w:eastAsia="宋体" w:cs="宋体"/>
          <w:color w:val="auto"/>
          <w:sz w:val="24"/>
          <w:szCs w:val="24"/>
          <w:highlight w:val="none"/>
        </w:rPr>
        <w:t>计划社会化服务面积</w:t>
      </w:r>
      <w:r>
        <w:rPr>
          <w:rFonts w:hint="eastAsia" w:ascii="宋体" w:hAnsi="宋体" w:eastAsia="宋体" w:cs="宋体"/>
          <w:color w:val="auto"/>
          <w:sz w:val="24"/>
          <w:szCs w:val="24"/>
          <w:highlight w:val="none"/>
          <w:lang w:val="en-US" w:eastAsia="zh-CN"/>
        </w:rPr>
        <w:t>为</w:t>
      </w:r>
      <w:r>
        <w:rPr>
          <w:rFonts w:hint="eastAsia" w:ascii="宋体" w:hAnsi="宋体" w:cs="宋体"/>
          <w:color w:val="auto"/>
          <w:sz w:val="24"/>
          <w:szCs w:val="24"/>
          <w:highlight w:val="none"/>
          <w:lang w:val="en-US" w:eastAsia="zh-CN"/>
        </w:rPr>
        <w:t>96200</w:t>
      </w:r>
      <w:r>
        <w:rPr>
          <w:rFonts w:hint="eastAsia" w:ascii="宋体" w:hAnsi="宋体" w:eastAsia="宋体" w:cs="宋体"/>
          <w:color w:val="auto"/>
          <w:sz w:val="24"/>
          <w:szCs w:val="24"/>
          <w:highlight w:val="none"/>
        </w:rPr>
        <w:t>亩</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其中，一包段：傅集镇、宗店乡、板木乡、竹林乡社会化服务48100亩；二包段：官庄乡、圉镇镇、湖岗乡社会化服务48100亩</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，补贴资金</w:t>
      </w:r>
      <w:r>
        <w:rPr>
          <w:rFonts w:hint="eastAsia" w:ascii="宋体" w:hAnsi="宋体" w:cs="宋体"/>
          <w:color w:val="auto"/>
          <w:sz w:val="24"/>
          <w:szCs w:val="24"/>
          <w:highlight w:val="none"/>
          <w:lang w:val="en-US" w:eastAsia="zh-CN"/>
        </w:rPr>
        <w:t>9148620.00</w:t>
      </w:r>
      <w:r>
        <w:rPr>
          <w:rFonts w:hint="eastAsia" w:ascii="宋体" w:hAnsi="宋体" w:eastAsia="宋体" w:cs="宋体"/>
          <w:color w:val="auto"/>
          <w:sz w:val="24"/>
          <w:szCs w:val="24"/>
          <w:highlight w:val="none"/>
        </w:rPr>
        <w:t>元。通过项目实施，生产托管等社会化服务覆盖小农户的比例不断提高，服务规模经营面积不断扩大，通过对农业生产社会化服务关键和薄弱环节的支持，培育多种形式的农业社会化服务组织，健全覆盖全程、综合配套、便捷高效的农业社会化服务体系。促进农业生产服务从农业生产单个环节向全程生产服务转变，从小规模分散服务向大规模整建制服务转变，服务组织经营向专业化职业化经营管理转变，推进农业全程机械化、规模化、集约化发展，提高农业生产效率，增强农业综合生产能力。</w:t>
      </w:r>
    </w:p>
    <w:p w14:paraId="73CD8392">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二、项目实施内容</w:t>
      </w:r>
    </w:p>
    <w:p w14:paraId="65783E90">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1.实施区域：</w:t>
      </w:r>
    </w:p>
    <w:p w14:paraId="7978D338">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一包段：傅集镇、宗店乡、板木乡、竹林乡；二包段：官庄乡、圉镇镇、湖岗乡。</w:t>
      </w:r>
    </w:p>
    <w:p w14:paraId="43DFBB51">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1.项目实施时间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本项目实施时间为</w:t>
      </w:r>
      <w:r>
        <w:rPr>
          <w:rFonts w:hint="eastAsia" w:ascii="宋体" w:hAnsi="宋体" w:cs="宋体"/>
          <w:color w:val="auto"/>
          <w:sz w:val="24"/>
          <w:szCs w:val="24"/>
          <w:highlight w:val="none"/>
          <w:lang w:val="en-US" w:eastAsia="zh-CN"/>
        </w:rPr>
        <w:t>一个年度</w:t>
      </w:r>
      <w:r>
        <w:rPr>
          <w:rFonts w:hint="eastAsia" w:ascii="宋体" w:hAnsi="宋体" w:eastAsia="宋体" w:cs="宋体"/>
          <w:color w:val="auto"/>
          <w:sz w:val="24"/>
          <w:szCs w:val="24"/>
          <w:highlight w:val="none"/>
        </w:rPr>
        <w:t>(因灾害性天气等不可抗拒原因可以跨年度实施)。</w:t>
      </w:r>
    </w:p>
    <w:p w14:paraId="5809D498">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服务产业和</w:t>
      </w:r>
      <w:r>
        <w:rPr>
          <w:rFonts w:hint="eastAsia" w:ascii="宋体" w:hAnsi="宋体" w:eastAsia="宋体" w:cs="宋体"/>
          <w:color w:val="auto"/>
          <w:sz w:val="24"/>
          <w:szCs w:val="24"/>
          <w:highlight w:val="none"/>
        </w:rPr>
        <w:t>补助环节</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eastAsia="zh-CN"/>
        </w:rPr>
        <w:t>服务作业补助环节主要有:小麦播种、小麦收获、玉米收获、玉米秸秆还田、深松、旋耕2遍等6个环节</w:t>
      </w:r>
      <w:r>
        <w:rPr>
          <w:rFonts w:hint="eastAsia" w:ascii="宋体" w:hAnsi="宋体" w:eastAsia="宋体" w:cs="宋体"/>
          <w:color w:val="auto"/>
          <w:sz w:val="24"/>
          <w:szCs w:val="24"/>
          <w:highlight w:val="none"/>
          <w:lang w:eastAsia="zh-CN"/>
        </w:rPr>
        <w:t>。</w:t>
      </w:r>
    </w:p>
    <w:p w14:paraId="7C70BF30">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三、作业标准</w:t>
      </w:r>
    </w:p>
    <w:p w14:paraId="3D0C9803">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统一安装北斗定位系统，作业数量以北斗导航检测数量为准，主要监测深松、旋耕等2个环节。2026年农业社会化服务项目采用深松+旋耕两遍的方式，主要解决多年土地没有深翻、深耕问题，常年采用旋耕方式，没有打破犁底层，导致农作物出现早衰，不能高产增产，降低农户收入。经过农业社会化服务技术小组多方走访、调研，决定采用新型耕作方式</w:t>
      </w:r>
      <w:r>
        <w:rPr>
          <w:rFonts w:hint="eastAsia" w:ascii="宋体" w:hAnsi="宋体" w:cs="宋体"/>
          <w:color w:val="auto"/>
          <w:sz w:val="24"/>
          <w:szCs w:val="24"/>
          <w:highlight w:val="none"/>
          <w:lang w:val="en-US" w:eastAsia="zh-CN"/>
        </w:rPr>
        <w:t>既</w:t>
      </w:r>
      <w:r>
        <w:rPr>
          <w:rFonts w:hint="eastAsia" w:ascii="宋体" w:hAnsi="宋体" w:eastAsia="宋体" w:cs="宋体"/>
          <w:color w:val="auto"/>
          <w:sz w:val="24"/>
          <w:szCs w:val="24"/>
          <w:highlight w:val="none"/>
          <w:lang w:val="en-US" w:eastAsia="zh-CN"/>
        </w:rPr>
        <w:t>深松+旋耕模式，一台2404拖拉机带一台深松机和双轴旋耕机一体机，深松达到</w:t>
      </w:r>
      <w:r>
        <w:rPr>
          <w:rFonts w:hint="eastAsia" w:ascii="宋体" w:hAnsi="宋体" w:cs="宋体"/>
          <w:color w:val="auto"/>
          <w:sz w:val="24"/>
          <w:szCs w:val="24"/>
          <w:highlight w:val="none"/>
          <w:lang w:val="en-US" w:eastAsia="zh-CN"/>
        </w:rPr>
        <w:t>25</w:t>
      </w:r>
      <w:r>
        <w:rPr>
          <w:rFonts w:hint="eastAsia" w:ascii="宋体" w:hAnsi="宋体" w:eastAsia="宋体" w:cs="宋体"/>
          <w:color w:val="auto"/>
          <w:sz w:val="24"/>
          <w:szCs w:val="24"/>
          <w:highlight w:val="none"/>
          <w:lang w:val="en-US" w:eastAsia="zh-CN"/>
        </w:rPr>
        <w:t>公分，旋耕达到15公分以上。按照规定比例向农户收取费用，服务小农户达到85%以上，农户满意率达100%。</w:t>
      </w:r>
    </w:p>
    <w:p w14:paraId="1EE3FA71">
      <w:pPr>
        <w:keepNext w:val="0"/>
        <w:keepLines w:val="0"/>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四、补助方式</w:t>
      </w:r>
      <w:r>
        <w:rPr>
          <w:rFonts w:hint="eastAsia" w:ascii="宋体" w:hAnsi="宋体" w:eastAsia="宋体" w:cs="宋体"/>
          <w:color w:val="auto"/>
          <w:sz w:val="24"/>
          <w:szCs w:val="24"/>
          <w:highlight w:val="none"/>
        </w:rPr>
        <w:t xml:space="preserve"> </w:t>
      </w:r>
    </w:p>
    <w:p w14:paraId="13E5BD56">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补贴方式。资金补助采取“政府购买服务、先服务后补助”的方式。机械化深耕社会化服务组织，经公开招标产生，综合评审中标后方可开展相关社会化服务。经农业农村局、财政局验收合格后，县财政局按照先服务后补助方式，根据服务合同实际作业量对服务主体(农机专业合作社、农业企业、种植专业合作社)进行补助。</w:t>
      </w:r>
    </w:p>
    <w:p w14:paraId="281C8B51">
      <w:pPr>
        <w:pStyle w:val="30"/>
        <w:ind w:firstLine="420"/>
        <w:rPr>
          <w:color w:val="auto"/>
          <w:highlight w:val="none"/>
        </w:rPr>
      </w:pPr>
    </w:p>
    <w:p w14:paraId="6A0841A0">
      <w:pPr>
        <w:pStyle w:val="30"/>
        <w:ind w:firstLine="420"/>
        <w:rPr>
          <w:color w:val="auto"/>
          <w:highlight w:val="none"/>
        </w:rPr>
      </w:pPr>
    </w:p>
    <w:p w14:paraId="33F3B52E">
      <w:pPr>
        <w:pStyle w:val="3"/>
        <w:ind w:left="0" w:firstLine="2209" w:firstLineChars="500"/>
        <w:rPr>
          <w:b/>
          <w:bCs/>
          <w:color w:val="auto"/>
          <w:highlight w:val="none"/>
        </w:rPr>
      </w:pPr>
      <w:r>
        <w:rPr>
          <w:rFonts w:hint="eastAsia"/>
          <w:b/>
          <w:bCs/>
          <w:color w:val="auto"/>
          <w:highlight w:val="none"/>
        </w:rPr>
        <w:br w:type="page"/>
      </w:r>
      <w:bookmarkStart w:id="494" w:name="_Toc31758"/>
      <w:r>
        <w:rPr>
          <w:rFonts w:hint="eastAsia"/>
          <w:b/>
          <w:bCs/>
          <w:color w:val="auto"/>
          <w:highlight w:val="none"/>
        </w:rPr>
        <w:t>第六章</w:t>
      </w:r>
      <w:r>
        <w:rPr>
          <w:rFonts w:hint="eastAsia"/>
          <w:b/>
          <w:bCs/>
          <w:color w:val="auto"/>
          <w:highlight w:val="none"/>
          <w:lang w:val="en-US" w:eastAsia="zh-CN"/>
        </w:rPr>
        <w:t xml:space="preserve"> </w:t>
      </w:r>
      <w:r>
        <w:rPr>
          <w:rFonts w:hint="eastAsia"/>
          <w:b/>
          <w:bCs/>
          <w:color w:val="auto"/>
          <w:highlight w:val="none"/>
        </w:rPr>
        <w:t>投标文件格式</w:t>
      </w:r>
      <w:bookmarkEnd w:id="494"/>
    </w:p>
    <w:p w14:paraId="062BECCE">
      <w:pPr>
        <w:spacing w:line="360" w:lineRule="auto"/>
        <w:jc w:val="center"/>
        <w:rPr>
          <w:rFonts w:ascii="宋体" w:hAnsi="宋体" w:cs="宋体"/>
          <w:b/>
          <w:color w:val="auto"/>
          <w:sz w:val="32"/>
          <w:szCs w:val="32"/>
          <w:highlight w:val="none"/>
          <w:u w:val="single"/>
        </w:rPr>
      </w:pPr>
      <w:bookmarkStart w:id="495" w:name="_Toc4730"/>
      <w:bookmarkStart w:id="496" w:name="_Toc10978"/>
      <w:r>
        <w:rPr>
          <w:rFonts w:hint="eastAsia" w:ascii="宋体" w:hAnsi="宋体" w:cs="宋体"/>
          <w:color w:val="auto"/>
          <w:kern w:val="44"/>
          <w:sz w:val="36"/>
          <w:highlight w:val="none"/>
        </w:rPr>
        <w:t>投标文件封面格式：</w:t>
      </w:r>
      <w:bookmarkEnd w:id="495"/>
      <w:bookmarkEnd w:id="496"/>
    </w:p>
    <w:p w14:paraId="636D38B7">
      <w:pPr>
        <w:spacing w:line="360" w:lineRule="auto"/>
        <w:rPr>
          <w:rFonts w:ascii="宋体" w:hAnsi="宋体" w:cs="宋体"/>
          <w:b/>
          <w:bCs/>
          <w:color w:val="auto"/>
          <w:sz w:val="32"/>
          <w:szCs w:val="32"/>
          <w:highlight w:val="none"/>
        </w:rPr>
      </w:pPr>
    </w:p>
    <w:p w14:paraId="3683ECEE">
      <w:pPr>
        <w:spacing w:line="360" w:lineRule="auto"/>
        <w:jc w:val="center"/>
        <w:rPr>
          <w:rFonts w:hint="eastAsia" w:ascii="宋体" w:hAnsi="宋体" w:cs="楷体"/>
          <w:color w:val="auto"/>
          <w:sz w:val="31"/>
          <w:szCs w:val="31"/>
          <w:highlight w:val="none"/>
          <w:u w:val="single"/>
        </w:rPr>
      </w:pPr>
      <w:r>
        <w:rPr>
          <w:rFonts w:hint="eastAsia" w:ascii="宋体" w:hAnsi="宋体" w:cs="楷体"/>
          <w:color w:val="auto"/>
          <w:sz w:val="31"/>
          <w:szCs w:val="31"/>
          <w:highlight w:val="none"/>
          <w:u w:val="single"/>
        </w:rPr>
        <w:t xml:space="preserve">                   （项目名称）</w:t>
      </w:r>
    </w:p>
    <w:p w14:paraId="10933F3B">
      <w:pPr>
        <w:pStyle w:val="2"/>
        <w:jc w:val="center"/>
        <w:rPr>
          <w:rFonts w:hint="default" w:eastAsia="宋体"/>
          <w:color w:val="auto"/>
          <w:highlight w:val="none"/>
          <w:lang w:val="en-US" w:eastAsia="zh-CN"/>
        </w:rPr>
      </w:pPr>
      <w:r>
        <w:rPr>
          <w:rFonts w:hint="eastAsia" w:hAnsi="宋体" w:cs="楷体"/>
          <w:color w:val="auto"/>
          <w:sz w:val="31"/>
          <w:szCs w:val="31"/>
          <w:highlight w:val="none"/>
          <w:u w:val="single"/>
          <w:lang w:val="en-US" w:eastAsia="zh-CN"/>
        </w:rPr>
        <w:t xml:space="preserve">  （包段）</w:t>
      </w:r>
    </w:p>
    <w:p w14:paraId="3581DA27">
      <w:pPr>
        <w:spacing w:line="360" w:lineRule="auto"/>
        <w:rPr>
          <w:rFonts w:ascii="宋体" w:hAnsi="宋体" w:cs="宋体"/>
          <w:b/>
          <w:bCs/>
          <w:color w:val="auto"/>
          <w:sz w:val="72"/>
          <w:szCs w:val="72"/>
          <w:highlight w:val="none"/>
        </w:rPr>
      </w:pPr>
    </w:p>
    <w:p w14:paraId="75E97AE6">
      <w:pPr>
        <w:spacing w:line="360" w:lineRule="auto"/>
        <w:jc w:val="center"/>
        <w:rPr>
          <w:rFonts w:ascii="宋体" w:hAnsi="宋体" w:cs="宋体"/>
          <w:b/>
          <w:bCs/>
          <w:color w:val="auto"/>
          <w:sz w:val="72"/>
          <w:szCs w:val="72"/>
          <w:highlight w:val="none"/>
        </w:rPr>
      </w:pPr>
      <w:r>
        <w:rPr>
          <w:rFonts w:hint="eastAsia" w:ascii="宋体" w:hAnsi="宋体" w:cs="宋体"/>
          <w:b/>
          <w:bCs/>
          <w:color w:val="auto"/>
          <w:sz w:val="72"/>
          <w:szCs w:val="72"/>
          <w:highlight w:val="none"/>
        </w:rPr>
        <w:t>投标文件</w:t>
      </w:r>
    </w:p>
    <w:p w14:paraId="14973359">
      <w:pPr>
        <w:spacing w:line="360" w:lineRule="auto"/>
        <w:jc w:val="center"/>
        <w:rPr>
          <w:rFonts w:ascii="宋体" w:hAnsi="宋体" w:cs="楷体"/>
          <w:color w:val="auto"/>
          <w:sz w:val="28"/>
          <w:szCs w:val="28"/>
          <w:highlight w:val="none"/>
          <w:u w:val="single"/>
        </w:rPr>
      </w:pPr>
      <w:r>
        <w:rPr>
          <w:rFonts w:hint="eastAsia" w:ascii="宋体" w:hAnsi="宋体" w:cs="楷体"/>
          <w:color w:val="auto"/>
          <w:sz w:val="28"/>
          <w:szCs w:val="28"/>
          <w:highlight w:val="none"/>
        </w:rPr>
        <w:t>项目编号：</w:t>
      </w:r>
    </w:p>
    <w:p w14:paraId="25BADFBD">
      <w:pPr>
        <w:spacing w:line="360" w:lineRule="auto"/>
        <w:jc w:val="left"/>
        <w:rPr>
          <w:rFonts w:ascii="宋体" w:hAnsi="宋体" w:cs="宋体"/>
          <w:b/>
          <w:bCs/>
          <w:color w:val="auto"/>
          <w:sz w:val="72"/>
          <w:szCs w:val="72"/>
          <w:highlight w:val="none"/>
        </w:rPr>
      </w:pPr>
    </w:p>
    <w:p w14:paraId="07F578A6">
      <w:pPr>
        <w:spacing w:line="360" w:lineRule="auto"/>
        <w:jc w:val="left"/>
        <w:rPr>
          <w:rFonts w:ascii="宋体" w:hAnsi="宋体" w:cs="宋体"/>
          <w:b/>
          <w:bCs/>
          <w:color w:val="auto"/>
          <w:sz w:val="72"/>
          <w:szCs w:val="72"/>
          <w:highlight w:val="none"/>
        </w:rPr>
      </w:pPr>
    </w:p>
    <w:p w14:paraId="012992DA">
      <w:pPr>
        <w:spacing w:line="360" w:lineRule="auto"/>
        <w:jc w:val="left"/>
        <w:rPr>
          <w:rFonts w:ascii="宋体" w:hAnsi="宋体" w:cs="宋体"/>
          <w:b/>
          <w:bCs/>
          <w:color w:val="auto"/>
          <w:sz w:val="72"/>
          <w:szCs w:val="72"/>
          <w:highlight w:val="none"/>
        </w:rPr>
      </w:pPr>
    </w:p>
    <w:p w14:paraId="28B7193F">
      <w:pPr>
        <w:spacing w:line="360" w:lineRule="auto"/>
        <w:rPr>
          <w:rFonts w:ascii="宋体" w:hAnsi="宋体" w:cs="宋体"/>
          <w:b/>
          <w:color w:val="auto"/>
          <w:sz w:val="32"/>
          <w:szCs w:val="32"/>
          <w:highlight w:val="none"/>
        </w:rPr>
      </w:pPr>
      <w:bookmarkStart w:id="497" w:name="_Toc8510"/>
      <w:bookmarkStart w:id="498" w:name="_Toc282"/>
    </w:p>
    <w:bookmarkEnd w:id="497"/>
    <w:bookmarkEnd w:id="498"/>
    <w:p w14:paraId="7EE4619B">
      <w:pPr>
        <w:spacing w:line="360" w:lineRule="auto"/>
        <w:ind w:left="277" w:leftChars="132" w:firstLine="837" w:firstLineChars="299"/>
        <w:jc w:val="both"/>
        <w:rPr>
          <w:rFonts w:ascii="宋体" w:hAnsi="宋体" w:cs="楷体"/>
          <w:color w:val="auto"/>
          <w:sz w:val="28"/>
          <w:szCs w:val="28"/>
          <w:highlight w:val="none"/>
        </w:rPr>
      </w:pPr>
      <w:r>
        <w:rPr>
          <w:rFonts w:hint="eastAsia" w:ascii="宋体" w:hAnsi="宋体" w:cs="楷体"/>
          <w:color w:val="auto"/>
          <w:sz w:val="28"/>
          <w:szCs w:val="28"/>
          <w:highlight w:val="none"/>
        </w:rPr>
        <w:t>投  标  人：</w:t>
      </w:r>
      <w:r>
        <w:rPr>
          <w:rFonts w:hint="eastAsia" w:ascii="宋体" w:hAnsi="宋体" w:cs="楷体"/>
          <w:color w:val="auto"/>
          <w:sz w:val="28"/>
          <w:szCs w:val="28"/>
          <w:highlight w:val="none"/>
          <w:u w:val="single"/>
        </w:rPr>
        <w:t xml:space="preserve">             （盖单位电子签章）</w:t>
      </w:r>
    </w:p>
    <w:p w14:paraId="2F626909">
      <w:pPr>
        <w:spacing w:line="360" w:lineRule="auto"/>
        <w:ind w:left="277" w:leftChars="132" w:firstLine="837" w:firstLineChars="299"/>
        <w:jc w:val="both"/>
        <w:rPr>
          <w:rFonts w:ascii="宋体" w:hAnsi="宋体" w:cs="楷体"/>
          <w:color w:val="auto"/>
          <w:sz w:val="28"/>
          <w:szCs w:val="28"/>
          <w:highlight w:val="none"/>
        </w:rPr>
      </w:pPr>
      <w:r>
        <w:rPr>
          <w:rFonts w:hint="eastAsia" w:ascii="宋体" w:hAnsi="宋体" w:cs="楷体"/>
          <w:color w:val="auto"/>
          <w:sz w:val="28"/>
          <w:szCs w:val="28"/>
          <w:highlight w:val="none"/>
        </w:rPr>
        <w:t>法定代表人：</w:t>
      </w:r>
      <w:r>
        <w:rPr>
          <w:rFonts w:hint="eastAsia" w:ascii="宋体" w:hAnsi="宋体" w:cs="楷体"/>
          <w:color w:val="auto"/>
          <w:sz w:val="28"/>
          <w:szCs w:val="28"/>
          <w:highlight w:val="none"/>
          <w:u w:val="single"/>
        </w:rPr>
        <w:t xml:space="preserve">          （个人电子签章或签名）</w:t>
      </w:r>
    </w:p>
    <w:p w14:paraId="55D867E0">
      <w:pPr>
        <w:spacing w:line="360" w:lineRule="auto"/>
        <w:ind w:firstLine="1120" w:firstLineChars="400"/>
        <w:jc w:val="both"/>
        <w:rPr>
          <w:rFonts w:ascii="宋体" w:hAnsi="宋体" w:cs="楷体"/>
          <w:color w:val="auto"/>
          <w:sz w:val="24"/>
          <w:highlight w:val="none"/>
          <w:u w:val="single"/>
        </w:rPr>
      </w:pPr>
      <w:r>
        <w:rPr>
          <w:rFonts w:hint="eastAsia" w:ascii="宋体" w:hAnsi="宋体" w:cs="楷体"/>
          <w:color w:val="auto"/>
          <w:sz w:val="28"/>
          <w:szCs w:val="28"/>
          <w:highlight w:val="none"/>
        </w:rPr>
        <w:t>日      期：</w:t>
      </w:r>
      <w:r>
        <w:rPr>
          <w:rFonts w:hint="eastAsia" w:ascii="宋体" w:hAnsi="宋体" w:cs="楷体"/>
          <w:color w:val="auto"/>
          <w:sz w:val="28"/>
          <w:szCs w:val="28"/>
          <w:highlight w:val="none"/>
          <w:u w:val="single"/>
        </w:rPr>
        <w:t xml:space="preserve">         年       月       日</w:t>
      </w:r>
    </w:p>
    <w:p w14:paraId="7510E399">
      <w:pPr>
        <w:spacing w:line="360" w:lineRule="auto"/>
        <w:ind w:left="1978"/>
        <w:jc w:val="left"/>
        <w:rPr>
          <w:rFonts w:ascii="宋体" w:hAnsi="宋体" w:cs="宋体"/>
          <w:color w:val="auto"/>
          <w:highlight w:val="none"/>
        </w:rPr>
      </w:pPr>
    </w:p>
    <w:p w14:paraId="23B71438">
      <w:pPr>
        <w:spacing w:line="360" w:lineRule="auto"/>
        <w:jc w:val="center"/>
        <w:rPr>
          <w:rFonts w:ascii="宋体" w:hAnsi="宋体" w:cs="楷体"/>
          <w:b w:val="0"/>
          <w:color w:val="auto"/>
          <w:sz w:val="48"/>
          <w:szCs w:val="48"/>
          <w:highlight w:val="none"/>
        </w:rPr>
      </w:pPr>
      <w:r>
        <w:rPr>
          <w:rFonts w:ascii="宋体" w:hAnsi="宋体" w:cs="楷体"/>
          <w:b w:val="0"/>
          <w:color w:val="auto"/>
          <w:highlight w:val="none"/>
        </w:rPr>
        <w:br w:type="page"/>
      </w:r>
      <w:bookmarkStart w:id="499" w:name="_Toc97023712"/>
      <w:r>
        <w:rPr>
          <w:rFonts w:hint="eastAsia" w:ascii="宋体" w:hAnsi="宋体" w:cs="宋体"/>
          <w:b/>
          <w:bCs/>
          <w:color w:val="auto"/>
          <w:sz w:val="32"/>
          <w:szCs w:val="32"/>
          <w:highlight w:val="none"/>
        </w:rPr>
        <w:t>目录</w:t>
      </w:r>
      <w:bookmarkEnd w:id="499"/>
    </w:p>
    <w:p w14:paraId="701F59B1">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一、投标函及</w:t>
      </w:r>
      <w:r>
        <w:rPr>
          <w:rFonts w:hint="eastAsia" w:ascii="宋体" w:hAnsi="宋体" w:cs="宋体"/>
          <w:color w:val="auto"/>
          <w:sz w:val="28"/>
          <w:szCs w:val="28"/>
          <w:highlight w:val="none"/>
          <w:lang w:val="en-US" w:eastAsia="zh-CN"/>
        </w:rPr>
        <w:t>开标</w:t>
      </w:r>
      <w:r>
        <w:rPr>
          <w:rFonts w:hint="eastAsia" w:ascii="宋体" w:hAnsi="宋体" w:cs="宋体"/>
          <w:color w:val="auto"/>
          <w:sz w:val="28"/>
          <w:szCs w:val="28"/>
          <w:highlight w:val="none"/>
        </w:rPr>
        <w:t>一览表</w:t>
      </w:r>
    </w:p>
    <w:p w14:paraId="381F8F05">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二、法定代表人身份证明</w:t>
      </w:r>
    </w:p>
    <w:p w14:paraId="3E335FF2">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三、法人授权委托书</w:t>
      </w:r>
    </w:p>
    <w:p w14:paraId="28FEE1E8">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四、技术偏差表</w:t>
      </w:r>
    </w:p>
    <w:p w14:paraId="0D2D266D">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五、服务方案</w:t>
      </w:r>
    </w:p>
    <w:p w14:paraId="39DF4809">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六、拟投入本项目专业技术人员情况表及主要设备表</w:t>
      </w:r>
    </w:p>
    <w:p w14:paraId="3AC22578">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七、资格审查资料</w:t>
      </w:r>
    </w:p>
    <w:p w14:paraId="4719F6B3">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八、承诺书</w:t>
      </w:r>
    </w:p>
    <w:p w14:paraId="52BB51B7">
      <w:pPr>
        <w:ind w:firstLine="480"/>
        <w:rPr>
          <w:rFonts w:hint="eastAsia" w:ascii="宋体" w:hAnsi="宋体" w:cs="宋体"/>
          <w:color w:val="auto"/>
          <w:sz w:val="28"/>
          <w:szCs w:val="28"/>
          <w:highlight w:val="none"/>
        </w:rPr>
      </w:pPr>
      <w:r>
        <w:rPr>
          <w:rFonts w:hint="eastAsia" w:ascii="宋体" w:hAnsi="宋体" w:cs="宋体"/>
          <w:color w:val="auto"/>
          <w:sz w:val="28"/>
          <w:szCs w:val="28"/>
          <w:highlight w:val="none"/>
        </w:rPr>
        <w:t>九、其他资料</w:t>
      </w:r>
    </w:p>
    <w:p w14:paraId="3155DD5C">
      <w:pPr>
        <w:tabs>
          <w:tab w:val="left" w:pos="3544"/>
        </w:tabs>
        <w:spacing w:line="360" w:lineRule="auto"/>
        <w:jc w:val="left"/>
        <w:rPr>
          <w:rFonts w:cs="楷体"/>
          <w:color w:val="auto"/>
          <w:sz w:val="28"/>
          <w:szCs w:val="28"/>
          <w:highlight w:val="none"/>
        </w:rPr>
      </w:pPr>
    </w:p>
    <w:p w14:paraId="4B6DB0F3">
      <w:pPr>
        <w:spacing w:line="360" w:lineRule="auto"/>
        <w:rPr>
          <w:rFonts w:ascii="宋体" w:hAnsi="宋体" w:eastAsia="宋体" w:cs="楷体"/>
          <w:color w:val="auto"/>
          <w:sz w:val="28"/>
          <w:szCs w:val="28"/>
          <w:highlight w:val="none"/>
        </w:rPr>
      </w:pPr>
    </w:p>
    <w:p w14:paraId="07AE9C5B">
      <w:pPr>
        <w:spacing w:line="360" w:lineRule="auto"/>
        <w:rPr>
          <w:rFonts w:ascii="宋体" w:hAnsi="宋体" w:eastAsia="宋体" w:cs="楷体"/>
          <w:color w:val="auto"/>
          <w:sz w:val="28"/>
          <w:szCs w:val="28"/>
          <w:highlight w:val="none"/>
        </w:rPr>
      </w:pPr>
      <w:bookmarkStart w:id="500" w:name="_Toc257210932"/>
      <w:bookmarkEnd w:id="500"/>
    </w:p>
    <w:p w14:paraId="65D445BD">
      <w:pPr>
        <w:spacing w:line="360" w:lineRule="auto"/>
        <w:rPr>
          <w:rFonts w:ascii="宋体" w:hAnsi="宋体" w:eastAsia="宋体" w:cs="楷体"/>
          <w:color w:val="auto"/>
          <w:sz w:val="28"/>
          <w:szCs w:val="28"/>
          <w:highlight w:val="none"/>
        </w:rPr>
      </w:pPr>
      <w:bookmarkStart w:id="501" w:name="_Toc497493202"/>
    </w:p>
    <w:p w14:paraId="5613B149">
      <w:pPr>
        <w:spacing w:line="360" w:lineRule="auto"/>
        <w:rPr>
          <w:rFonts w:ascii="宋体" w:hAnsi="宋体" w:eastAsia="宋体" w:cs="楷体"/>
          <w:color w:val="auto"/>
          <w:sz w:val="28"/>
          <w:szCs w:val="28"/>
          <w:highlight w:val="none"/>
        </w:rPr>
      </w:pPr>
    </w:p>
    <w:p w14:paraId="209D8DD0">
      <w:pPr>
        <w:spacing w:line="360" w:lineRule="auto"/>
        <w:rPr>
          <w:rFonts w:ascii="宋体" w:hAnsi="宋体" w:eastAsia="宋体" w:cs="楷体"/>
          <w:color w:val="auto"/>
          <w:sz w:val="28"/>
          <w:szCs w:val="28"/>
          <w:highlight w:val="none"/>
        </w:rPr>
      </w:pPr>
    </w:p>
    <w:p w14:paraId="79847E98">
      <w:pPr>
        <w:spacing w:line="360" w:lineRule="auto"/>
        <w:rPr>
          <w:rFonts w:ascii="宋体" w:hAnsi="宋体" w:eastAsia="宋体" w:cs="楷体"/>
          <w:color w:val="auto"/>
          <w:sz w:val="28"/>
          <w:szCs w:val="28"/>
          <w:highlight w:val="none"/>
        </w:rPr>
      </w:pPr>
    </w:p>
    <w:p w14:paraId="279EFCCC">
      <w:pPr>
        <w:spacing w:line="360" w:lineRule="auto"/>
        <w:rPr>
          <w:rFonts w:ascii="宋体" w:hAnsi="宋体" w:eastAsia="宋体" w:cs="楷体"/>
          <w:color w:val="auto"/>
          <w:sz w:val="28"/>
          <w:szCs w:val="28"/>
          <w:highlight w:val="none"/>
        </w:rPr>
      </w:pPr>
    </w:p>
    <w:p w14:paraId="5E679277">
      <w:pPr>
        <w:spacing w:line="360" w:lineRule="auto"/>
        <w:rPr>
          <w:rFonts w:ascii="宋体" w:hAnsi="宋体" w:eastAsia="宋体" w:cs="楷体"/>
          <w:color w:val="auto"/>
          <w:sz w:val="28"/>
          <w:szCs w:val="28"/>
          <w:highlight w:val="none"/>
        </w:rPr>
      </w:pPr>
    </w:p>
    <w:p w14:paraId="0A5A340F">
      <w:pPr>
        <w:spacing w:line="360" w:lineRule="auto"/>
        <w:rPr>
          <w:rFonts w:ascii="宋体" w:hAnsi="宋体" w:eastAsia="宋体" w:cs="楷体"/>
          <w:color w:val="auto"/>
          <w:sz w:val="28"/>
          <w:szCs w:val="28"/>
          <w:highlight w:val="none"/>
        </w:rPr>
      </w:pPr>
    </w:p>
    <w:p w14:paraId="30D4F2EC">
      <w:pPr>
        <w:pStyle w:val="4"/>
        <w:spacing w:line="360" w:lineRule="auto"/>
        <w:jc w:val="center"/>
        <w:rPr>
          <w:rFonts w:ascii="宋体" w:hAnsi="宋体" w:cs="宋体"/>
          <w:color w:val="auto"/>
          <w:highlight w:val="none"/>
        </w:rPr>
      </w:pPr>
      <w:r>
        <w:rPr>
          <w:rFonts w:hint="eastAsia" w:ascii="宋体" w:hAnsi="宋体" w:cs="宋体"/>
          <w:color w:val="auto"/>
          <w:highlight w:val="none"/>
        </w:rPr>
        <w:br w:type="page"/>
      </w:r>
      <w:bookmarkStart w:id="502" w:name="_Toc29421"/>
      <w:r>
        <w:rPr>
          <w:rFonts w:hint="eastAsia" w:ascii="宋体" w:hAnsi="宋体" w:cs="宋体"/>
          <w:color w:val="auto"/>
          <w:highlight w:val="none"/>
        </w:rPr>
        <w:t>一、投标函及开标一览表</w:t>
      </w:r>
      <w:bookmarkEnd w:id="501"/>
      <w:bookmarkEnd w:id="502"/>
    </w:p>
    <w:p w14:paraId="68B0AE7B">
      <w:pPr>
        <w:spacing w:line="360" w:lineRule="auto"/>
        <w:jc w:val="center"/>
        <w:rPr>
          <w:rFonts w:ascii="宋体" w:hAnsi="宋体" w:cs="楷体"/>
          <w:b/>
          <w:color w:val="auto"/>
          <w:sz w:val="28"/>
          <w:szCs w:val="28"/>
          <w:highlight w:val="none"/>
        </w:rPr>
      </w:pPr>
      <w:r>
        <w:rPr>
          <w:rFonts w:hint="eastAsia" w:ascii="宋体" w:hAnsi="宋体" w:cs="楷体"/>
          <w:b/>
          <w:color w:val="auto"/>
          <w:sz w:val="28"/>
          <w:szCs w:val="28"/>
          <w:highlight w:val="none"/>
        </w:rPr>
        <w:t>1、投  标  函</w:t>
      </w:r>
    </w:p>
    <w:p w14:paraId="0482130B">
      <w:pPr>
        <w:adjustRightInd w:val="0"/>
        <w:snapToGrid w:val="0"/>
        <w:spacing w:line="360" w:lineRule="auto"/>
        <w:ind w:firstLine="480" w:firstLineChars="200"/>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致：</w:t>
      </w:r>
      <w:r>
        <w:rPr>
          <w:rFonts w:hint="eastAsia" w:ascii="宋体" w:hAnsi="宋体" w:cs="宋体"/>
          <w:color w:val="auto"/>
          <w:kern w:val="1"/>
          <w:sz w:val="24"/>
          <w:szCs w:val="24"/>
          <w:highlight w:val="none"/>
          <w:u w:val="single"/>
        </w:rPr>
        <w:t xml:space="preserve">               </w:t>
      </w:r>
      <w:r>
        <w:rPr>
          <w:rFonts w:hint="eastAsia" w:ascii="宋体" w:hAnsi="宋体" w:cs="宋体"/>
          <w:color w:val="auto"/>
          <w:kern w:val="1"/>
          <w:sz w:val="24"/>
          <w:szCs w:val="24"/>
          <w:highlight w:val="none"/>
        </w:rPr>
        <w:t>（采购人）</w:t>
      </w:r>
    </w:p>
    <w:p w14:paraId="4471A78B">
      <w:pPr>
        <w:adjustRightInd w:val="0"/>
        <w:snapToGrid w:val="0"/>
        <w:spacing w:line="360" w:lineRule="auto"/>
        <w:ind w:firstLine="480" w:firstLineChars="200"/>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 xml:space="preserve">    我们收到了项目编号:</w:t>
      </w:r>
      <w:r>
        <w:rPr>
          <w:rFonts w:hint="eastAsia" w:ascii="宋体" w:hAnsi="宋体" w:cs="宋体"/>
          <w:color w:val="auto"/>
          <w:kern w:val="1"/>
          <w:sz w:val="24"/>
          <w:szCs w:val="24"/>
          <w:highlight w:val="none"/>
          <w:u w:val="single"/>
        </w:rPr>
        <w:t xml:space="preserve">      </w:t>
      </w:r>
      <w:r>
        <w:rPr>
          <w:rFonts w:hint="eastAsia" w:ascii="宋体" w:hAnsi="宋体" w:cs="宋体"/>
          <w:color w:val="auto"/>
          <w:kern w:val="1"/>
          <w:sz w:val="24"/>
          <w:szCs w:val="24"/>
          <w:highlight w:val="none"/>
          <w:u w:val="single"/>
          <w:lang w:val="en-US" w:eastAsia="zh-CN"/>
        </w:rPr>
        <w:t xml:space="preserve">   </w:t>
      </w:r>
      <w:r>
        <w:rPr>
          <w:rFonts w:hint="eastAsia" w:ascii="宋体" w:hAnsi="宋体" w:cs="宋体"/>
          <w:color w:val="auto"/>
          <w:kern w:val="1"/>
          <w:sz w:val="24"/>
          <w:szCs w:val="24"/>
          <w:highlight w:val="none"/>
          <w:u w:val="single"/>
        </w:rPr>
        <w:t xml:space="preserve">   </w:t>
      </w:r>
      <w:r>
        <w:rPr>
          <w:rFonts w:hint="eastAsia" w:ascii="宋体" w:hAnsi="宋体" w:cs="宋体"/>
          <w:color w:val="auto"/>
          <w:kern w:val="1"/>
          <w:sz w:val="24"/>
          <w:szCs w:val="24"/>
          <w:highlight w:val="none"/>
        </w:rPr>
        <w:t>的招标文件，经详细研究，我们决定参加</w:t>
      </w:r>
      <w:r>
        <w:rPr>
          <w:rFonts w:hint="eastAsia" w:ascii="宋体" w:hAnsi="宋体" w:cs="宋体"/>
          <w:color w:val="auto"/>
          <w:kern w:val="1"/>
          <w:sz w:val="24"/>
          <w:szCs w:val="24"/>
          <w:highlight w:val="none"/>
          <w:u w:val="single"/>
        </w:rPr>
        <w:t xml:space="preserve">       </w:t>
      </w:r>
      <w:r>
        <w:rPr>
          <w:rFonts w:hint="eastAsia" w:ascii="宋体" w:hAnsi="宋体" w:cs="宋体"/>
          <w:color w:val="auto"/>
          <w:kern w:val="1"/>
          <w:sz w:val="24"/>
          <w:szCs w:val="24"/>
          <w:highlight w:val="none"/>
        </w:rPr>
        <w:t>（项目名称）</w:t>
      </w:r>
      <w:r>
        <w:rPr>
          <w:rFonts w:hint="eastAsia" w:ascii="宋体" w:hAnsi="宋体" w:cs="宋体"/>
          <w:color w:val="auto"/>
          <w:kern w:val="1"/>
          <w:sz w:val="24"/>
          <w:szCs w:val="24"/>
          <w:highlight w:val="none"/>
          <w:u w:val="single"/>
        </w:rPr>
        <w:t xml:space="preserve">      </w:t>
      </w:r>
      <w:r>
        <w:rPr>
          <w:rFonts w:hint="eastAsia" w:ascii="宋体" w:hAnsi="宋体" w:cs="宋体"/>
          <w:color w:val="auto"/>
          <w:kern w:val="1"/>
          <w:sz w:val="24"/>
          <w:szCs w:val="24"/>
          <w:highlight w:val="none"/>
          <w:u w:val="none"/>
          <w:lang w:eastAsia="zh-CN"/>
        </w:rPr>
        <w:t>（</w:t>
      </w:r>
      <w:r>
        <w:rPr>
          <w:rFonts w:hint="eastAsia" w:ascii="宋体" w:hAnsi="宋体" w:cs="宋体"/>
          <w:color w:val="auto"/>
          <w:kern w:val="1"/>
          <w:sz w:val="24"/>
          <w:szCs w:val="24"/>
          <w:highlight w:val="none"/>
          <w:u w:val="none"/>
          <w:lang w:val="en-US" w:eastAsia="zh-CN"/>
        </w:rPr>
        <w:t>包段</w:t>
      </w:r>
      <w:r>
        <w:rPr>
          <w:rFonts w:hint="eastAsia" w:ascii="宋体" w:hAnsi="宋体" w:cs="宋体"/>
          <w:color w:val="auto"/>
          <w:kern w:val="1"/>
          <w:sz w:val="24"/>
          <w:szCs w:val="24"/>
          <w:highlight w:val="none"/>
          <w:u w:val="none"/>
          <w:lang w:eastAsia="zh-CN"/>
        </w:rPr>
        <w:t>）</w:t>
      </w:r>
      <w:r>
        <w:rPr>
          <w:rFonts w:hint="eastAsia" w:ascii="宋体" w:hAnsi="宋体" w:cs="宋体"/>
          <w:color w:val="auto"/>
          <w:kern w:val="1"/>
          <w:sz w:val="24"/>
          <w:szCs w:val="24"/>
          <w:highlight w:val="none"/>
        </w:rPr>
        <w:t>投标活动并投标，我们郑重声明以下诸点并负法律责任。</w:t>
      </w:r>
    </w:p>
    <w:p w14:paraId="613D1DB0">
      <w:pPr>
        <w:adjustRightInd w:val="0"/>
        <w:snapToGrid w:val="0"/>
        <w:spacing w:line="360" w:lineRule="auto"/>
        <w:ind w:firstLine="480" w:firstLineChars="200"/>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1、愿按照招标文件中的条款和要求，以总报价人民币</w:t>
      </w:r>
      <w:r>
        <w:rPr>
          <w:rFonts w:hint="eastAsia" w:ascii="宋体" w:hAnsi="宋体" w:cs="宋体"/>
          <w:color w:val="auto"/>
          <w:kern w:val="1"/>
          <w:sz w:val="24"/>
          <w:szCs w:val="24"/>
          <w:highlight w:val="none"/>
          <w:u w:val="single"/>
          <w:lang w:val="en-US" w:eastAsia="zh-CN"/>
        </w:rPr>
        <w:t xml:space="preserve">            </w:t>
      </w:r>
      <w:r>
        <w:rPr>
          <w:rFonts w:hint="eastAsia" w:ascii="宋体" w:hAnsi="宋体" w:cs="宋体"/>
          <w:color w:val="auto"/>
          <w:kern w:val="1"/>
          <w:sz w:val="24"/>
          <w:szCs w:val="24"/>
          <w:highlight w:val="none"/>
        </w:rPr>
        <w:t xml:space="preserve">（大写）（小写 </w:t>
      </w:r>
      <w:r>
        <w:rPr>
          <w:rFonts w:hint="eastAsia" w:ascii="宋体" w:hAnsi="宋体" w:cs="宋体"/>
          <w:color w:val="auto"/>
          <w:kern w:val="1"/>
          <w:sz w:val="24"/>
          <w:szCs w:val="24"/>
          <w:highlight w:val="none"/>
          <w:u w:val="single"/>
        </w:rPr>
        <w:t xml:space="preserve">    </w:t>
      </w:r>
      <w:r>
        <w:rPr>
          <w:rFonts w:hint="eastAsia" w:ascii="宋体" w:hAnsi="宋体" w:cs="宋体"/>
          <w:color w:val="auto"/>
          <w:kern w:val="1"/>
          <w:sz w:val="24"/>
          <w:szCs w:val="24"/>
          <w:highlight w:val="none"/>
        </w:rPr>
        <w:t>元</w:t>
      </w:r>
      <w:r>
        <w:rPr>
          <w:rFonts w:hint="eastAsia" w:ascii="宋体" w:hAnsi="宋体" w:cs="宋体"/>
          <w:color w:val="auto"/>
          <w:kern w:val="1"/>
          <w:sz w:val="24"/>
          <w:szCs w:val="24"/>
          <w:highlight w:val="none"/>
          <w:lang w:val="en-US" w:eastAsia="zh-CN"/>
        </w:rPr>
        <w:t>/亩</w:t>
      </w:r>
      <w:r>
        <w:rPr>
          <w:rFonts w:hint="eastAsia" w:ascii="宋体" w:hAnsi="宋体" w:cs="宋体"/>
          <w:color w:val="auto"/>
          <w:kern w:val="1"/>
          <w:sz w:val="24"/>
          <w:szCs w:val="24"/>
          <w:highlight w:val="none"/>
        </w:rPr>
        <w:t>），服务期限</w:t>
      </w:r>
      <w:r>
        <w:rPr>
          <w:rFonts w:hint="eastAsia" w:ascii="宋体" w:hAnsi="宋体" w:cs="宋体"/>
          <w:color w:val="auto"/>
          <w:kern w:val="1"/>
          <w:sz w:val="24"/>
          <w:szCs w:val="24"/>
          <w:highlight w:val="none"/>
          <w:u w:val="single"/>
        </w:rPr>
        <w:t xml:space="preserve">       </w:t>
      </w:r>
      <w:r>
        <w:rPr>
          <w:rFonts w:hint="eastAsia" w:ascii="宋体" w:hAnsi="宋体" w:cs="宋体"/>
          <w:color w:val="auto"/>
          <w:kern w:val="1"/>
          <w:sz w:val="24"/>
          <w:szCs w:val="24"/>
          <w:highlight w:val="none"/>
        </w:rPr>
        <w:t>（按招标文件规定），质量要求达到______参加投标。</w:t>
      </w:r>
    </w:p>
    <w:p w14:paraId="0BAB4DA9">
      <w:pPr>
        <w:adjustRightInd w:val="0"/>
        <w:snapToGrid w:val="0"/>
        <w:spacing w:line="360" w:lineRule="auto"/>
        <w:ind w:firstLine="480" w:firstLineChars="200"/>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2、如果我们的投标文件被接受，我们将履行招标文件中规定的各项要求。</w:t>
      </w:r>
    </w:p>
    <w:p w14:paraId="57287830">
      <w:pPr>
        <w:adjustRightInd w:val="0"/>
        <w:snapToGrid w:val="0"/>
        <w:spacing w:line="360" w:lineRule="auto"/>
        <w:ind w:firstLine="480" w:firstLineChars="200"/>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3、我们同意按招标文件中的规定，本投标文件的有效期为自投标截止之日起60日历天。如果中标，有效期延长至合同终止日止。</w:t>
      </w:r>
    </w:p>
    <w:p w14:paraId="654F71DA">
      <w:pPr>
        <w:adjustRightInd w:val="0"/>
        <w:snapToGrid w:val="0"/>
        <w:spacing w:line="360" w:lineRule="auto"/>
        <w:ind w:firstLine="480" w:firstLineChars="200"/>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4、我们愿提供招标文件中要求的所有文件资料。</w:t>
      </w:r>
    </w:p>
    <w:p w14:paraId="29BDF2E1">
      <w:pPr>
        <w:adjustRightInd w:val="0"/>
        <w:snapToGrid w:val="0"/>
        <w:spacing w:line="360" w:lineRule="auto"/>
        <w:ind w:firstLine="480" w:firstLineChars="200"/>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5、我们承认最低报价是中标的重要选择，但不是唯一标准。</w:t>
      </w:r>
    </w:p>
    <w:p w14:paraId="3F2A791D">
      <w:pPr>
        <w:adjustRightInd w:val="0"/>
        <w:snapToGrid w:val="0"/>
        <w:spacing w:line="360" w:lineRule="auto"/>
        <w:ind w:firstLine="480" w:firstLineChars="200"/>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6、我们已经详细审核了全部招标文件，包括修改、补充的文件（如果有）及有关附件，我们完全理解并同意放弃对这方面有不明及误解的权利。</w:t>
      </w:r>
    </w:p>
    <w:p w14:paraId="0A78CB46">
      <w:pPr>
        <w:adjustRightInd w:val="0"/>
        <w:snapToGrid w:val="0"/>
        <w:spacing w:line="360" w:lineRule="auto"/>
        <w:ind w:firstLine="480" w:firstLineChars="200"/>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7、如我方中标，我方愿意按供应商前附表中的规定向采购代理机构支付本次招标代理服务费。</w:t>
      </w:r>
    </w:p>
    <w:p w14:paraId="7CAF557D">
      <w:pPr>
        <w:spacing w:line="360" w:lineRule="auto"/>
        <w:ind w:firstLine="0" w:firstLineChars="0"/>
        <w:jc w:val="right"/>
        <w:rPr>
          <w:rFonts w:hint="eastAsia" w:ascii="宋体" w:hAnsi="宋体" w:cs="宋体"/>
          <w:color w:val="auto"/>
          <w:kern w:val="1"/>
          <w:sz w:val="24"/>
          <w:szCs w:val="24"/>
          <w:highlight w:val="none"/>
        </w:rPr>
      </w:pPr>
    </w:p>
    <w:p w14:paraId="080395B4">
      <w:pPr>
        <w:spacing w:line="360" w:lineRule="auto"/>
        <w:ind w:firstLine="0" w:firstLineChars="0"/>
        <w:jc w:val="right"/>
        <w:rPr>
          <w:rFonts w:hint="eastAsia" w:ascii="宋体" w:hAnsi="宋体" w:cs="宋体"/>
          <w:color w:val="auto"/>
          <w:kern w:val="1"/>
          <w:sz w:val="24"/>
          <w:szCs w:val="24"/>
          <w:highlight w:val="none"/>
        </w:rPr>
      </w:pPr>
    </w:p>
    <w:p w14:paraId="01929F2A">
      <w:pPr>
        <w:spacing w:line="360" w:lineRule="auto"/>
        <w:ind w:firstLine="0" w:firstLineChars="0"/>
        <w:jc w:val="right"/>
        <w:rPr>
          <w:rFonts w:hint="eastAsia" w:ascii="宋体" w:hAnsi="宋体" w:cs="宋体"/>
          <w:color w:val="auto"/>
          <w:kern w:val="1"/>
          <w:sz w:val="24"/>
          <w:szCs w:val="24"/>
          <w:highlight w:val="none"/>
        </w:rPr>
      </w:pPr>
    </w:p>
    <w:p w14:paraId="4C5AF4CA">
      <w:pPr>
        <w:spacing w:line="360" w:lineRule="auto"/>
        <w:ind w:firstLine="0" w:firstLineChars="0"/>
        <w:jc w:val="right"/>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供应商名称：</w:t>
      </w:r>
      <w:r>
        <w:rPr>
          <w:rFonts w:hint="eastAsia" w:ascii="宋体" w:hAnsi="宋体" w:cs="宋体"/>
          <w:color w:val="auto"/>
          <w:kern w:val="1"/>
          <w:sz w:val="24"/>
          <w:szCs w:val="24"/>
          <w:highlight w:val="none"/>
          <w:u w:val="single"/>
        </w:rPr>
        <w:t xml:space="preserve">               </w:t>
      </w:r>
      <w:r>
        <w:rPr>
          <w:rFonts w:hint="eastAsia" w:ascii="宋体" w:hAnsi="宋体" w:cs="宋体"/>
          <w:color w:val="auto"/>
          <w:kern w:val="1"/>
          <w:sz w:val="24"/>
          <w:szCs w:val="24"/>
          <w:highlight w:val="none"/>
        </w:rPr>
        <w:t>（企业电子签章）</w:t>
      </w:r>
    </w:p>
    <w:p w14:paraId="5F5B1568">
      <w:pPr>
        <w:spacing w:line="360" w:lineRule="auto"/>
        <w:ind w:firstLine="0" w:firstLineChars="0"/>
        <w:jc w:val="right"/>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法定代表人或其授权委托人：</w:t>
      </w:r>
      <w:r>
        <w:rPr>
          <w:rFonts w:hint="eastAsia" w:ascii="宋体" w:hAnsi="宋体" w:cs="宋体"/>
          <w:color w:val="auto"/>
          <w:kern w:val="1"/>
          <w:sz w:val="24"/>
          <w:szCs w:val="24"/>
          <w:highlight w:val="none"/>
          <w:u w:val="single"/>
        </w:rPr>
        <w:t xml:space="preserve">              </w:t>
      </w:r>
      <w:r>
        <w:rPr>
          <w:rFonts w:hint="eastAsia" w:ascii="宋体" w:hAnsi="宋体" w:cs="宋体"/>
          <w:color w:val="auto"/>
          <w:kern w:val="1"/>
          <w:sz w:val="24"/>
          <w:szCs w:val="24"/>
          <w:highlight w:val="none"/>
        </w:rPr>
        <w:t xml:space="preserve">（个人电子签章或签字） </w:t>
      </w:r>
    </w:p>
    <w:p w14:paraId="521A3BEF">
      <w:pPr>
        <w:spacing w:line="360" w:lineRule="auto"/>
        <w:ind w:firstLine="0" w:firstLineChars="0"/>
        <w:jc w:val="right"/>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 xml:space="preserve">                                              日期： ____年____月_____日</w:t>
      </w:r>
    </w:p>
    <w:p w14:paraId="3335B0A5">
      <w:pPr>
        <w:wordWrap w:val="0"/>
        <w:spacing w:line="360" w:lineRule="auto"/>
        <w:ind w:firstLine="3084"/>
        <w:jc w:val="right"/>
        <w:rPr>
          <w:rFonts w:ascii="宋体" w:hAnsi="宋体" w:cs="楷体"/>
          <w:color w:val="auto"/>
          <w:sz w:val="24"/>
          <w:highlight w:val="none"/>
          <w:u w:val="single"/>
        </w:rPr>
      </w:pPr>
    </w:p>
    <w:p w14:paraId="4A09ED44">
      <w:pPr>
        <w:wordWrap w:val="0"/>
        <w:spacing w:line="360" w:lineRule="auto"/>
        <w:ind w:firstLine="3084"/>
        <w:jc w:val="right"/>
        <w:rPr>
          <w:rFonts w:ascii="宋体" w:hAnsi="宋体" w:cs="楷体"/>
          <w:color w:val="auto"/>
          <w:sz w:val="24"/>
          <w:highlight w:val="none"/>
        </w:rPr>
      </w:pPr>
    </w:p>
    <w:p w14:paraId="63AA1855">
      <w:pPr>
        <w:spacing w:line="360" w:lineRule="auto"/>
        <w:jc w:val="center"/>
        <w:rPr>
          <w:b/>
          <w:color w:val="auto"/>
          <w:sz w:val="28"/>
          <w:szCs w:val="28"/>
          <w:highlight w:val="none"/>
        </w:rPr>
      </w:pPr>
      <w:r>
        <w:rPr>
          <w:rFonts w:hint="eastAsia" w:ascii="宋体" w:hAnsi="宋体"/>
          <w:color w:val="auto"/>
          <w:sz w:val="24"/>
          <w:highlight w:val="none"/>
        </w:rPr>
        <w:br w:type="page"/>
      </w:r>
      <w:r>
        <w:rPr>
          <w:b/>
          <w:color w:val="auto"/>
          <w:sz w:val="28"/>
          <w:szCs w:val="28"/>
          <w:highlight w:val="none"/>
        </w:rPr>
        <w:t>2</w:t>
      </w:r>
      <w:r>
        <w:rPr>
          <w:rFonts w:hint="eastAsia"/>
          <w:b/>
          <w:color w:val="auto"/>
          <w:sz w:val="28"/>
          <w:szCs w:val="28"/>
          <w:highlight w:val="none"/>
        </w:rPr>
        <w:t>、开标一览表</w:t>
      </w:r>
    </w:p>
    <w:p w14:paraId="26367237">
      <w:pPr>
        <w:spacing w:line="360" w:lineRule="auto"/>
        <w:jc w:val="center"/>
        <w:rPr>
          <w:color w:val="auto"/>
          <w:sz w:val="28"/>
          <w:szCs w:val="28"/>
          <w:highlight w:val="none"/>
        </w:rPr>
      </w:pPr>
    </w:p>
    <w:tbl>
      <w:tblPr>
        <w:tblStyle w:val="16"/>
        <w:tblW w:w="0" w:type="auto"/>
        <w:jc w:val="center"/>
        <w:tblLayout w:type="fixed"/>
        <w:tblCellMar>
          <w:top w:w="0" w:type="dxa"/>
          <w:left w:w="0" w:type="dxa"/>
          <w:bottom w:w="0" w:type="dxa"/>
          <w:right w:w="0" w:type="dxa"/>
        </w:tblCellMar>
      </w:tblPr>
      <w:tblGrid>
        <w:gridCol w:w="2823"/>
        <w:gridCol w:w="5836"/>
      </w:tblGrid>
      <w:tr w14:paraId="6D81770E">
        <w:tblPrEx>
          <w:tblCellMar>
            <w:top w:w="0" w:type="dxa"/>
            <w:left w:w="0" w:type="dxa"/>
            <w:bottom w:w="0" w:type="dxa"/>
            <w:right w:w="0" w:type="dxa"/>
          </w:tblCellMar>
        </w:tblPrEx>
        <w:trPr>
          <w:trHeight w:val="781" w:hRule="atLeast"/>
          <w:jc w:val="center"/>
        </w:trPr>
        <w:tc>
          <w:tcPr>
            <w:tcW w:w="2823" w:type="dxa"/>
            <w:tcBorders>
              <w:top w:val="single" w:color="000000" w:sz="4" w:space="0"/>
              <w:left w:val="single" w:color="000000" w:sz="4" w:space="0"/>
              <w:bottom w:val="single" w:color="000000" w:sz="4" w:space="0"/>
              <w:right w:val="single" w:color="000000" w:sz="4" w:space="0"/>
            </w:tcBorders>
            <w:noWrap w:val="0"/>
            <w:vAlign w:val="center"/>
          </w:tcPr>
          <w:p w14:paraId="141BDA6B">
            <w:pPr>
              <w:spacing w:line="240" w:lineRule="auto"/>
              <w:ind w:firstLine="0" w:firstLineChars="0"/>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供应商名称</w:t>
            </w:r>
          </w:p>
        </w:tc>
        <w:tc>
          <w:tcPr>
            <w:tcW w:w="5836" w:type="dxa"/>
            <w:tcBorders>
              <w:top w:val="single" w:color="000000" w:sz="4" w:space="0"/>
              <w:left w:val="single" w:color="000000" w:sz="4" w:space="0"/>
              <w:bottom w:val="single" w:color="000000" w:sz="4" w:space="0"/>
              <w:right w:val="single" w:color="000000" w:sz="4" w:space="0"/>
            </w:tcBorders>
            <w:noWrap w:val="0"/>
            <w:vAlign w:val="center"/>
          </w:tcPr>
          <w:p w14:paraId="6703638A">
            <w:pPr>
              <w:spacing w:line="240" w:lineRule="auto"/>
              <w:ind w:firstLine="0" w:firstLineChars="0"/>
              <w:jc w:val="center"/>
              <w:rPr>
                <w:rFonts w:hint="eastAsia" w:ascii="宋体" w:hAnsi="宋体" w:cs="宋体"/>
                <w:color w:val="auto"/>
                <w:kern w:val="0"/>
                <w:sz w:val="24"/>
                <w:szCs w:val="24"/>
                <w:highlight w:val="none"/>
              </w:rPr>
            </w:pPr>
          </w:p>
        </w:tc>
      </w:tr>
      <w:tr w14:paraId="53139FAD">
        <w:tblPrEx>
          <w:tblCellMar>
            <w:top w:w="0" w:type="dxa"/>
            <w:left w:w="0" w:type="dxa"/>
            <w:bottom w:w="0" w:type="dxa"/>
            <w:right w:w="0" w:type="dxa"/>
          </w:tblCellMar>
        </w:tblPrEx>
        <w:trPr>
          <w:trHeight w:val="827" w:hRule="atLeast"/>
          <w:jc w:val="center"/>
        </w:trPr>
        <w:tc>
          <w:tcPr>
            <w:tcW w:w="2823" w:type="dxa"/>
            <w:tcBorders>
              <w:top w:val="single" w:color="000000" w:sz="4" w:space="0"/>
              <w:left w:val="single" w:color="000000" w:sz="4" w:space="0"/>
              <w:bottom w:val="single" w:color="000000" w:sz="4" w:space="0"/>
              <w:right w:val="single" w:color="000000" w:sz="4" w:space="0"/>
            </w:tcBorders>
            <w:noWrap w:val="0"/>
            <w:vAlign w:val="center"/>
          </w:tcPr>
          <w:p w14:paraId="53EA1994">
            <w:pPr>
              <w:spacing w:line="240" w:lineRule="auto"/>
              <w:ind w:firstLine="0" w:firstLineChars="0"/>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项目名称</w:t>
            </w:r>
          </w:p>
        </w:tc>
        <w:tc>
          <w:tcPr>
            <w:tcW w:w="5836" w:type="dxa"/>
            <w:tcBorders>
              <w:top w:val="single" w:color="000000" w:sz="4" w:space="0"/>
              <w:left w:val="single" w:color="000000" w:sz="4" w:space="0"/>
              <w:bottom w:val="single" w:color="000000" w:sz="4" w:space="0"/>
              <w:right w:val="single" w:color="000000" w:sz="4" w:space="0"/>
            </w:tcBorders>
            <w:noWrap w:val="0"/>
            <w:vAlign w:val="center"/>
          </w:tcPr>
          <w:p w14:paraId="18D43076">
            <w:pPr>
              <w:spacing w:line="240" w:lineRule="auto"/>
              <w:ind w:firstLine="0" w:firstLineChars="0"/>
              <w:jc w:val="center"/>
              <w:rPr>
                <w:rFonts w:hint="eastAsia" w:ascii="宋体" w:hAnsi="宋体" w:cs="宋体"/>
                <w:color w:val="auto"/>
                <w:kern w:val="0"/>
                <w:sz w:val="24"/>
                <w:szCs w:val="24"/>
                <w:highlight w:val="none"/>
              </w:rPr>
            </w:pPr>
          </w:p>
        </w:tc>
      </w:tr>
      <w:tr w14:paraId="05E77CD5">
        <w:tblPrEx>
          <w:tblCellMar>
            <w:top w:w="0" w:type="dxa"/>
            <w:left w:w="0" w:type="dxa"/>
            <w:bottom w:w="0" w:type="dxa"/>
            <w:right w:w="0" w:type="dxa"/>
          </w:tblCellMar>
        </w:tblPrEx>
        <w:trPr>
          <w:trHeight w:val="798" w:hRule="atLeast"/>
          <w:jc w:val="center"/>
        </w:trPr>
        <w:tc>
          <w:tcPr>
            <w:tcW w:w="2823" w:type="dxa"/>
            <w:tcBorders>
              <w:top w:val="single" w:color="000000" w:sz="4" w:space="0"/>
              <w:left w:val="single" w:color="000000" w:sz="4" w:space="0"/>
              <w:bottom w:val="single" w:color="000000" w:sz="4" w:space="0"/>
              <w:right w:val="single" w:color="000000" w:sz="4" w:space="0"/>
            </w:tcBorders>
            <w:noWrap w:val="0"/>
            <w:vAlign w:val="center"/>
          </w:tcPr>
          <w:p w14:paraId="762E2A78">
            <w:pPr>
              <w:spacing w:line="240" w:lineRule="auto"/>
              <w:ind w:firstLine="0" w:firstLineChars="0"/>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服务内容</w:t>
            </w:r>
          </w:p>
        </w:tc>
        <w:tc>
          <w:tcPr>
            <w:tcW w:w="5836" w:type="dxa"/>
            <w:tcBorders>
              <w:top w:val="single" w:color="000000" w:sz="4" w:space="0"/>
              <w:left w:val="single" w:color="000000" w:sz="4" w:space="0"/>
              <w:bottom w:val="single" w:color="000000" w:sz="4" w:space="0"/>
              <w:right w:val="single" w:color="000000" w:sz="4" w:space="0"/>
            </w:tcBorders>
            <w:noWrap w:val="0"/>
            <w:vAlign w:val="center"/>
          </w:tcPr>
          <w:p w14:paraId="4D292EF7">
            <w:pPr>
              <w:spacing w:line="240" w:lineRule="auto"/>
              <w:ind w:firstLine="0" w:firstLineChars="0"/>
              <w:jc w:val="center"/>
              <w:rPr>
                <w:rFonts w:hint="eastAsia" w:ascii="宋体" w:hAnsi="宋体" w:cs="宋体"/>
                <w:color w:val="auto"/>
                <w:kern w:val="0"/>
                <w:sz w:val="24"/>
                <w:szCs w:val="24"/>
                <w:highlight w:val="none"/>
              </w:rPr>
            </w:pPr>
          </w:p>
        </w:tc>
      </w:tr>
      <w:tr w14:paraId="2E1C8EFD">
        <w:tblPrEx>
          <w:tblCellMar>
            <w:top w:w="0" w:type="dxa"/>
            <w:left w:w="0" w:type="dxa"/>
            <w:bottom w:w="0" w:type="dxa"/>
            <w:right w:w="0" w:type="dxa"/>
          </w:tblCellMar>
        </w:tblPrEx>
        <w:trPr>
          <w:trHeight w:val="1214" w:hRule="atLeast"/>
          <w:jc w:val="center"/>
        </w:trPr>
        <w:tc>
          <w:tcPr>
            <w:tcW w:w="2823" w:type="dxa"/>
            <w:tcBorders>
              <w:top w:val="single" w:color="000000" w:sz="4" w:space="0"/>
              <w:left w:val="single" w:color="000000" w:sz="4" w:space="0"/>
              <w:bottom w:val="single" w:color="000000" w:sz="4" w:space="0"/>
              <w:right w:val="single" w:color="000000" w:sz="4" w:space="0"/>
            </w:tcBorders>
            <w:noWrap w:val="0"/>
            <w:vAlign w:val="center"/>
          </w:tcPr>
          <w:p w14:paraId="60E77BD0">
            <w:pPr>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投标报价</w:t>
            </w:r>
          </w:p>
          <w:p w14:paraId="593F7E2B">
            <w:pPr>
              <w:jc w:val="center"/>
              <w:rPr>
                <w:rFonts w:hint="eastAsia" w:ascii="宋体" w:hAnsi="宋体" w:cs="宋体"/>
                <w:color w:val="auto"/>
                <w:kern w:val="0"/>
                <w:sz w:val="24"/>
                <w:szCs w:val="24"/>
                <w:highlight w:val="none"/>
              </w:rPr>
            </w:pP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单价</w:t>
            </w:r>
            <w:r>
              <w:rPr>
                <w:rFonts w:hint="eastAsia" w:ascii="宋体" w:hAnsi="宋体" w:cs="宋体"/>
                <w:color w:val="auto"/>
                <w:kern w:val="0"/>
                <w:sz w:val="24"/>
                <w:highlight w:val="none"/>
              </w:rPr>
              <w:t>)</w:t>
            </w:r>
          </w:p>
        </w:tc>
        <w:tc>
          <w:tcPr>
            <w:tcW w:w="5836" w:type="dxa"/>
            <w:tcBorders>
              <w:top w:val="single" w:color="000000" w:sz="4" w:space="0"/>
              <w:left w:val="single" w:color="000000" w:sz="4" w:space="0"/>
              <w:bottom w:val="single" w:color="000000" w:sz="4" w:space="0"/>
              <w:right w:val="single" w:color="000000" w:sz="4" w:space="0"/>
            </w:tcBorders>
            <w:noWrap w:val="0"/>
            <w:vAlign w:val="top"/>
          </w:tcPr>
          <w:p w14:paraId="67395D8A">
            <w:pPr>
              <w:ind w:right="480"/>
              <w:rPr>
                <w:rFonts w:hint="default" w:ascii="宋体" w:hAnsi="宋体" w:eastAsia="宋体" w:cs="宋体"/>
                <w:color w:val="auto"/>
                <w:kern w:val="0"/>
                <w:sz w:val="24"/>
                <w:highlight w:val="none"/>
                <w:u w:val="single"/>
                <w:lang w:val="en-US" w:eastAsia="zh-CN"/>
              </w:rPr>
            </w:pPr>
            <w:r>
              <w:rPr>
                <w:rFonts w:hint="eastAsia" w:ascii="宋体" w:hAnsi="宋体" w:cs="宋体"/>
                <w:color w:val="auto"/>
                <w:kern w:val="0"/>
                <w:sz w:val="24"/>
                <w:highlight w:val="none"/>
              </w:rPr>
              <w:t>（大写）</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u w:val="single"/>
                <w:lang w:val="en-US" w:eastAsia="zh-CN"/>
              </w:rPr>
              <w:t xml:space="preserve">  </w:t>
            </w:r>
          </w:p>
          <w:p w14:paraId="24225EC6">
            <w:pPr>
              <w:ind w:right="480"/>
              <w:rPr>
                <w:rFonts w:hint="eastAsia" w:ascii="宋体" w:hAnsi="宋体" w:cs="宋体"/>
                <w:color w:val="auto"/>
                <w:kern w:val="0"/>
                <w:sz w:val="24"/>
                <w:highlight w:val="none"/>
              </w:rPr>
            </w:pPr>
          </w:p>
          <w:p w14:paraId="08A25C13">
            <w:pPr>
              <w:ind w:right="480" w:rightChars="0"/>
              <w:rPr>
                <w:rFonts w:hint="eastAsia" w:ascii="宋体" w:hAnsi="宋体" w:cs="宋体"/>
                <w:color w:val="auto"/>
                <w:kern w:val="0"/>
                <w:sz w:val="24"/>
                <w:szCs w:val="24"/>
                <w:highlight w:val="none"/>
              </w:rPr>
            </w:pPr>
            <w:r>
              <w:rPr>
                <w:rFonts w:hint="eastAsia" w:ascii="宋体" w:hAnsi="宋体" w:cs="宋体"/>
                <w:color w:val="auto"/>
                <w:kern w:val="0"/>
                <w:sz w:val="24"/>
                <w:highlight w:val="none"/>
              </w:rPr>
              <w:t>（小写</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u w:val="single"/>
              </w:rPr>
              <w:t xml:space="preserve">         </w:t>
            </w:r>
            <w:r>
              <w:rPr>
                <w:rFonts w:hint="eastAsia" w:ascii="仿宋" w:hAnsi="仿宋" w:cs="仿宋"/>
                <w:color w:val="auto"/>
                <w:sz w:val="24"/>
                <w:highlight w:val="none"/>
              </w:rPr>
              <w:t>元/亩</w:t>
            </w:r>
          </w:p>
        </w:tc>
      </w:tr>
      <w:tr w14:paraId="7A748F3C">
        <w:tblPrEx>
          <w:tblCellMar>
            <w:top w:w="0" w:type="dxa"/>
            <w:left w:w="0" w:type="dxa"/>
            <w:bottom w:w="0" w:type="dxa"/>
            <w:right w:w="0" w:type="dxa"/>
          </w:tblCellMar>
        </w:tblPrEx>
        <w:trPr>
          <w:trHeight w:val="725" w:hRule="atLeast"/>
          <w:jc w:val="center"/>
        </w:trPr>
        <w:tc>
          <w:tcPr>
            <w:tcW w:w="2823" w:type="dxa"/>
            <w:tcBorders>
              <w:top w:val="single" w:color="000000" w:sz="4" w:space="0"/>
              <w:left w:val="single" w:color="000000" w:sz="4" w:space="0"/>
              <w:bottom w:val="single" w:color="000000" w:sz="4" w:space="0"/>
              <w:right w:val="single" w:color="000000" w:sz="4" w:space="0"/>
            </w:tcBorders>
            <w:noWrap w:val="0"/>
            <w:vAlign w:val="center"/>
          </w:tcPr>
          <w:p w14:paraId="375AFE5A">
            <w:pPr>
              <w:spacing w:line="24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服务期限</w:t>
            </w:r>
          </w:p>
        </w:tc>
        <w:tc>
          <w:tcPr>
            <w:tcW w:w="5836" w:type="dxa"/>
            <w:tcBorders>
              <w:top w:val="single" w:color="000000" w:sz="4" w:space="0"/>
              <w:left w:val="single" w:color="000000" w:sz="4" w:space="0"/>
              <w:bottom w:val="single" w:color="000000" w:sz="4" w:space="0"/>
              <w:right w:val="single" w:color="000000" w:sz="4" w:space="0"/>
            </w:tcBorders>
            <w:noWrap w:val="0"/>
            <w:vAlign w:val="center"/>
          </w:tcPr>
          <w:p w14:paraId="555D9690">
            <w:pPr>
              <w:spacing w:line="240" w:lineRule="auto"/>
              <w:ind w:firstLine="0" w:firstLineChars="0"/>
              <w:jc w:val="center"/>
              <w:rPr>
                <w:rFonts w:hint="eastAsia" w:ascii="宋体" w:hAnsi="宋体" w:cs="宋体"/>
                <w:color w:val="auto"/>
                <w:kern w:val="1"/>
                <w:sz w:val="24"/>
                <w:szCs w:val="24"/>
                <w:highlight w:val="none"/>
              </w:rPr>
            </w:pPr>
          </w:p>
        </w:tc>
      </w:tr>
      <w:tr w14:paraId="0DE874E3">
        <w:tblPrEx>
          <w:tblCellMar>
            <w:top w:w="0" w:type="dxa"/>
            <w:left w:w="0" w:type="dxa"/>
            <w:bottom w:w="0" w:type="dxa"/>
            <w:right w:w="0" w:type="dxa"/>
          </w:tblCellMar>
        </w:tblPrEx>
        <w:trPr>
          <w:trHeight w:val="999" w:hRule="atLeast"/>
          <w:jc w:val="center"/>
        </w:trPr>
        <w:tc>
          <w:tcPr>
            <w:tcW w:w="2823" w:type="dxa"/>
            <w:tcBorders>
              <w:top w:val="single" w:color="000000" w:sz="4" w:space="0"/>
              <w:left w:val="single" w:color="000000" w:sz="4" w:space="0"/>
              <w:bottom w:val="single" w:color="000000" w:sz="4" w:space="0"/>
              <w:right w:val="single" w:color="000000" w:sz="4" w:space="0"/>
            </w:tcBorders>
            <w:noWrap w:val="0"/>
            <w:vAlign w:val="center"/>
          </w:tcPr>
          <w:p w14:paraId="33FA9294">
            <w:pPr>
              <w:spacing w:line="24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服务质量</w:t>
            </w:r>
          </w:p>
        </w:tc>
        <w:tc>
          <w:tcPr>
            <w:tcW w:w="5836" w:type="dxa"/>
            <w:tcBorders>
              <w:top w:val="single" w:color="000000" w:sz="4" w:space="0"/>
              <w:left w:val="single" w:color="000000" w:sz="4" w:space="0"/>
              <w:bottom w:val="single" w:color="000000" w:sz="4" w:space="0"/>
              <w:right w:val="single" w:color="000000" w:sz="4" w:space="0"/>
            </w:tcBorders>
            <w:noWrap w:val="0"/>
            <w:vAlign w:val="center"/>
          </w:tcPr>
          <w:p w14:paraId="5DB1909E">
            <w:pPr>
              <w:spacing w:line="240" w:lineRule="auto"/>
              <w:ind w:firstLine="0" w:firstLineChars="0"/>
              <w:jc w:val="center"/>
              <w:rPr>
                <w:rFonts w:hint="eastAsia" w:ascii="宋体" w:hAnsi="宋体" w:cs="宋体"/>
                <w:color w:val="auto"/>
                <w:kern w:val="1"/>
                <w:sz w:val="24"/>
                <w:szCs w:val="24"/>
                <w:highlight w:val="none"/>
              </w:rPr>
            </w:pPr>
          </w:p>
        </w:tc>
      </w:tr>
      <w:tr w14:paraId="29648F2E">
        <w:tblPrEx>
          <w:tblCellMar>
            <w:top w:w="0" w:type="dxa"/>
            <w:left w:w="0" w:type="dxa"/>
            <w:bottom w:w="0" w:type="dxa"/>
            <w:right w:w="0" w:type="dxa"/>
          </w:tblCellMar>
        </w:tblPrEx>
        <w:trPr>
          <w:trHeight w:val="999" w:hRule="atLeast"/>
          <w:jc w:val="center"/>
        </w:trPr>
        <w:tc>
          <w:tcPr>
            <w:tcW w:w="2823" w:type="dxa"/>
            <w:tcBorders>
              <w:top w:val="single" w:color="000000" w:sz="4" w:space="0"/>
              <w:left w:val="single" w:color="000000" w:sz="4" w:space="0"/>
              <w:bottom w:val="single" w:color="000000" w:sz="4" w:space="0"/>
              <w:right w:val="single" w:color="000000" w:sz="4" w:space="0"/>
            </w:tcBorders>
            <w:noWrap w:val="0"/>
            <w:vAlign w:val="center"/>
          </w:tcPr>
          <w:p w14:paraId="7104CE87">
            <w:pPr>
              <w:spacing w:line="24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投标有效期</w:t>
            </w:r>
          </w:p>
        </w:tc>
        <w:tc>
          <w:tcPr>
            <w:tcW w:w="5836" w:type="dxa"/>
            <w:tcBorders>
              <w:top w:val="single" w:color="000000" w:sz="4" w:space="0"/>
              <w:left w:val="single" w:color="000000" w:sz="4" w:space="0"/>
              <w:bottom w:val="single" w:color="000000" w:sz="4" w:space="0"/>
              <w:right w:val="single" w:color="000000" w:sz="4" w:space="0"/>
            </w:tcBorders>
            <w:noWrap w:val="0"/>
            <w:vAlign w:val="center"/>
          </w:tcPr>
          <w:p w14:paraId="58CEE57D">
            <w:pPr>
              <w:spacing w:line="240" w:lineRule="auto"/>
              <w:ind w:firstLine="0" w:firstLineChars="0"/>
              <w:jc w:val="center"/>
              <w:rPr>
                <w:rFonts w:hint="eastAsia" w:ascii="宋体" w:hAnsi="宋体" w:cs="宋体"/>
                <w:color w:val="auto"/>
                <w:kern w:val="1"/>
                <w:sz w:val="24"/>
                <w:szCs w:val="24"/>
                <w:highlight w:val="none"/>
              </w:rPr>
            </w:pPr>
          </w:p>
        </w:tc>
      </w:tr>
      <w:tr w14:paraId="3F69447B">
        <w:tblPrEx>
          <w:tblCellMar>
            <w:top w:w="0" w:type="dxa"/>
            <w:left w:w="0" w:type="dxa"/>
            <w:bottom w:w="0" w:type="dxa"/>
            <w:right w:w="0" w:type="dxa"/>
          </w:tblCellMar>
        </w:tblPrEx>
        <w:trPr>
          <w:trHeight w:val="919" w:hRule="atLeast"/>
          <w:jc w:val="center"/>
        </w:trPr>
        <w:tc>
          <w:tcPr>
            <w:tcW w:w="2823" w:type="dxa"/>
            <w:tcBorders>
              <w:top w:val="single" w:color="000000" w:sz="4" w:space="0"/>
              <w:left w:val="single" w:color="000000" w:sz="4" w:space="0"/>
              <w:bottom w:val="single" w:color="000000" w:sz="4" w:space="0"/>
              <w:right w:val="single" w:color="000000" w:sz="4" w:space="0"/>
            </w:tcBorders>
            <w:noWrap w:val="0"/>
            <w:vAlign w:val="center"/>
          </w:tcPr>
          <w:p w14:paraId="0A4AF809">
            <w:pPr>
              <w:spacing w:line="240" w:lineRule="auto"/>
              <w:ind w:firstLine="0" w:firstLineChars="0"/>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其它说明</w:t>
            </w:r>
          </w:p>
        </w:tc>
        <w:tc>
          <w:tcPr>
            <w:tcW w:w="5836" w:type="dxa"/>
            <w:tcBorders>
              <w:top w:val="single" w:color="000000" w:sz="4" w:space="0"/>
              <w:left w:val="single" w:color="000000" w:sz="4" w:space="0"/>
              <w:bottom w:val="single" w:color="000000" w:sz="4" w:space="0"/>
              <w:right w:val="single" w:color="000000" w:sz="4" w:space="0"/>
            </w:tcBorders>
            <w:noWrap w:val="0"/>
            <w:vAlign w:val="center"/>
          </w:tcPr>
          <w:p w14:paraId="217645BA">
            <w:pPr>
              <w:spacing w:line="240" w:lineRule="auto"/>
              <w:ind w:firstLine="0" w:firstLineChars="0"/>
              <w:jc w:val="center"/>
              <w:rPr>
                <w:rFonts w:hint="eastAsia" w:ascii="宋体" w:hAnsi="宋体" w:cs="宋体"/>
                <w:color w:val="auto"/>
                <w:kern w:val="0"/>
                <w:sz w:val="24"/>
                <w:szCs w:val="24"/>
                <w:highlight w:val="none"/>
              </w:rPr>
            </w:pPr>
          </w:p>
        </w:tc>
      </w:tr>
    </w:tbl>
    <w:p w14:paraId="4025C670">
      <w:pPr>
        <w:spacing w:line="360" w:lineRule="auto"/>
        <w:rPr>
          <w:rFonts w:ascii="宋体" w:hAnsi="宋体" w:cs="宋体"/>
          <w:color w:val="auto"/>
          <w:sz w:val="24"/>
          <w:highlight w:val="none"/>
        </w:rPr>
      </w:pPr>
    </w:p>
    <w:p w14:paraId="48DBBBB2">
      <w:pPr>
        <w:spacing w:line="360" w:lineRule="auto"/>
        <w:ind w:leftChars="-561" w:hanging="1178" w:hangingChars="491"/>
        <w:jc w:val="right"/>
        <w:rPr>
          <w:rFonts w:ascii="宋体" w:hAnsi="宋体" w:cs="宋体"/>
          <w:color w:val="auto"/>
          <w:sz w:val="24"/>
          <w:highlight w:val="none"/>
        </w:rPr>
      </w:pPr>
      <w:r>
        <w:rPr>
          <w:rFonts w:hint="eastAsia" w:ascii="宋体" w:hAnsi="宋体" w:cs="宋体"/>
          <w:color w:val="auto"/>
          <w:sz w:val="24"/>
          <w:highlight w:val="none"/>
        </w:rPr>
        <w:t>投标人：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楷体"/>
          <w:color w:val="auto"/>
          <w:sz w:val="24"/>
          <w:highlight w:val="none"/>
          <w:u w:val="single"/>
        </w:rPr>
        <w:t>盖单位电子签章</w:t>
      </w:r>
      <w:r>
        <w:rPr>
          <w:rFonts w:hint="eastAsia" w:ascii="宋体" w:hAnsi="宋体" w:cs="宋体"/>
          <w:color w:val="auto"/>
          <w:sz w:val="24"/>
          <w:highlight w:val="none"/>
          <w:u w:val="single"/>
        </w:rPr>
        <w:t xml:space="preserve">） </w:t>
      </w:r>
    </w:p>
    <w:p w14:paraId="1E9805C8">
      <w:pPr>
        <w:spacing w:line="360" w:lineRule="auto"/>
        <w:ind w:left="2694" w:firstLine="139" w:firstLineChars="58"/>
        <w:jc w:val="right"/>
        <w:rPr>
          <w:rFonts w:ascii="宋体" w:hAnsi="宋体" w:cs="宋体"/>
          <w:color w:val="auto"/>
          <w:sz w:val="24"/>
          <w:highlight w:val="none"/>
        </w:rPr>
      </w:pPr>
      <w:r>
        <w:rPr>
          <w:rFonts w:hint="eastAsia" w:ascii="宋体" w:hAnsi="宋体" w:cs="宋体"/>
          <w:color w:val="auto"/>
          <w:sz w:val="24"/>
          <w:highlight w:val="none"/>
        </w:rPr>
        <w:t>法定代表人：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w:t>
      </w:r>
      <w:r>
        <w:rPr>
          <w:rFonts w:hint="eastAsia" w:ascii="宋体" w:hAnsi="宋体" w:cs="楷体"/>
          <w:color w:val="auto"/>
          <w:sz w:val="24"/>
          <w:highlight w:val="none"/>
          <w:u w:val="single"/>
        </w:rPr>
        <w:t>个人电子签章或签名</w:t>
      </w:r>
      <w:r>
        <w:rPr>
          <w:rFonts w:hint="eastAsia" w:ascii="宋体" w:hAnsi="宋体" w:cs="宋体"/>
          <w:color w:val="auto"/>
          <w:sz w:val="24"/>
          <w:highlight w:val="none"/>
          <w:u w:val="single"/>
        </w:rPr>
        <w:t xml:space="preserve">） </w:t>
      </w:r>
    </w:p>
    <w:p w14:paraId="132278C7">
      <w:pPr>
        <w:wordWrap w:val="0"/>
        <w:spacing w:line="360" w:lineRule="auto"/>
        <w:ind w:firstLine="3084"/>
        <w:jc w:val="right"/>
        <w:rPr>
          <w:rFonts w:ascii="宋体" w:hAnsi="宋体" w:cs="楷体"/>
          <w:color w:val="auto"/>
          <w:sz w:val="24"/>
          <w:highlight w:val="none"/>
          <w:u w:val="single"/>
        </w:rPr>
      </w:pPr>
      <w:r>
        <w:rPr>
          <w:rFonts w:hint="eastAsia" w:ascii="宋体" w:hAnsi="宋体" w:cs="楷体"/>
          <w:color w:val="auto"/>
          <w:sz w:val="24"/>
          <w:highlight w:val="none"/>
          <w:u w:val="single"/>
        </w:rPr>
        <w:t xml:space="preserve">       年  月   日</w:t>
      </w:r>
    </w:p>
    <w:p w14:paraId="47FB788A">
      <w:pPr>
        <w:spacing w:line="480" w:lineRule="auto"/>
        <w:ind w:firstLine="0" w:firstLineChars="0"/>
        <w:jc w:val="center"/>
        <w:rPr>
          <w:rFonts w:hint="eastAsia" w:ascii="宋体" w:hAnsi="宋体" w:cs="宋体"/>
          <w:b/>
          <w:bCs/>
          <w:color w:val="auto"/>
          <w:kern w:val="0"/>
          <w:sz w:val="28"/>
          <w:szCs w:val="28"/>
          <w:highlight w:val="none"/>
        </w:rPr>
      </w:pPr>
      <w:bookmarkStart w:id="503" w:name="_Toc497493203"/>
      <w:r>
        <w:rPr>
          <w:rFonts w:ascii="宋体" w:hAnsi="宋体" w:cs="宋体"/>
          <w:color w:val="auto"/>
          <w:highlight w:val="none"/>
        </w:rPr>
        <w:br w:type="page"/>
      </w:r>
      <w:bookmarkStart w:id="504" w:name="_Toc10555107"/>
      <w:bookmarkStart w:id="505" w:name="_Toc10555251"/>
      <w:bookmarkStart w:id="506" w:name="_Toc17456"/>
      <w:bookmarkStart w:id="507" w:name="_Toc15194"/>
      <w:bookmarkStart w:id="508" w:name="_Toc23290"/>
      <w:bookmarkStart w:id="509" w:name="_Toc29900"/>
      <w:bookmarkStart w:id="510" w:name="_Toc32181"/>
      <w:bookmarkStart w:id="511" w:name="_Toc26167"/>
      <w:bookmarkStart w:id="512" w:name="_Toc21247"/>
      <w:r>
        <w:rPr>
          <w:rFonts w:hint="eastAsia" w:ascii="宋体" w:hAnsi="宋体" w:cs="宋体"/>
          <w:b/>
          <w:bCs/>
          <w:color w:val="auto"/>
          <w:kern w:val="0"/>
          <w:sz w:val="28"/>
          <w:szCs w:val="28"/>
          <w:highlight w:val="none"/>
        </w:rPr>
        <w:t>二、法定代表人身份证明</w:t>
      </w:r>
      <w:bookmarkEnd w:id="504"/>
      <w:bookmarkEnd w:id="505"/>
    </w:p>
    <w:p w14:paraId="767B03E5">
      <w:pPr>
        <w:spacing w:line="420" w:lineRule="auto"/>
        <w:ind w:firstLine="0" w:firstLineChars="0"/>
        <w:jc w:val="both"/>
        <w:rPr>
          <w:rFonts w:hint="eastAsia" w:ascii="宋体" w:hAnsi="宋体" w:cs="宋体"/>
          <w:color w:val="auto"/>
          <w:kern w:val="0"/>
          <w:sz w:val="24"/>
          <w:szCs w:val="24"/>
          <w:highlight w:val="none"/>
        </w:rPr>
      </w:pPr>
    </w:p>
    <w:p w14:paraId="3EAF120C">
      <w:pPr>
        <w:spacing w:line="420" w:lineRule="auto"/>
        <w:ind w:firstLine="0" w:firstLineChars="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供应商名称：</w:t>
      </w:r>
      <w:r>
        <w:rPr>
          <w:rFonts w:hint="eastAsia" w:ascii="宋体" w:hAnsi="宋体" w:cs="宋体"/>
          <w:color w:val="auto"/>
          <w:kern w:val="0"/>
          <w:sz w:val="24"/>
          <w:szCs w:val="24"/>
          <w:highlight w:val="none"/>
          <w:u w:val="single"/>
        </w:rPr>
        <w:t xml:space="preserve">                    </w:t>
      </w:r>
    </w:p>
    <w:p w14:paraId="33C14842">
      <w:pPr>
        <w:spacing w:line="420" w:lineRule="auto"/>
        <w:ind w:firstLine="0" w:firstLineChars="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单位性质：</w:t>
      </w:r>
      <w:r>
        <w:rPr>
          <w:rFonts w:hint="eastAsia" w:ascii="宋体" w:hAnsi="宋体" w:cs="宋体"/>
          <w:b/>
          <w:bCs/>
          <w:color w:val="auto"/>
          <w:kern w:val="0"/>
          <w:sz w:val="24"/>
          <w:szCs w:val="24"/>
          <w:highlight w:val="none"/>
        </w:rPr>
        <w:t>_______________________</w:t>
      </w:r>
    </w:p>
    <w:p w14:paraId="1D33C3DE">
      <w:pPr>
        <w:spacing w:line="420" w:lineRule="auto"/>
        <w:ind w:firstLine="0" w:firstLineChars="0"/>
        <w:rPr>
          <w:rFonts w:hint="eastAsia" w:ascii="宋体" w:hAnsi="宋体" w:cs="宋体"/>
          <w:color w:val="auto"/>
          <w:kern w:val="0"/>
          <w:sz w:val="24"/>
          <w:szCs w:val="24"/>
          <w:highlight w:val="none"/>
          <w:u w:val="single"/>
        </w:rPr>
      </w:pPr>
      <w:r>
        <w:rPr>
          <w:rFonts w:hint="eastAsia" w:ascii="宋体" w:hAnsi="宋体" w:cs="宋体"/>
          <w:color w:val="auto"/>
          <w:kern w:val="0"/>
          <w:sz w:val="24"/>
          <w:szCs w:val="24"/>
          <w:highlight w:val="none"/>
        </w:rPr>
        <w:t>地    址：</w:t>
      </w:r>
      <w:r>
        <w:rPr>
          <w:rFonts w:hint="eastAsia" w:ascii="宋体" w:hAnsi="宋体" w:cs="宋体"/>
          <w:color w:val="auto"/>
          <w:kern w:val="0"/>
          <w:sz w:val="24"/>
          <w:szCs w:val="24"/>
          <w:highlight w:val="none"/>
          <w:u w:val="single"/>
        </w:rPr>
        <w:t xml:space="preserve">                        </w:t>
      </w:r>
    </w:p>
    <w:p w14:paraId="0DBB6188">
      <w:pPr>
        <w:spacing w:line="420" w:lineRule="auto"/>
        <w:ind w:firstLine="0" w:firstLineChars="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成立时间：_____年____月_____日</w:t>
      </w:r>
    </w:p>
    <w:p w14:paraId="5575C276">
      <w:pPr>
        <w:spacing w:line="420" w:lineRule="auto"/>
        <w:ind w:firstLine="0" w:firstLineChars="0"/>
        <w:rPr>
          <w:rFonts w:hint="eastAsia" w:ascii="宋体" w:hAnsi="宋体" w:cs="宋体"/>
          <w:color w:val="auto"/>
          <w:kern w:val="0"/>
          <w:sz w:val="24"/>
          <w:szCs w:val="24"/>
          <w:highlight w:val="none"/>
          <w:u w:val="single"/>
        </w:rPr>
      </w:pPr>
      <w:r>
        <w:rPr>
          <w:rFonts w:hint="eastAsia" w:ascii="宋体" w:hAnsi="宋体" w:cs="宋体"/>
          <w:color w:val="auto"/>
          <w:kern w:val="0"/>
          <w:sz w:val="24"/>
          <w:szCs w:val="24"/>
          <w:highlight w:val="none"/>
        </w:rPr>
        <w:t>经营期限：</w:t>
      </w:r>
      <w:r>
        <w:rPr>
          <w:rFonts w:hint="eastAsia" w:ascii="宋体" w:hAnsi="宋体" w:cs="宋体"/>
          <w:color w:val="auto"/>
          <w:kern w:val="0"/>
          <w:sz w:val="24"/>
          <w:szCs w:val="24"/>
          <w:highlight w:val="none"/>
          <w:u w:val="single"/>
        </w:rPr>
        <w:t xml:space="preserve">                        </w:t>
      </w:r>
    </w:p>
    <w:p w14:paraId="1A756A9B">
      <w:pPr>
        <w:spacing w:line="420" w:lineRule="auto"/>
        <w:ind w:firstLine="0" w:firstLineChars="0"/>
        <w:rPr>
          <w:rFonts w:hint="eastAsia" w:ascii="宋体" w:hAnsi="宋体" w:cs="宋体"/>
          <w:color w:val="auto"/>
          <w:kern w:val="0"/>
          <w:sz w:val="24"/>
          <w:szCs w:val="24"/>
          <w:highlight w:val="none"/>
          <w:u w:val="single"/>
        </w:rPr>
      </w:pPr>
      <w:r>
        <w:rPr>
          <w:rFonts w:hint="eastAsia" w:ascii="宋体" w:hAnsi="宋体" w:cs="宋体"/>
          <w:color w:val="auto"/>
          <w:kern w:val="0"/>
          <w:sz w:val="24"/>
          <w:szCs w:val="24"/>
          <w:highlight w:val="none"/>
        </w:rPr>
        <w:t>姓名：_____  性别：_____年龄：_____职务：</w:t>
      </w:r>
      <w:r>
        <w:rPr>
          <w:rFonts w:hint="eastAsia" w:ascii="宋体" w:hAnsi="宋体" w:cs="宋体"/>
          <w:color w:val="auto"/>
          <w:kern w:val="0"/>
          <w:sz w:val="24"/>
          <w:szCs w:val="24"/>
          <w:highlight w:val="none"/>
          <w:u w:val="single"/>
        </w:rPr>
        <w:t xml:space="preserve">          </w:t>
      </w:r>
    </w:p>
    <w:p w14:paraId="69268619">
      <w:pPr>
        <w:spacing w:line="420" w:lineRule="auto"/>
        <w:ind w:firstLine="0" w:firstLineChars="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系</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（供应商名称）的法定代表人。</w:t>
      </w:r>
    </w:p>
    <w:p w14:paraId="5158E51E">
      <w:pPr>
        <w:spacing w:line="420" w:lineRule="auto"/>
        <w:ind w:firstLine="480" w:firstLineChars="0"/>
        <w:rPr>
          <w:rFonts w:hint="eastAsia" w:ascii="宋体" w:hAnsi="宋体" w:cs="宋体"/>
          <w:color w:val="auto"/>
          <w:kern w:val="0"/>
          <w:sz w:val="24"/>
          <w:szCs w:val="24"/>
          <w:highlight w:val="none"/>
        </w:rPr>
      </w:pPr>
    </w:p>
    <w:p w14:paraId="54E7F23B">
      <w:pPr>
        <w:spacing w:line="420" w:lineRule="auto"/>
        <w:ind w:firstLine="0" w:firstLineChars="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特此证明。</w:t>
      </w:r>
    </w:p>
    <w:p w14:paraId="5CA5B4C0">
      <w:pPr>
        <w:spacing w:line="420" w:lineRule="auto"/>
        <w:ind w:firstLine="0" w:firstLineChars="0"/>
        <w:jc w:val="both"/>
        <w:rPr>
          <w:rFonts w:hint="eastAsia" w:ascii="宋体" w:hAnsi="宋体" w:cs="宋体"/>
          <w:color w:val="auto"/>
          <w:kern w:val="0"/>
          <w:sz w:val="24"/>
          <w:szCs w:val="24"/>
          <w:highlight w:val="none"/>
        </w:rPr>
      </w:pPr>
    </w:p>
    <w:p w14:paraId="0A93DC9D">
      <w:pPr>
        <w:spacing w:line="420" w:lineRule="auto"/>
        <w:ind w:firstLine="0" w:firstLineChars="0"/>
        <w:jc w:val="both"/>
        <w:rPr>
          <w:rFonts w:hint="eastAsia" w:ascii="宋体" w:hAnsi="宋体" w:cs="宋体"/>
          <w:color w:val="auto"/>
          <w:kern w:val="0"/>
          <w:sz w:val="24"/>
          <w:szCs w:val="24"/>
          <w:highlight w:val="none"/>
        </w:rPr>
      </w:pPr>
    </w:p>
    <w:p w14:paraId="6415D3D6">
      <w:pPr>
        <w:spacing w:line="420" w:lineRule="auto"/>
        <w:ind w:firstLine="0" w:firstLineChars="0"/>
        <w:jc w:val="both"/>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注：附法定代表人身份证扫描件。</w:t>
      </w:r>
    </w:p>
    <w:p w14:paraId="229ADD66">
      <w:pPr>
        <w:spacing w:line="420" w:lineRule="auto"/>
        <w:ind w:firstLine="3084" w:firstLineChars="0"/>
        <w:jc w:val="right"/>
        <w:rPr>
          <w:rFonts w:hint="eastAsia" w:ascii="宋体" w:hAnsi="宋体" w:cs="宋体"/>
          <w:color w:val="auto"/>
          <w:kern w:val="0"/>
          <w:sz w:val="24"/>
          <w:szCs w:val="24"/>
          <w:highlight w:val="none"/>
        </w:rPr>
      </w:pPr>
    </w:p>
    <w:p w14:paraId="2B25B93E">
      <w:pPr>
        <w:spacing w:line="420" w:lineRule="auto"/>
        <w:ind w:firstLine="3084" w:firstLineChars="0"/>
        <w:jc w:val="right"/>
        <w:rPr>
          <w:rFonts w:hint="eastAsia" w:ascii="宋体" w:hAnsi="宋体" w:cs="宋体"/>
          <w:color w:val="auto"/>
          <w:kern w:val="0"/>
          <w:sz w:val="24"/>
          <w:szCs w:val="24"/>
          <w:highlight w:val="none"/>
        </w:rPr>
      </w:pPr>
    </w:p>
    <w:p w14:paraId="7528475F">
      <w:pPr>
        <w:spacing w:line="480" w:lineRule="auto"/>
        <w:ind w:firstLine="0" w:firstLineChars="0"/>
        <w:jc w:val="right"/>
        <w:rPr>
          <w:rFonts w:hint="eastAsia" w:ascii="宋体" w:hAnsi="宋体" w:cs="宋体"/>
          <w:color w:val="auto"/>
          <w:kern w:val="1"/>
          <w:sz w:val="24"/>
          <w:szCs w:val="24"/>
          <w:highlight w:val="none"/>
        </w:rPr>
      </w:pPr>
      <w:bookmarkStart w:id="513" w:name="_Toc498410867"/>
      <w:bookmarkStart w:id="514" w:name="_Toc523206971"/>
      <w:bookmarkStart w:id="515" w:name="_Toc523207227"/>
    </w:p>
    <w:p w14:paraId="3441E44D">
      <w:pPr>
        <w:spacing w:line="480" w:lineRule="auto"/>
        <w:ind w:firstLine="0" w:firstLineChars="0"/>
        <w:jc w:val="right"/>
        <w:rPr>
          <w:rFonts w:hint="eastAsia"/>
          <w:color w:val="auto"/>
          <w:highlight w:val="none"/>
        </w:rPr>
      </w:pPr>
      <w:r>
        <w:rPr>
          <w:rFonts w:hint="eastAsia" w:ascii="宋体" w:hAnsi="宋体" w:cs="宋体"/>
          <w:color w:val="auto"/>
          <w:kern w:val="1"/>
          <w:sz w:val="24"/>
          <w:szCs w:val="24"/>
          <w:highlight w:val="none"/>
        </w:rPr>
        <w:t>供应商名称：</w:t>
      </w:r>
      <w:r>
        <w:rPr>
          <w:rFonts w:hint="eastAsia" w:ascii="宋体" w:hAnsi="宋体" w:cs="宋体"/>
          <w:color w:val="auto"/>
          <w:kern w:val="1"/>
          <w:sz w:val="24"/>
          <w:szCs w:val="24"/>
          <w:highlight w:val="none"/>
          <w:u w:val="single"/>
        </w:rPr>
        <w:t xml:space="preserve">               </w:t>
      </w:r>
      <w:r>
        <w:rPr>
          <w:rFonts w:hint="eastAsia" w:ascii="宋体" w:hAnsi="宋体" w:cs="宋体"/>
          <w:color w:val="auto"/>
          <w:kern w:val="1"/>
          <w:sz w:val="24"/>
          <w:szCs w:val="24"/>
          <w:highlight w:val="none"/>
        </w:rPr>
        <w:t>（企业电子签章）</w:t>
      </w:r>
    </w:p>
    <w:p w14:paraId="49C1CFFE">
      <w:pPr>
        <w:spacing w:line="480" w:lineRule="auto"/>
        <w:ind w:firstLine="0" w:firstLineChars="0"/>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 xml:space="preserve">                                            日期： ____年____月_____日</w:t>
      </w:r>
    </w:p>
    <w:p w14:paraId="48A3AB82">
      <w:pPr>
        <w:spacing w:line="240" w:lineRule="auto"/>
        <w:ind w:firstLine="0" w:firstLineChars="0"/>
        <w:jc w:val="both"/>
        <w:rPr>
          <w:rFonts w:hint="eastAsia" w:ascii="宋体" w:hAnsi="宋体" w:cs="宋体"/>
          <w:color w:val="auto"/>
          <w:kern w:val="0"/>
          <w:sz w:val="24"/>
          <w:szCs w:val="24"/>
          <w:highlight w:val="none"/>
        </w:rPr>
      </w:pPr>
    </w:p>
    <w:p w14:paraId="3D173B9D">
      <w:pPr>
        <w:keepNext/>
        <w:keepLines/>
        <w:spacing w:before="260" w:after="260" w:line="240" w:lineRule="auto"/>
        <w:ind w:firstLine="482"/>
        <w:jc w:val="center"/>
        <w:outlineLvl w:val="1"/>
        <w:rPr>
          <w:rFonts w:hint="eastAsia" w:ascii="宋体" w:hAnsi="宋体" w:cs="宋体"/>
          <w:b/>
          <w:color w:val="auto"/>
          <w:sz w:val="24"/>
          <w:szCs w:val="24"/>
          <w:highlight w:val="none"/>
        </w:rPr>
      </w:pPr>
      <w:bookmarkStart w:id="516" w:name="_Toc257210934"/>
      <w:bookmarkEnd w:id="516"/>
      <w:bookmarkStart w:id="517" w:name="_Toc246157414"/>
      <w:bookmarkEnd w:id="517"/>
      <w:bookmarkStart w:id="518" w:name="_Toc497493205"/>
      <w:bookmarkStart w:id="519" w:name="_Toc10555252"/>
      <w:bookmarkStart w:id="520" w:name="_Toc10555108"/>
      <w:r>
        <w:rPr>
          <w:rFonts w:hint="eastAsia" w:ascii="宋体" w:hAnsi="宋体" w:cs="宋体"/>
          <w:b/>
          <w:color w:val="auto"/>
          <w:sz w:val="24"/>
          <w:szCs w:val="24"/>
          <w:highlight w:val="none"/>
        </w:rPr>
        <w:br w:type="page"/>
      </w:r>
      <w:bookmarkStart w:id="521" w:name="_Toc22122"/>
      <w:r>
        <w:rPr>
          <w:rFonts w:hint="eastAsia" w:ascii="宋体" w:hAnsi="宋体" w:cs="宋体"/>
          <w:b/>
          <w:color w:val="auto"/>
          <w:sz w:val="28"/>
          <w:szCs w:val="28"/>
          <w:highlight w:val="none"/>
        </w:rPr>
        <w:t>三、法人授权委托书</w:t>
      </w:r>
      <w:bookmarkEnd w:id="513"/>
      <w:bookmarkEnd w:id="514"/>
      <w:bookmarkEnd w:id="515"/>
      <w:bookmarkEnd w:id="518"/>
      <w:bookmarkEnd w:id="519"/>
      <w:bookmarkEnd w:id="520"/>
      <w:bookmarkEnd w:id="521"/>
    </w:p>
    <w:p w14:paraId="2A401DB6">
      <w:pPr>
        <w:spacing w:line="420" w:lineRule="auto"/>
        <w:ind w:firstLine="0" w:firstLineChars="0"/>
        <w:jc w:val="both"/>
        <w:rPr>
          <w:rFonts w:hint="eastAsia" w:ascii="宋体" w:hAnsi="宋体" w:cs="宋体"/>
          <w:color w:val="auto"/>
          <w:kern w:val="0"/>
          <w:sz w:val="24"/>
          <w:szCs w:val="24"/>
          <w:highlight w:val="none"/>
        </w:rPr>
      </w:pPr>
    </w:p>
    <w:p w14:paraId="6612F211">
      <w:pPr>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本人 _____（姓名）</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（身份证号）系____________（供应商名称）的法定代表人，现委托我单位在职人员_____（姓名）</w:t>
      </w:r>
      <w:r>
        <w:rPr>
          <w:rFonts w:hint="eastAsia" w:ascii="宋体" w:hAnsi="宋体" w:cs="宋体"/>
          <w:color w:val="auto"/>
          <w:kern w:val="0"/>
          <w:sz w:val="24"/>
          <w:szCs w:val="24"/>
          <w:highlight w:val="none"/>
          <w:u w:val="single"/>
        </w:rPr>
        <w:t xml:space="preserve">      </w:t>
      </w:r>
      <w:r>
        <w:rPr>
          <w:rFonts w:hint="eastAsia" w:ascii="宋体" w:hAnsi="宋体" w:cs="宋体"/>
          <w:b/>
          <w:bCs/>
          <w:color w:val="auto"/>
          <w:kern w:val="0"/>
          <w:sz w:val="24"/>
          <w:szCs w:val="24"/>
          <w:highlight w:val="none"/>
          <w:u w:val="single"/>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（身份证号）为我方代理人。代理人根据授权，以我方名义签署、澄清、说明、补正、递交、撤回、修改</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（项目名称）投标文件、签订合同和处理有关事宜，其法律后果由我方承担。</w:t>
      </w:r>
    </w:p>
    <w:p w14:paraId="3F05CEAC">
      <w:pPr>
        <w:spacing w:line="360" w:lineRule="auto"/>
        <w:ind w:firstLine="480"/>
        <w:rPr>
          <w:rFonts w:hint="eastAsia" w:ascii="宋体" w:hAnsi="宋体" w:cs="宋体"/>
          <w:color w:val="auto"/>
          <w:kern w:val="0"/>
          <w:sz w:val="24"/>
          <w:szCs w:val="24"/>
          <w:highlight w:val="none"/>
          <w:u w:val="single"/>
        </w:rPr>
      </w:pPr>
      <w:r>
        <w:rPr>
          <w:rFonts w:hint="eastAsia" w:ascii="宋体" w:hAnsi="宋体" w:cs="宋体"/>
          <w:color w:val="auto"/>
          <w:kern w:val="0"/>
          <w:sz w:val="24"/>
          <w:szCs w:val="24"/>
          <w:highlight w:val="none"/>
        </w:rPr>
        <w:t>委托期限：</w:t>
      </w:r>
      <w:r>
        <w:rPr>
          <w:rFonts w:hint="eastAsia" w:ascii="宋体" w:hAnsi="宋体" w:cs="宋体"/>
          <w:color w:val="auto"/>
          <w:kern w:val="0"/>
          <w:sz w:val="24"/>
          <w:szCs w:val="24"/>
          <w:highlight w:val="none"/>
          <w:u w:val="single"/>
        </w:rPr>
        <w:t xml:space="preserve">              </w:t>
      </w:r>
    </w:p>
    <w:p w14:paraId="03E01E44">
      <w:pPr>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联系方式（手机号）：</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（保持畅通）</w:t>
      </w:r>
    </w:p>
    <w:p w14:paraId="3E232BED">
      <w:pPr>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电子邮箱：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（保持可通讯状态） </w:t>
      </w:r>
    </w:p>
    <w:p w14:paraId="6BF66CB2">
      <w:pPr>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代理人无转委托权。</w:t>
      </w:r>
    </w:p>
    <w:p w14:paraId="6857E7BE">
      <w:pPr>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注：附授权委托人身份证扫描件。</w:t>
      </w:r>
    </w:p>
    <w:p w14:paraId="51221213">
      <w:pPr>
        <w:spacing w:line="360" w:lineRule="auto"/>
        <w:ind w:firstLine="480" w:firstLineChars="0"/>
        <w:rPr>
          <w:rFonts w:hint="eastAsia" w:ascii="宋体" w:hAnsi="宋体" w:cs="宋体"/>
          <w:color w:val="auto"/>
          <w:kern w:val="0"/>
          <w:sz w:val="24"/>
          <w:szCs w:val="24"/>
          <w:highlight w:val="none"/>
        </w:rPr>
      </w:pPr>
    </w:p>
    <w:p w14:paraId="667EC9FC">
      <w:pPr>
        <w:keepNext/>
        <w:keepLines/>
        <w:spacing w:before="260" w:after="260" w:line="360" w:lineRule="auto"/>
        <w:ind w:firstLine="482"/>
        <w:jc w:val="both"/>
        <w:outlineLvl w:val="1"/>
        <w:rPr>
          <w:rFonts w:hint="eastAsia" w:ascii="宋体" w:hAnsi="宋体" w:cs="宋体"/>
          <w:b/>
          <w:color w:val="auto"/>
          <w:sz w:val="24"/>
          <w:szCs w:val="24"/>
          <w:highlight w:val="none"/>
        </w:rPr>
      </w:pPr>
    </w:p>
    <w:p w14:paraId="43A40025">
      <w:pPr>
        <w:spacing w:line="360" w:lineRule="auto"/>
        <w:ind w:firstLine="0" w:firstLineChars="0"/>
        <w:jc w:val="both"/>
        <w:rPr>
          <w:rFonts w:hint="eastAsia" w:ascii="宋体" w:hAnsi="宋体" w:cs="宋体"/>
          <w:color w:val="auto"/>
          <w:kern w:val="0"/>
          <w:sz w:val="24"/>
          <w:szCs w:val="24"/>
          <w:highlight w:val="none"/>
        </w:rPr>
      </w:pPr>
    </w:p>
    <w:p w14:paraId="267BB48C">
      <w:pPr>
        <w:spacing w:line="360" w:lineRule="auto"/>
        <w:ind w:firstLine="0" w:firstLineChars="0"/>
        <w:jc w:val="right"/>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供应商名称：</w:t>
      </w:r>
      <w:r>
        <w:rPr>
          <w:rFonts w:hint="eastAsia" w:ascii="宋体" w:hAnsi="宋体" w:cs="宋体"/>
          <w:color w:val="auto"/>
          <w:kern w:val="1"/>
          <w:sz w:val="24"/>
          <w:szCs w:val="24"/>
          <w:highlight w:val="none"/>
          <w:u w:val="single"/>
        </w:rPr>
        <w:t xml:space="preserve">               </w:t>
      </w:r>
      <w:r>
        <w:rPr>
          <w:rFonts w:hint="eastAsia" w:ascii="宋体" w:hAnsi="宋体" w:cs="宋体"/>
          <w:color w:val="auto"/>
          <w:kern w:val="1"/>
          <w:sz w:val="24"/>
          <w:szCs w:val="24"/>
          <w:highlight w:val="none"/>
        </w:rPr>
        <w:t>（企业电子签章）</w:t>
      </w:r>
    </w:p>
    <w:p w14:paraId="34416707">
      <w:pPr>
        <w:spacing w:line="360" w:lineRule="auto"/>
        <w:ind w:firstLine="0" w:firstLineChars="0"/>
        <w:jc w:val="right"/>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法定代表人或其授权委托人：</w:t>
      </w:r>
      <w:r>
        <w:rPr>
          <w:rFonts w:hint="eastAsia" w:ascii="宋体" w:hAnsi="宋体" w:cs="宋体"/>
          <w:color w:val="auto"/>
          <w:kern w:val="1"/>
          <w:sz w:val="24"/>
          <w:szCs w:val="24"/>
          <w:highlight w:val="none"/>
          <w:u w:val="single"/>
        </w:rPr>
        <w:t xml:space="preserve">              </w:t>
      </w:r>
      <w:r>
        <w:rPr>
          <w:rFonts w:hint="eastAsia" w:ascii="宋体" w:hAnsi="宋体" w:cs="宋体"/>
          <w:color w:val="auto"/>
          <w:kern w:val="1"/>
          <w:sz w:val="24"/>
          <w:szCs w:val="24"/>
          <w:highlight w:val="none"/>
        </w:rPr>
        <w:t xml:space="preserve">（个人电子签章或签字） </w:t>
      </w:r>
    </w:p>
    <w:p w14:paraId="3877EB66">
      <w:pPr>
        <w:spacing w:line="360" w:lineRule="auto"/>
        <w:ind w:firstLine="0" w:firstLineChars="0"/>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 xml:space="preserve">                                              日期： ____年____月_____日</w:t>
      </w:r>
    </w:p>
    <w:p w14:paraId="44DD38CF">
      <w:pPr>
        <w:keepNext/>
        <w:keepLines/>
        <w:autoSpaceDE w:val="0"/>
        <w:autoSpaceDN w:val="0"/>
        <w:adjustRightInd w:val="0"/>
        <w:spacing w:before="120" w:line="300" w:lineRule="auto"/>
        <w:ind w:firstLine="0" w:firstLineChars="0"/>
        <w:jc w:val="both"/>
        <w:outlineLvl w:val="1"/>
        <w:rPr>
          <w:rFonts w:hint="eastAsia" w:ascii="宋体" w:hAnsi="宋体" w:cs="宋体"/>
          <w:color w:val="auto"/>
          <w:kern w:val="0"/>
          <w:sz w:val="24"/>
          <w:szCs w:val="24"/>
          <w:highlight w:val="none"/>
        </w:rPr>
      </w:pPr>
    </w:p>
    <w:p w14:paraId="39142B95">
      <w:pPr>
        <w:widowControl/>
        <w:adjustRightInd w:val="0"/>
        <w:snapToGrid w:val="0"/>
        <w:spacing w:after="200" w:line="240" w:lineRule="auto"/>
        <w:ind w:firstLine="0" w:firstLineChars="0"/>
        <w:rPr>
          <w:rFonts w:hint="eastAsia" w:ascii="宋体" w:hAnsi="宋体" w:cs="宋体"/>
          <w:b/>
          <w:color w:val="auto"/>
          <w:kern w:val="0"/>
          <w:sz w:val="24"/>
          <w:szCs w:val="24"/>
          <w:highlight w:val="none"/>
        </w:rPr>
      </w:pPr>
    </w:p>
    <w:p w14:paraId="14D8554E">
      <w:pPr>
        <w:tabs>
          <w:tab w:val="left" w:pos="567"/>
        </w:tabs>
        <w:spacing w:before="120" w:line="22" w:lineRule="atLeast"/>
        <w:ind w:firstLine="0" w:firstLineChars="0"/>
        <w:jc w:val="both"/>
        <w:rPr>
          <w:rFonts w:hint="eastAsia" w:ascii="宋体" w:hAnsi="宋体" w:cs="宋体"/>
          <w:b/>
          <w:color w:val="auto"/>
          <w:sz w:val="24"/>
          <w:szCs w:val="24"/>
          <w:highlight w:val="none"/>
        </w:rPr>
      </w:pPr>
    </w:p>
    <w:p w14:paraId="53593B09">
      <w:pPr>
        <w:keepNext/>
        <w:keepLines/>
        <w:spacing w:before="260" w:after="260" w:line="410" w:lineRule="auto"/>
        <w:ind w:firstLine="562"/>
        <w:jc w:val="center"/>
        <w:outlineLvl w:val="1"/>
        <w:rPr>
          <w:rFonts w:hint="eastAsia" w:ascii="宋体" w:hAnsi="宋体" w:cs="宋体"/>
          <w:b/>
          <w:color w:val="auto"/>
          <w:sz w:val="28"/>
          <w:szCs w:val="28"/>
          <w:highlight w:val="none"/>
        </w:rPr>
      </w:pPr>
      <w:bookmarkStart w:id="522" w:name="_Toc26644"/>
      <w:r>
        <w:rPr>
          <w:rFonts w:hint="eastAsia" w:ascii="宋体" w:hAnsi="宋体" w:cs="宋体"/>
          <w:b/>
          <w:color w:val="auto"/>
          <w:sz w:val="28"/>
          <w:szCs w:val="28"/>
          <w:highlight w:val="none"/>
        </w:rPr>
        <w:br w:type="page"/>
      </w:r>
      <w:r>
        <w:rPr>
          <w:rFonts w:hint="eastAsia" w:ascii="宋体" w:hAnsi="宋体" w:cs="宋体"/>
          <w:b/>
          <w:color w:val="auto"/>
          <w:sz w:val="28"/>
          <w:szCs w:val="28"/>
          <w:highlight w:val="none"/>
        </w:rPr>
        <w:t>四、技术</w:t>
      </w:r>
      <w:r>
        <w:rPr>
          <w:rFonts w:hint="eastAsia" w:ascii="宋体" w:hAnsi="宋体" w:cs="宋体"/>
          <w:b/>
          <w:color w:val="auto"/>
          <w:sz w:val="28"/>
          <w:szCs w:val="28"/>
          <w:highlight w:val="none"/>
          <w:lang w:val="en-US" w:eastAsia="zh-CN"/>
        </w:rPr>
        <w:t>响应</w:t>
      </w:r>
      <w:r>
        <w:rPr>
          <w:rFonts w:hint="eastAsia" w:ascii="宋体" w:hAnsi="宋体" w:cs="宋体"/>
          <w:b/>
          <w:color w:val="auto"/>
          <w:sz w:val="28"/>
          <w:szCs w:val="28"/>
          <w:highlight w:val="none"/>
        </w:rPr>
        <w:t>表</w:t>
      </w:r>
      <w:bookmarkEnd w:id="522"/>
    </w:p>
    <w:p w14:paraId="0B600716">
      <w:pPr>
        <w:spacing w:line="360" w:lineRule="auto"/>
        <w:ind w:firstLine="0" w:firstLineChars="0"/>
        <w:jc w:val="both"/>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项目名称：　　　</w:t>
      </w:r>
    </w:p>
    <w:p w14:paraId="21D2ECCE">
      <w:pPr>
        <w:spacing w:line="360" w:lineRule="auto"/>
        <w:ind w:firstLine="0" w:firstLineChars="0"/>
        <w:jc w:val="both"/>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项目编号：</w:t>
      </w:r>
    </w:p>
    <w:tbl>
      <w:tblPr>
        <w:tblStyle w:val="16"/>
        <w:tblW w:w="8917" w:type="dxa"/>
        <w:tblInd w:w="0" w:type="dxa"/>
        <w:tblLayout w:type="fixed"/>
        <w:tblCellMar>
          <w:top w:w="0" w:type="dxa"/>
          <w:left w:w="108" w:type="dxa"/>
          <w:bottom w:w="0" w:type="dxa"/>
          <w:right w:w="108" w:type="dxa"/>
        </w:tblCellMar>
      </w:tblPr>
      <w:tblGrid>
        <w:gridCol w:w="905"/>
        <w:gridCol w:w="2671"/>
        <w:gridCol w:w="2671"/>
        <w:gridCol w:w="1728"/>
        <w:gridCol w:w="942"/>
      </w:tblGrid>
      <w:tr w14:paraId="2DFDC97F">
        <w:tblPrEx>
          <w:tblCellMar>
            <w:top w:w="0" w:type="dxa"/>
            <w:left w:w="108" w:type="dxa"/>
            <w:bottom w:w="0" w:type="dxa"/>
            <w:right w:w="108" w:type="dxa"/>
          </w:tblCellMar>
        </w:tblPrEx>
        <w:trPr>
          <w:trHeight w:val="666" w:hRule="atLeast"/>
        </w:trPr>
        <w:tc>
          <w:tcPr>
            <w:tcW w:w="905" w:type="dxa"/>
            <w:tcBorders>
              <w:top w:val="single" w:color="000000" w:sz="4" w:space="0"/>
              <w:left w:val="single" w:color="000000" w:sz="4" w:space="0"/>
              <w:bottom w:val="single" w:color="000000" w:sz="4" w:space="0"/>
              <w:right w:val="single" w:color="000000" w:sz="4" w:space="0"/>
            </w:tcBorders>
            <w:noWrap w:val="0"/>
            <w:vAlign w:val="center"/>
          </w:tcPr>
          <w:p w14:paraId="67EA309A">
            <w:pPr>
              <w:spacing w:line="360" w:lineRule="auto"/>
              <w:ind w:firstLine="0" w:firstLineChars="0"/>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序号</w:t>
            </w:r>
          </w:p>
        </w:tc>
        <w:tc>
          <w:tcPr>
            <w:tcW w:w="2671" w:type="dxa"/>
            <w:tcBorders>
              <w:top w:val="single" w:color="000000" w:sz="4" w:space="0"/>
              <w:left w:val="single" w:color="000000" w:sz="4" w:space="0"/>
              <w:bottom w:val="single" w:color="000000" w:sz="4" w:space="0"/>
              <w:right w:val="single" w:color="000000" w:sz="4" w:space="0"/>
            </w:tcBorders>
            <w:noWrap w:val="0"/>
            <w:vAlign w:val="center"/>
          </w:tcPr>
          <w:p w14:paraId="61D0A952">
            <w:pPr>
              <w:spacing w:line="360" w:lineRule="auto"/>
              <w:ind w:firstLine="0" w:firstLineChars="0"/>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招标文件要求服务内容及技术要求</w:t>
            </w:r>
          </w:p>
        </w:tc>
        <w:tc>
          <w:tcPr>
            <w:tcW w:w="2671" w:type="dxa"/>
            <w:tcBorders>
              <w:top w:val="single" w:color="000000" w:sz="4" w:space="0"/>
              <w:left w:val="single" w:color="000000" w:sz="4" w:space="0"/>
              <w:bottom w:val="single" w:color="000000" w:sz="4" w:space="0"/>
              <w:right w:val="single" w:color="000000" w:sz="4" w:space="0"/>
            </w:tcBorders>
            <w:noWrap w:val="0"/>
            <w:vAlign w:val="center"/>
          </w:tcPr>
          <w:p w14:paraId="64FD39AA">
            <w:pPr>
              <w:spacing w:line="360" w:lineRule="auto"/>
              <w:ind w:firstLine="0" w:firstLineChars="0"/>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投标文件响应内容</w:t>
            </w:r>
          </w:p>
        </w:tc>
        <w:tc>
          <w:tcPr>
            <w:tcW w:w="1728" w:type="dxa"/>
            <w:tcBorders>
              <w:top w:val="single" w:color="000000" w:sz="4" w:space="0"/>
              <w:left w:val="single" w:color="000000" w:sz="4" w:space="0"/>
              <w:bottom w:val="single" w:color="000000" w:sz="4" w:space="0"/>
              <w:right w:val="single" w:color="000000" w:sz="4" w:space="0"/>
            </w:tcBorders>
            <w:noWrap w:val="0"/>
            <w:vAlign w:val="center"/>
          </w:tcPr>
          <w:p w14:paraId="22752ED7">
            <w:pPr>
              <w:spacing w:line="360" w:lineRule="auto"/>
              <w:ind w:firstLine="0" w:firstLineChars="0"/>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偏差说明</w:t>
            </w:r>
          </w:p>
        </w:tc>
        <w:tc>
          <w:tcPr>
            <w:tcW w:w="942" w:type="dxa"/>
            <w:tcBorders>
              <w:top w:val="single" w:color="000000" w:sz="4" w:space="0"/>
              <w:left w:val="single" w:color="000000" w:sz="4" w:space="0"/>
              <w:bottom w:val="single" w:color="000000" w:sz="4" w:space="0"/>
              <w:right w:val="single" w:color="000000" w:sz="4" w:space="0"/>
            </w:tcBorders>
            <w:noWrap w:val="0"/>
            <w:vAlign w:val="center"/>
          </w:tcPr>
          <w:p w14:paraId="7A7FC82B">
            <w:pPr>
              <w:spacing w:line="360" w:lineRule="auto"/>
              <w:ind w:firstLine="0" w:firstLineChars="0"/>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结论</w:t>
            </w:r>
          </w:p>
        </w:tc>
      </w:tr>
      <w:tr w14:paraId="3703BF74">
        <w:tblPrEx>
          <w:tblCellMar>
            <w:top w:w="0" w:type="dxa"/>
            <w:left w:w="108" w:type="dxa"/>
            <w:bottom w:w="0" w:type="dxa"/>
            <w:right w:w="108" w:type="dxa"/>
          </w:tblCellMar>
        </w:tblPrEx>
        <w:trPr>
          <w:trHeight w:val="646" w:hRule="atLeast"/>
        </w:trPr>
        <w:tc>
          <w:tcPr>
            <w:tcW w:w="905" w:type="dxa"/>
            <w:tcBorders>
              <w:top w:val="single" w:color="000000" w:sz="4" w:space="0"/>
              <w:left w:val="single" w:color="000000" w:sz="4" w:space="0"/>
              <w:bottom w:val="single" w:color="000000" w:sz="4" w:space="0"/>
              <w:right w:val="single" w:color="000000" w:sz="4" w:space="0"/>
            </w:tcBorders>
            <w:noWrap w:val="0"/>
            <w:vAlign w:val="top"/>
          </w:tcPr>
          <w:p w14:paraId="5B5740BB">
            <w:pPr>
              <w:spacing w:line="360" w:lineRule="auto"/>
              <w:ind w:firstLine="0" w:firstLineChars="0"/>
              <w:jc w:val="both"/>
              <w:rPr>
                <w:rFonts w:hint="eastAsia" w:ascii="宋体" w:hAnsi="宋体" w:cs="宋体"/>
                <w:color w:val="auto"/>
                <w:kern w:val="0"/>
                <w:sz w:val="24"/>
                <w:szCs w:val="24"/>
                <w:highlight w:val="none"/>
              </w:rPr>
            </w:pPr>
          </w:p>
        </w:tc>
        <w:tc>
          <w:tcPr>
            <w:tcW w:w="2671" w:type="dxa"/>
            <w:tcBorders>
              <w:top w:val="single" w:color="000000" w:sz="4" w:space="0"/>
              <w:left w:val="single" w:color="000000" w:sz="4" w:space="0"/>
              <w:bottom w:val="single" w:color="000000" w:sz="4" w:space="0"/>
              <w:right w:val="single" w:color="000000" w:sz="4" w:space="0"/>
            </w:tcBorders>
            <w:noWrap w:val="0"/>
            <w:vAlign w:val="top"/>
          </w:tcPr>
          <w:p w14:paraId="2AA8285F">
            <w:pPr>
              <w:spacing w:line="360" w:lineRule="auto"/>
              <w:ind w:firstLine="0" w:firstLineChars="0"/>
              <w:jc w:val="both"/>
              <w:rPr>
                <w:rFonts w:hint="eastAsia" w:ascii="宋体" w:hAnsi="宋体" w:cs="宋体"/>
                <w:color w:val="auto"/>
                <w:kern w:val="0"/>
                <w:sz w:val="24"/>
                <w:szCs w:val="24"/>
                <w:highlight w:val="none"/>
              </w:rPr>
            </w:pPr>
          </w:p>
        </w:tc>
        <w:tc>
          <w:tcPr>
            <w:tcW w:w="2671" w:type="dxa"/>
            <w:tcBorders>
              <w:top w:val="single" w:color="000000" w:sz="4" w:space="0"/>
              <w:left w:val="single" w:color="000000" w:sz="4" w:space="0"/>
              <w:bottom w:val="single" w:color="000000" w:sz="4" w:space="0"/>
              <w:right w:val="single" w:color="000000" w:sz="4" w:space="0"/>
            </w:tcBorders>
            <w:noWrap w:val="0"/>
            <w:vAlign w:val="top"/>
          </w:tcPr>
          <w:p w14:paraId="7DDD9532">
            <w:pPr>
              <w:spacing w:line="360" w:lineRule="auto"/>
              <w:ind w:firstLine="0" w:firstLineChars="0"/>
              <w:jc w:val="center"/>
              <w:rPr>
                <w:rFonts w:hint="eastAsia" w:ascii="宋体" w:hAnsi="宋体" w:cs="宋体"/>
                <w:color w:val="auto"/>
                <w:kern w:val="0"/>
                <w:sz w:val="24"/>
                <w:szCs w:val="24"/>
                <w:highlight w:val="none"/>
              </w:rPr>
            </w:pPr>
          </w:p>
        </w:tc>
        <w:tc>
          <w:tcPr>
            <w:tcW w:w="1728" w:type="dxa"/>
            <w:tcBorders>
              <w:top w:val="single" w:color="000000" w:sz="4" w:space="0"/>
              <w:left w:val="single" w:color="000000" w:sz="4" w:space="0"/>
              <w:bottom w:val="single" w:color="000000" w:sz="4" w:space="0"/>
              <w:right w:val="single" w:color="000000" w:sz="4" w:space="0"/>
            </w:tcBorders>
            <w:noWrap w:val="0"/>
            <w:vAlign w:val="top"/>
          </w:tcPr>
          <w:p w14:paraId="0E993C07">
            <w:pPr>
              <w:spacing w:line="360" w:lineRule="auto"/>
              <w:ind w:firstLine="0" w:firstLineChars="0"/>
              <w:jc w:val="both"/>
              <w:rPr>
                <w:rFonts w:hint="eastAsia" w:ascii="宋体" w:hAnsi="宋体" w:cs="宋体"/>
                <w:color w:val="auto"/>
                <w:kern w:val="0"/>
                <w:sz w:val="24"/>
                <w:szCs w:val="24"/>
                <w:highlight w:val="none"/>
              </w:rPr>
            </w:pPr>
          </w:p>
        </w:tc>
        <w:tc>
          <w:tcPr>
            <w:tcW w:w="942" w:type="dxa"/>
            <w:tcBorders>
              <w:top w:val="single" w:color="000000" w:sz="4" w:space="0"/>
              <w:left w:val="single" w:color="000000" w:sz="4" w:space="0"/>
              <w:bottom w:val="single" w:color="000000" w:sz="4" w:space="0"/>
              <w:right w:val="single" w:color="000000" w:sz="4" w:space="0"/>
            </w:tcBorders>
            <w:noWrap w:val="0"/>
            <w:vAlign w:val="top"/>
          </w:tcPr>
          <w:p w14:paraId="6103AA14">
            <w:pPr>
              <w:spacing w:line="360" w:lineRule="auto"/>
              <w:ind w:firstLine="0" w:firstLineChars="0"/>
              <w:jc w:val="both"/>
              <w:rPr>
                <w:rFonts w:hint="eastAsia" w:ascii="宋体" w:hAnsi="宋体" w:cs="宋体"/>
                <w:color w:val="auto"/>
                <w:kern w:val="0"/>
                <w:sz w:val="24"/>
                <w:szCs w:val="24"/>
                <w:highlight w:val="none"/>
              </w:rPr>
            </w:pPr>
          </w:p>
        </w:tc>
      </w:tr>
      <w:tr w14:paraId="1D353642">
        <w:tblPrEx>
          <w:tblCellMar>
            <w:top w:w="0" w:type="dxa"/>
            <w:left w:w="108" w:type="dxa"/>
            <w:bottom w:w="0" w:type="dxa"/>
            <w:right w:w="108" w:type="dxa"/>
          </w:tblCellMar>
        </w:tblPrEx>
        <w:trPr>
          <w:trHeight w:val="646" w:hRule="atLeast"/>
        </w:trPr>
        <w:tc>
          <w:tcPr>
            <w:tcW w:w="905" w:type="dxa"/>
            <w:tcBorders>
              <w:top w:val="single" w:color="000000" w:sz="4" w:space="0"/>
              <w:left w:val="single" w:color="000000" w:sz="4" w:space="0"/>
              <w:bottom w:val="single" w:color="000000" w:sz="4" w:space="0"/>
              <w:right w:val="single" w:color="000000" w:sz="4" w:space="0"/>
            </w:tcBorders>
            <w:noWrap w:val="0"/>
            <w:vAlign w:val="top"/>
          </w:tcPr>
          <w:p w14:paraId="315B6423">
            <w:pPr>
              <w:spacing w:line="360" w:lineRule="auto"/>
              <w:ind w:firstLine="0" w:firstLineChars="0"/>
              <w:jc w:val="both"/>
              <w:rPr>
                <w:rFonts w:hint="eastAsia" w:ascii="宋体" w:hAnsi="宋体" w:cs="宋体"/>
                <w:color w:val="auto"/>
                <w:kern w:val="0"/>
                <w:sz w:val="24"/>
                <w:szCs w:val="24"/>
                <w:highlight w:val="none"/>
              </w:rPr>
            </w:pPr>
          </w:p>
        </w:tc>
        <w:tc>
          <w:tcPr>
            <w:tcW w:w="2671" w:type="dxa"/>
            <w:tcBorders>
              <w:top w:val="single" w:color="000000" w:sz="4" w:space="0"/>
              <w:left w:val="single" w:color="000000" w:sz="4" w:space="0"/>
              <w:bottom w:val="single" w:color="000000" w:sz="4" w:space="0"/>
              <w:right w:val="single" w:color="000000" w:sz="4" w:space="0"/>
            </w:tcBorders>
            <w:noWrap w:val="0"/>
            <w:vAlign w:val="top"/>
          </w:tcPr>
          <w:p w14:paraId="491508D8">
            <w:pPr>
              <w:spacing w:line="360" w:lineRule="auto"/>
              <w:ind w:firstLine="0" w:firstLineChars="0"/>
              <w:jc w:val="both"/>
              <w:rPr>
                <w:rFonts w:hint="eastAsia" w:ascii="宋体" w:hAnsi="宋体" w:cs="宋体"/>
                <w:color w:val="auto"/>
                <w:kern w:val="0"/>
                <w:sz w:val="24"/>
                <w:szCs w:val="24"/>
                <w:highlight w:val="none"/>
              </w:rPr>
            </w:pPr>
          </w:p>
        </w:tc>
        <w:tc>
          <w:tcPr>
            <w:tcW w:w="2671" w:type="dxa"/>
            <w:tcBorders>
              <w:top w:val="single" w:color="000000" w:sz="4" w:space="0"/>
              <w:left w:val="single" w:color="000000" w:sz="4" w:space="0"/>
              <w:bottom w:val="single" w:color="000000" w:sz="4" w:space="0"/>
              <w:right w:val="single" w:color="000000" w:sz="4" w:space="0"/>
            </w:tcBorders>
            <w:noWrap w:val="0"/>
            <w:vAlign w:val="top"/>
          </w:tcPr>
          <w:p w14:paraId="517CC09B">
            <w:pPr>
              <w:spacing w:line="360" w:lineRule="auto"/>
              <w:ind w:firstLine="0" w:firstLineChars="0"/>
              <w:jc w:val="both"/>
              <w:rPr>
                <w:rFonts w:hint="eastAsia" w:ascii="宋体" w:hAnsi="宋体" w:cs="宋体"/>
                <w:color w:val="auto"/>
                <w:kern w:val="0"/>
                <w:sz w:val="24"/>
                <w:szCs w:val="24"/>
                <w:highlight w:val="none"/>
              </w:rPr>
            </w:pPr>
          </w:p>
        </w:tc>
        <w:tc>
          <w:tcPr>
            <w:tcW w:w="1728" w:type="dxa"/>
            <w:tcBorders>
              <w:top w:val="single" w:color="000000" w:sz="4" w:space="0"/>
              <w:left w:val="single" w:color="000000" w:sz="4" w:space="0"/>
              <w:bottom w:val="single" w:color="000000" w:sz="4" w:space="0"/>
              <w:right w:val="single" w:color="000000" w:sz="4" w:space="0"/>
            </w:tcBorders>
            <w:noWrap w:val="0"/>
            <w:vAlign w:val="top"/>
          </w:tcPr>
          <w:p w14:paraId="67D10ED8">
            <w:pPr>
              <w:spacing w:line="360" w:lineRule="auto"/>
              <w:ind w:firstLine="0" w:firstLineChars="0"/>
              <w:jc w:val="both"/>
              <w:rPr>
                <w:rFonts w:hint="eastAsia" w:ascii="宋体" w:hAnsi="宋体" w:cs="宋体"/>
                <w:color w:val="auto"/>
                <w:kern w:val="0"/>
                <w:sz w:val="24"/>
                <w:szCs w:val="24"/>
                <w:highlight w:val="none"/>
              </w:rPr>
            </w:pPr>
          </w:p>
        </w:tc>
        <w:tc>
          <w:tcPr>
            <w:tcW w:w="942" w:type="dxa"/>
            <w:tcBorders>
              <w:top w:val="single" w:color="000000" w:sz="4" w:space="0"/>
              <w:left w:val="single" w:color="000000" w:sz="4" w:space="0"/>
              <w:bottom w:val="single" w:color="000000" w:sz="4" w:space="0"/>
              <w:right w:val="single" w:color="000000" w:sz="4" w:space="0"/>
            </w:tcBorders>
            <w:noWrap w:val="0"/>
            <w:vAlign w:val="top"/>
          </w:tcPr>
          <w:p w14:paraId="5289C9F5">
            <w:pPr>
              <w:spacing w:line="360" w:lineRule="auto"/>
              <w:ind w:firstLine="0" w:firstLineChars="0"/>
              <w:jc w:val="both"/>
              <w:rPr>
                <w:rFonts w:hint="eastAsia" w:ascii="宋体" w:hAnsi="宋体" w:cs="宋体"/>
                <w:color w:val="auto"/>
                <w:kern w:val="0"/>
                <w:sz w:val="24"/>
                <w:szCs w:val="24"/>
                <w:highlight w:val="none"/>
              </w:rPr>
            </w:pPr>
          </w:p>
        </w:tc>
      </w:tr>
      <w:tr w14:paraId="31CEF122">
        <w:tblPrEx>
          <w:tblCellMar>
            <w:top w:w="0" w:type="dxa"/>
            <w:left w:w="108" w:type="dxa"/>
            <w:bottom w:w="0" w:type="dxa"/>
            <w:right w:w="108" w:type="dxa"/>
          </w:tblCellMar>
        </w:tblPrEx>
        <w:trPr>
          <w:trHeight w:val="646" w:hRule="atLeast"/>
        </w:trPr>
        <w:tc>
          <w:tcPr>
            <w:tcW w:w="905" w:type="dxa"/>
            <w:tcBorders>
              <w:top w:val="single" w:color="000000" w:sz="4" w:space="0"/>
              <w:left w:val="single" w:color="000000" w:sz="4" w:space="0"/>
              <w:bottom w:val="single" w:color="000000" w:sz="4" w:space="0"/>
              <w:right w:val="single" w:color="000000" w:sz="4" w:space="0"/>
            </w:tcBorders>
            <w:noWrap w:val="0"/>
            <w:vAlign w:val="top"/>
          </w:tcPr>
          <w:p w14:paraId="321448AD">
            <w:pPr>
              <w:spacing w:line="360" w:lineRule="auto"/>
              <w:ind w:firstLine="0" w:firstLineChars="0"/>
              <w:jc w:val="both"/>
              <w:rPr>
                <w:rFonts w:hint="eastAsia" w:ascii="宋体" w:hAnsi="宋体" w:cs="宋体"/>
                <w:color w:val="auto"/>
                <w:kern w:val="0"/>
                <w:sz w:val="24"/>
                <w:szCs w:val="24"/>
                <w:highlight w:val="none"/>
              </w:rPr>
            </w:pPr>
          </w:p>
        </w:tc>
        <w:tc>
          <w:tcPr>
            <w:tcW w:w="2671" w:type="dxa"/>
            <w:tcBorders>
              <w:top w:val="single" w:color="000000" w:sz="4" w:space="0"/>
              <w:left w:val="single" w:color="000000" w:sz="4" w:space="0"/>
              <w:bottom w:val="single" w:color="000000" w:sz="4" w:space="0"/>
              <w:right w:val="single" w:color="000000" w:sz="4" w:space="0"/>
            </w:tcBorders>
            <w:noWrap w:val="0"/>
            <w:vAlign w:val="top"/>
          </w:tcPr>
          <w:p w14:paraId="03091869">
            <w:pPr>
              <w:spacing w:line="360" w:lineRule="auto"/>
              <w:ind w:firstLine="0" w:firstLineChars="0"/>
              <w:jc w:val="both"/>
              <w:rPr>
                <w:rFonts w:hint="eastAsia" w:ascii="宋体" w:hAnsi="宋体" w:cs="宋体"/>
                <w:color w:val="auto"/>
                <w:kern w:val="0"/>
                <w:sz w:val="24"/>
                <w:szCs w:val="24"/>
                <w:highlight w:val="none"/>
              </w:rPr>
            </w:pPr>
          </w:p>
        </w:tc>
        <w:tc>
          <w:tcPr>
            <w:tcW w:w="2671" w:type="dxa"/>
            <w:tcBorders>
              <w:top w:val="single" w:color="000000" w:sz="4" w:space="0"/>
              <w:left w:val="single" w:color="000000" w:sz="4" w:space="0"/>
              <w:bottom w:val="single" w:color="000000" w:sz="4" w:space="0"/>
              <w:right w:val="single" w:color="000000" w:sz="4" w:space="0"/>
            </w:tcBorders>
            <w:noWrap w:val="0"/>
            <w:vAlign w:val="top"/>
          </w:tcPr>
          <w:p w14:paraId="360240D2">
            <w:pPr>
              <w:spacing w:line="360" w:lineRule="auto"/>
              <w:ind w:firstLine="0" w:firstLineChars="0"/>
              <w:jc w:val="both"/>
              <w:rPr>
                <w:rFonts w:hint="eastAsia" w:ascii="宋体" w:hAnsi="宋体" w:cs="宋体"/>
                <w:color w:val="auto"/>
                <w:kern w:val="0"/>
                <w:sz w:val="24"/>
                <w:szCs w:val="24"/>
                <w:highlight w:val="none"/>
              </w:rPr>
            </w:pPr>
          </w:p>
        </w:tc>
        <w:tc>
          <w:tcPr>
            <w:tcW w:w="1728" w:type="dxa"/>
            <w:tcBorders>
              <w:top w:val="single" w:color="000000" w:sz="4" w:space="0"/>
              <w:left w:val="single" w:color="000000" w:sz="4" w:space="0"/>
              <w:bottom w:val="single" w:color="000000" w:sz="4" w:space="0"/>
              <w:right w:val="single" w:color="000000" w:sz="4" w:space="0"/>
            </w:tcBorders>
            <w:noWrap w:val="0"/>
            <w:vAlign w:val="top"/>
          </w:tcPr>
          <w:p w14:paraId="736319FC">
            <w:pPr>
              <w:spacing w:line="360" w:lineRule="auto"/>
              <w:ind w:firstLine="0" w:firstLineChars="0"/>
              <w:jc w:val="both"/>
              <w:rPr>
                <w:rFonts w:hint="eastAsia" w:ascii="宋体" w:hAnsi="宋体" w:cs="宋体"/>
                <w:color w:val="auto"/>
                <w:kern w:val="0"/>
                <w:sz w:val="24"/>
                <w:szCs w:val="24"/>
                <w:highlight w:val="none"/>
              </w:rPr>
            </w:pPr>
          </w:p>
        </w:tc>
        <w:tc>
          <w:tcPr>
            <w:tcW w:w="942" w:type="dxa"/>
            <w:tcBorders>
              <w:top w:val="single" w:color="000000" w:sz="4" w:space="0"/>
              <w:left w:val="single" w:color="000000" w:sz="4" w:space="0"/>
              <w:bottom w:val="single" w:color="000000" w:sz="4" w:space="0"/>
              <w:right w:val="single" w:color="000000" w:sz="4" w:space="0"/>
            </w:tcBorders>
            <w:noWrap w:val="0"/>
            <w:vAlign w:val="top"/>
          </w:tcPr>
          <w:p w14:paraId="2F49CCDA">
            <w:pPr>
              <w:spacing w:line="360" w:lineRule="auto"/>
              <w:ind w:firstLine="0" w:firstLineChars="0"/>
              <w:jc w:val="both"/>
              <w:rPr>
                <w:rFonts w:hint="eastAsia" w:ascii="宋体" w:hAnsi="宋体" w:cs="宋体"/>
                <w:color w:val="auto"/>
                <w:kern w:val="0"/>
                <w:sz w:val="24"/>
                <w:szCs w:val="24"/>
                <w:highlight w:val="none"/>
              </w:rPr>
            </w:pPr>
          </w:p>
        </w:tc>
      </w:tr>
      <w:tr w14:paraId="6E62DA2F">
        <w:tblPrEx>
          <w:tblCellMar>
            <w:top w:w="0" w:type="dxa"/>
            <w:left w:w="108" w:type="dxa"/>
            <w:bottom w:w="0" w:type="dxa"/>
            <w:right w:w="108" w:type="dxa"/>
          </w:tblCellMar>
        </w:tblPrEx>
        <w:trPr>
          <w:trHeight w:val="646" w:hRule="atLeast"/>
        </w:trPr>
        <w:tc>
          <w:tcPr>
            <w:tcW w:w="905" w:type="dxa"/>
            <w:tcBorders>
              <w:top w:val="single" w:color="000000" w:sz="4" w:space="0"/>
              <w:left w:val="single" w:color="000000" w:sz="4" w:space="0"/>
              <w:bottom w:val="single" w:color="000000" w:sz="4" w:space="0"/>
              <w:right w:val="single" w:color="000000" w:sz="4" w:space="0"/>
            </w:tcBorders>
            <w:noWrap w:val="0"/>
            <w:vAlign w:val="top"/>
          </w:tcPr>
          <w:p w14:paraId="69402FCC">
            <w:pPr>
              <w:spacing w:line="360" w:lineRule="auto"/>
              <w:ind w:firstLine="0" w:firstLineChars="0"/>
              <w:jc w:val="both"/>
              <w:rPr>
                <w:rFonts w:hint="eastAsia" w:ascii="宋体" w:hAnsi="宋体" w:cs="宋体"/>
                <w:color w:val="auto"/>
                <w:kern w:val="0"/>
                <w:sz w:val="24"/>
                <w:szCs w:val="24"/>
                <w:highlight w:val="none"/>
              </w:rPr>
            </w:pPr>
          </w:p>
        </w:tc>
        <w:tc>
          <w:tcPr>
            <w:tcW w:w="2671" w:type="dxa"/>
            <w:tcBorders>
              <w:top w:val="single" w:color="000000" w:sz="4" w:space="0"/>
              <w:left w:val="single" w:color="000000" w:sz="4" w:space="0"/>
              <w:bottom w:val="single" w:color="000000" w:sz="4" w:space="0"/>
              <w:right w:val="single" w:color="000000" w:sz="4" w:space="0"/>
            </w:tcBorders>
            <w:noWrap w:val="0"/>
            <w:vAlign w:val="top"/>
          </w:tcPr>
          <w:p w14:paraId="766A3BE5">
            <w:pPr>
              <w:spacing w:line="360" w:lineRule="auto"/>
              <w:ind w:firstLine="0" w:firstLineChars="0"/>
              <w:jc w:val="both"/>
              <w:rPr>
                <w:rFonts w:hint="eastAsia" w:ascii="宋体" w:hAnsi="宋体" w:cs="宋体"/>
                <w:color w:val="auto"/>
                <w:kern w:val="0"/>
                <w:sz w:val="24"/>
                <w:szCs w:val="24"/>
                <w:highlight w:val="none"/>
              </w:rPr>
            </w:pPr>
          </w:p>
        </w:tc>
        <w:tc>
          <w:tcPr>
            <w:tcW w:w="2671" w:type="dxa"/>
            <w:tcBorders>
              <w:top w:val="single" w:color="000000" w:sz="4" w:space="0"/>
              <w:left w:val="single" w:color="000000" w:sz="4" w:space="0"/>
              <w:bottom w:val="single" w:color="000000" w:sz="4" w:space="0"/>
              <w:right w:val="single" w:color="000000" w:sz="4" w:space="0"/>
            </w:tcBorders>
            <w:noWrap w:val="0"/>
            <w:vAlign w:val="top"/>
          </w:tcPr>
          <w:p w14:paraId="015896D7">
            <w:pPr>
              <w:spacing w:line="360" w:lineRule="auto"/>
              <w:ind w:firstLine="0" w:firstLineChars="0"/>
              <w:jc w:val="both"/>
              <w:rPr>
                <w:rFonts w:hint="eastAsia" w:ascii="宋体" w:hAnsi="宋体" w:cs="宋体"/>
                <w:color w:val="auto"/>
                <w:kern w:val="0"/>
                <w:sz w:val="24"/>
                <w:szCs w:val="24"/>
                <w:highlight w:val="none"/>
              </w:rPr>
            </w:pPr>
          </w:p>
        </w:tc>
        <w:tc>
          <w:tcPr>
            <w:tcW w:w="1728" w:type="dxa"/>
            <w:tcBorders>
              <w:top w:val="single" w:color="000000" w:sz="4" w:space="0"/>
              <w:left w:val="single" w:color="000000" w:sz="4" w:space="0"/>
              <w:bottom w:val="single" w:color="000000" w:sz="4" w:space="0"/>
              <w:right w:val="single" w:color="000000" w:sz="4" w:space="0"/>
            </w:tcBorders>
            <w:noWrap w:val="0"/>
            <w:vAlign w:val="top"/>
          </w:tcPr>
          <w:p w14:paraId="4D3DD8B3">
            <w:pPr>
              <w:spacing w:line="360" w:lineRule="auto"/>
              <w:ind w:firstLine="0" w:firstLineChars="0"/>
              <w:jc w:val="both"/>
              <w:rPr>
                <w:rFonts w:hint="eastAsia" w:ascii="宋体" w:hAnsi="宋体" w:cs="宋体"/>
                <w:color w:val="auto"/>
                <w:kern w:val="0"/>
                <w:sz w:val="24"/>
                <w:szCs w:val="24"/>
                <w:highlight w:val="none"/>
              </w:rPr>
            </w:pPr>
          </w:p>
        </w:tc>
        <w:tc>
          <w:tcPr>
            <w:tcW w:w="942" w:type="dxa"/>
            <w:tcBorders>
              <w:top w:val="single" w:color="000000" w:sz="4" w:space="0"/>
              <w:left w:val="single" w:color="000000" w:sz="4" w:space="0"/>
              <w:bottom w:val="single" w:color="000000" w:sz="4" w:space="0"/>
              <w:right w:val="single" w:color="000000" w:sz="4" w:space="0"/>
            </w:tcBorders>
            <w:noWrap w:val="0"/>
            <w:vAlign w:val="top"/>
          </w:tcPr>
          <w:p w14:paraId="51705631">
            <w:pPr>
              <w:spacing w:line="360" w:lineRule="auto"/>
              <w:ind w:firstLine="0" w:firstLineChars="0"/>
              <w:jc w:val="both"/>
              <w:rPr>
                <w:rFonts w:hint="eastAsia" w:ascii="宋体" w:hAnsi="宋体" w:cs="宋体"/>
                <w:color w:val="auto"/>
                <w:kern w:val="0"/>
                <w:sz w:val="24"/>
                <w:szCs w:val="24"/>
                <w:highlight w:val="none"/>
              </w:rPr>
            </w:pPr>
          </w:p>
        </w:tc>
      </w:tr>
      <w:tr w14:paraId="1D6DEE52">
        <w:tblPrEx>
          <w:tblCellMar>
            <w:top w:w="0" w:type="dxa"/>
            <w:left w:w="108" w:type="dxa"/>
            <w:bottom w:w="0" w:type="dxa"/>
            <w:right w:w="108" w:type="dxa"/>
          </w:tblCellMar>
        </w:tblPrEx>
        <w:trPr>
          <w:trHeight w:val="656" w:hRule="atLeast"/>
        </w:trPr>
        <w:tc>
          <w:tcPr>
            <w:tcW w:w="905" w:type="dxa"/>
            <w:tcBorders>
              <w:top w:val="single" w:color="000000" w:sz="4" w:space="0"/>
              <w:left w:val="single" w:color="000000" w:sz="4" w:space="0"/>
              <w:bottom w:val="single" w:color="000000" w:sz="4" w:space="0"/>
              <w:right w:val="single" w:color="000000" w:sz="4" w:space="0"/>
            </w:tcBorders>
            <w:noWrap w:val="0"/>
            <w:vAlign w:val="top"/>
          </w:tcPr>
          <w:p w14:paraId="33BBB795">
            <w:pPr>
              <w:spacing w:line="360" w:lineRule="auto"/>
              <w:ind w:firstLine="0" w:firstLineChars="0"/>
              <w:jc w:val="both"/>
              <w:rPr>
                <w:rFonts w:hint="eastAsia" w:ascii="宋体" w:hAnsi="宋体" w:cs="宋体"/>
                <w:color w:val="auto"/>
                <w:kern w:val="0"/>
                <w:sz w:val="24"/>
                <w:szCs w:val="24"/>
                <w:highlight w:val="none"/>
              </w:rPr>
            </w:pPr>
          </w:p>
        </w:tc>
        <w:tc>
          <w:tcPr>
            <w:tcW w:w="2671" w:type="dxa"/>
            <w:tcBorders>
              <w:top w:val="single" w:color="000000" w:sz="4" w:space="0"/>
              <w:left w:val="single" w:color="000000" w:sz="4" w:space="0"/>
              <w:bottom w:val="single" w:color="000000" w:sz="4" w:space="0"/>
              <w:right w:val="single" w:color="000000" w:sz="4" w:space="0"/>
            </w:tcBorders>
            <w:noWrap w:val="0"/>
            <w:vAlign w:val="top"/>
          </w:tcPr>
          <w:p w14:paraId="6BA1A346">
            <w:pPr>
              <w:spacing w:line="360" w:lineRule="auto"/>
              <w:ind w:firstLine="0" w:firstLineChars="0"/>
              <w:jc w:val="both"/>
              <w:rPr>
                <w:rFonts w:hint="eastAsia" w:ascii="宋体" w:hAnsi="宋体" w:cs="宋体"/>
                <w:color w:val="auto"/>
                <w:kern w:val="0"/>
                <w:sz w:val="24"/>
                <w:szCs w:val="24"/>
                <w:highlight w:val="none"/>
              </w:rPr>
            </w:pPr>
          </w:p>
        </w:tc>
        <w:tc>
          <w:tcPr>
            <w:tcW w:w="2671" w:type="dxa"/>
            <w:tcBorders>
              <w:top w:val="single" w:color="000000" w:sz="4" w:space="0"/>
              <w:left w:val="single" w:color="000000" w:sz="4" w:space="0"/>
              <w:bottom w:val="single" w:color="000000" w:sz="4" w:space="0"/>
              <w:right w:val="single" w:color="000000" w:sz="4" w:space="0"/>
            </w:tcBorders>
            <w:noWrap w:val="0"/>
            <w:vAlign w:val="top"/>
          </w:tcPr>
          <w:p w14:paraId="43303BD6">
            <w:pPr>
              <w:spacing w:line="360" w:lineRule="auto"/>
              <w:ind w:firstLine="0" w:firstLineChars="0"/>
              <w:jc w:val="both"/>
              <w:rPr>
                <w:rFonts w:hint="eastAsia" w:ascii="宋体" w:hAnsi="宋体" w:cs="宋体"/>
                <w:color w:val="auto"/>
                <w:kern w:val="0"/>
                <w:sz w:val="24"/>
                <w:szCs w:val="24"/>
                <w:highlight w:val="none"/>
              </w:rPr>
            </w:pPr>
          </w:p>
        </w:tc>
        <w:tc>
          <w:tcPr>
            <w:tcW w:w="1728" w:type="dxa"/>
            <w:tcBorders>
              <w:top w:val="single" w:color="000000" w:sz="4" w:space="0"/>
              <w:left w:val="single" w:color="000000" w:sz="4" w:space="0"/>
              <w:bottom w:val="single" w:color="000000" w:sz="4" w:space="0"/>
              <w:right w:val="single" w:color="000000" w:sz="4" w:space="0"/>
            </w:tcBorders>
            <w:noWrap w:val="0"/>
            <w:vAlign w:val="top"/>
          </w:tcPr>
          <w:p w14:paraId="19FDBF82">
            <w:pPr>
              <w:spacing w:line="360" w:lineRule="auto"/>
              <w:ind w:firstLine="0" w:firstLineChars="0"/>
              <w:jc w:val="both"/>
              <w:rPr>
                <w:rFonts w:hint="eastAsia" w:ascii="宋体" w:hAnsi="宋体" w:cs="宋体"/>
                <w:color w:val="auto"/>
                <w:kern w:val="0"/>
                <w:sz w:val="24"/>
                <w:szCs w:val="24"/>
                <w:highlight w:val="none"/>
              </w:rPr>
            </w:pPr>
          </w:p>
        </w:tc>
        <w:tc>
          <w:tcPr>
            <w:tcW w:w="942" w:type="dxa"/>
            <w:tcBorders>
              <w:top w:val="single" w:color="000000" w:sz="4" w:space="0"/>
              <w:left w:val="single" w:color="000000" w:sz="4" w:space="0"/>
              <w:bottom w:val="single" w:color="000000" w:sz="4" w:space="0"/>
              <w:right w:val="single" w:color="000000" w:sz="4" w:space="0"/>
            </w:tcBorders>
            <w:noWrap w:val="0"/>
            <w:vAlign w:val="top"/>
          </w:tcPr>
          <w:p w14:paraId="247BB391">
            <w:pPr>
              <w:spacing w:line="360" w:lineRule="auto"/>
              <w:ind w:firstLine="0" w:firstLineChars="0"/>
              <w:jc w:val="both"/>
              <w:rPr>
                <w:rFonts w:hint="eastAsia" w:ascii="宋体" w:hAnsi="宋体" w:cs="宋体"/>
                <w:color w:val="auto"/>
                <w:kern w:val="0"/>
                <w:sz w:val="24"/>
                <w:szCs w:val="24"/>
                <w:highlight w:val="none"/>
              </w:rPr>
            </w:pPr>
          </w:p>
        </w:tc>
      </w:tr>
    </w:tbl>
    <w:p w14:paraId="35068348">
      <w:pPr>
        <w:spacing w:line="360" w:lineRule="auto"/>
        <w:ind w:firstLine="0" w:firstLineChars="0"/>
        <w:jc w:val="both"/>
        <w:rPr>
          <w:rFonts w:hint="eastAsia" w:ascii="宋体" w:hAnsi="宋体" w:cs="宋体"/>
          <w:color w:val="auto"/>
          <w:kern w:val="0"/>
          <w:sz w:val="24"/>
          <w:szCs w:val="24"/>
          <w:highlight w:val="none"/>
        </w:rPr>
      </w:pPr>
    </w:p>
    <w:p w14:paraId="23A5AB38">
      <w:pPr>
        <w:spacing w:line="360" w:lineRule="auto"/>
        <w:ind w:firstLine="0" w:firstLineChars="0"/>
        <w:jc w:val="both"/>
        <w:rPr>
          <w:rFonts w:hint="eastAsia" w:ascii="宋体" w:hAnsi="宋体" w:cs="宋体"/>
          <w:color w:val="auto"/>
          <w:kern w:val="0"/>
          <w:sz w:val="24"/>
          <w:szCs w:val="24"/>
          <w:highlight w:val="none"/>
        </w:rPr>
      </w:pPr>
    </w:p>
    <w:p w14:paraId="4906AC71">
      <w:pPr>
        <w:spacing w:line="360" w:lineRule="auto"/>
        <w:ind w:firstLine="0" w:firstLineChars="0"/>
        <w:jc w:val="both"/>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注：“偏差说明”栏中详细注明所投设备响应内容与招标文件要求有何不同，并说明其符合性；</w:t>
      </w:r>
    </w:p>
    <w:p w14:paraId="49569AA9">
      <w:pPr>
        <w:spacing w:line="360" w:lineRule="auto"/>
        <w:ind w:firstLine="0" w:firstLineChars="0"/>
        <w:jc w:val="both"/>
        <w:rPr>
          <w:rFonts w:hint="eastAsia" w:ascii="宋体" w:hAnsi="宋体" w:cs="宋体"/>
          <w:color w:val="auto"/>
          <w:kern w:val="0"/>
          <w:sz w:val="24"/>
          <w:szCs w:val="24"/>
          <w:highlight w:val="none"/>
        </w:rPr>
      </w:pPr>
    </w:p>
    <w:p w14:paraId="0EEAAFC3">
      <w:pPr>
        <w:spacing w:line="360" w:lineRule="auto"/>
        <w:ind w:firstLine="0" w:firstLineChars="0"/>
        <w:jc w:val="both"/>
        <w:rPr>
          <w:rFonts w:hint="eastAsia" w:ascii="宋体" w:hAnsi="宋体" w:cs="宋体"/>
          <w:color w:val="auto"/>
          <w:kern w:val="0"/>
          <w:sz w:val="24"/>
          <w:szCs w:val="24"/>
          <w:highlight w:val="none"/>
        </w:rPr>
      </w:pPr>
    </w:p>
    <w:p w14:paraId="2B6A8E55">
      <w:pPr>
        <w:spacing w:line="360" w:lineRule="auto"/>
        <w:ind w:firstLine="0" w:firstLineChars="0"/>
        <w:jc w:val="right"/>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供应商名称：</w:t>
      </w:r>
      <w:r>
        <w:rPr>
          <w:rFonts w:hint="eastAsia" w:ascii="宋体" w:hAnsi="宋体" w:cs="宋体"/>
          <w:color w:val="auto"/>
          <w:kern w:val="1"/>
          <w:sz w:val="24"/>
          <w:szCs w:val="24"/>
          <w:highlight w:val="none"/>
          <w:u w:val="single"/>
        </w:rPr>
        <w:t xml:space="preserve">               </w:t>
      </w:r>
      <w:r>
        <w:rPr>
          <w:rFonts w:hint="eastAsia" w:ascii="宋体" w:hAnsi="宋体" w:cs="宋体"/>
          <w:color w:val="auto"/>
          <w:kern w:val="1"/>
          <w:sz w:val="24"/>
          <w:szCs w:val="24"/>
          <w:highlight w:val="none"/>
        </w:rPr>
        <w:t>（企业电子签章）</w:t>
      </w:r>
    </w:p>
    <w:p w14:paraId="3566418C">
      <w:pPr>
        <w:spacing w:line="360" w:lineRule="auto"/>
        <w:ind w:firstLine="0" w:firstLineChars="0"/>
        <w:jc w:val="right"/>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法定代表人或其授权委托人：</w:t>
      </w:r>
      <w:r>
        <w:rPr>
          <w:rFonts w:hint="eastAsia" w:ascii="宋体" w:hAnsi="宋体" w:cs="宋体"/>
          <w:color w:val="auto"/>
          <w:kern w:val="1"/>
          <w:sz w:val="24"/>
          <w:szCs w:val="24"/>
          <w:highlight w:val="none"/>
          <w:u w:val="single"/>
        </w:rPr>
        <w:t xml:space="preserve">              </w:t>
      </w:r>
      <w:r>
        <w:rPr>
          <w:rFonts w:hint="eastAsia" w:ascii="宋体" w:hAnsi="宋体" w:cs="宋体"/>
          <w:color w:val="auto"/>
          <w:kern w:val="1"/>
          <w:sz w:val="24"/>
          <w:szCs w:val="24"/>
          <w:highlight w:val="none"/>
        </w:rPr>
        <w:t xml:space="preserve">（个人电子签章或签字） </w:t>
      </w:r>
    </w:p>
    <w:p w14:paraId="100CEA13">
      <w:pPr>
        <w:pStyle w:val="9"/>
        <w:spacing w:line="360" w:lineRule="auto"/>
        <w:ind w:firstLine="480"/>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 xml:space="preserve">                                        日期： ____年____月_____日</w:t>
      </w:r>
    </w:p>
    <w:p w14:paraId="6D81C6C1">
      <w:pPr>
        <w:rPr>
          <w:rFonts w:hint="eastAsia" w:ascii="宋体" w:hAnsi="宋体" w:cs="宋体"/>
          <w:color w:val="auto"/>
          <w:kern w:val="1"/>
          <w:sz w:val="24"/>
          <w:szCs w:val="24"/>
          <w:highlight w:val="none"/>
        </w:rPr>
      </w:pPr>
    </w:p>
    <w:p w14:paraId="2D8F6F88">
      <w:pPr>
        <w:pStyle w:val="4"/>
        <w:jc w:val="center"/>
        <w:rPr>
          <w:rFonts w:hint="eastAsia" w:ascii="宋体" w:hAnsi="宋体" w:cs="宋体"/>
          <w:color w:val="auto"/>
          <w:szCs w:val="28"/>
          <w:highlight w:val="none"/>
        </w:rPr>
      </w:pPr>
      <w:bookmarkStart w:id="523" w:name="_Toc355"/>
      <w:r>
        <w:rPr>
          <w:rFonts w:hint="eastAsia" w:ascii="宋体" w:hAnsi="宋体" w:cs="宋体"/>
          <w:color w:val="auto"/>
          <w:szCs w:val="28"/>
          <w:highlight w:val="none"/>
        </w:rPr>
        <w:br w:type="page"/>
      </w:r>
      <w:r>
        <w:rPr>
          <w:rFonts w:hint="eastAsia" w:ascii="宋体" w:hAnsi="宋体" w:cs="宋体"/>
          <w:color w:val="auto"/>
          <w:szCs w:val="28"/>
          <w:highlight w:val="none"/>
        </w:rPr>
        <w:t>五、服务方案</w:t>
      </w:r>
      <w:bookmarkEnd w:id="523"/>
    </w:p>
    <w:p w14:paraId="587649BB">
      <w:pPr>
        <w:ind w:firstLine="48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（格式自拟）</w:t>
      </w:r>
    </w:p>
    <w:p w14:paraId="07D73626">
      <w:pPr>
        <w:ind w:firstLine="480"/>
        <w:rPr>
          <w:rFonts w:hint="eastAsia" w:ascii="宋体" w:hAnsi="宋体" w:cs="宋体"/>
          <w:color w:val="auto"/>
          <w:sz w:val="24"/>
          <w:szCs w:val="24"/>
          <w:highlight w:val="none"/>
        </w:rPr>
      </w:pPr>
    </w:p>
    <w:bookmarkEnd w:id="506"/>
    <w:bookmarkEnd w:id="507"/>
    <w:bookmarkEnd w:id="508"/>
    <w:bookmarkEnd w:id="509"/>
    <w:bookmarkEnd w:id="510"/>
    <w:bookmarkEnd w:id="511"/>
    <w:bookmarkEnd w:id="512"/>
    <w:p w14:paraId="0135685E">
      <w:pPr>
        <w:keepNext/>
        <w:keepLines/>
        <w:spacing w:before="260" w:after="260" w:line="410" w:lineRule="auto"/>
        <w:ind w:firstLine="482"/>
        <w:jc w:val="center"/>
        <w:outlineLvl w:val="1"/>
        <w:rPr>
          <w:rFonts w:hint="eastAsia" w:ascii="宋体" w:hAnsi="宋体" w:cs="宋体"/>
          <w:b/>
          <w:color w:val="auto"/>
          <w:sz w:val="24"/>
          <w:szCs w:val="24"/>
          <w:highlight w:val="none"/>
        </w:rPr>
      </w:pPr>
      <w:bookmarkStart w:id="524" w:name="_Toc10555110"/>
      <w:bookmarkStart w:id="525" w:name="_Toc10555254"/>
    </w:p>
    <w:p w14:paraId="5A628E46">
      <w:pPr>
        <w:keepNext/>
        <w:keepLines/>
        <w:spacing w:before="260" w:after="260" w:line="410" w:lineRule="auto"/>
        <w:ind w:firstLine="482"/>
        <w:jc w:val="center"/>
        <w:outlineLvl w:val="1"/>
        <w:rPr>
          <w:rFonts w:hint="eastAsia" w:ascii="宋体" w:hAnsi="宋体" w:cs="宋体"/>
          <w:b/>
          <w:color w:val="auto"/>
          <w:sz w:val="24"/>
          <w:szCs w:val="24"/>
          <w:highlight w:val="none"/>
        </w:rPr>
      </w:pPr>
    </w:p>
    <w:bookmarkEnd w:id="524"/>
    <w:bookmarkEnd w:id="525"/>
    <w:p w14:paraId="780B7505">
      <w:pPr>
        <w:spacing w:line="480" w:lineRule="auto"/>
        <w:ind w:firstLine="0" w:firstLineChars="0"/>
        <w:jc w:val="both"/>
        <w:rPr>
          <w:rFonts w:hint="eastAsia" w:ascii="宋体" w:hAnsi="宋体" w:cs="宋体"/>
          <w:color w:val="auto"/>
          <w:kern w:val="1"/>
          <w:sz w:val="24"/>
          <w:szCs w:val="24"/>
          <w:highlight w:val="none"/>
        </w:rPr>
      </w:pPr>
    </w:p>
    <w:p w14:paraId="2B869468">
      <w:pPr>
        <w:widowControl/>
        <w:adjustRightInd w:val="0"/>
        <w:snapToGrid w:val="0"/>
        <w:spacing w:after="200" w:line="360" w:lineRule="auto"/>
        <w:ind w:firstLine="0" w:firstLineChars="0"/>
        <w:jc w:val="center"/>
        <w:rPr>
          <w:rFonts w:hint="eastAsia" w:ascii="宋体" w:hAnsi="宋体" w:cs="宋体"/>
          <w:color w:val="auto"/>
          <w:kern w:val="0"/>
          <w:sz w:val="24"/>
          <w:szCs w:val="24"/>
          <w:highlight w:val="none"/>
        </w:rPr>
      </w:pPr>
      <w:r>
        <w:rPr>
          <w:rFonts w:hint="eastAsia" w:ascii="宋体" w:hAnsi="宋体" w:cs="宋体"/>
          <w:color w:val="auto"/>
          <w:sz w:val="24"/>
          <w:szCs w:val="24"/>
          <w:highlight w:val="none"/>
        </w:rPr>
        <w:t xml:space="preserve">     </w:t>
      </w:r>
    </w:p>
    <w:p w14:paraId="72E2ADA8">
      <w:pPr>
        <w:pStyle w:val="4"/>
        <w:spacing w:line="360" w:lineRule="auto"/>
        <w:jc w:val="center"/>
        <w:rPr>
          <w:rStyle w:val="22"/>
          <w:rFonts w:hint="eastAsia" w:ascii="宋体" w:hAnsi="宋体" w:cs="宋体"/>
          <w:b/>
          <w:bCs/>
          <w:color w:val="auto"/>
          <w:sz w:val="24"/>
          <w:szCs w:val="24"/>
          <w:highlight w:val="none"/>
        </w:rPr>
      </w:pPr>
      <w:r>
        <w:rPr>
          <w:rFonts w:hint="eastAsia" w:ascii="宋体" w:hAnsi="宋体" w:cs="宋体"/>
          <w:color w:val="auto"/>
          <w:kern w:val="1"/>
          <w:sz w:val="24"/>
          <w:szCs w:val="24"/>
          <w:highlight w:val="none"/>
        </w:rPr>
        <w:br w:type="page"/>
      </w:r>
      <w:bookmarkStart w:id="526" w:name="_Toc640"/>
      <w:r>
        <w:rPr>
          <w:rFonts w:hint="eastAsia" w:ascii="宋体" w:hAnsi="宋体" w:cs="宋体"/>
          <w:color w:val="auto"/>
          <w:kern w:val="1"/>
          <w:szCs w:val="28"/>
          <w:highlight w:val="none"/>
        </w:rPr>
        <w:t>六、</w:t>
      </w:r>
      <w:r>
        <w:rPr>
          <w:rFonts w:hint="eastAsia" w:ascii="宋体" w:hAnsi="宋体" w:cs="宋体"/>
          <w:color w:val="auto"/>
          <w:szCs w:val="28"/>
          <w:highlight w:val="none"/>
        </w:rPr>
        <w:t>拟投入本项目专业技术人员情况表及主要设备表</w:t>
      </w:r>
      <w:bookmarkEnd w:id="526"/>
    </w:p>
    <w:p w14:paraId="5D480367">
      <w:pPr>
        <w:ind w:firstLine="48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1.拟投入专业技术人员情况表</w:t>
      </w:r>
    </w:p>
    <w:tbl>
      <w:tblPr>
        <w:tblStyle w:val="16"/>
        <w:tblW w:w="0" w:type="auto"/>
        <w:tblInd w:w="0" w:type="dxa"/>
        <w:tblLayout w:type="fixed"/>
        <w:tblCellMar>
          <w:top w:w="0" w:type="dxa"/>
          <w:left w:w="108" w:type="dxa"/>
          <w:bottom w:w="0" w:type="dxa"/>
          <w:right w:w="108" w:type="dxa"/>
        </w:tblCellMar>
      </w:tblPr>
      <w:tblGrid>
        <w:gridCol w:w="1090"/>
        <w:gridCol w:w="1090"/>
        <w:gridCol w:w="1091"/>
        <w:gridCol w:w="1346"/>
        <w:gridCol w:w="836"/>
        <w:gridCol w:w="1091"/>
        <w:gridCol w:w="1091"/>
        <w:gridCol w:w="1242"/>
      </w:tblGrid>
      <w:tr w14:paraId="63C7E83B">
        <w:tblPrEx>
          <w:tblCellMar>
            <w:top w:w="0" w:type="dxa"/>
            <w:left w:w="108" w:type="dxa"/>
            <w:bottom w:w="0" w:type="dxa"/>
            <w:right w:w="108" w:type="dxa"/>
          </w:tblCellMar>
        </w:tblPrEx>
        <w:trPr>
          <w:cantSplit/>
          <w:trHeight w:val="821" w:hRule="atLeast"/>
        </w:trPr>
        <w:tc>
          <w:tcPr>
            <w:tcW w:w="1090" w:type="dxa"/>
            <w:vMerge w:val="restart"/>
            <w:tcBorders>
              <w:top w:val="single" w:color="000000" w:sz="4" w:space="0"/>
              <w:left w:val="single" w:color="000000" w:sz="4" w:space="0"/>
              <w:bottom w:val="single" w:color="000000" w:sz="4" w:space="0"/>
              <w:right w:val="single" w:color="000000" w:sz="4" w:space="0"/>
            </w:tcBorders>
            <w:noWrap w:val="0"/>
            <w:vAlign w:val="center"/>
          </w:tcPr>
          <w:p w14:paraId="1F816545">
            <w:pPr>
              <w:pStyle w:val="9"/>
              <w:spacing w:after="0" w:line="360" w:lineRule="exact"/>
              <w:ind w:firstLine="0" w:firstLineChars="0"/>
              <w:jc w:val="center"/>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职务</w:t>
            </w:r>
          </w:p>
        </w:tc>
        <w:tc>
          <w:tcPr>
            <w:tcW w:w="1090" w:type="dxa"/>
            <w:vMerge w:val="restart"/>
            <w:tcBorders>
              <w:top w:val="single" w:color="000000" w:sz="4" w:space="0"/>
              <w:left w:val="single" w:color="000000" w:sz="4" w:space="0"/>
              <w:bottom w:val="single" w:color="000000" w:sz="4" w:space="0"/>
              <w:right w:val="single" w:color="000000" w:sz="4" w:space="0"/>
            </w:tcBorders>
            <w:noWrap w:val="0"/>
            <w:vAlign w:val="center"/>
          </w:tcPr>
          <w:p w14:paraId="2386B421">
            <w:pPr>
              <w:pStyle w:val="9"/>
              <w:spacing w:after="0" w:line="360" w:lineRule="exact"/>
              <w:ind w:firstLine="0" w:firstLineChars="0"/>
              <w:jc w:val="center"/>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姓名</w:t>
            </w:r>
          </w:p>
        </w:tc>
        <w:tc>
          <w:tcPr>
            <w:tcW w:w="10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5E8542A">
            <w:pPr>
              <w:pStyle w:val="9"/>
              <w:spacing w:after="0" w:line="360" w:lineRule="exact"/>
              <w:ind w:firstLine="0" w:firstLineChars="0"/>
              <w:jc w:val="center"/>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职称</w:t>
            </w:r>
          </w:p>
        </w:tc>
        <w:tc>
          <w:tcPr>
            <w:tcW w:w="5606" w:type="dxa"/>
            <w:gridSpan w:val="5"/>
            <w:tcBorders>
              <w:top w:val="single" w:color="000000" w:sz="4" w:space="0"/>
              <w:left w:val="single" w:color="000000" w:sz="4" w:space="0"/>
              <w:bottom w:val="single" w:color="000000" w:sz="4" w:space="0"/>
              <w:right w:val="single" w:color="000000" w:sz="4" w:space="0"/>
            </w:tcBorders>
            <w:noWrap w:val="0"/>
            <w:vAlign w:val="center"/>
          </w:tcPr>
          <w:p w14:paraId="4FCFFB39">
            <w:pPr>
              <w:pStyle w:val="9"/>
              <w:spacing w:after="0" w:line="360" w:lineRule="exact"/>
              <w:ind w:firstLine="0" w:firstLineChars="0"/>
              <w:jc w:val="center"/>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执业或职业资格证明</w:t>
            </w:r>
          </w:p>
        </w:tc>
      </w:tr>
      <w:tr w14:paraId="2932073D">
        <w:tblPrEx>
          <w:tblCellMar>
            <w:top w:w="0" w:type="dxa"/>
            <w:left w:w="108" w:type="dxa"/>
            <w:bottom w:w="0" w:type="dxa"/>
            <w:right w:w="108" w:type="dxa"/>
          </w:tblCellMar>
        </w:tblPrEx>
        <w:trPr>
          <w:cantSplit/>
          <w:trHeight w:val="1196" w:hRule="atLeast"/>
        </w:trPr>
        <w:tc>
          <w:tcPr>
            <w:tcW w:w="10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FFC4CE">
            <w:pPr>
              <w:pStyle w:val="9"/>
              <w:spacing w:after="0" w:line="360" w:lineRule="exact"/>
              <w:ind w:firstLine="0" w:firstLineChars="0"/>
              <w:jc w:val="center"/>
              <w:rPr>
                <w:rFonts w:hint="eastAsia" w:ascii="宋体" w:hAnsi="宋体" w:eastAsia="宋体" w:cs="宋体"/>
                <w:color w:val="auto"/>
                <w:kern w:val="1"/>
                <w:sz w:val="24"/>
                <w:szCs w:val="24"/>
                <w:highlight w:val="none"/>
              </w:rPr>
            </w:pPr>
          </w:p>
        </w:tc>
        <w:tc>
          <w:tcPr>
            <w:tcW w:w="10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43493B">
            <w:pPr>
              <w:pStyle w:val="9"/>
              <w:spacing w:after="0" w:line="360" w:lineRule="exact"/>
              <w:ind w:firstLine="0" w:firstLineChars="0"/>
              <w:jc w:val="center"/>
              <w:rPr>
                <w:rFonts w:hint="eastAsia" w:ascii="宋体" w:hAnsi="宋体" w:eastAsia="宋体" w:cs="宋体"/>
                <w:color w:val="auto"/>
                <w:kern w:val="1"/>
                <w:sz w:val="24"/>
                <w:szCs w:val="24"/>
                <w:highlight w:val="none"/>
              </w:rPr>
            </w:pPr>
          </w:p>
        </w:tc>
        <w:tc>
          <w:tcPr>
            <w:tcW w:w="10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C8E20C">
            <w:pPr>
              <w:pStyle w:val="9"/>
              <w:spacing w:after="0" w:line="360" w:lineRule="exact"/>
              <w:ind w:firstLine="0" w:firstLineChars="0"/>
              <w:jc w:val="center"/>
              <w:rPr>
                <w:rFonts w:hint="eastAsia" w:ascii="宋体" w:hAnsi="宋体" w:eastAsia="宋体" w:cs="宋体"/>
                <w:color w:val="auto"/>
                <w:kern w:val="1"/>
                <w:sz w:val="24"/>
                <w:szCs w:val="24"/>
                <w:highlight w:val="none"/>
              </w:rPr>
            </w:pPr>
          </w:p>
        </w:tc>
        <w:tc>
          <w:tcPr>
            <w:tcW w:w="1346" w:type="dxa"/>
            <w:tcBorders>
              <w:top w:val="single" w:color="000000" w:sz="4" w:space="0"/>
              <w:left w:val="single" w:color="000000" w:sz="4" w:space="0"/>
              <w:bottom w:val="single" w:color="000000" w:sz="4" w:space="0"/>
              <w:right w:val="single" w:color="000000" w:sz="4" w:space="0"/>
            </w:tcBorders>
            <w:noWrap w:val="0"/>
            <w:vAlign w:val="center"/>
          </w:tcPr>
          <w:p w14:paraId="428C9E25">
            <w:pPr>
              <w:pStyle w:val="9"/>
              <w:spacing w:after="0" w:line="360" w:lineRule="exact"/>
              <w:ind w:firstLine="0" w:firstLineChars="0"/>
              <w:jc w:val="center"/>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证书名称</w:t>
            </w: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31324F8F">
            <w:pPr>
              <w:pStyle w:val="9"/>
              <w:spacing w:after="0" w:line="360" w:lineRule="exact"/>
              <w:ind w:firstLine="0" w:firstLineChars="0"/>
              <w:jc w:val="center"/>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级别</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426E6863">
            <w:pPr>
              <w:pStyle w:val="9"/>
              <w:spacing w:after="0" w:line="360" w:lineRule="exact"/>
              <w:ind w:firstLine="0" w:firstLineChars="0"/>
              <w:jc w:val="center"/>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证号</w:t>
            </w: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356E37E1">
            <w:pPr>
              <w:pStyle w:val="9"/>
              <w:spacing w:after="0" w:line="360" w:lineRule="exact"/>
              <w:ind w:firstLine="0" w:firstLineChars="0"/>
              <w:jc w:val="center"/>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专业</w:t>
            </w: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6E55CF93">
            <w:pPr>
              <w:pStyle w:val="9"/>
              <w:spacing w:after="0" w:line="360" w:lineRule="exact"/>
              <w:ind w:firstLine="0" w:firstLineChars="0"/>
              <w:jc w:val="center"/>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备注</w:t>
            </w:r>
          </w:p>
        </w:tc>
      </w:tr>
      <w:tr w14:paraId="46C0E243">
        <w:tblPrEx>
          <w:tblCellMar>
            <w:top w:w="0" w:type="dxa"/>
            <w:left w:w="108" w:type="dxa"/>
            <w:bottom w:w="0" w:type="dxa"/>
            <w:right w:w="108" w:type="dxa"/>
          </w:tblCellMar>
        </w:tblPrEx>
        <w:trPr>
          <w:trHeight w:val="821" w:hRule="atLeast"/>
        </w:trPr>
        <w:tc>
          <w:tcPr>
            <w:tcW w:w="1090" w:type="dxa"/>
            <w:tcBorders>
              <w:top w:val="single" w:color="000000" w:sz="4" w:space="0"/>
              <w:left w:val="single" w:color="000000" w:sz="4" w:space="0"/>
              <w:bottom w:val="single" w:color="000000" w:sz="4" w:space="0"/>
              <w:right w:val="single" w:color="000000" w:sz="4" w:space="0"/>
            </w:tcBorders>
            <w:noWrap w:val="0"/>
            <w:vAlign w:val="center"/>
          </w:tcPr>
          <w:p w14:paraId="2F8CFF02">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0" w:type="dxa"/>
            <w:tcBorders>
              <w:top w:val="single" w:color="000000" w:sz="4" w:space="0"/>
              <w:left w:val="single" w:color="000000" w:sz="4" w:space="0"/>
              <w:bottom w:val="single" w:color="000000" w:sz="4" w:space="0"/>
              <w:right w:val="single" w:color="000000" w:sz="4" w:space="0"/>
            </w:tcBorders>
            <w:noWrap w:val="0"/>
            <w:vAlign w:val="center"/>
          </w:tcPr>
          <w:p w14:paraId="1FB0F3B7">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42B23AB1">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346" w:type="dxa"/>
            <w:tcBorders>
              <w:top w:val="single" w:color="000000" w:sz="4" w:space="0"/>
              <w:left w:val="single" w:color="000000" w:sz="4" w:space="0"/>
              <w:bottom w:val="single" w:color="000000" w:sz="4" w:space="0"/>
              <w:right w:val="single" w:color="000000" w:sz="4" w:space="0"/>
            </w:tcBorders>
            <w:noWrap w:val="0"/>
            <w:vAlign w:val="center"/>
          </w:tcPr>
          <w:p w14:paraId="2F4BE53E">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441712C9">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42D6B8F9">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0F99FC70">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2328C522">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r>
      <w:tr w14:paraId="2B69C872">
        <w:tblPrEx>
          <w:tblCellMar>
            <w:top w:w="0" w:type="dxa"/>
            <w:left w:w="108" w:type="dxa"/>
            <w:bottom w:w="0" w:type="dxa"/>
            <w:right w:w="108" w:type="dxa"/>
          </w:tblCellMar>
        </w:tblPrEx>
        <w:trPr>
          <w:trHeight w:val="821" w:hRule="atLeast"/>
        </w:trPr>
        <w:tc>
          <w:tcPr>
            <w:tcW w:w="1090" w:type="dxa"/>
            <w:tcBorders>
              <w:top w:val="single" w:color="000000" w:sz="4" w:space="0"/>
              <w:left w:val="single" w:color="000000" w:sz="4" w:space="0"/>
              <w:bottom w:val="single" w:color="000000" w:sz="4" w:space="0"/>
              <w:right w:val="single" w:color="000000" w:sz="4" w:space="0"/>
            </w:tcBorders>
            <w:noWrap w:val="0"/>
            <w:vAlign w:val="center"/>
          </w:tcPr>
          <w:p w14:paraId="7B7B0516">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0" w:type="dxa"/>
            <w:tcBorders>
              <w:top w:val="single" w:color="000000" w:sz="4" w:space="0"/>
              <w:left w:val="single" w:color="000000" w:sz="4" w:space="0"/>
              <w:bottom w:val="single" w:color="000000" w:sz="4" w:space="0"/>
              <w:right w:val="single" w:color="000000" w:sz="4" w:space="0"/>
            </w:tcBorders>
            <w:noWrap w:val="0"/>
            <w:vAlign w:val="center"/>
          </w:tcPr>
          <w:p w14:paraId="0818356E">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40A6B02E">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346" w:type="dxa"/>
            <w:tcBorders>
              <w:top w:val="single" w:color="000000" w:sz="4" w:space="0"/>
              <w:left w:val="single" w:color="000000" w:sz="4" w:space="0"/>
              <w:bottom w:val="single" w:color="000000" w:sz="4" w:space="0"/>
              <w:right w:val="single" w:color="000000" w:sz="4" w:space="0"/>
            </w:tcBorders>
            <w:noWrap w:val="0"/>
            <w:vAlign w:val="center"/>
          </w:tcPr>
          <w:p w14:paraId="23BCC788">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3A747C81">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1C841D36">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257CC57C">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4E1550B2">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r>
      <w:tr w14:paraId="43A3D17D">
        <w:tblPrEx>
          <w:tblCellMar>
            <w:top w:w="0" w:type="dxa"/>
            <w:left w:w="108" w:type="dxa"/>
            <w:bottom w:w="0" w:type="dxa"/>
            <w:right w:w="108" w:type="dxa"/>
          </w:tblCellMar>
        </w:tblPrEx>
        <w:trPr>
          <w:trHeight w:val="821" w:hRule="atLeast"/>
        </w:trPr>
        <w:tc>
          <w:tcPr>
            <w:tcW w:w="1090" w:type="dxa"/>
            <w:tcBorders>
              <w:top w:val="single" w:color="000000" w:sz="4" w:space="0"/>
              <w:left w:val="single" w:color="000000" w:sz="4" w:space="0"/>
              <w:bottom w:val="single" w:color="000000" w:sz="4" w:space="0"/>
              <w:right w:val="single" w:color="000000" w:sz="4" w:space="0"/>
            </w:tcBorders>
            <w:noWrap w:val="0"/>
            <w:vAlign w:val="center"/>
          </w:tcPr>
          <w:p w14:paraId="16C3C99F">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0" w:type="dxa"/>
            <w:tcBorders>
              <w:top w:val="single" w:color="000000" w:sz="4" w:space="0"/>
              <w:left w:val="single" w:color="000000" w:sz="4" w:space="0"/>
              <w:bottom w:val="single" w:color="000000" w:sz="4" w:space="0"/>
              <w:right w:val="single" w:color="000000" w:sz="4" w:space="0"/>
            </w:tcBorders>
            <w:noWrap w:val="0"/>
            <w:vAlign w:val="center"/>
          </w:tcPr>
          <w:p w14:paraId="07F0D567">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51EAD686">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346" w:type="dxa"/>
            <w:tcBorders>
              <w:top w:val="single" w:color="000000" w:sz="4" w:space="0"/>
              <w:left w:val="single" w:color="000000" w:sz="4" w:space="0"/>
              <w:bottom w:val="single" w:color="000000" w:sz="4" w:space="0"/>
              <w:right w:val="single" w:color="000000" w:sz="4" w:space="0"/>
            </w:tcBorders>
            <w:noWrap w:val="0"/>
            <w:vAlign w:val="center"/>
          </w:tcPr>
          <w:p w14:paraId="0B09CE30">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0FB391BF">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2F61DE94">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5C08C671">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142A6199">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r>
      <w:tr w14:paraId="3B5E4002">
        <w:tblPrEx>
          <w:tblCellMar>
            <w:top w:w="0" w:type="dxa"/>
            <w:left w:w="108" w:type="dxa"/>
            <w:bottom w:w="0" w:type="dxa"/>
            <w:right w:w="108" w:type="dxa"/>
          </w:tblCellMar>
        </w:tblPrEx>
        <w:trPr>
          <w:trHeight w:val="821" w:hRule="atLeast"/>
        </w:trPr>
        <w:tc>
          <w:tcPr>
            <w:tcW w:w="1090" w:type="dxa"/>
            <w:tcBorders>
              <w:top w:val="single" w:color="000000" w:sz="4" w:space="0"/>
              <w:left w:val="single" w:color="000000" w:sz="4" w:space="0"/>
              <w:bottom w:val="single" w:color="000000" w:sz="4" w:space="0"/>
              <w:right w:val="single" w:color="000000" w:sz="4" w:space="0"/>
            </w:tcBorders>
            <w:noWrap w:val="0"/>
            <w:vAlign w:val="center"/>
          </w:tcPr>
          <w:p w14:paraId="7A68E197">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0" w:type="dxa"/>
            <w:tcBorders>
              <w:top w:val="single" w:color="000000" w:sz="4" w:space="0"/>
              <w:left w:val="single" w:color="000000" w:sz="4" w:space="0"/>
              <w:bottom w:val="single" w:color="000000" w:sz="4" w:space="0"/>
              <w:right w:val="single" w:color="000000" w:sz="4" w:space="0"/>
            </w:tcBorders>
            <w:noWrap w:val="0"/>
            <w:vAlign w:val="center"/>
          </w:tcPr>
          <w:p w14:paraId="165A5CC5">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708ACD32">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346" w:type="dxa"/>
            <w:tcBorders>
              <w:top w:val="single" w:color="000000" w:sz="4" w:space="0"/>
              <w:left w:val="single" w:color="000000" w:sz="4" w:space="0"/>
              <w:bottom w:val="single" w:color="000000" w:sz="4" w:space="0"/>
              <w:right w:val="single" w:color="000000" w:sz="4" w:space="0"/>
            </w:tcBorders>
            <w:noWrap w:val="0"/>
            <w:vAlign w:val="center"/>
          </w:tcPr>
          <w:p w14:paraId="16A0958B">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424966DD">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2AF28B90">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31DF808B">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59159169">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r>
      <w:tr w14:paraId="2D39D2DB">
        <w:tblPrEx>
          <w:tblCellMar>
            <w:top w:w="0" w:type="dxa"/>
            <w:left w:w="108" w:type="dxa"/>
            <w:bottom w:w="0" w:type="dxa"/>
            <w:right w:w="108" w:type="dxa"/>
          </w:tblCellMar>
        </w:tblPrEx>
        <w:trPr>
          <w:trHeight w:val="821" w:hRule="atLeast"/>
        </w:trPr>
        <w:tc>
          <w:tcPr>
            <w:tcW w:w="1090" w:type="dxa"/>
            <w:tcBorders>
              <w:top w:val="single" w:color="000000" w:sz="4" w:space="0"/>
              <w:left w:val="single" w:color="000000" w:sz="4" w:space="0"/>
              <w:bottom w:val="single" w:color="000000" w:sz="4" w:space="0"/>
              <w:right w:val="single" w:color="000000" w:sz="4" w:space="0"/>
            </w:tcBorders>
            <w:noWrap w:val="0"/>
            <w:vAlign w:val="center"/>
          </w:tcPr>
          <w:p w14:paraId="23CFB58A">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0" w:type="dxa"/>
            <w:tcBorders>
              <w:top w:val="single" w:color="000000" w:sz="4" w:space="0"/>
              <w:left w:val="single" w:color="000000" w:sz="4" w:space="0"/>
              <w:bottom w:val="single" w:color="000000" w:sz="4" w:space="0"/>
              <w:right w:val="single" w:color="000000" w:sz="4" w:space="0"/>
            </w:tcBorders>
            <w:noWrap w:val="0"/>
            <w:vAlign w:val="center"/>
          </w:tcPr>
          <w:p w14:paraId="49492062">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08162333">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346" w:type="dxa"/>
            <w:tcBorders>
              <w:top w:val="single" w:color="000000" w:sz="4" w:space="0"/>
              <w:left w:val="single" w:color="000000" w:sz="4" w:space="0"/>
              <w:bottom w:val="single" w:color="000000" w:sz="4" w:space="0"/>
              <w:right w:val="single" w:color="000000" w:sz="4" w:space="0"/>
            </w:tcBorders>
            <w:noWrap w:val="0"/>
            <w:vAlign w:val="center"/>
          </w:tcPr>
          <w:p w14:paraId="2CECFB59">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2E4BF9AC">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1295B82D">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36F95A35">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59DACE36">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r>
      <w:tr w14:paraId="30FB2891">
        <w:tblPrEx>
          <w:tblCellMar>
            <w:top w:w="0" w:type="dxa"/>
            <w:left w:w="108" w:type="dxa"/>
            <w:bottom w:w="0" w:type="dxa"/>
            <w:right w:w="108" w:type="dxa"/>
          </w:tblCellMar>
        </w:tblPrEx>
        <w:trPr>
          <w:trHeight w:val="821" w:hRule="atLeast"/>
        </w:trPr>
        <w:tc>
          <w:tcPr>
            <w:tcW w:w="1090" w:type="dxa"/>
            <w:tcBorders>
              <w:top w:val="single" w:color="000000" w:sz="4" w:space="0"/>
              <w:left w:val="single" w:color="000000" w:sz="4" w:space="0"/>
              <w:bottom w:val="single" w:color="000000" w:sz="4" w:space="0"/>
              <w:right w:val="single" w:color="000000" w:sz="4" w:space="0"/>
            </w:tcBorders>
            <w:noWrap w:val="0"/>
            <w:vAlign w:val="center"/>
          </w:tcPr>
          <w:p w14:paraId="1400BFF3">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0" w:type="dxa"/>
            <w:tcBorders>
              <w:top w:val="single" w:color="000000" w:sz="4" w:space="0"/>
              <w:left w:val="single" w:color="000000" w:sz="4" w:space="0"/>
              <w:bottom w:val="single" w:color="000000" w:sz="4" w:space="0"/>
              <w:right w:val="single" w:color="000000" w:sz="4" w:space="0"/>
            </w:tcBorders>
            <w:noWrap w:val="0"/>
            <w:vAlign w:val="center"/>
          </w:tcPr>
          <w:p w14:paraId="3CB90AAD">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5A1DE42A">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346" w:type="dxa"/>
            <w:tcBorders>
              <w:top w:val="single" w:color="000000" w:sz="4" w:space="0"/>
              <w:left w:val="single" w:color="000000" w:sz="4" w:space="0"/>
              <w:bottom w:val="single" w:color="000000" w:sz="4" w:space="0"/>
              <w:right w:val="single" w:color="000000" w:sz="4" w:space="0"/>
            </w:tcBorders>
            <w:noWrap w:val="0"/>
            <w:vAlign w:val="center"/>
          </w:tcPr>
          <w:p w14:paraId="243ABD0C">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485E65A4">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62D3C72B">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2C09F148">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733C9922">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r>
      <w:tr w14:paraId="0F492964">
        <w:tblPrEx>
          <w:tblCellMar>
            <w:top w:w="0" w:type="dxa"/>
            <w:left w:w="108" w:type="dxa"/>
            <w:bottom w:w="0" w:type="dxa"/>
            <w:right w:w="108" w:type="dxa"/>
          </w:tblCellMar>
        </w:tblPrEx>
        <w:trPr>
          <w:trHeight w:val="821" w:hRule="atLeast"/>
        </w:trPr>
        <w:tc>
          <w:tcPr>
            <w:tcW w:w="1090" w:type="dxa"/>
            <w:tcBorders>
              <w:top w:val="single" w:color="000000" w:sz="4" w:space="0"/>
              <w:left w:val="single" w:color="000000" w:sz="4" w:space="0"/>
              <w:bottom w:val="single" w:color="000000" w:sz="4" w:space="0"/>
              <w:right w:val="single" w:color="000000" w:sz="4" w:space="0"/>
            </w:tcBorders>
            <w:noWrap w:val="0"/>
            <w:vAlign w:val="center"/>
          </w:tcPr>
          <w:p w14:paraId="77C9D29C">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0" w:type="dxa"/>
            <w:tcBorders>
              <w:top w:val="single" w:color="000000" w:sz="4" w:space="0"/>
              <w:left w:val="single" w:color="000000" w:sz="4" w:space="0"/>
              <w:bottom w:val="single" w:color="000000" w:sz="4" w:space="0"/>
              <w:right w:val="single" w:color="000000" w:sz="4" w:space="0"/>
            </w:tcBorders>
            <w:noWrap w:val="0"/>
            <w:vAlign w:val="center"/>
          </w:tcPr>
          <w:p w14:paraId="3ABAD0E8">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3BD08C05">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346" w:type="dxa"/>
            <w:tcBorders>
              <w:top w:val="single" w:color="000000" w:sz="4" w:space="0"/>
              <w:left w:val="single" w:color="000000" w:sz="4" w:space="0"/>
              <w:bottom w:val="single" w:color="000000" w:sz="4" w:space="0"/>
              <w:right w:val="single" w:color="000000" w:sz="4" w:space="0"/>
            </w:tcBorders>
            <w:noWrap w:val="0"/>
            <w:vAlign w:val="center"/>
          </w:tcPr>
          <w:p w14:paraId="3C718DC0">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62D38CE1">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22DE2B64">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726F86A8">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4C4C4559">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r>
      <w:tr w14:paraId="43879994">
        <w:tblPrEx>
          <w:tblCellMar>
            <w:top w:w="0" w:type="dxa"/>
            <w:left w:w="108" w:type="dxa"/>
            <w:bottom w:w="0" w:type="dxa"/>
            <w:right w:w="108" w:type="dxa"/>
          </w:tblCellMar>
        </w:tblPrEx>
        <w:trPr>
          <w:trHeight w:val="821" w:hRule="atLeast"/>
        </w:trPr>
        <w:tc>
          <w:tcPr>
            <w:tcW w:w="1090" w:type="dxa"/>
            <w:tcBorders>
              <w:top w:val="single" w:color="000000" w:sz="4" w:space="0"/>
              <w:left w:val="single" w:color="000000" w:sz="4" w:space="0"/>
              <w:bottom w:val="single" w:color="000000" w:sz="4" w:space="0"/>
              <w:right w:val="single" w:color="000000" w:sz="4" w:space="0"/>
            </w:tcBorders>
            <w:noWrap w:val="0"/>
            <w:vAlign w:val="center"/>
          </w:tcPr>
          <w:p w14:paraId="7119F286">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0" w:type="dxa"/>
            <w:tcBorders>
              <w:top w:val="single" w:color="000000" w:sz="4" w:space="0"/>
              <w:left w:val="single" w:color="000000" w:sz="4" w:space="0"/>
              <w:bottom w:val="single" w:color="000000" w:sz="4" w:space="0"/>
              <w:right w:val="single" w:color="000000" w:sz="4" w:space="0"/>
            </w:tcBorders>
            <w:noWrap w:val="0"/>
            <w:vAlign w:val="center"/>
          </w:tcPr>
          <w:p w14:paraId="2FDE0112">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1A41E10F">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346" w:type="dxa"/>
            <w:tcBorders>
              <w:top w:val="single" w:color="000000" w:sz="4" w:space="0"/>
              <w:left w:val="single" w:color="000000" w:sz="4" w:space="0"/>
              <w:bottom w:val="single" w:color="000000" w:sz="4" w:space="0"/>
              <w:right w:val="single" w:color="000000" w:sz="4" w:space="0"/>
            </w:tcBorders>
            <w:noWrap w:val="0"/>
            <w:vAlign w:val="center"/>
          </w:tcPr>
          <w:p w14:paraId="6AE0E252">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7FE9A974">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4EBCBD7A">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7600C6FF">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7B5E2D51">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r>
      <w:tr w14:paraId="49DE5DDE">
        <w:tblPrEx>
          <w:tblCellMar>
            <w:top w:w="0" w:type="dxa"/>
            <w:left w:w="108" w:type="dxa"/>
            <w:bottom w:w="0" w:type="dxa"/>
            <w:right w:w="108" w:type="dxa"/>
          </w:tblCellMar>
        </w:tblPrEx>
        <w:trPr>
          <w:trHeight w:val="821" w:hRule="atLeast"/>
        </w:trPr>
        <w:tc>
          <w:tcPr>
            <w:tcW w:w="1090" w:type="dxa"/>
            <w:tcBorders>
              <w:top w:val="single" w:color="000000" w:sz="4" w:space="0"/>
              <w:left w:val="single" w:color="000000" w:sz="4" w:space="0"/>
              <w:bottom w:val="single" w:color="000000" w:sz="4" w:space="0"/>
              <w:right w:val="single" w:color="000000" w:sz="4" w:space="0"/>
            </w:tcBorders>
            <w:noWrap w:val="0"/>
            <w:vAlign w:val="center"/>
          </w:tcPr>
          <w:p w14:paraId="56C23970">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0" w:type="dxa"/>
            <w:tcBorders>
              <w:top w:val="single" w:color="000000" w:sz="4" w:space="0"/>
              <w:left w:val="single" w:color="000000" w:sz="4" w:space="0"/>
              <w:bottom w:val="single" w:color="000000" w:sz="4" w:space="0"/>
              <w:right w:val="single" w:color="000000" w:sz="4" w:space="0"/>
            </w:tcBorders>
            <w:noWrap w:val="0"/>
            <w:vAlign w:val="center"/>
          </w:tcPr>
          <w:p w14:paraId="1DB352E1">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1DFC0796">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346" w:type="dxa"/>
            <w:tcBorders>
              <w:top w:val="single" w:color="000000" w:sz="4" w:space="0"/>
              <w:left w:val="single" w:color="000000" w:sz="4" w:space="0"/>
              <w:bottom w:val="single" w:color="000000" w:sz="4" w:space="0"/>
              <w:right w:val="single" w:color="000000" w:sz="4" w:space="0"/>
            </w:tcBorders>
            <w:noWrap w:val="0"/>
            <w:vAlign w:val="center"/>
          </w:tcPr>
          <w:p w14:paraId="6ECE5AB4">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25E96C13">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2EF979A6">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3E7D22A0">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4870DA11">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r>
      <w:tr w14:paraId="7B68359E">
        <w:tblPrEx>
          <w:tblCellMar>
            <w:top w:w="0" w:type="dxa"/>
            <w:left w:w="108" w:type="dxa"/>
            <w:bottom w:w="0" w:type="dxa"/>
            <w:right w:w="108" w:type="dxa"/>
          </w:tblCellMar>
        </w:tblPrEx>
        <w:trPr>
          <w:trHeight w:val="839" w:hRule="atLeast"/>
        </w:trPr>
        <w:tc>
          <w:tcPr>
            <w:tcW w:w="1090" w:type="dxa"/>
            <w:tcBorders>
              <w:top w:val="single" w:color="000000" w:sz="4" w:space="0"/>
              <w:left w:val="single" w:color="000000" w:sz="4" w:space="0"/>
              <w:bottom w:val="single" w:color="000000" w:sz="4" w:space="0"/>
              <w:right w:val="single" w:color="000000" w:sz="4" w:space="0"/>
            </w:tcBorders>
            <w:noWrap w:val="0"/>
            <w:vAlign w:val="center"/>
          </w:tcPr>
          <w:p w14:paraId="4AD8D65C">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0" w:type="dxa"/>
            <w:tcBorders>
              <w:top w:val="single" w:color="000000" w:sz="4" w:space="0"/>
              <w:left w:val="single" w:color="000000" w:sz="4" w:space="0"/>
              <w:bottom w:val="single" w:color="000000" w:sz="4" w:space="0"/>
              <w:right w:val="single" w:color="000000" w:sz="4" w:space="0"/>
            </w:tcBorders>
            <w:noWrap w:val="0"/>
            <w:vAlign w:val="center"/>
          </w:tcPr>
          <w:p w14:paraId="0AD3676B">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248CC45D">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346" w:type="dxa"/>
            <w:tcBorders>
              <w:top w:val="single" w:color="000000" w:sz="4" w:space="0"/>
              <w:left w:val="single" w:color="000000" w:sz="4" w:space="0"/>
              <w:bottom w:val="single" w:color="000000" w:sz="4" w:space="0"/>
              <w:right w:val="single" w:color="000000" w:sz="4" w:space="0"/>
            </w:tcBorders>
            <w:noWrap w:val="0"/>
            <w:vAlign w:val="center"/>
          </w:tcPr>
          <w:p w14:paraId="04EFCB94">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836" w:type="dxa"/>
            <w:tcBorders>
              <w:top w:val="single" w:color="000000" w:sz="4" w:space="0"/>
              <w:left w:val="single" w:color="000000" w:sz="4" w:space="0"/>
              <w:bottom w:val="single" w:color="000000" w:sz="4" w:space="0"/>
              <w:right w:val="single" w:color="000000" w:sz="4" w:space="0"/>
            </w:tcBorders>
            <w:noWrap w:val="0"/>
            <w:vAlign w:val="center"/>
          </w:tcPr>
          <w:p w14:paraId="73F762BA">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57FC01FB">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091" w:type="dxa"/>
            <w:tcBorders>
              <w:top w:val="single" w:color="000000" w:sz="4" w:space="0"/>
              <w:left w:val="single" w:color="000000" w:sz="4" w:space="0"/>
              <w:bottom w:val="single" w:color="000000" w:sz="4" w:space="0"/>
              <w:right w:val="single" w:color="000000" w:sz="4" w:space="0"/>
            </w:tcBorders>
            <w:noWrap w:val="0"/>
            <w:vAlign w:val="center"/>
          </w:tcPr>
          <w:p w14:paraId="054EC68F">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c>
          <w:tcPr>
            <w:tcW w:w="1242" w:type="dxa"/>
            <w:tcBorders>
              <w:top w:val="single" w:color="000000" w:sz="4" w:space="0"/>
              <w:left w:val="single" w:color="000000" w:sz="4" w:space="0"/>
              <w:bottom w:val="single" w:color="000000" w:sz="4" w:space="0"/>
              <w:right w:val="single" w:color="000000" w:sz="4" w:space="0"/>
            </w:tcBorders>
            <w:noWrap w:val="0"/>
            <w:vAlign w:val="center"/>
          </w:tcPr>
          <w:p w14:paraId="455040A8">
            <w:pPr>
              <w:pStyle w:val="6"/>
              <w:keepNext/>
              <w:keepLines/>
              <w:pageBreakBefore w:val="0"/>
              <w:widowControl w:val="0"/>
              <w:kinsoku/>
              <w:wordWrap/>
              <w:overflowPunct/>
              <w:topLinePunct w:val="0"/>
              <w:autoSpaceDE/>
              <w:autoSpaceDN/>
              <w:bidi w:val="0"/>
              <w:adjustRightInd/>
              <w:snapToGrid/>
              <w:spacing w:before="0" w:after="0" w:line="360" w:lineRule="auto"/>
              <w:ind w:firstLine="0" w:firstLineChars="0"/>
              <w:jc w:val="center"/>
              <w:textAlignment w:val="auto"/>
              <w:rPr>
                <w:rStyle w:val="22"/>
                <w:rFonts w:hint="eastAsia" w:ascii="宋体" w:hAnsi="宋体" w:cs="宋体"/>
                <w:b w:val="0"/>
                <w:bCs w:val="0"/>
                <w:color w:val="auto"/>
                <w:sz w:val="24"/>
                <w:szCs w:val="24"/>
                <w:highlight w:val="none"/>
              </w:rPr>
            </w:pPr>
          </w:p>
        </w:tc>
      </w:tr>
    </w:tbl>
    <w:p w14:paraId="4F70191E">
      <w:pPr>
        <w:ind w:firstLine="480"/>
        <w:jc w:val="center"/>
        <w:rPr>
          <w:rFonts w:hint="eastAsia" w:ascii="宋体" w:hAnsi="宋体" w:cs="宋体"/>
          <w:color w:val="auto"/>
          <w:sz w:val="24"/>
          <w:szCs w:val="24"/>
          <w:highlight w:val="none"/>
        </w:rPr>
      </w:pPr>
    </w:p>
    <w:p w14:paraId="6E2C4054">
      <w:pPr>
        <w:ind w:firstLine="48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r>
        <w:rPr>
          <w:rFonts w:hint="eastAsia" w:ascii="宋体" w:hAnsi="宋体" w:eastAsia="宋体" w:cs="宋体"/>
          <w:color w:val="auto"/>
          <w:sz w:val="24"/>
          <w:szCs w:val="24"/>
          <w:highlight w:val="none"/>
        </w:rPr>
        <w:t>2.拟投入本项目的主要设备表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7"/>
        <w:gridCol w:w="1477"/>
        <w:gridCol w:w="1505"/>
        <w:gridCol w:w="1477"/>
        <w:gridCol w:w="1477"/>
        <w:gridCol w:w="1478"/>
      </w:tblGrid>
      <w:tr w14:paraId="20333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613" w:type="dxa"/>
            <w:noWrap w:val="0"/>
            <w:vAlign w:val="center"/>
          </w:tcPr>
          <w:p w14:paraId="031FB390">
            <w:pPr>
              <w:pStyle w:val="9"/>
              <w:spacing w:after="0" w:line="360" w:lineRule="exact"/>
              <w:ind w:firstLine="0" w:firstLineChars="0"/>
              <w:jc w:val="center"/>
              <w:rPr>
                <w:rFonts w:hint="eastAsia" w:ascii="宋体" w:hAnsi="宋体" w:cs="宋体"/>
                <w:color w:val="auto"/>
                <w:sz w:val="24"/>
                <w:szCs w:val="24"/>
                <w:highlight w:val="none"/>
              </w:rPr>
            </w:pPr>
            <w:r>
              <w:rPr>
                <w:rFonts w:hint="eastAsia" w:ascii="宋体" w:hAnsi="宋体" w:cs="宋体"/>
                <w:color w:val="auto"/>
                <w:kern w:val="1"/>
                <w:sz w:val="24"/>
                <w:szCs w:val="24"/>
                <w:highlight w:val="none"/>
              </w:rPr>
              <w:t>序号</w:t>
            </w:r>
          </w:p>
        </w:tc>
        <w:tc>
          <w:tcPr>
            <w:tcW w:w="1613" w:type="dxa"/>
            <w:noWrap w:val="0"/>
            <w:vAlign w:val="center"/>
          </w:tcPr>
          <w:p w14:paraId="63144327">
            <w:pPr>
              <w:pStyle w:val="9"/>
              <w:spacing w:after="0" w:line="360" w:lineRule="exact"/>
              <w:ind w:firstLine="0" w:firstLineChars="0"/>
              <w:jc w:val="center"/>
              <w:rPr>
                <w:rFonts w:hint="eastAsia" w:ascii="宋体" w:hAnsi="宋体" w:cs="宋体"/>
                <w:color w:val="auto"/>
                <w:sz w:val="24"/>
                <w:szCs w:val="24"/>
                <w:highlight w:val="none"/>
              </w:rPr>
            </w:pPr>
            <w:r>
              <w:rPr>
                <w:rFonts w:hint="eastAsia" w:ascii="宋体" w:hAnsi="宋体" w:cs="宋体"/>
                <w:color w:val="auto"/>
                <w:kern w:val="1"/>
                <w:sz w:val="24"/>
                <w:szCs w:val="24"/>
                <w:highlight w:val="none"/>
              </w:rPr>
              <w:t>设备名称</w:t>
            </w:r>
          </w:p>
        </w:tc>
        <w:tc>
          <w:tcPr>
            <w:tcW w:w="1613" w:type="dxa"/>
            <w:noWrap w:val="0"/>
            <w:vAlign w:val="center"/>
          </w:tcPr>
          <w:p w14:paraId="4F268D53">
            <w:pPr>
              <w:pStyle w:val="9"/>
              <w:spacing w:after="0" w:line="360" w:lineRule="exact"/>
              <w:ind w:firstLine="0" w:firstLineChars="0"/>
              <w:jc w:val="center"/>
              <w:rPr>
                <w:rFonts w:hint="eastAsia" w:ascii="宋体" w:hAnsi="宋体" w:cs="宋体"/>
                <w:color w:val="auto"/>
                <w:sz w:val="24"/>
                <w:szCs w:val="24"/>
                <w:highlight w:val="none"/>
              </w:rPr>
            </w:pPr>
            <w:r>
              <w:rPr>
                <w:rFonts w:hint="eastAsia" w:ascii="宋体" w:hAnsi="宋体" w:cs="宋体"/>
                <w:color w:val="auto"/>
                <w:kern w:val="1"/>
                <w:sz w:val="24"/>
                <w:szCs w:val="24"/>
                <w:highlight w:val="none"/>
              </w:rPr>
              <w:t>规格、型号</w:t>
            </w:r>
          </w:p>
        </w:tc>
        <w:tc>
          <w:tcPr>
            <w:tcW w:w="1613" w:type="dxa"/>
            <w:noWrap w:val="0"/>
            <w:vAlign w:val="center"/>
          </w:tcPr>
          <w:p w14:paraId="4FD93AA0">
            <w:pPr>
              <w:pStyle w:val="9"/>
              <w:spacing w:after="0" w:line="360" w:lineRule="exact"/>
              <w:ind w:firstLine="0" w:firstLineChars="0"/>
              <w:jc w:val="center"/>
              <w:rPr>
                <w:rFonts w:hint="eastAsia" w:ascii="宋体" w:hAnsi="宋体" w:cs="宋体"/>
                <w:color w:val="auto"/>
                <w:sz w:val="24"/>
                <w:szCs w:val="24"/>
                <w:highlight w:val="none"/>
              </w:rPr>
            </w:pPr>
            <w:r>
              <w:rPr>
                <w:rFonts w:hint="eastAsia" w:ascii="宋体" w:hAnsi="宋体" w:cs="宋体"/>
                <w:color w:val="auto"/>
                <w:kern w:val="1"/>
                <w:sz w:val="24"/>
                <w:szCs w:val="24"/>
                <w:highlight w:val="none"/>
              </w:rPr>
              <w:t>数量</w:t>
            </w:r>
          </w:p>
        </w:tc>
        <w:tc>
          <w:tcPr>
            <w:tcW w:w="1613" w:type="dxa"/>
            <w:noWrap w:val="0"/>
            <w:vAlign w:val="center"/>
          </w:tcPr>
          <w:p w14:paraId="5F71F9BC">
            <w:pPr>
              <w:pStyle w:val="9"/>
              <w:spacing w:after="0" w:line="360" w:lineRule="exact"/>
              <w:ind w:firstLine="0" w:firstLineChars="0"/>
              <w:jc w:val="center"/>
              <w:rPr>
                <w:rFonts w:hint="eastAsia" w:ascii="宋体" w:hAnsi="宋体" w:cs="宋体"/>
                <w:color w:val="auto"/>
                <w:sz w:val="24"/>
                <w:szCs w:val="24"/>
                <w:highlight w:val="none"/>
              </w:rPr>
            </w:pPr>
            <w:r>
              <w:rPr>
                <w:rFonts w:hint="eastAsia" w:ascii="宋体" w:hAnsi="宋体" w:cs="宋体"/>
                <w:color w:val="auto"/>
                <w:kern w:val="1"/>
                <w:sz w:val="24"/>
                <w:szCs w:val="24"/>
                <w:highlight w:val="none"/>
              </w:rPr>
              <w:t>用途</w:t>
            </w:r>
          </w:p>
        </w:tc>
        <w:tc>
          <w:tcPr>
            <w:tcW w:w="1613" w:type="dxa"/>
            <w:noWrap w:val="0"/>
            <w:vAlign w:val="center"/>
          </w:tcPr>
          <w:p w14:paraId="79BC9391">
            <w:pPr>
              <w:pStyle w:val="9"/>
              <w:spacing w:after="0" w:line="360" w:lineRule="exact"/>
              <w:ind w:firstLine="0" w:firstLineChars="0"/>
              <w:jc w:val="center"/>
              <w:rPr>
                <w:rFonts w:hint="eastAsia" w:ascii="宋体" w:hAnsi="宋体" w:cs="宋体"/>
                <w:color w:val="auto"/>
                <w:sz w:val="24"/>
                <w:szCs w:val="24"/>
                <w:highlight w:val="none"/>
              </w:rPr>
            </w:pPr>
            <w:r>
              <w:rPr>
                <w:rFonts w:hint="eastAsia" w:ascii="宋体" w:hAnsi="宋体" w:cs="宋体"/>
                <w:color w:val="auto"/>
                <w:kern w:val="1"/>
                <w:sz w:val="24"/>
                <w:szCs w:val="24"/>
                <w:highlight w:val="none"/>
              </w:rPr>
              <w:t>备注</w:t>
            </w:r>
          </w:p>
        </w:tc>
      </w:tr>
      <w:tr w14:paraId="28566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613" w:type="dxa"/>
            <w:noWrap w:val="0"/>
            <w:vAlign w:val="top"/>
          </w:tcPr>
          <w:p w14:paraId="3C872F58">
            <w:pPr>
              <w:pStyle w:val="9"/>
              <w:ind w:firstLine="480"/>
              <w:jc w:val="both"/>
              <w:rPr>
                <w:rFonts w:hint="eastAsia" w:ascii="宋体" w:hAnsi="宋体" w:cs="宋体"/>
                <w:color w:val="auto"/>
                <w:sz w:val="24"/>
                <w:szCs w:val="24"/>
                <w:highlight w:val="none"/>
              </w:rPr>
            </w:pPr>
          </w:p>
        </w:tc>
        <w:tc>
          <w:tcPr>
            <w:tcW w:w="1613" w:type="dxa"/>
            <w:noWrap w:val="0"/>
            <w:vAlign w:val="top"/>
          </w:tcPr>
          <w:p w14:paraId="05C85716">
            <w:pPr>
              <w:pStyle w:val="9"/>
              <w:ind w:firstLine="480"/>
              <w:jc w:val="both"/>
              <w:rPr>
                <w:rFonts w:hint="eastAsia" w:ascii="宋体" w:hAnsi="宋体" w:cs="宋体"/>
                <w:color w:val="auto"/>
                <w:sz w:val="24"/>
                <w:szCs w:val="24"/>
                <w:highlight w:val="none"/>
              </w:rPr>
            </w:pPr>
          </w:p>
        </w:tc>
        <w:tc>
          <w:tcPr>
            <w:tcW w:w="1613" w:type="dxa"/>
            <w:noWrap w:val="0"/>
            <w:vAlign w:val="top"/>
          </w:tcPr>
          <w:p w14:paraId="56BFE0DA">
            <w:pPr>
              <w:pStyle w:val="9"/>
              <w:ind w:firstLine="480"/>
              <w:jc w:val="both"/>
              <w:rPr>
                <w:rFonts w:hint="eastAsia" w:ascii="宋体" w:hAnsi="宋体" w:cs="宋体"/>
                <w:color w:val="auto"/>
                <w:sz w:val="24"/>
                <w:szCs w:val="24"/>
                <w:highlight w:val="none"/>
              </w:rPr>
            </w:pPr>
          </w:p>
        </w:tc>
        <w:tc>
          <w:tcPr>
            <w:tcW w:w="1613" w:type="dxa"/>
            <w:noWrap w:val="0"/>
            <w:vAlign w:val="top"/>
          </w:tcPr>
          <w:p w14:paraId="439E0F79">
            <w:pPr>
              <w:pStyle w:val="9"/>
              <w:ind w:firstLine="480"/>
              <w:jc w:val="both"/>
              <w:rPr>
                <w:rFonts w:hint="eastAsia" w:ascii="宋体" w:hAnsi="宋体" w:cs="宋体"/>
                <w:color w:val="auto"/>
                <w:sz w:val="24"/>
                <w:szCs w:val="24"/>
                <w:highlight w:val="none"/>
              </w:rPr>
            </w:pPr>
          </w:p>
        </w:tc>
        <w:tc>
          <w:tcPr>
            <w:tcW w:w="1613" w:type="dxa"/>
            <w:noWrap w:val="0"/>
            <w:vAlign w:val="top"/>
          </w:tcPr>
          <w:p w14:paraId="44872B98">
            <w:pPr>
              <w:pStyle w:val="9"/>
              <w:ind w:firstLine="480"/>
              <w:jc w:val="both"/>
              <w:rPr>
                <w:rFonts w:hint="eastAsia" w:ascii="宋体" w:hAnsi="宋体" w:cs="宋体"/>
                <w:color w:val="auto"/>
                <w:sz w:val="24"/>
                <w:szCs w:val="24"/>
                <w:highlight w:val="none"/>
              </w:rPr>
            </w:pPr>
          </w:p>
        </w:tc>
        <w:tc>
          <w:tcPr>
            <w:tcW w:w="1613" w:type="dxa"/>
            <w:noWrap w:val="0"/>
            <w:vAlign w:val="top"/>
          </w:tcPr>
          <w:p w14:paraId="47C203E0">
            <w:pPr>
              <w:pStyle w:val="9"/>
              <w:ind w:firstLine="480"/>
              <w:jc w:val="both"/>
              <w:rPr>
                <w:rFonts w:hint="eastAsia" w:ascii="宋体" w:hAnsi="宋体" w:cs="宋体"/>
                <w:color w:val="auto"/>
                <w:sz w:val="24"/>
                <w:szCs w:val="24"/>
                <w:highlight w:val="none"/>
              </w:rPr>
            </w:pPr>
          </w:p>
        </w:tc>
      </w:tr>
      <w:tr w14:paraId="5FDDE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613" w:type="dxa"/>
            <w:noWrap w:val="0"/>
            <w:vAlign w:val="top"/>
          </w:tcPr>
          <w:p w14:paraId="15D20015">
            <w:pPr>
              <w:pStyle w:val="9"/>
              <w:ind w:firstLine="480"/>
              <w:jc w:val="both"/>
              <w:rPr>
                <w:rFonts w:hint="eastAsia" w:ascii="宋体" w:hAnsi="宋体" w:cs="宋体"/>
                <w:color w:val="auto"/>
                <w:sz w:val="24"/>
                <w:szCs w:val="24"/>
                <w:highlight w:val="none"/>
              </w:rPr>
            </w:pPr>
          </w:p>
        </w:tc>
        <w:tc>
          <w:tcPr>
            <w:tcW w:w="1613" w:type="dxa"/>
            <w:noWrap w:val="0"/>
            <w:vAlign w:val="top"/>
          </w:tcPr>
          <w:p w14:paraId="6D05360A">
            <w:pPr>
              <w:pStyle w:val="9"/>
              <w:ind w:firstLine="480"/>
              <w:jc w:val="both"/>
              <w:rPr>
                <w:rFonts w:hint="eastAsia" w:ascii="宋体" w:hAnsi="宋体" w:cs="宋体"/>
                <w:color w:val="auto"/>
                <w:sz w:val="24"/>
                <w:szCs w:val="24"/>
                <w:highlight w:val="none"/>
              </w:rPr>
            </w:pPr>
          </w:p>
        </w:tc>
        <w:tc>
          <w:tcPr>
            <w:tcW w:w="1613" w:type="dxa"/>
            <w:noWrap w:val="0"/>
            <w:vAlign w:val="top"/>
          </w:tcPr>
          <w:p w14:paraId="09F1ABC7">
            <w:pPr>
              <w:pStyle w:val="9"/>
              <w:ind w:firstLine="480"/>
              <w:jc w:val="both"/>
              <w:rPr>
                <w:rFonts w:hint="eastAsia" w:ascii="宋体" w:hAnsi="宋体" w:cs="宋体"/>
                <w:color w:val="auto"/>
                <w:sz w:val="24"/>
                <w:szCs w:val="24"/>
                <w:highlight w:val="none"/>
              </w:rPr>
            </w:pPr>
          </w:p>
        </w:tc>
        <w:tc>
          <w:tcPr>
            <w:tcW w:w="1613" w:type="dxa"/>
            <w:noWrap w:val="0"/>
            <w:vAlign w:val="top"/>
          </w:tcPr>
          <w:p w14:paraId="6369765E">
            <w:pPr>
              <w:pStyle w:val="9"/>
              <w:ind w:firstLine="480"/>
              <w:jc w:val="both"/>
              <w:rPr>
                <w:rFonts w:hint="eastAsia" w:ascii="宋体" w:hAnsi="宋体" w:cs="宋体"/>
                <w:color w:val="auto"/>
                <w:sz w:val="24"/>
                <w:szCs w:val="24"/>
                <w:highlight w:val="none"/>
              </w:rPr>
            </w:pPr>
          </w:p>
        </w:tc>
        <w:tc>
          <w:tcPr>
            <w:tcW w:w="1613" w:type="dxa"/>
            <w:noWrap w:val="0"/>
            <w:vAlign w:val="top"/>
          </w:tcPr>
          <w:p w14:paraId="0471ACFA">
            <w:pPr>
              <w:pStyle w:val="9"/>
              <w:ind w:firstLine="480"/>
              <w:jc w:val="both"/>
              <w:rPr>
                <w:rFonts w:hint="eastAsia" w:ascii="宋体" w:hAnsi="宋体" w:cs="宋体"/>
                <w:color w:val="auto"/>
                <w:sz w:val="24"/>
                <w:szCs w:val="24"/>
                <w:highlight w:val="none"/>
              </w:rPr>
            </w:pPr>
          </w:p>
        </w:tc>
        <w:tc>
          <w:tcPr>
            <w:tcW w:w="1613" w:type="dxa"/>
            <w:noWrap w:val="0"/>
            <w:vAlign w:val="top"/>
          </w:tcPr>
          <w:p w14:paraId="7920EE5F">
            <w:pPr>
              <w:pStyle w:val="9"/>
              <w:ind w:firstLine="480"/>
              <w:jc w:val="both"/>
              <w:rPr>
                <w:rFonts w:hint="eastAsia" w:ascii="宋体" w:hAnsi="宋体" w:cs="宋体"/>
                <w:color w:val="auto"/>
                <w:sz w:val="24"/>
                <w:szCs w:val="24"/>
                <w:highlight w:val="none"/>
              </w:rPr>
            </w:pPr>
          </w:p>
        </w:tc>
      </w:tr>
      <w:tr w14:paraId="49B8B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613" w:type="dxa"/>
            <w:noWrap w:val="0"/>
            <w:vAlign w:val="top"/>
          </w:tcPr>
          <w:p w14:paraId="54AA0CDB">
            <w:pPr>
              <w:pStyle w:val="9"/>
              <w:ind w:firstLine="480"/>
              <w:jc w:val="both"/>
              <w:rPr>
                <w:rFonts w:hint="eastAsia" w:ascii="宋体" w:hAnsi="宋体" w:cs="宋体"/>
                <w:color w:val="auto"/>
                <w:sz w:val="24"/>
                <w:szCs w:val="24"/>
                <w:highlight w:val="none"/>
              </w:rPr>
            </w:pPr>
          </w:p>
        </w:tc>
        <w:tc>
          <w:tcPr>
            <w:tcW w:w="1613" w:type="dxa"/>
            <w:noWrap w:val="0"/>
            <w:vAlign w:val="top"/>
          </w:tcPr>
          <w:p w14:paraId="0B5193B9">
            <w:pPr>
              <w:pStyle w:val="9"/>
              <w:ind w:firstLine="480"/>
              <w:jc w:val="both"/>
              <w:rPr>
                <w:rFonts w:hint="eastAsia" w:ascii="宋体" w:hAnsi="宋体" w:cs="宋体"/>
                <w:color w:val="auto"/>
                <w:sz w:val="24"/>
                <w:szCs w:val="24"/>
                <w:highlight w:val="none"/>
              </w:rPr>
            </w:pPr>
          </w:p>
        </w:tc>
        <w:tc>
          <w:tcPr>
            <w:tcW w:w="1613" w:type="dxa"/>
            <w:noWrap w:val="0"/>
            <w:vAlign w:val="top"/>
          </w:tcPr>
          <w:p w14:paraId="44F4DABD">
            <w:pPr>
              <w:pStyle w:val="9"/>
              <w:ind w:firstLine="480"/>
              <w:jc w:val="both"/>
              <w:rPr>
                <w:rFonts w:hint="eastAsia" w:ascii="宋体" w:hAnsi="宋体" w:cs="宋体"/>
                <w:color w:val="auto"/>
                <w:sz w:val="24"/>
                <w:szCs w:val="24"/>
                <w:highlight w:val="none"/>
              </w:rPr>
            </w:pPr>
          </w:p>
        </w:tc>
        <w:tc>
          <w:tcPr>
            <w:tcW w:w="1613" w:type="dxa"/>
            <w:noWrap w:val="0"/>
            <w:vAlign w:val="top"/>
          </w:tcPr>
          <w:p w14:paraId="5E173F79">
            <w:pPr>
              <w:pStyle w:val="9"/>
              <w:ind w:firstLine="480"/>
              <w:jc w:val="both"/>
              <w:rPr>
                <w:rFonts w:hint="eastAsia" w:ascii="宋体" w:hAnsi="宋体" w:cs="宋体"/>
                <w:color w:val="auto"/>
                <w:sz w:val="24"/>
                <w:szCs w:val="24"/>
                <w:highlight w:val="none"/>
              </w:rPr>
            </w:pPr>
          </w:p>
        </w:tc>
        <w:tc>
          <w:tcPr>
            <w:tcW w:w="1613" w:type="dxa"/>
            <w:noWrap w:val="0"/>
            <w:vAlign w:val="top"/>
          </w:tcPr>
          <w:p w14:paraId="30797622">
            <w:pPr>
              <w:pStyle w:val="9"/>
              <w:ind w:firstLine="480"/>
              <w:jc w:val="both"/>
              <w:rPr>
                <w:rFonts w:hint="eastAsia" w:ascii="宋体" w:hAnsi="宋体" w:cs="宋体"/>
                <w:color w:val="auto"/>
                <w:sz w:val="24"/>
                <w:szCs w:val="24"/>
                <w:highlight w:val="none"/>
              </w:rPr>
            </w:pPr>
          </w:p>
        </w:tc>
        <w:tc>
          <w:tcPr>
            <w:tcW w:w="1613" w:type="dxa"/>
            <w:noWrap w:val="0"/>
            <w:vAlign w:val="top"/>
          </w:tcPr>
          <w:p w14:paraId="6F4ABB50">
            <w:pPr>
              <w:pStyle w:val="9"/>
              <w:ind w:firstLine="480"/>
              <w:jc w:val="both"/>
              <w:rPr>
                <w:rFonts w:hint="eastAsia" w:ascii="宋体" w:hAnsi="宋体" w:cs="宋体"/>
                <w:color w:val="auto"/>
                <w:sz w:val="24"/>
                <w:szCs w:val="24"/>
                <w:highlight w:val="none"/>
              </w:rPr>
            </w:pPr>
          </w:p>
        </w:tc>
      </w:tr>
      <w:tr w14:paraId="5454E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613" w:type="dxa"/>
            <w:noWrap w:val="0"/>
            <w:vAlign w:val="top"/>
          </w:tcPr>
          <w:p w14:paraId="3BFC0480">
            <w:pPr>
              <w:pStyle w:val="9"/>
              <w:ind w:firstLine="480"/>
              <w:jc w:val="both"/>
              <w:rPr>
                <w:rFonts w:hint="eastAsia" w:ascii="宋体" w:hAnsi="宋体" w:cs="宋体"/>
                <w:color w:val="auto"/>
                <w:sz w:val="24"/>
                <w:szCs w:val="24"/>
                <w:highlight w:val="none"/>
              </w:rPr>
            </w:pPr>
          </w:p>
        </w:tc>
        <w:tc>
          <w:tcPr>
            <w:tcW w:w="1613" w:type="dxa"/>
            <w:noWrap w:val="0"/>
            <w:vAlign w:val="top"/>
          </w:tcPr>
          <w:p w14:paraId="09FC9F6A">
            <w:pPr>
              <w:pStyle w:val="9"/>
              <w:ind w:firstLine="480"/>
              <w:jc w:val="both"/>
              <w:rPr>
                <w:rFonts w:hint="eastAsia" w:ascii="宋体" w:hAnsi="宋体" w:cs="宋体"/>
                <w:color w:val="auto"/>
                <w:sz w:val="24"/>
                <w:szCs w:val="24"/>
                <w:highlight w:val="none"/>
              </w:rPr>
            </w:pPr>
          </w:p>
        </w:tc>
        <w:tc>
          <w:tcPr>
            <w:tcW w:w="1613" w:type="dxa"/>
            <w:noWrap w:val="0"/>
            <w:vAlign w:val="top"/>
          </w:tcPr>
          <w:p w14:paraId="06D192C3">
            <w:pPr>
              <w:pStyle w:val="9"/>
              <w:ind w:firstLine="480"/>
              <w:jc w:val="both"/>
              <w:rPr>
                <w:rFonts w:hint="eastAsia" w:ascii="宋体" w:hAnsi="宋体" w:cs="宋体"/>
                <w:color w:val="auto"/>
                <w:sz w:val="24"/>
                <w:szCs w:val="24"/>
                <w:highlight w:val="none"/>
              </w:rPr>
            </w:pPr>
          </w:p>
        </w:tc>
        <w:tc>
          <w:tcPr>
            <w:tcW w:w="1613" w:type="dxa"/>
            <w:noWrap w:val="0"/>
            <w:vAlign w:val="top"/>
          </w:tcPr>
          <w:p w14:paraId="13C59AE7">
            <w:pPr>
              <w:pStyle w:val="9"/>
              <w:ind w:firstLine="480"/>
              <w:jc w:val="both"/>
              <w:rPr>
                <w:rFonts w:hint="eastAsia" w:ascii="宋体" w:hAnsi="宋体" w:cs="宋体"/>
                <w:color w:val="auto"/>
                <w:sz w:val="24"/>
                <w:szCs w:val="24"/>
                <w:highlight w:val="none"/>
              </w:rPr>
            </w:pPr>
          </w:p>
        </w:tc>
        <w:tc>
          <w:tcPr>
            <w:tcW w:w="1613" w:type="dxa"/>
            <w:noWrap w:val="0"/>
            <w:vAlign w:val="top"/>
          </w:tcPr>
          <w:p w14:paraId="7755B5EE">
            <w:pPr>
              <w:pStyle w:val="9"/>
              <w:ind w:firstLine="480"/>
              <w:jc w:val="both"/>
              <w:rPr>
                <w:rFonts w:hint="eastAsia" w:ascii="宋体" w:hAnsi="宋体" w:cs="宋体"/>
                <w:color w:val="auto"/>
                <w:sz w:val="24"/>
                <w:szCs w:val="24"/>
                <w:highlight w:val="none"/>
              </w:rPr>
            </w:pPr>
          </w:p>
        </w:tc>
        <w:tc>
          <w:tcPr>
            <w:tcW w:w="1613" w:type="dxa"/>
            <w:noWrap w:val="0"/>
            <w:vAlign w:val="top"/>
          </w:tcPr>
          <w:p w14:paraId="20BACE85">
            <w:pPr>
              <w:pStyle w:val="9"/>
              <w:ind w:firstLine="480"/>
              <w:jc w:val="both"/>
              <w:rPr>
                <w:rFonts w:hint="eastAsia" w:ascii="宋体" w:hAnsi="宋体" w:cs="宋体"/>
                <w:color w:val="auto"/>
                <w:sz w:val="24"/>
                <w:szCs w:val="24"/>
                <w:highlight w:val="none"/>
              </w:rPr>
            </w:pPr>
          </w:p>
        </w:tc>
      </w:tr>
      <w:tr w14:paraId="3E9B9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613" w:type="dxa"/>
            <w:noWrap w:val="0"/>
            <w:vAlign w:val="top"/>
          </w:tcPr>
          <w:p w14:paraId="41A4B8C9">
            <w:pPr>
              <w:pStyle w:val="9"/>
              <w:ind w:firstLine="480"/>
              <w:jc w:val="both"/>
              <w:rPr>
                <w:rFonts w:hint="eastAsia" w:ascii="宋体" w:hAnsi="宋体" w:cs="宋体"/>
                <w:color w:val="auto"/>
                <w:sz w:val="24"/>
                <w:szCs w:val="24"/>
                <w:highlight w:val="none"/>
              </w:rPr>
            </w:pPr>
          </w:p>
        </w:tc>
        <w:tc>
          <w:tcPr>
            <w:tcW w:w="1613" w:type="dxa"/>
            <w:noWrap w:val="0"/>
            <w:vAlign w:val="top"/>
          </w:tcPr>
          <w:p w14:paraId="37612149">
            <w:pPr>
              <w:pStyle w:val="9"/>
              <w:ind w:firstLine="480"/>
              <w:jc w:val="both"/>
              <w:rPr>
                <w:rFonts w:hint="eastAsia" w:ascii="宋体" w:hAnsi="宋体" w:cs="宋体"/>
                <w:color w:val="auto"/>
                <w:sz w:val="24"/>
                <w:szCs w:val="24"/>
                <w:highlight w:val="none"/>
              </w:rPr>
            </w:pPr>
          </w:p>
        </w:tc>
        <w:tc>
          <w:tcPr>
            <w:tcW w:w="1613" w:type="dxa"/>
            <w:noWrap w:val="0"/>
            <w:vAlign w:val="top"/>
          </w:tcPr>
          <w:p w14:paraId="6A29732E">
            <w:pPr>
              <w:pStyle w:val="9"/>
              <w:ind w:firstLine="480"/>
              <w:jc w:val="both"/>
              <w:rPr>
                <w:rFonts w:hint="eastAsia" w:ascii="宋体" w:hAnsi="宋体" w:cs="宋体"/>
                <w:color w:val="auto"/>
                <w:sz w:val="24"/>
                <w:szCs w:val="24"/>
                <w:highlight w:val="none"/>
              </w:rPr>
            </w:pPr>
          </w:p>
        </w:tc>
        <w:tc>
          <w:tcPr>
            <w:tcW w:w="1613" w:type="dxa"/>
            <w:noWrap w:val="0"/>
            <w:vAlign w:val="top"/>
          </w:tcPr>
          <w:p w14:paraId="3EA480E0">
            <w:pPr>
              <w:pStyle w:val="9"/>
              <w:ind w:firstLine="480"/>
              <w:jc w:val="both"/>
              <w:rPr>
                <w:rFonts w:hint="eastAsia" w:ascii="宋体" w:hAnsi="宋体" w:cs="宋体"/>
                <w:color w:val="auto"/>
                <w:sz w:val="24"/>
                <w:szCs w:val="24"/>
                <w:highlight w:val="none"/>
              </w:rPr>
            </w:pPr>
          </w:p>
        </w:tc>
        <w:tc>
          <w:tcPr>
            <w:tcW w:w="1613" w:type="dxa"/>
            <w:noWrap w:val="0"/>
            <w:vAlign w:val="top"/>
          </w:tcPr>
          <w:p w14:paraId="0CA6B9F8">
            <w:pPr>
              <w:pStyle w:val="9"/>
              <w:ind w:firstLine="480"/>
              <w:jc w:val="both"/>
              <w:rPr>
                <w:rFonts w:hint="eastAsia" w:ascii="宋体" w:hAnsi="宋体" w:cs="宋体"/>
                <w:color w:val="auto"/>
                <w:sz w:val="24"/>
                <w:szCs w:val="24"/>
                <w:highlight w:val="none"/>
              </w:rPr>
            </w:pPr>
          </w:p>
        </w:tc>
        <w:tc>
          <w:tcPr>
            <w:tcW w:w="1613" w:type="dxa"/>
            <w:noWrap w:val="0"/>
            <w:vAlign w:val="top"/>
          </w:tcPr>
          <w:p w14:paraId="004E4B1F">
            <w:pPr>
              <w:pStyle w:val="9"/>
              <w:ind w:firstLine="480"/>
              <w:jc w:val="both"/>
              <w:rPr>
                <w:rFonts w:hint="eastAsia" w:ascii="宋体" w:hAnsi="宋体" w:cs="宋体"/>
                <w:color w:val="auto"/>
                <w:sz w:val="24"/>
                <w:szCs w:val="24"/>
                <w:highlight w:val="none"/>
              </w:rPr>
            </w:pPr>
          </w:p>
        </w:tc>
      </w:tr>
      <w:tr w14:paraId="4CE65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613" w:type="dxa"/>
            <w:noWrap w:val="0"/>
            <w:vAlign w:val="top"/>
          </w:tcPr>
          <w:p w14:paraId="022D1BF9">
            <w:pPr>
              <w:pStyle w:val="9"/>
              <w:ind w:firstLine="480"/>
              <w:jc w:val="both"/>
              <w:rPr>
                <w:rFonts w:hint="eastAsia" w:ascii="宋体" w:hAnsi="宋体" w:cs="宋体"/>
                <w:color w:val="auto"/>
                <w:sz w:val="24"/>
                <w:szCs w:val="24"/>
                <w:highlight w:val="none"/>
              </w:rPr>
            </w:pPr>
          </w:p>
        </w:tc>
        <w:tc>
          <w:tcPr>
            <w:tcW w:w="1613" w:type="dxa"/>
            <w:noWrap w:val="0"/>
            <w:vAlign w:val="top"/>
          </w:tcPr>
          <w:p w14:paraId="23E47B54">
            <w:pPr>
              <w:pStyle w:val="9"/>
              <w:ind w:firstLine="480"/>
              <w:jc w:val="both"/>
              <w:rPr>
                <w:rFonts w:hint="eastAsia" w:ascii="宋体" w:hAnsi="宋体" w:cs="宋体"/>
                <w:color w:val="auto"/>
                <w:sz w:val="24"/>
                <w:szCs w:val="24"/>
                <w:highlight w:val="none"/>
              </w:rPr>
            </w:pPr>
          </w:p>
        </w:tc>
        <w:tc>
          <w:tcPr>
            <w:tcW w:w="1613" w:type="dxa"/>
            <w:noWrap w:val="0"/>
            <w:vAlign w:val="top"/>
          </w:tcPr>
          <w:p w14:paraId="0B78C79E">
            <w:pPr>
              <w:pStyle w:val="9"/>
              <w:ind w:firstLine="480"/>
              <w:jc w:val="both"/>
              <w:rPr>
                <w:rFonts w:hint="eastAsia" w:ascii="宋体" w:hAnsi="宋体" w:cs="宋体"/>
                <w:color w:val="auto"/>
                <w:sz w:val="24"/>
                <w:szCs w:val="24"/>
                <w:highlight w:val="none"/>
              </w:rPr>
            </w:pPr>
          </w:p>
        </w:tc>
        <w:tc>
          <w:tcPr>
            <w:tcW w:w="1613" w:type="dxa"/>
            <w:noWrap w:val="0"/>
            <w:vAlign w:val="top"/>
          </w:tcPr>
          <w:p w14:paraId="38FC9BF0">
            <w:pPr>
              <w:pStyle w:val="9"/>
              <w:ind w:firstLine="480"/>
              <w:jc w:val="both"/>
              <w:rPr>
                <w:rFonts w:hint="eastAsia" w:ascii="宋体" w:hAnsi="宋体" w:cs="宋体"/>
                <w:color w:val="auto"/>
                <w:sz w:val="24"/>
                <w:szCs w:val="24"/>
                <w:highlight w:val="none"/>
              </w:rPr>
            </w:pPr>
          </w:p>
        </w:tc>
        <w:tc>
          <w:tcPr>
            <w:tcW w:w="1613" w:type="dxa"/>
            <w:noWrap w:val="0"/>
            <w:vAlign w:val="top"/>
          </w:tcPr>
          <w:p w14:paraId="67F27EE1">
            <w:pPr>
              <w:pStyle w:val="9"/>
              <w:ind w:firstLine="480"/>
              <w:jc w:val="both"/>
              <w:rPr>
                <w:rFonts w:hint="eastAsia" w:ascii="宋体" w:hAnsi="宋体" w:cs="宋体"/>
                <w:color w:val="auto"/>
                <w:sz w:val="24"/>
                <w:szCs w:val="24"/>
                <w:highlight w:val="none"/>
              </w:rPr>
            </w:pPr>
          </w:p>
        </w:tc>
        <w:tc>
          <w:tcPr>
            <w:tcW w:w="1613" w:type="dxa"/>
            <w:noWrap w:val="0"/>
            <w:vAlign w:val="top"/>
          </w:tcPr>
          <w:p w14:paraId="72EA1102">
            <w:pPr>
              <w:pStyle w:val="9"/>
              <w:ind w:firstLine="480"/>
              <w:jc w:val="both"/>
              <w:rPr>
                <w:rFonts w:hint="eastAsia" w:ascii="宋体" w:hAnsi="宋体" w:cs="宋体"/>
                <w:color w:val="auto"/>
                <w:sz w:val="24"/>
                <w:szCs w:val="24"/>
                <w:highlight w:val="none"/>
              </w:rPr>
            </w:pPr>
          </w:p>
        </w:tc>
      </w:tr>
      <w:tr w14:paraId="454F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613" w:type="dxa"/>
            <w:noWrap w:val="0"/>
            <w:vAlign w:val="top"/>
          </w:tcPr>
          <w:p w14:paraId="10CFD1AA">
            <w:pPr>
              <w:pStyle w:val="9"/>
              <w:ind w:firstLine="480"/>
              <w:jc w:val="both"/>
              <w:rPr>
                <w:rFonts w:hint="eastAsia" w:ascii="宋体" w:hAnsi="宋体" w:cs="宋体"/>
                <w:color w:val="auto"/>
                <w:sz w:val="24"/>
                <w:szCs w:val="24"/>
                <w:highlight w:val="none"/>
              </w:rPr>
            </w:pPr>
          </w:p>
        </w:tc>
        <w:tc>
          <w:tcPr>
            <w:tcW w:w="1613" w:type="dxa"/>
            <w:noWrap w:val="0"/>
            <w:vAlign w:val="top"/>
          </w:tcPr>
          <w:p w14:paraId="36E0E4D6">
            <w:pPr>
              <w:pStyle w:val="9"/>
              <w:ind w:firstLine="480"/>
              <w:jc w:val="both"/>
              <w:rPr>
                <w:rFonts w:hint="eastAsia" w:ascii="宋体" w:hAnsi="宋体" w:cs="宋体"/>
                <w:color w:val="auto"/>
                <w:sz w:val="24"/>
                <w:szCs w:val="24"/>
                <w:highlight w:val="none"/>
              </w:rPr>
            </w:pPr>
          </w:p>
        </w:tc>
        <w:tc>
          <w:tcPr>
            <w:tcW w:w="1613" w:type="dxa"/>
            <w:noWrap w:val="0"/>
            <w:vAlign w:val="top"/>
          </w:tcPr>
          <w:p w14:paraId="63E1C976">
            <w:pPr>
              <w:pStyle w:val="9"/>
              <w:ind w:firstLine="480"/>
              <w:jc w:val="both"/>
              <w:rPr>
                <w:rFonts w:hint="eastAsia" w:ascii="宋体" w:hAnsi="宋体" w:cs="宋体"/>
                <w:color w:val="auto"/>
                <w:sz w:val="24"/>
                <w:szCs w:val="24"/>
                <w:highlight w:val="none"/>
              </w:rPr>
            </w:pPr>
          </w:p>
        </w:tc>
        <w:tc>
          <w:tcPr>
            <w:tcW w:w="1613" w:type="dxa"/>
            <w:noWrap w:val="0"/>
            <w:vAlign w:val="top"/>
          </w:tcPr>
          <w:p w14:paraId="66C22245">
            <w:pPr>
              <w:pStyle w:val="9"/>
              <w:ind w:firstLine="480"/>
              <w:jc w:val="both"/>
              <w:rPr>
                <w:rFonts w:hint="eastAsia" w:ascii="宋体" w:hAnsi="宋体" w:cs="宋体"/>
                <w:color w:val="auto"/>
                <w:sz w:val="24"/>
                <w:szCs w:val="24"/>
                <w:highlight w:val="none"/>
              </w:rPr>
            </w:pPr>
          </w:p>
        </w:tc>
        <w:tc>
          <w:tcPr>
            <w:tcW w:w="1613" w:type="dxa"/>
            <w:noWrap w:val="0"/>
            <w:vAlign w:val="top"/>
          </w:tcPr>
          <w:p w14:paraId="0CB0EEEF">
            <w:pPr>
              <w:pStyle w:val="9"/>
              <w:ind w:firstLine="480"/>
              <w:jc w:val="both"/>
              <w:rPr>
                <w:rFonts w:hint="eastAsia" w:ascii="宋体" w:hAnsi="宋体" w:cs="宋体"/>
                <w:color w:val="auto"/>
                <w:sz w:val="24"/>
                <w:szCs w:val="24"/>
                <w:highlight w:val="none"/>
              </w:rPr>
            </w:pPr>
          </w:p>
        </w:tc>
        <w:tc>
          <w:tcPr>
            <w:tcW w:w="1613" w:type="dxa"/>
            <w:noWrap w:val="0"/>
            <w:vAlign w:val="top"/>
          </w:tcPr>
          <w:p w14:paraId="76BC62A1">
            <w:pPr>
              <w:pStyle w:val="9"/>
              <w:ind w:firstLine="480"/>
              <w:jc w:val="both"/>
              <w:rPr>
                <w:rFonts w:hint="eastAsia" w:ascii="宋体" w:hAnsi="宋体" w:cs="宋体"/>
                <w:color w:val="auto"/>
                <w:sz w:val="24"/>
                <w:szCs w:val="24"/>
                <w:highlight w:val="none"/>
              </w:rPr>
            </w:pPr>
          </w:p>
        </w:tc>
      </w:tr>
    </w:tbl>
    <w:p w14:paraId="4B4ACECE">
      <w:pPr>
        <w:pStyle w:val="4"/>
        <w:spacing w:line="360" w:lineRule="auto"/>
        <w:jc w:val="center"/>
        <w:rPr>
          <w:rFonts w:hint="eastAsia" w:ascii="宋体" w:hAnsi="宋体" w:cs="宋体"/>
          <w:b/>
          <w:bCs/>
          <w:color w:val="auto"/>
          <w:kern w:val="1"/>
          <w:sz w:val="28"/>
          <w:szCs w:val="28"/>
          <w:highlight w:val="none"/>
        </w:rPr>
      </w:pPr>
      <w:bookmarkStart w:id="527" w:name="_Toc12350"/>
      <w:r>
        <w:rPr>
          <w:rFonts w:hint="eastAsia" w:ascii="宋体" w:hAnsi="宋体" w:cs="宋体"/>
          <w:b/>
          <w:bCs/>
          <w:color w:val="auto"/>
          <w:kern w:val="1"/>
          <w:sz w:val="28"/>
          <w:szCs w:val="28"/>
          <w:highlight w:val="none"/>
        </w:rPr>
        <w:br w:type="page"/>
      </w:r>
      <w:r>
        <w:rPr>
          <w:rFonts w:hint="eastAsia" w:ascii="宋体" w:hAnsi="宋体" w:cs="宋体"/>
          <w:b/>
          <w:bCs/>
          <w:color w:val="auto"/>
          <w:kern w:val="1"/>
          <w:sz w:val="28"/>
          <w:szCs w:val="28"/>
          <w:highlight w:val="none"/>
        </w:rPr>
        <w:t>七、资格审查资料</w:t>
      </w:r>
      <w:bookmarkEnd w:id="527"/>
    </w:p>
    <w:p w14:paraId="46222E56">
      <w:pPr>
        <w:spacing w:line="24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1.供应商基本情况表</w:t>
      </w:r>
    </w:p>
    <w:tbl>
      <w:tblPr>
        <w:tblStyle w:val="16"/>
        <w:tblW w:w="8959" w:type="dxa"/>
        <w:tblInd w:w="108" w:type="dxa"/>
        <w:tblLayout w:type="fixed"/>
        <w:tblCellMar>
          <w:top w:w="0" w:type="dxa"/>
          <w:left w:w="108" w:type="dxa"/>
          <w:bottom w:w="0" w:type="dxa"/>
          <w:right w:w="108" w:type="dxa"/>
        </w:tblCellMar>
      </w:tblPr>
      <w:tblGrid>
        <w:gridCol w:w="1861"/>
        <w:gridCol w:w="1012"/>
        <w:gridCol w:w="1138"/>
        <w:gridCol w:w="1380"/>
        <w:gridCol w:w="1194"/>
        <w:gridCol w:w="2374"/>
      </w:tblGrid>
      <w:tr w14:paraId="07CE16AD">
        <w:tblPrEx>
          <w:tblCellMar>
            <w:top w:w="0" w:type="dxa"/>
            <w:left w:w="108" w:type="dxa"/>
            <w:bottom w:w="0" w:type="dxa"/>
            <w:right w:w="108" w:type="dxa"/>
          </w:tblCellMar>
        </w:tblPrEx>
        <w:trPr>
          <w:trHeight w:val="922" w:hRule="atLeast"/>
        </w:trPr>
        <w:tc>
          <w:tcPr>
            <w:tcW w:w="1861" w:type="dxa"/>
            <w:tcBorders>
              <w:top w:val="single" w:color="000000" w:sz="4" w:space="0"/>
              <w:left w:val="single" w:color="000000" w:sz="4" w:space="0"/>
              <w:bottom w:val="single" w:color="000000" w:sz="4" w:space="0"/>
              <w:right w:val="single" w:color="000000" w:sz="4" w:space="0"/>
            </w:tcBorders>
            <w:noWrap w:val="0"/>
            <w:vAlign w:val="center"/>
          </w:tcPr>
          <w:p w14:paraId="1AB9ADDF">
            <w:pPr>
              <w:spacing w:line="42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供应商名称</w:t>
            </w:r>
          </w:p>
        </w:tc>
        <w:tc>
          <w:tcPr>
            <w:tcW w:w="7098" w:type="dxa"/>
            <w:gridSpan w:val="5"/>
            <w:tcBorders>
              <w:top w:val="single" w:color="000000" w:sz="4" w:space="0"/>
              <w:left w:val="single" w:color="000000" w:sz="4" w:space="0"/>
              <w:bottom w:val="single" w:color="000000" w:sz="4" w:space="0"/>
              <w:right w:val="single" w:color="000000" w:sz="4" w:space="0"/>
            </w:tcBorders>
            <w:noWrap w:val="0"/>
            <w:vAlign w:val="center"/>
          </w:tcPr>
          <w:p w14:paraId="2D6F774A">
            <w:pPr>
              <w:spacing w:line="420" w:lineRule="auto"/>
              <w:ind w:firstLine="0" w:firstLineChars="0"/>
              <w:jc w:val="center"/>
              <w:rPr>
                <w:rFonts w:hint="eastAsia" w:ascii="宋体" w:hAnsi="宋体" w:cs="宋体"/>
                <w:color w:val="auto"/>
                <w:kern w:val="1"/>
                <w:sz w:val="24"/>
                <w:szCs w:val="24"/>
                <w:highlight w:val="none"/>
              </w:rPr>
            </w:pPr>
          </w:p>
        </w:tc>
      </w:tr>
      <w:tr w14:paraId="5FC5BE7A">
        <w:tblPrEx>
          <w:tblCellMar>
            <w:top w:w="0" w:type="dxa"/>
            <w:left w:w="108" w:type="dxa"/>
            <w:bottom w:w="0" w:type="dxa"/>
            <w:right w:w="108" w:type="dxa"/>
          </w:tblCellMar>
        </w:tblPrEx>
        <w:trPr>
          <w:trHeight w:val="768" w:hRule="atLeast"/>
        </w:trPr>
        <w:tc>
          <w:tcPr>
            <w:tcW w:w="1861" w:type="dxa"/>
            <w:tcBorders>
              <w:top w:val="single" w:color="000000" w:sz="4" w:space="0"/>
              <w:left w:val="single" w:color="000000" w:sz="4" w:space="0"/>
              <w:bottom w:val="single" w:color="000000" w:sz="4" w:space="0"/>
              <w:right w:val="single" w:color="000000" w:sz="4" w:space="0"/>
            </w:tcBorders>
            <w:noWrap w:val="0"/>
            <w:vAlign w:val="center"/>
          </w:tcPr>
          <w:p w14:paraId="11E053AF">
            <w:pPr>
              <w:spacing w:line="42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注册地址</w:t>
            </w:r>
          </w:p>
        </w:tc>
        <w:tc>
          <w:tcPr>
            <w:tcW w:w="3530" w:type="dxa"/>
            <w:gridSpan w:val="3"/>
            <w:tcBorders>
              <w:top w:val="single" w:color="000000" w:sz="4" w:space="0"/>
              <w:left w:val="single" w:color="000000" w:sz="4" w:space="0"/>
              <w:bottom w:val="single" w:color="000000" w:sz="4" w:space="0"/>
              <w:right w:val="single" w:color="000000" w:sz="4" w:space="0"/>
            </w:tcBorders>
            <w:noWrap w:val="0"/>
            <w:vAlign w:val="center"/>
          </w:tcPr>
          <w:p w14:paraId="2718FE43">
            <w:pPr>
              <w:spacing w:line="420" w:lineRule="auto"/>
              <w:ind w:firstLine="0" w:firstLineChars="0"/>
              <w:jc w:val="center"/>
              <w:rPr>
                <w:rFonts w:hint="eastAsia" w:ascii="宋体" w:hAnsi="宋体" w:cs="宋体"/>
                <w:color w:val="auto"/>
                <w:kern w:val="1"/>
                <w:sz w:val="24"/>
                <w:szCs w:val="24"/>
                <w:highlight w:val="none"/>
              </w:rPr>
            </w:pPr>
          </w:p>
        </w:tc>
        <w:tc>
          <w:tcPr>
            <w:tcW w:w="1194" w:type="dxa"/>
            <w:tcBorders>
              <w:top w:val="single" w:color="000000" w:sz="4" w:space="0"/>
              <w:left w:val="single" w:color="000000" w:sz="4" w:space="0"/>
              <w:bottom w:val="single" w:color="000000" w:sz="4" w:space="0"/>
              <w:right w:val="single" w:color="000000" w:sz="4" w:space="0"/>
            </w:tcBorders>
            <w:noWrap w:val="0"/>
            <w:vAlign w:val="center"/>
          </w:tcPr>
          <w:p w14:paraId="441AE0B1">
            <w:pPr>
              <w:spacing w:line="42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邮政编码</w:t>
            </w:r>
          </w:p>
        </w:tc>
        <w:tc>
          <w:tcPr>
            <w:tcW w:w="2374" w:type="dxa"/>
            <w:tcBorders>
              <w:top w:val="single" w:color="000000" w:sz="4" w:space="0"/>
              <w:left w:val="single" w:color="000000" w:sz="4" w:space="0"/>
              <w:bottom w:val="single" w:color="000000" w:sz="4" w:space="0"/>
              <w:right w:val="single" w:color="000000" w:sz="4" w:space="0"/>
            </w:tcBorders>
            <w:noWrap w:val="0"/>
            <w:vAlign w:val="center"/>
          </w:tcPr>
          <w:p w14:paraId="68A8DF37">
            <w:pPr>
              <w:spacing w:line="420" w:lineRule="auto"/>
              <w:ind w:firstLine="0" w:firstLineChars="0"/>
              <w:jc w:val="center"/>
              <w:rPr>
                <w:rFonts w:hint="eastAsia" w:ascii="宋体" w:hAnsi="宋体" w:cs="宋体"/>
                <w:color w:val="auto"/>
                <w:kern w:val="1"/>
                <w:sz w:val="24"/>
                <w:szCs w:val="24"/>
                <w:highlight w:val="none"/>
              </w:rPr>
            </w:pPr>
          </w:p>
        </w:tc>
      </w:tr>
      <w:tr w14:paraId="20CC7F75">
        <w:tblPrEx>
          <w:tblCellMar>
            <w:top w:w="0" w:type="dxa"/>
            <w:left w:w="108" w:type="dxa"/>
            <w:bottom w:w="0" w:type="dxa"/>
            <w:right w:w="108" w:type="dxa"/>
          </w:tblCellMar>
        </w:tblPrEx>
        <w:trPr>
          <w:trHeight w:val="809" w:hRule="atLeast"/>
        </w:trPr>
        <w:tc>
          <w:tcPr>
            <w:tcW w:w="186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EBDCC2">
            <w:pPr>
              <w:spacing w:line="42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联系方式</w:t>
            </w:r>
          </w:p>
        </w:tc>
        <w:tc>
          <w:tcPr>
            <w:tcW w:w="1012" w:type="dxa"/>
            <w:tcBorders>
              <w:top w:val="single" w:color="000000" w:sz="4" w:space="0"/>
              <w:left w:val="single" w:color="000000" w:sz="4" w:space="0"/>
              <w:bottom w:val="single" w:color="000000" w:sz="4" w:space="0"/>
              <w:right w:val="single" w:color="000000" w:sz="4" w:space="0"/>
            </w:tcBorders>
            <w:noWrap w:val="0"/>
            <w:vAlign w:val="center"/>
          </w:tcPr>
          <w:p w14:paraId="2A400C38">
            <w:pPr>
              <w:spacing w:line="42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联系人</w:t>
            </w:r>
          </w:p>
        </w:tc>
        <w:tc>
          <w:tcPr>
            <w:tcW w:w="2518" w:type="dxa"/>
            <w:gridSpan w:val="2"/>
            <w:tcBorders>
              <w:top w:val="single" w:color="000000" w:sz="4" w:space="0"/>
              <w:left w:val="single" w:color="000000" w:sz="4" w:space="0"/>
              <w:bottom w:val="single" w:color="000000" w:sz="4" w:space="0"/>
              <w:right w:val="single" w:color="000000" w:sz="4" w:space="0"/>
            </w:tcBorders>
            <w:noWrap w:val="0"/>
            <w:vAlign w:val="center"/>
          </w:tcPr>
          <w:p w14:paraId="0FAF13A5">
            <w:pPr>
              <w:spacing w:line="420" w:lineRule="auto"/>
              <w:ind w:firstLine="0" w:firstLineChars="0"/>
              <w:jc w:val="center"/>
              <w:rPr>
                <w:rFonts w:hint="eastAsia" w:ascii="宋体" w:hAnsi="宋体" w:cs="宋体"/>
                <w:color w:val="auto"/>
                <w:kern w:val="1"/>
                <w:sz w:val="24"/>
                <w:szCs w:val="24"/>
                <w:highlight w:val="none"/>
              </w:rPr>
            </w:pPr>
          </w:p>
        </w:tc>
        <w:tc>
          <w:tcPr>
            <w:tcW w:w="1194" w:type="dxa"/>
            <w:tcBorders>
              <w:top w:val="single" w:color="000000" w:sz="4" w:space="0"/>
              <w:left w:val="single" w:color="000000" w:sz="4" w:space="0"/>
              <w:bottom w:val="single" w:color="000000" w:sz="4" w:space="0"/>
              <w:right w:val="single" w:color="000000" w:sz="4" w:space="0"/>
            </w:tcBorders>
            <w:noWrap w:val="0"/>
            <w:vAlign w:val="center"/>
          </w:tcPr>
          <w:p w14:paraId="107BB305">
            <w:pPr>
              <w:spacing w:line="42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电话</w:t>
            </w:r>
          </w:p>
        </w:tc>
        <w:tc>
          <w:tcPr>
            <w:tcW w:w="2374" w:type="dxa"/>
            <w:tcBorders>
              <w:top w:val="single" w:color="000000" w:sz="4" w:space="0"/>
              <w:left w:val="single" w:color="000000" w:sz="4" w:space="0"/>
              <w:bottom w:val="single" w:color="000000" w:sz="4" w:space="0"/>
              <w:right w:val="single" w:color="000000" w:sz="4" w:space="0"/>
            </w:tcBorders>
            <w:noWrap w:val="0"/>
            <w:vAlign w:val="center"/>
          </w:tcPr>
          <w:p w14:paraId="474451A0">
            <w:pPr>
              <w:spacing w:line="420" w:lineRule="auto"/>
              <w:ind w:firstLine="0" w:firstLineChars="0"/>
              <w:jc w:val="center"/>
              <w:rPr>
                <w:rFonts w:hint="eastAsia" w:ascii="宋体" w:hAnsi="宋体" w:cs="宋体"/>
                <w:color w:val="auto"/>
                <w:kern w:val="1"/>
                <w:sz w:val="24"/>
                <w:szCs w:val="24"/>
                <w:highlight w:val="none"/>
              </w:rPr>
            </w:pPr>
          </w:p>
        </w:tc>
      </w:tr>
      <w:tr w14:paraId="71B626BC">
        <w:tblPrEx>
          <w:tblCellMar>
            <w:top w:w="0" w:type="dxa"/>
            <w:left w:w="108" w:type="dxa"/>
            <w:bottom w:w="0" w:type="dxa"/>
            <w:right w:w="108" w:type="dxa"/>
          </w:tblCellMar>
        </w:tblPrEx>
        <w:trPr>
          <w:trHeight w:val="827" w:hRule="atLeast"/>
        </w:trPr>
        <w:tc>
          <w:tcPr>
            <w:tcW w:w="18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5CCF62">
            <w:pPr>
              <w:spacing w:line="240" w:lineRule="auto"/>
              <w:ind w:firstLine="0" w:firstLineChars="0"/>
              <w:rPr>
                <w:rFonts w:hint="eastAsia" w:ascii="宋体" w:hAnsi="宋体" w:cs="宋体"/>
                <w:color w:val="auto"/>
                <w:kern w:val="1"/>
                <w:sz w:val="24"/>
                <w:szCs w:val="24"/>
                <w:highlight w:val="none"/>
              </w:rPr>
            </w:pPr>
          </w:p>
        </w:tc>
        <w:tc>
          <w:tcPr>
            <w:tcW w:w="1012" w:type="dxa"/>
            <w:tcBorders>
              <w:top w:val="single" w:color="000000" w:sz="4" w:space="0"/>
              <w:left w:val="single" w:color="000000" w:sz="4" w:space="0"/>
              <w:bottom w:val="single" w:color="000000" w:sz="4" w:space="0"/>
              <w:right w:val="single" w:color="000000" w:sz="4" w:space="0"/>
            </w:tcBorders>
            <w:noWrap w:val="0"/>
            <w:vAlign w:val="center"/>
          </w:tcPr>
          <w:p w14:paraId="7D39992D">
            <w:pPr>
              <w:spacing w:line="42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传真</w:t>
            </w:r>
          </w:p>
        </w:tc>
        <w:tc>
          <w:tcPr>
            <w:tcW w:w="2518" w:type="dxa"/>
            <w:gridSpan w:val="2"/>
            <w:tcBorders>
              <w:top w:val="single" w:color="000000" w:sz="4" w:space="0"/>
              <w:left w:val="single" w:color="000000" w:sz="4" w:space="0"/>
              <w:bottom w:val="single" w:color="000000" w:sz="4" w:space="0"/>
              <w:right w:val="single" w:color="000000" w:sz="4" w:space="0"/>
            </w:tcBorders>
            <w:noWrap w:val="0"/>
            <w:vAlign w:val="center"/>
          </w:tcPr>
          <w:p w14:paraId="4A72FD34">
            <w:pPr>
              <w:spacing w:line="420" w:lineRule="auto"/>
              <w:ind w:firstLine="0" w:firstLineChars="0"/>
              <w:jc w:val="center"/>
              <w:rPr>
                <w:rFonts w:hint="eastAsia" w:ascii="宋体" w:hAnsi="宋体" w:cs="宋体"/>
                <w:color w:val="auto"/>
                <w:kern w:val="1"/>
                <w:sz w:val="24"/>
                <w:szCs w:val="24"/>
                <w:highlight w:val="none"/>
              </w:rPr>
            </w:pPr>
          </w:p>
        </w:tc>
        <w:tc>
          <w:tcPr>
            <w:tcW w:w="1194" w:type="dxa"/>
            <w:tcBorders>
              <w:top w:val="single" w:color="000000" w:sz="4" w:space="0"/>
              <w:left w:val="single" w:color="000000" w:sz="4" w:space="0"/>
              <w:bottom w:val="single" w:color="000000" w:sz="4" w:space="0"/>
              <w:right w:val="single" w:color="000000" w:sz="4" w:space="0"/>
            </w:tcBorders>
            <w:noWrap w:val="0"/>
            <w:vAlign w:val="center"/>
          </w:tcPr>
          <w:p w14:paraId="11854404">
            <w:pPr>
              <w:spacing w:line="42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网址</w:t>
            </w:r>
          </w:p>
        </w:tc>
        <w:tc>
          <w:tcPr>
            <w:tcW w:w="2374" w:type="dxa"/>
            <w:tcBorders>
              <w:top w:val="single" w:color="000000" w:sz="4" w:space="0"/>
              <w:left w:val="single" w:color="000000" w:sz="4" w:space="0"/>
              <w:bottom w:val="single" w:color="000000" w:sz="4" w:space="0"/>
              <w:right w:val="single" w:color="000000" w:sz="4" w:space="0"/>
            </w:tcBorders>
            <w:noWrap w:val="0"/>
            <w:vAlign w:val="center"/>
          </w:tcPr>
          <w:p w14:paraId="57433AF0">
            <w:pPr>
              <w:spacing w:line="420" w:lineRule="auto"/>
              <w:ind w:firstLine="0" w:firstLineChars="0"/>
              <w:jc w:val="center"/>
              <w:rPr>
                <w:rFonts w:hint="eastAsia" w:ascii="宋体" w:hAnsi="宋体" w:cs="宋体"/>
                <w:color w:val="auto"/>
                <w:kern w:val="1"/>
                <w:sz w:val="24"/>
                <w:szCs w:val="24"/>
                <w:highlight w:val="none"/>
              </w:rPr>
            </w:pPr>
          </w:p>
        </w:tc>
      </w:tr>
      <w:tr w14:paraId="11D591A0">
        <w:tblPrEx>
          <w:tblCellMar>
            <w:top w:w="0" w:type="dxa"/>
            <w:left w:w="108" w:type="dxa"/>
            <w:bottom w:w="0" w:type="dxa"/>
            <w:right w:w="108" w:type="dxa"/>
          </w:tblCellMar>
        </w:tblPrEx>
        <w:trPr>
          <w:trHeight w:val="825" w:hRule="atLeast"/>
        </w:trPr>
        <w:tc>
          <w:tcPr>
            <w:tcW w:w="1861" w:type="dxa"/>
            <w:tcBorders>
              <w:top w:val="single" w:color="000000" w:sz="4" w:space="0"/>
              <w:left w:val="single" w:color="000000" w:sz="4" w:space="0"/>
              <w:bottom w:val="single" w:color="000000" w:sz="4" w:space="0"/>
              <w:right w:val="single" w:color="000000" w:sz="4" w:space="0"/>
            </w:tcBorders>
            <w:noWrap w:val="0"/>
            <w:vAlign w:val="center"/>
          </w:tcPr>
          <w:p w14:paraId="08A970EA">
            <w:pPr>
              <w:spacing w:line="42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组织结构</w:t>
            </w:r>
          </w:p>
        </w:tc>
        <w:tc>
          <w:tcPr>
            <w:tcW w:w="7098" w:type="dxa"/>
            <w:gridSpan w:val="5"/>
            <w:tcBorders>
              <w:top w:val="single" w:color="000000" w:sz="4" w:space="0"/>
              <w:left w:val="single" w:color="000000" w:sz="4" w:space="0"/>
              <w:bottom w:val="single" w:color="000000" w:sz="4" w:space="0"/>
              <w:right w:val="single" w:color="000000" w:sz="4" w:space="0"/>
            </w:tcBorders>
            <w:noWrap w:val="0"/>
            <w:vAlign w:val="center"/>
          </w:tcPr>
          <w:p w14:paraId="3C15F16D">
            <w:pPr>
              <w:spacing w:line="420" w:lineRule="auto"/>
              <w:ind w:firstLine="0" w:firstLineChars="0"/>
              <w:jc w:val="center"/>
              <w:rPr>
                <w:rFonts w:hint="eastAsia" w:ascii="宋体" w:hAnsi="宋体" w:cs="宋体"/>
                <w:color w:val="auto"/>
                <w:kern w:val="1"/>
                <w:sz w:val="24"/>
                <w:szCs w:val="24"/>
                <w:highlight w:val="none"/>
              </w:rPr>
            </w:pPr>
          </w:p>
        </w:tc>
      </w:tr>
      <w:tr w14:paraId="1EC5B796">
        <w:tblPrEx>
          <w:tblCellMar>
            <w:top w:w="0" w:type="dxa"/>
            <w:left w:w="108" w:type="dxa"/>
            <w:bottom w:w="0" w:type="dxa"/>
            <w:right w:w="108" w:type="dxa"/>
          </w:tblCellMar>
        </w:tblPrEx>
        <w:trPr>
          <w:trHeight w:val="810" w:hRule="atLeast"/>
        </w:trPr>
        <w:tc>
          <w:tcPr>
            <w:tcW w:w="1861" w:type="dxa"/>
            <w:tcBorders>
              <w:top w:val="single" w:color="000000" w:sz="4" w:space="0"/>
              <w:left w:val="single" w:color="000000" w:sz="4" w:space="0"/>
              <w:bottom w:val="single" w:color="000000" w:sz="4" w:space="0"/>
              <w:right w:val="single" w:color="000000" w:sz="4" w:space="0"/>
            </w:tcBorders>
            <w:noWrap w:val="0"/>
            <w:vAlign w:val="center"/>
          </w:tcPr>
          <w:p w14:paraId="5270550F">
            <w:pPr>
              <w:spacing w:line="42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法定代表人</w:t>
            </w:r>
          </w:p>
        </w:tc>
        <w:tc>
          <w:tcPr>
            <w:tcW w:w="1012" w:type="dxa"/>
            <w:tcBorders>
              <w:top w:val="single" w:color="000000" w:sz="4" w:space="0"/>
              <w:left w:val="single" w:color="000000" w:sz="4" w:space="0"/>
              <w:bottom w:val="single" w:color="000000" w:sz="4" w:space="0"/>
              <w:right w:val="single" w:color="000000" w:sz="4" w:space="0"/>
            </w:tcBorders>
            <w:noWrap w:val="0"/>
            <w:vAlign w:val="center"/>
          </w:tcPr>
          <w:p w14:paraId="0B8CAB23">
            <w:pPr>
              <w:spacing w:line="42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姓名</w:t>
            </w:r>
          </w:p>
        </w:tc>
        <w:tc>
          <w:tcPr>
            <w:tcW w:w="2518" w:type="dxa"/>
            <w:gridSpan w:val="2"/>
            <w:tcBorders>
              <w:top w:val="single" w:color="000000" w:sz="4" w:space="0"/>
              <w:left w:val="single" w:color="000000" w:sz="4" w:space="0"/>
              <w:bottom w:val="single" w:color="000000" w:sz="4" w:space="0"/>
              <w:right w:val="single" w:color="000000" w:sz="4" w:space="0"/>
            </w:tcBorders>
            <w:noWrap w:val="0"/>
            <w:vAlign w:val="center"/>
          </w:tcPr>
          <w:p w14:paraId="32CA30F4">
            <w:pPr>
              <w:spacing w:line="240" w:lineRule="auto"/>
              <w:ind w:firstLine="0" w:firstLineChars="0"/>
              <w:jc w:val="center"/>
              <w:rPr>
                <w:rFonts w:hint="eastAsia" w:ascii="宋体" w:hAnsi="宋体" w:cs="宋体"/>
                <w:color w:val="auto"/>
                <w:kern w:val="1"/>
                <w:sz w:val="24"/>
                <w:szCs w:val="24"/>
                <w:highlight w:val="none"/>
              </w:rPr>
            </w:pPr>
          </w:p>
        </w:tc>
        <w:tc>
          <w:tcPr>
            <w:tcW w:w="1194" w:type="dxa"/>
            <w:tcBorders>
              <w:top w:val="single" w:color="000000" w:sz="4" w:space="0"/>
              <w:left w:val="single" w:color="000000" w:sz="4" w:space="0"/>
              <w:bottom w:val="single" w:color="000000" w:sz="4" w:space="0"/>
              <w:right w:val="single" w:color="000000" w:sz="4" w:space="0"/>
            </w:tcBorders>
            <w:noWrap w:val="0"/>
            <w:vAlign w:val="center"/>
          </w:tcPr>
          <w:p w14:paraId="0F8F6666">
            <w:pPr>
              <w:spacing w:line="24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电话</w:t>
            </w:r>
          </w:p>
        </w:tc>
        <w:tc>
          <w:tcPr>
            <w:tcW w:w="2374" w:type="dxa"/>
            <w:tcBorders>
              <w:top w:val="single" w:color="000000" w:sz="4" w:space="0"/>
              <w:left w:val="single" w:color="000000" w:sz="4" w:space="0"/>
              <w:bottom w:val="single" w:color="000000" w:sz="4" w:space="0"/>
              <w:right w:val="single" w:color="000000" w:sz="4" w:space="0"/>
            </w:tcBorders>
            <w:noWrap w:val="0"/>
            <w:vAlign w:val="center"/>
          </w:tcPr>
          <w:p w14:paraId="5DC3C107">
            <w:pPr>
              <w:spacing w:line="420" w:lineRule="auto"/>
              <w:ind w:firstLine="0" w:firstLineChars="0"/>
              <w:jc w:val="center"/>
              <w:rPr>
                <w:rFonts w:hint="eastAsia" w:ascii="宋体" w:hAnsi="宋体" w:cs="宋体"/>
                <w:color w:val="auto"/>
                <w:kern w:val="1"/>
                <w:sz w:val="24"/>
                <w:szCs w:val="24"/>
                <w:highlight w:val="none"/>
              </w:rPr>
            </w:pPr>
          </w:p>
        </w:tc>
      </w:tr>
      <w:tr w14:paraId="74B99AA7">
        <w:tblPrEx>
          <w:tblCellMar>
            <w:top w:w="0" w:type="dxa"/>
            <w:left w:w="108" w:type="dxa"/>
            <w:bottom w:w="0" w:type="dxa"/>
            <w:right w:w="108" w:type="dxa"/>
          </w:tblCellMar>
        </w:tblPrEx>
        <w:trPr>
          <w:trHeight w:val="825" w:hRule="atLeast"/>
        </w:trPr>
        <w:tc>
          <w:tcPr>
            <w:tcW w:w="1861" w:type="dxa"/>
            <w:tcBorders>
              <w:top w:val="single" w:color="000000" w:sz="4" w:space="0"/>
              <w:left w:val="single" w:color="000000" w:sz="4" w:space="0"/>
              <w:bottom w:val="single" w:color="000000" w:sz="4" w:space="0"/>
              <w:right w:val="single" w:color="000000" w:sz="4" w:space="0"/>
            </w:tcBorders>
            <w:noWrap w:val="0"/>
            <w:vAlign w:val="center"/>
          </w:tcPr>
          <w:p w14:paraId="792D5DB1">
            <w:pPr>
              <w:spacing w:line="42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成立时间</w:t>
            </w:r>
          </w:p>
        </w:tc>
        <w:tc>
          <w:tcPr>
            <w:tcW w:w="2150" w:type="dxa"/>
            <w:gridSpan w:val="2"/>
            <w:tcBorders>
              <w:top w:val="single" w:color="000000" w:sz="4" w:space="0"/>
              <w:left w:val="single" w:color="000000" w:sz="4" w:space="0"/>
              <w:bottom w:val="single" w:color="000000" w:sz="4" w:space="0"/>
              <w:right w:val="single" w:color="000000" w:sz="4" w:space="0"/>
            </w:tcBorders>
            <w:noWrap w:val="0"/>
            <w:vAlign w:val="center"/>
          </w:tcPr>
          <w:p w14:paraId="7FA922BF">
            <w:pPr>
              <w:spacing w:line="420" w:lineRule="auto"/>
              <w:ind w:firstLine="0" w:firstLineChars="0"/>
              <w:jc w:val="center"/>
              <w:rPr>
                <w:rFonts w:hint="eastAsia" w:ascii="宋体" w:hAnsi="宋体" w:cs="宋体"/>
                <w:color w:val="auto"/>
                <w:kern w:val="1"/>
                <w:sz w:val="24"/>
                <w:szCs w:val="24"/>
                <w:highlight w:val="none"/>
              </w:rPr>
            </w:pPr>
          </w:p>
        </w:tc>
        <w:tc>
          <w:tcPr>
            <w:tcW w:w="2574" w:type="dxa"/>
            <w:gridSpan w:val="2"/>
            <w:tcBorders>
              <w:top w:val="single" w:color="000000" w:sz="4" w:space="0"/>
              <w:left w:val="single" w:color="000000" w:sz="4" w:space="0"/>
              <w:bottom w:val="single" w:color="000000" w:sz="4" w:space="0"/>
              <w:right w:val="single" w:color="000000" w:sz="4" w:space="0"/>
            </w:tcBorders>
            <w:noWrap w:val="0"/>
            <w:vAlign w:val="center"/>
          </w:tcPr>
          <w:p w14:paraId="5C93999E">
            <w:pPr>
              <w:spacing w:line="42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员工总人数</w:t>
            </w:r>
          </w:p>
        </w:tc>
        <w:tc>
          <w:tcPr>
            <w:tcW w:w="2374" w:type="dxa"/>
            <w:tcBorders>
              <w:top w:val="single" w:color="000000" w:sz="4" w:space="0"/>
              <w:left w:val="single" w:color="000000" w:sz="4" w:space="0"/>
              <w:bottom w:val="single" w:color="000000" w:sz="4" w:space="0"/>
              <w:right w:val="single" w:color="000000" w:sz="4" w:space="0"/>
            </w:tcBorders>
            <w:noWrap w:val="0"/>
            <w:vAlign w:val="center"/>
          </w:tcPr>
          <w:p w14:paraId="61804327">
            <w:pPr>
              <w:spacing w:line="420" w:lineRule="auto"/>
              <w:ind w:firstLine="0" w:firstLineChars="0"/>
              <w:jc w:val="both"/>
              <w:rPr>
                <w:rFonts w:hint="eastAsia" w:ascii="宋体" w:hAnsi="宋体" w:cs="宋体"/>
                <w:color w:val="auto"/>
                <w:kern w:val="1"/>
                <w:sz w:val="24"/>
                <w:szCs w:val="24"/>
                <w:highlight w:val="none"/>
              </w:rPr>
            </w:pPr>
          </w:p>
        </w:tc>
      </w:tr>
      <w:tr w14:paraId="21EC0458">
        <w:tblPrEx>
          <w:tblCellMar>
            <w:top w:w="0" w:type="dxa"/>
            <w:left w:w="108" w:type="dxa"/>
            <w:bottom w:w="0" w:type="dxa"/>
            <w:right w:w="108" w:type="dxa"/>
          </w:tblCellMar>
        </w:tblPrEx>
        <w:trPr>
          <w:trHeight w:val="1025" w:hRule="atLeast"/>
        </w:trPr>
        <w:tc>
          <w:tcPr>
            <w:tcW w:w="1861" w:type="dxa"/>
            <w:tcBorders>
              <w:top w:val="single" w:color="000000" w:sz="4" w:space="0"/>
              <w:left w:val="single" w:color="000000" w:sz="4" w:space="0"/>
              <w:bottom w:val="single" w:color="000000" w:sz="4" w:space="0"/>
              <w:right w:val="single" w:color="000000" w:sz="4" w:space="0"/>
            </w:tcBorders>
            <w:noWrap w:val="0"/>
            <w:vAlign w:val="center"/>
          </w:tcPr>
          <w:p w14:paraId="2101A634">
            <w:pPr>
              <w:spacing w:line="42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营业执照号</w:t>
            </w:r>
          </w:p>
        </w:tc>
        <w:tc>
          <w:tcPr>
            <w:tcW w:w="2150" w:type="dxa"/>
            <w:gridSpan w:val="2"/>
            <w:tcBorders>
              <w:top w:val="single" w:color="000000" w:sz="4" w:space="0"/>
              <w:left w:val="single" w:color="000000" w:sz="4" w:space="0"/>
              <w:bottom w:val="single" w:color="000000" w:sz="4" w:space="0"/>
              <w:right w:val="single" w:color="000000" w:sz="4" w:space="0"/>
            </w:tcBorders>
            <w:noWrap w:val="0"/>
            <w:vAlign w:val="center"/>
          </w:tcPr>
          <w:p w14:paraId="27EDFBDA">
            <w:pPr>
              <w:spacing w:line="420" w:lineRule="auto"/>
              <w:ind w:firstLine="0" w:firstLineChars="0"/>
              <w:jc w:val="center"/>
              <w:rPr>
                <w:rFonts w:hint="eastAsia" w:ascii="宋体" w:hAnsi="宋体" w:cs="宋体"/>
                <w:color w:val="auto"/>
                <w:kern w:val="1"/>
                <w:sz w:val="24"/>
                <w:szCs w:val="24"/>
                <w:highlight w:val="none"/>
              </w:rPr>
            </w:pPr>
          </w:p>
        </w:tc>
        <w:tc>
          <w:tcPr>
            <w:tcW w:w="2574" w:type="dxa"/>
            <w:gridSpan w:val="2"/>
            <w:tcBorders>
              <w:top w:val="single" w:color="000000" w:sz="4" w:space="0"/>
              <w:left w:val="single" w:color="000000" w:sz="4" w:space="0"/>
              <w:bottom w:val="single" w:color="000000" w:sz="4" w:space="0"/>
              <w:right w:val="single" w:color="000000" w:sz="4" w:space="0"/>
            </w:tcBorders>
            <w:noWrap w:val="0"/>
            <w:vAlign w:val="center"/>
          </w:tcPr>
          <w:p w14:paraId="6F1D270F">
            <w:pPr>
              <w:spacing w:line="42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注册资金</w:t>
            </w:r>
          </w:p>
        </w:tc>
        <w:tc>
          <w:tcPr>
            <w:tcW w:w="2374" w:type="dxa"/>
            <w:tcBorders>
              <w:top w:val="single" w:color="000000" w:sz="4" w:space="0"/>
              <w:left w:val="single" w:color="000000" w:sz="4" w:space="0"/>
              <w:bottom w:val="single" w:color="000000" w:sz="4" w:space="0"/>
              <w:right w:val="single" w:color="000000" w:sz="4" w:space="0"/>
            </w:tcBorders>
            <w:noWrap w:val="0"/>
            <w:vAlign w:val="center"/>
          </w:tcPr>
          <w:p w14:paraId="02595BE7">
            <w:pPr>
              <w:spacing w:line="420" w:lineRule="auto"/>
              <w:ind w:firstLine="0" w:firstLineChars="0"/>
              <w:jc w:val="center"/>
              <w:rPr>
                <w:rFonts w:hint="eastAsia" w:ascii="宋体" w:hAnsi="宋体" w:cs="宋体"/>
                <w:color w:val="auto"/>
                <w:kern w:val="1"/>
                <w:sz w:val="24"/>
                <w:szCs w:val="24"/>
                <w:highlight w:val="none"/>
              </w:rPr>
            </w:pPr>
          </w:p>
        </w:tc>
      </w:tr>
      <w:tr w14:paraId="14C64A03">
        <w:tblPrEx>
          <w:tblCellMar>
            <w:top w:w="0" w:type="dxa"/>
            <w:left w:w="108" w:type="dxa"/>
            <w:bottom w:w="0" w:type="dxa"/>
            <w:right w:w="108" w:type="dxa"/>
          </w:tblCellMar>
        </w:tblPrEx>
        <w:trPr>
          <w:trHeight w:val="843" w:hRule="atLeast"/>
        </w:trPr>
        <w:tc>
          <w:tcPr>
            <w:tcW w:w="1861" w:type="dxa"/>
            <w:tcBorders>
              <w:top w:val="single" w:color="000000" w:sz="4" w:space="0"/>
              <w:left w:val="single" w:color="000000" w:sz="4" w:space="0"/>
              <w:bottom w:val="single" w:color="000000" w:sz="4" w:space="0"/>
              <w:right w:val="single" w:color="000000" w:sz="4" w:space="0"/>
            </w:tcBorders>
            <w:noWrap w:val="0"/>
            <w:vAlign w:val="center"/>
          </w:tcPr>
          <w:p w14:paraId="6A1C7DCE">
            <w:pPr>
              <w:spacing w:line="42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开户银行</w:t>
            </w:r>
          </w:p>
        </w:tc>
        <w:tc>
          <w:tcPr>
            <w:tcW w:w="2150" w:type="dxa"/>
            <w:gridSpan w:val="2"/>
            <w:tcBorders>
              <w:top w:val="single" w:color="000000" w:sz="4" w:space="0"/>
              <w:left w:val="single" w:color="000000" w:sz="4" w:space="0"/>
              <w:bottom w:val="single" w:color="000000" w:sz="4" w:space="0"/>
              <w:right w:val="single" w:color="000000" w:sz="4" w:space="0"/>
            </w:tcBorders>
            <w:noWrap w:val="0"/>
            <w:vAlign w:val="center"/>
          </w:tcPr>
          <w:p w14:paraId="22FF3A7B">
            <w:pPr>
              <w:spacing w:line="420" w:lineRule="auto"/>
              <w:ind w:firstLine="0" w:firstLineChars="0"/>
              <w:jc w:val="center"/>
              <w:rPr>
                <w:rFonts w:hint="eastAsia" w:ascii="宋体" w:hAnsi="宋体" w:cs="宋体"/>
                <w:color w:val="auto"/>
                <w:kern w:val="1"/>
                <w:sz w:val="24"/>
                <w:szCs w:val="24"/>
                <w:highlight w:val="none"/>
              </w:rPr>
            </w:pPr>
          </w:p>
        </w:tc>
        <w:tc>
          <w:tcPr>
            <w:tcW w:w="2574" w:type="dxa"/>
            <w:gridSpan w:val="2"/>
            <w:tcBorders>
              <w:top w:val="single" w:color="000000" w:sz="4" w:space="0"/>
              <w:left w:val="single" w:color="000000" w:sz="4" w:space="0"/>
              <w:bottom w:val="single" w:color="000000" w:sz="4" w:space="0"/>
              <w:right w:val="single" w:color="000000" w:sz="4" w:space="0"/>
            </w:tcBorders>
            <w:noWrap w:val="0"/>
            <w:vAlign w:val="center"/>
          </w:tcPr>
          <w:p w14:paraId="53477DDF">
            <w:pPr>
              <w:spacing w:line="42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账号</w:t>
            </w:r>
          </w:p>
        </w:tc>
        <w:tc>
          <w:tcPr>
            <w:tcW w:w="2374" w:type="dxa"/>
            <w:tcBorders>
              <w:top w:val="single" w:color="000000" w:sz="4" w:space="0"/>
              <w:left w:val="single" w:color="000000" w:sz="4" w:space="0"/>
              <w:bottom w:val="single" w:color="000000" w:sz="4" w:space="0"/>
              <w:right w:val="single" w:color="000000" w:sz="4" w:space="0"/>
            </w:tcBorders>
            <w:noWrap w:val="0"/>
            <w:vAlign w:val="center"/>
          </w:tcPr>
          <w:p w14:paraId="1B854028">
            <w:pPr>
              <w:spacing w:line="420" w:lineRule="auto"/>
              <w:ind w:firstLine="0" w:firstLineChars="0"/>
              <w:jc w:val="center"/>
              <w:rPr>
                <w:rFonts w:hint="eastAsia" w:ascii="宋体" w:hAnsi="宋体" w:cs="宋体"/>
                <w:color w:val="auto"/>
                <w:kern w:val="1"/>
                <w:sz w:val="24"/>
                <w:szCs w:val="24"/>
                <w:highlight w:val="none"/>
              </w:rPr>
            </w:pPr>
          </w:p>
        </w:tc>
      </w:tr>
      <w:tr w14:paraId="0FD05F0B">
        <w:tblPrEx>
          <w:tblCellMar>
            <w:top w:w="0" w:type="dxa"/>
            <w:left w:w="108" w:type="dxa"/>
            <w:bottom w:w="0" w:type="dxa"/>
            <w:right w:w="108" w:type="dxa"/>
          </w:tblCellMar>
        </w:tblPrEx>
        <w:trPr>
          <w:trHeight w:val="2251" w:hRule="atLeast"/>
        </w:trPr>
        <w:tc>
          <w:tcPr>
            <w:tcW w:w="1861" w:type="dxa"/>
            <w:tcBorders>
              <w:top w:val="single" w:color="000000" w:sz="4" w:space="0"/>
              <w:left w:val="single" w:color="000000" w:sz="4" w:space="0"/>
              <w:bottom w:val="single" w:color="000000" w:sz="4" w:space="0"/>
              <w:right w:val="single" w:color="000000" w:sz="4" w:space="0"/>
            </w:tcBorders>
            <w:noWrap w:val="0"/>
            <w:vAlign w:val="center"/>
          </w:tcPr>
          <w:p w14:paraId="0B22EF2F">
            <w:pPr>
              <w:spacing w:line="420" w:lineRule="auto"/>
              <w:ind w:firstLine="0" w:firstLineChars="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经营范围备注</w:t>
            </w:r>
          </w:p>
        </w:tc>
        <w:tc>
          <w:tcPr>
            <w:tcW w:w="7098" w:type="dxa"/>
            <w:gridSpan w:val="5"/>
            <w:tcBorders>
              <w:top w:val="single" w:color="000000" w:sz="4" w:space="0"/>
              <w:left w:val="single" w:color="000000" w:sz="4" w:space="0"/>
              <w:bottom w:val="single" w:color="000000" w:sz="4" w:space="0"/>
              <w:right w:val="single" w:color="000000" w:sz="4" w:space="0"/>
            </w:tcBorders>
            <w:noWrap w:val="0"/>
            <w:vAlign w:val="center"/>
          </w:tcPr>
          <w:p w14:paraId="3B9D4316">
            <w:pPr>
              <w:spacing w:line="420" w:lineRule="auto"/>
              <w:ind w:firstLine="480" w:firstLineChars="0"/>
              <w:jc w:val="center"/>
              <w:rPr>
                <w:rFonts w:hint="eastAsia" w:ascii="宋体" w:hAnsi="宋体" w:cs="宋体"/>
                <w:color w:val="auto"/>
                <w:kern w:val="1"/>
                <w:sz w:val="24"/>
                <w:szCs w:val="24"/>
                <w:highlight w:val="none"/>
              </w:rPr>
            </w:pPr>
          </w:p>
        </w:tc>
      </w:tr>
    </w:tbl>
    <w:p w14:paraId="607BCD4A">
      <w:pPr>
        <w:spacing w:after="120"/>
        <w:ind w:firstLine="0" w:firstLineChars="0"/>
        <w:jc w:val="both"/>
        <w:rPr>
          <w:rFonts w:hint="eastAsia" w:ascii="宋体" w:hAnsi="宋体" w:cs="宋体"/>
          <w:color w:val="auto"/>
          <w:sz w:val="24"/>
          <w:szCs w:val="24"/>
          <w:highlight w:val="none"/>
        </w:rPr>
      </w:pPr>
    </w:p>
    <w:p w14:paraId="3A7654B3">
      <w:pPr>
        <w:spacing w:line="240" w:lineRule="auto"/>
        <w:ind w:firstLine="0" w:firstLineChars="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br w:type="page"/>
      </w:r>
      <w:r>
        <w:rPr>
          <w:rFonts w:hint="eastAsia" w:ascii="宋体" w:hAnsi="宋体" w:eastAsia="宋体" w:cs="宋体"/>
          <w:color w:val="auto"/>
          <w:kern w:val="1"/>
          <w:sz w:val="24"/>
          <w:szCs w:val="24"/>
          <w:highlight w:val="none"/>
        </w:rPr>
        <w:t>2.根据评标办法中“资格评审标准”提供相关证明材料</w:t>
      </w:r>
    </w:p>
    <w:p w14:paraId="44C47D34">
      <w:pPr>
        <w:widowControl/>
        <w:adjustRightInd w:val="0"/>
        <w:snapToGrid w:val="0"/>
        <w:spacing w:after="200" w:line="240" w:lineRule="auto"/>
        <w:ind w:firstLine="0" w:firstLineChars="0"/>
        <w:rPr>
          <w:rFonts w:hint="eastAsia" w:ascii="宋体" w:hAnsi="宋体" w:cs="宋体"/>
          <w:color w:val="auto"/>
          <w:kern w:val="0"/>
          <w:sz w:val="24"/>
          <w:szCs w:val="24"/>
          <w:highlight w:val="none"/>
        </w:rPr>
      </w:pPr>
    </w:p>
    <w:p w14:paraId="72EB0CE1">
      <w:pPr>
        <w:tabs>
          <w:tab w:val="left" w:pos="567"/>
        </w:tabs>
        <w:spacing w:before="120" w:line="22" w:lineRule="atLeast"/>
        <w:ind w:firstLine="0" w:firstLineChars="0"/>
        <w:jc w:val="both"/>
        <w:rPr>
          <w:rFonts w:hint="eastAsia" w:ascii="宋体" w:hAnsi="宋体" w:cs="宋体"/>
          <w:color w:val="auto"/>
          <w:sz w:val="24"/>
          <w:szCs w:val="24"/>
          <w:highlight w:val="none"/>
        </w:rPr>
      </w:pPr>
    </w:p>
    <w:p w14:paraId="35DF796C">
      <w:pPr>
        <w:ind w:firstLine="0" w:firstLineChars="0"/>
        <w:jc w:val="both"/>
        <w:rPr>
          <w:rFonts w:hint="eastAsia" w:ascii="宋体" w:hAnsi="宋体" w:cs="宋体"/>
          <w:color w:val="auto"/>
          <w:sz w:val="24"/>
          <w:szCs w:val="24"/>
          <w:highlight w:val="none"/>
        </w:rPr>
      </w:pPr>
    </w:p>
    <w:p w14:paraId="6C796F79">
      <w:pPr>
        <w:pStyle w:val="4"/>
        <w:spacing w:before="260" w:after="260" w:line="240" w:lineRule="auto"/>
        <w:ind w:left="3780"/>
        <w:jc w:val="both"/>
        <w:rPr>
          <w:rFonts w:hint="eastAsia" w:ascii="宋体" w:hAnsi="宋体" w:cs="宋体"/>
          <w:bCs w:val="0"/>
          <w:color w:val="auto"/>
          <w:kern w:val="0"/>
          <w:sz w:val="24"/>
          <w:szCs w:val="24"/>
          <w:highlight w:val="none"/>
        </w:rPr>
      </w:pPr>
    </w:p>
    <w:p w14:paraId="6A37C78C">
      <w:pPr>
        <w:pStyle w:val="4"/>
        <w:spacing w:before="260" w:after="260" w:line="240" w:lineRule="auto"/>
        <w:ind w:left="3780"/>
        <w:jc w:val="both"/>
        <w:rPr>
          <w:rFonts w:hint="eastAsia" w:ascii="宋体" w:hAnsi="宋体" w:cs="宋体"/>
          <w:bCs w:val="0"/>
          <w:color w:val="auto"/>
          <w:kern w:val="0"/>
          <w:sz w:val="24"/>
          <w:szCs w:val="24"/>
          <w:highlight w:val="none"/>
        </w:rPr>
      </w:pPr>
    </w:p>
    <w:p w14:paraId="286CDFBD">
      <w:pPr>
        <w:pStyle w:val="4"/>
        <w:spacing w:before="260" w:after="260" w:line="240" w:lineRule="auto"/>
        <w:ind w:left="3780"/>
        <w:jc w:val="both"/>
        <w:rPr>
          <w:rFonts w:hint="eastAsia" w:ascii="宋体" w:hAnsi="宋体" w:cs="宋体"/>
          <w:bCs w:val="0"/>
          <w:color w:val="auto"/>
          <w:kern w:val="0"/>
          <w:sz w:val="24"/>
          <w:szCs w:val="24"/>
          <w:highlight w:val="none"/>
        </w:rPr>
      </w:pPr>
    </w:p>
    <w:p w14:paraId="658A0063">
      <w:pPr>
        <w:pStyle w:val="4"/>
        <w:spacing w:before="260" w:after="260" w:line="240" w:lineRule="auto"/>
        <w:ind w:left="3780"/>
        <w:jc w:val="both"/>
        <w:rPr>
          <w:rFonts w:hint="eastAsia" w:ascii="宋体" w:hAnsi="宋体" w:cs="宋体"/>
          <w:bCs w:val="0"/>
          <w:color w:val="auto"/>
          <w:kern w:val="0"/>
          <w:sz w:val="24"/>
          <w:szCs w:val="24"/>
          <w:highlight w:val="none"/>
        </w:rPr>
      </w:pPr>
    </w:p>
    <w:p w14:paraId="13E1A1FC">
      <w:pPr>
        <w:pStyle w:val="4"/>
        <w:spacing w:before="260" w:after="260" w:line="240" w:lineRule="auto"/>
        <w:ind w:left="3780"/>
        <w:jc w:val="both"/>
        <w:rPr>
          <w:rFonts w:hint="eastAsia" w:ascii="宋体" w:hAnsi="宋体" w:cs="宋体"/>
          <w:bCs w:val="0"/>
          <w:color w:val="auto"/>
          <w:kern w:val="0"/>
          <w:sz w:val="24"/>
          <w:szCs w:val="24"/>
          <w:highlight w:val="none"/>
        </w:rPr>
      </w:pPr>
    </w:p>
    <w:p w14:paraId="08A5F2B9">
      <w:pPr>
        <w:pStyle w:val="4"/>
        <w:spacing w:before="260" w:after="260" w:line="240" w:lineRule="auto"/>
        <w:ind w:left="3780"/>
        <w:jc w:val="both"/>
        <w:rPr>
          <w:rFonts w:hint="eastAsia" w:ascii="宋体" w:hAnsi="宋体" w:cs="宋体"/>
          <w:bCs w:val="0"/>
          <w:color w:val="auto"/>
          <w:kern w:val="0"/>
          <w:sz w:val="24"/>
          <w:szCs w:val="24"/>
          <w:highlight w:val="none"/>
        </w:rPr>
      </w:pPr>
    </w:p>
    <w:p w14:paraId="3AD8FDD1">
      <w:pPr>
        <w:ind w:firstLine="480"/>
        <w:rPr>
          <w:rFonts w:hint="eastAsia" w:ascii="宋体" w:hAnsi="宋体" w:cs="宋体"/>
          <w:color w:val="auto"/>
          <w:sz w:val="24"/>
          <w:szCs w:val="24"/>
          <w:highlight w:val="none"/>
        </w:rPr>
      </w:pPr>
    </w:p>
    <w:p w14:paraId="4F4D6C10">
      <w:pPr>
        <w:ind w:firstLine="482"/>
        <w:rPr>
          <w:rFonts w:hint="eastAsia" w:ascii="宋体" w:hAnsi="宋体" w:cs="宋体"/>
          <w:b/>
          <w:color w:val="auto"/>
          <w:kern w:val="0"/>
          <w:sz w:val="24"/>
          <w:szCs w:val="24"/>
          <w:highlight w:val="none"/>
        </w:rPr>
      </w:pPr>
    </w:p>
    <w:p w14:paraId="556ECBEE">
      <w:pPr>
        <w:pStyle w:val="9"/>
        <w:ind w:firstLine="482"/>
        <w:rPr>
          <w:rFonts w:hint="eastAsia" w:ascii="宋体" w:hAnsi="宋体" w:cs="宋体"/>
          <w:b/>
          <w:color w:val="auto"/>
          <w:kern w:val="0"/>
          <w:sz w:val="24"/>
          <w:szCs w:val="24"/>
          <w:highlight w:val="none"/>
        </w:rPr>
      </w:pPr>
    </w:p>
    <w:p w14:paraId="2551377B">
      <w:pPr>
        <w:ind w:firstLine="480"/>
        <w:rPr>
          <w:rFonts w:hint="eastAsia" w:ascii="宋体" w:hAnsi="宋体" w:cs="宋体"/>
          <w:color w:val="auto"/>
          <w:sz w:val="24"/>
          <w:szCs w:val="24"/>
          <w:highlight w:val="none"/>
        </w:rPr>
      </w:pPr>
    </w:p>
    <w:p w14:paraId="39F2EC12">
      <w:pPr>
        <w:pStyle w:val="4"/>
        <w:spacing w:line="360" w:lineRule="auto"/>
        <w:jc w:val="center"/>
        <w:rPr>
          <w:rFonts w:hint="eastAsia" w:ascii="宋体" w:hAnsi="宋体" w:cs="宋体"/>
          <w:b/>
          <w:color w:val="auto"/>
          <w:sz w:val="24"/>
          <w:szCs w:val="24"/>
          <w:highlight w:val="none"/>
        </w:rPr>
      </w:pPr>
      <w:r>
        <w:rPr>
          <w:rFonts w:hint="eastAsia" w:ascii="宋体" w:hAnsi="宋体" w:cs="宋体"/>
          <w:b/>
          <w:color w:val="auto"/>
          <w:kern w:val="0"/>
          <w:sz w:val="24"/>
          <w:szCs w:val="24"/>
          <w:highlight w:val="none"/>
        </w:rPr>
        <w:br w:type="page"/>
      </w:r>
      <w:bookmarkStart w:id="528" w:name="_Toc2863"/>
      <w:r>
        <w:rPr>
          <w:rFonts w:hint="eastAsia" w:ascii="宋体" w:hAnsi="宋体" w:cs="宋体"/>
          <w:b/>
          <w:color w:val="auto"/>
          <w:kern w:val="0"/>
          <w:sz w:val="28"/>
          <w:szCs w:val="28"/>
          <w:highlight w:val="none"/>
        </w:rPr>
        <w:t>八、</w:t>
      </w:r>
      <w:r>
        <w:rPr>
          <w:rFonts w:hint="eastAsia" w:ascii="宋体" w:hAnsi="宋体" w:eastAsia="宋体" w:cs="宋体"/>
          <w:b/>
          <w:bCs/>
          <w:color w:val="auto"/>
          <w:kern w:val="1"/>
          <w:sz w:val="28"/>
          <w:szCs w:val="28"/>
          <w:highlight w:val="none"/>
        </w:rPr>
        <w:t>承诺书</w:t>
      </w:r>
      <w:bookmarkEnd w:id="528"/>
    </w:p>
    <w:p w14:paraId="13D51917">
      <w:pPr>
        <w:spacing w:line="360" w:lineRule="auto"/>
        <w:ind w:firstLine="48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1.反商业贿赂承诺书</w:t>
      </w:r>
    </w:p>
    <w:p w14:paraId="6DB04E94">
      <w:pPr>
        <w:widowControl/>
        <w:spacing w:line="360" w:lineRule="auto"/>
        <w:ind w:firstLine="0" w:firstLineChars="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我公司承诺：</w:t>
      </w:r>
    </w:p>
    <w:p w14:paraId="30206CC9">
      <w:pPr>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在 ____（项目名称）招标活动中，我公司保证做到：</w:t>
      </w:r>
    </w:p>
    <w:p w14:paraId="1352777C">
      <w:pPr>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一、公平竞争参加</w:t>
      </w:r>
      <w:r>
        <w:rPr>
          <w:rFonts w:hint="eastAsia" w:ascii="宋体" w:hAnsi="宋体" w:cs="宋体"/>
          <w:color w:val="auto"/>
          <w:sz w:val="24"/>
          <w:szCs w:val="24"/>
          <w:highlight w:val="none"/>
        </w:rPr>
        <w:t>本次</w:t>
      </w:r>
      <w:r>
        <w:rPr>
          <w:rFonts w:hint="eastAsia" w:ascii="宋体" w:hAnsi="宋体" w:cs="宋体"/>
          <w:color w:val="auto"/>
          <w:kern w:val="0"/>
          <w:sz w:val="24"/>
          <w:szCs w:val="24"/>
          <w:highlight w:val="none"/>
        </w:rPr>
        <w:t>招标活动。</w:t>
      </w:r>
    </w:p>
    <w:p w14:paraId="502A95FC">
      <w:pPr>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6A04AE40">
      <w:pPr>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三、若出现上述行为，我公司及参与投标的工作人员愿意接受按照国家法律法规等有关规定给予的处罚。</w:t>
      </w:r>
    </w:p>
    <w:p w14:paraId="70DA023A">
      <w:pPr>
        <w:widowControl/>
        <w:spacing w:line="360" w:lineRule="auto"/>
        <w:ind w:firstLine="840" w:firstLineChars="0"/>
        <w:rPr>
          <w:rFonts w:hint="eastAsia" w:ascii="宋体" w:hAnsi="宋体" w:cs="宋体"/>
          <w:color w:val="auto"/>
          <w:kern w:val="0"/>
          <w:sz w:val="24"/>
          <w:szCs w:val="24"/>
          <w:highlight w:val="none"/>
        </w:rPr>
      </w:pPr>
    </w:p>
    <w:p w14:paraId="2AFAB4E2">
      <w:pPr>
        <w:widowControl/>
        <w:spacing w:line="360" w:lineRule="auto"/>
        <w:ind w:firstLine="840" w:firstLineChars="0"/>
        <w:rPr>
          <w:rFonts w:hint="eastAsia" w:ascii="宋体" w:hAnsi="宋体" w:cs="宋体"/>
          <w:color w:val="auto"/>
          <w:kern w:val="0"/>
          <w:sz w:val="24"/>
          <w:szCs w:val="24"/>
          <w:highlight w:val="none"/>
        </w:rPr>
      </w:pPr>
    </w:p>
    <w:p w14:paraId="7637F77D">
      <w:pPr>
        <w:widowControl/>
        <w:spacing w:line="360" w:lineRule="auto"/>
        <w:ind w:firstLine="840" w:firstLineChars="0"/>
        <w:rPr>
          <w:rFonts w:hint="eastAsia" w:ascii="宋体" w:hAnsi="宋体" w:cs="宋体"/>
          <w:color w:val="auto"/>
          <w:kern w:val="0"/>
          <w:sz w:val="24"/>
          <w:szCs w:val="24"/>
          <w:highlight w:val="none"/>
        </w:rPr>
      </w:pPr>
    </w:p>
    <w:p w14:paraId="6F8C769B">
      <w:pPr>
        <w:widowControl/>
        <w:spacing w:line="360" w:lineRule="auto"/>
        <w:ind w:firstLine="840" w:firstLineChars="0"/>
        <w:rPr>
          <w:rFonts w:hint="eastAsia" w:ascii="宋体" w:hAnsi="宋体" w:cs="宋体"/>
          <w:color w:val="auto"/>
          <w:kern w:val="0"/>
          <w:sz w:val="24"/>
          <w:szCs w:val="24"/>
          <w:highlight w:val="none"/>
        </w:rPr>
      </w:pPr>
    </w:p>
    <w:p w14:paraId="55CF37AB">
      <w:pPr>
        <w:widowControl/>
        <w:spacing w:line="360" w:lineRule="auto"/>
        <w:ind w:firstLine="840" w:firstLineChars="0"/>
        <w:rPr>
          <w:rFonts w:hint="eastAsia" w:ascii="宋体" w:hAnsi="宋体" w:cs="宋体"/>
          <w:color w:val="auto"/>
          <w:kern w:val="0"/>
          <w:sz w:val="24"/>
          <w:szCs w:val="24"/>
          <w:highlight w:val="none"/>
        </w:rPr>
      </w:pPr>
    </w:p>
    <w:p w14:paraId="1E9E3269">
      <w:pPr>
        <w:widowControl/>
        <w:spacing w:line="360" w:lineRule="auto"/>
        <w:ind w:firstLine="840" w:firstLineChars="0"/>
        <w:rPr>
          <w:rFonts w:hint="eastAsia" w:ascii="宋体" w:hAnsi="宋体" w:cs="宋体"/>
          <w:color w:val="auto"/>
          <w:kern w:val="0"/>
          <w:sz w:val="24"/>
          <w:szCs w:val="24"/>
          <w:highlight w:val="none"/>
        </w:rPr>
      </w:pPr>
    </w:p>
    <w:p w14:paraId="6B81FE46">
      <w:pPr>
        <w:spacing w:line="360" w:lineRule="auto"/>
        <w:ind w:firstLine="0" w:firstLineChars="0"/>
        <w:jc w:val="right"/>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供应商名称：</w:t>
      </w:r>
      <w:r>
        <w:rPr>
          <w:rFonts w:hint="eastAsia" w:ascii="宋体" w:hAnsi="宋体" w:cs="宋体"/>
          <w:color w:val="auto"/>
          <w:kern w:val="1"/>
          <w:sz w:val="24"/>
          <w:szCs w:val="24"/>
          <w:highlight w:val="none"/>
          <w:u w:val="single"/>
        </w:rPr>
        <w:t xml:space="preserve">               </w:t>
      </w:r>
      <w:r>
        <w:rPr>
          <w:rFonts w:hint="eastAsia" w:ascii="宋体" w:hAnsi="宋体" w:cs="宋体"/>
          <w:color w:val="auto"/>
          <w:kern w:val="1"/>
          <w:sz w:val="24"/>
          <w:szCs w:val="24"/>
          <w:highlight w:val="none"/>
        </w:rPr>
        <w:t>（企业电子签章）</w:t>
      </w:r>
    </w:p>
    <w:p w14:paraId="78E15D51">
      <w:pPr>
        <w:spacing w:line="360" w:lineRule="auto"/>
        <w:ind w:firstLine="0" w:firstLineChars="0"/>
        <w:jc w:val="right"/>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法定代表人或其授权委托人：</w:t>
      </w:r>
      <w:r>
        <w:rPr>
          <w:rFonts w:hint="eastAsia" w:ascii="宋体" w:hAnsi="宋体" w:cs="宋体"/>
          <w:color w:val="auto"/>
          <w:kern w:val="1"/>
          <w:sz w:val="24"/>
          <w:szCs w:val="24"/>
          <w:highlight w:val="none"/>
          <w:u w:val="single"/>
        </w:rPr>
        <w:t xml:space="preserve">              </w:t>
      </w:r>
      <w:r>
        <w:rPr>
          <w:rFonts w:hint="eastAsia" w:ascii="宋体" w:hAnsi="宋体" w:cs="宋体"/>
          <w:color w:val="auto"/>
          <w:kern w:val="1"/>
          <w:sz w:val="24"/>
          <w:szCs w:val="24"/>
          <w:highlight w:val="none"/>
        </w:rPr>
        <w:t xml:space="preserve">（个人电子签章或签字） </w:t>
      </w:r>
    </w:p>
    <w:p w14:paraId="0F2AF8FB">
      <w:pPr>
        <w:spacing w:line="360" w:lineRule="auto"/>
        <w:ind w:firstLine="0" w:firstLineChars="0"/>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 xml:space="preserve">                                            日期： ____年____月_____日</w:t>
      </w:r>
    </w:p>
    <w:p w14:paraId="1BD20E2D">
      <w:pPr>
        <w:widowControl/>
        <w:spacing w:line="420" w:lineRule="auto"/>
        <w:ind w:firstLine="5258" w:firstLineChars="0"/>
        <w:jc w:val="right"/>
        <w:rPr>
          <w:rFonts w:hint="eastAsia" w:ascii="宋体" w:hAnsi="宋体" w:cs="宋体"/>
          <w:color w:val="auto"/>
          <w:kern w:val="0"/>
          <w:sz w:val="24"/>
          <w:szCs w:val="24"/>
          <w:highlight w:val="none"/>
        </w:rPr>
      </w:pPr>
    </w:p>
    <w:p w14:paraId="3DE2172B">
      <w:pPr>
        <w:widowControl/>
        <w:spacing w:line="420" w:lineRule="auto"/>
        <w:ind w:firstLine="0" w:firstLineChars="0"/>
        <w:rPr>
          <w:rFonts w:hint="eastAsia" w:ascii="宋体" w:hAnsi="宋体" w:cs="宋体"/>
          <w:color w:val="auto"/>
          <w:kern w:val="0"/>
          <w:sz w:val="24"/>
          <w:szCs w:val="24"/>
          <w:highlight w:val="none"/>
        </w:rPr>
      </w:pPr>
    </w:p>
    <w:p w14:paraId="147CB68A">
      <w:pPr>
        <w:spacing w:line="240" w:lineRule="auto"/>
        <w:ind w:firstLine="0" w:firstLineChars="0"/>
        <w:jc w:val="both"/>
        <w:rPr>
          <w:rFonts w:hint="eastAsia" w:ascii="宋体" w:hAnsi="宋体" w:cs="宋体"/>
          <w:b/>
          <w:color w:val="auto"/>
          <w:kern w:val="44"/>
          <w:sz w:val="24"/>
          <w:szCs w:val="24"/>
          <w:highlight w:val="none"/>
        </w:rPr>
      </w:pPr>
    </w:p>
    <w:p w14:paraId="7C3F6E00">
      <w:pPr>
        <w:spacing w:line="360" w:lineRule="auto"/>
        <w:ind w:firstLine="480"/>
        <w:jc w:val="center"/>
        <w:rPr>
          <w:rFonts w:hint="eastAsia" w:ascii="宋体" w:hAnsi="宋体" w:cs="宋体"/>
          <w:b/>
          <w:color w:val="auto"/>
          <w:kern w:val="0"/>
          <w:sz w:val="24"/>
          <w:szCs w:val="24"/>
          <w:highlight w:val="none"/>
        </w:rPr>
      </w:pPr>
      <w:r>
        <w:rPr>
          <w:rFonts w:hint="eastAsia" w:ascii="宋体" w:hAnsi="宋体" w:cs="宋体"/>
          <w:b/>
          <w:color w:val="auto"/>
          <w:kern w:val="44"/>
          <w:sz w:val="24"/>
          <w:szCs w:val="24"/>
          <w:highlight w:val="none"/>
        </w:rPr>
        <w:br w:type="page"/>
      </w:r>
      <w:r>
        <w:rPr>
          <w:rFonts w:hint="eastAsia" w:ascii="宋体" w:hAnsi="宋体" w:eastAsia="宋体" w:cs="宋体"/>
          <w:b/>
          <w:bCs/>
          <w:color w:val="auto"/>
          <w:sz w:val="24"/>
          <w:szCs w:val="24"/>
          <w:highlight w:val="none"/>
        </w:rPr>
        <w:t>2. 硬件特征码承诺书</w:t>
      </w:r>
    </w:p>
    <w:p w14:paraId="4F19C533">
      <w:pPr>
        <w:spacing w:line="600" w:lineRule="auto"/>
        <w:ind w:firstLine="0" w:firstLineChars="0"/>
        <w:rPr>
          <w:rFonts w:hint="eastAsia" w:ascii="宋体" w:hAnsi="宋体" w:cs="宋体"/>
          <w:color w:val="auto"/>
          <w:kern w:val="0"/>
          <w:sz w:val="24"/>
          <w:szCs w:val="24"/>
          <w:highlight w:val="none"/>
        </w:rPr>
      </w:pPr>
    </w:p>
    <w:p w14:paraId="6DC67C8F">
      <w:pPr>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致: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（采购人名称）</w:t>
      </w:r>
    </w:p>
    <w:p w14:paraId="089D67D3">
      <w:pPr>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我方在此承诺：</w:t>
      </w:r>
    </w:p>
    <w:p w14:paraId="45FD66BE">
      <w:pPr>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我公司独立制作、修改和上传投标文件，并承担因“硬件特征码一致”所造成的不良后果。</w:t>
      </w:r>
    </w:p>
    <w:p w14:paraId="043334E2">
      <w:pPr>
        <w:spacing w:line="360" w:lineRule="auto"/>
        <w:ind w:firstLine="480"/>
        <w:rPr>
          <w:rFonts w:hint="eastAsia" w:ascii="宋体" w:hAnsi="宋体" w:cs="宋体"/>
          <w:color w:val="auto"/>
          <w:sz w:val="24"/>
          <w:szCs w:val="24"/>
          <w:highlight w:val="none"/>
        </w:rPr>
      </w:pPr>
    </w:p>
    <w:p w14:paraId="4894C5D4">
      <w:pPr>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特此承诺！</w:t>
      </w:r>
    </w:p>
    <w:p w14:paraId="0EA5FD89">
      <w:pPr>
        <w:spacing w:line="360" w:lineRule="auto"/>
        <w:ind w:firstLine="0" w:firstLineChars="0"/>
        <w:jc w:val="both"/>
        <w:rPr>
          <w:rFonts w:hint="eastAsia" w:ascii="宋体" w:hAnsi="宋体" w:cs="宋体"/>
          <w:color w:val="auto"/>
          <w:kern w:val="1"/>
          <w:sz w:val="24"/>
          <w:szCs w:val="24"/>
          <w:highlight w:val="none"/>
        </w:rPr>
      </w:pPr>
    </w:p>
    <w:p w14:paraId="4A952F8D">
      <w:pPr>
        <w:spacing w:line="360" w:lineRule="auto"/>
        <w:ind w:firstLine="0" w:firstLineChars="0"/>
        <w:jc w:val="both"/>
        <w:rPr>
          <w:rFonts w:hint="eastAsia" w:ascii="宋体" w:hAnsi="宋体" w:cs="宋体"/>
          <w:color w:val="auto"/>
          <w:kern w:val="1"/>
          <w:sz w:val="24"/>
          <w:szCs w:val="24"/>
          <w:highlight w:val="none"/>
        </w:rPr>
      </w:pPr>
    </w:p>
    <w:p w14:paraId="0715A7E6">
      <w:pPr>
        <w:spacing w:line="360" w:lineRule="auto"/>
        <w:ind w:firstLine="0" w:firstLineChars="0"/>
        <w:jc w:val="both"/>
        <w:rPr>
          <w:rFonts w:hint="eastAsia" w:ascii="宋体" w:hAnsi="宋体" w:cs="宋体"/>
          <w:color w:val="auto"/>
          <w:kern w:val="1"/>
          <w:sz w:val="24"/>
          <w:szCs w:val="24"/>
          <w:highlight w:val="none"/>
        </w:rPr>
      </w:pPr>
    </w:p>
    <w:p w14:paraId="76A63DF8">
      <w:pPr>
        <w:spacing w:line="360" w:lineRule="auto"/>
        <w:ind w:firstLine="0" w:firstLineChars="0"/>
        <w:jc w:val="right"/>
        <w:rPr>
          <w:rFonts w:hint="eastAsia" w:ascii="宋体" w:hAnsi="宋体" w:cs="宋体"/>
          <w:color w:val="auto"/>
          <w:kern w:val="1"/>
          <w:sz w:val="24"/>
          <w:szCs w:val="24"/>
          <w:highlight w:val="none"/>
        </w:rPr>
      </w:pPr>
    </w:p>
    <w:p w14:paraId="688195A3">
      <w:pPr>
        <w:spacing w:line="360" w:lineRule="auto"/>
        <w:ind w:firstLine="0" w:firstLineChars="0"/>
        <w:jc w:val="right"/>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供应商名称：</w:t>
      </w:r>
      <w:r>
        <w:rPr>
          <w:rFonts w:hint="eastAsia" w:ascii="宋体" w:hAnsi="宋体" w:cs="宋体"/>
          <w:color w:val="auto"/>
          <w:kern w:val="1"/>
          <w:sz w:val="24"/>
          <w:szCs w:val="24"/>
          <w:highlight w:val="none"/>
          <w:u w:val="single"/>
        </w:rPr>
        <w:t xml:space="preserve">               </w:t>
      </w:r>
      <w:r>
        <w:rPr>
          <w:rFonts w:hint="eastAsia" w:ascii="宋体" w:hAnsi="宋体" w:cs="宋体"/>
          <w:color w:val="auto"/>
          <w:kern w:val="1"/>
          <w:sz w:val="24"/>
          <w:szCs w:val="24"/>
          <w:highlight w:val="none"/>
        </w:rPr>
        <w:t>（企业电子签章）</w:t>
      </w:r>
    </w:p>
    <w:p w14:paraId="017C0F05">
      <w:pPr>
        <w:spacing w:line="360" w:lineRule="auto"/>
        <w:ind w:firstLine="0" w:firstLineChars="0"/>
        <w:jc w:val="right"/>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法定代表人或其授权委托人：</w:t>
      </w:r>
      <w:r>
        <w:rPr>
          <w:rFonts w:hint="eastAsia" w:ascii="宋体" w:hAnsi="宋体" w:cs="宋体"/>
          <w:color w:val="auto"/>
          <w:kern w:val="1"/>
          <w:sz w:val="24"/>
          <w:szCs w:val="24"/>
          <w:highlight w:val="none"/>
          <w:u w:val="single"/>
        </w:rPr>
        <w:t xml:space="preserve">              </w:t>
      </w:r>
      <w:r>
        <w:rPr>
          <w:rFonts w:hint="eastAsia" w:ascii="宋体" w:hAnsi="宋体" w:cs="宋体"/>
          <w:color w:val="auto"/>
          <w:kern w:val="1"/>
          <w:sz w:val="24"/>
          <w:szCs w:val="24"/>
          <w:highlight w:val="none"/>
        </w:rPr>
        <w:t xml:space="preserve">（个人电子签章或签字） </w:t>
      </w:r>
    </w:p>
    <w:p w14:paraId="1D89AF0B">
      <w:pPr>
        <w:spacing w:line="360" w:lineRule="auto"/>
        <w:ind w:firstLine="0" w:firstLineChars="0"/>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 xml:space="preserve">                                              日期： ____年____月_____日</w:t>
      </w:r>
    </w:p>
    <w:p w14:paraId="2122D78D">
      <w:pPr>
        <w:spacing w:line="360" w:lineRule="auto"/>
        <w:ind w:firstLine="0" w:firstLineChars="0"/>
        <w:jc w:val="both"/>
        <w:rPr>
          <w:rFonts w:hint="eastAsia" w:ascii="宋体" w:hAnsi="宋体" w:cs="宋体"/>
          <w:color w:val="auto"/>
          <w:kern w:val="1"/>
          <w:sz w:val="24"/>
          <w:szCs w:val="24"/>
          <w:highlight w:val="none"/>
        </w:rPr>
      </w:pPr>
    </w:p>
    <w:p w14:paraId="26EB8EB5">
      <w:pPr>
        <w:spacing w:line="360" w:lineRule="auto"/>
        <w:ind w:firstLine="480"/>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br w:type="page"/>
      </w:r>
      <w:r>
        <w:rPr>
          <w:rFonts w:hint="eastAsia" w:ascii="宋体" w:hAnsi="宋体" w:eastAsia="宋体" w:cs="宋体"/>
          <w:b/>
          <w:bCs/>
          <w:color w:val="auto"/>
          <w:sz w:val="24"/>
          <w:szCs w:val="24"/>
          <w:highlight w:val="none"/>
        </w:rPr>
        <w:t>3.招标代理服务费承诺书</w:t>
      </w:r>
    </w:p>
    <w:p w14:paraId="6EC9ECB4">
      <w:pPr>
        <w:spacing w:line="360" w:lineRule="auto"/>
        <w:ind w:firstLine="0" w:firstLineChars="0"/>
        <w:jc w:val="both"/>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致</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（采购代理机构）：</w:t>
      </w:r>
    </w:p>
    <w:p w14:paraId="57936676">
      <w:pPr>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 xml:space="preserve">   我们在贵公司组织的（项目名称：</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项目编号：</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）招标中若获中标，我们保证按招标文件的规定，向贵公司一次性支付招标代理费用。否则，由此产生的一切法律后果和责任由我公司承担。我公司声明放弃对此提出任何异议和追索的权利。</w:t>
      </w:r>
    </w:p>
    <w:p w14:paraId="5531D191">
      <w:pPr>
        <w:spacing w:line="360" w:lineRule="auto"/>
        <w:ind w:firstLine="480"/>
        <w:rPr>
          <w:rFonts w:hint="eastAsia" w:ascii="宋体" w:hAnsi="宋体" w:cs="宋体"/>
          <w:color w:val="auto"/>
          <w:kern w:val="0"/>
          <w:sz w:val="24"/>
          <w:szCs w:val="24"/>
          <w:highlight w:val="none"/>
        </w:rPr>
      </w:pPr>
    </w:p>
    <w:p w14:paraId="37942289">
      <w:pPr>
        <w:spacing w:line="360" w:lineRule="auto"/>
        <w:ind w:firstLine="48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特此承诺</w:t>
      </w:r>
    </w:p>
    <w:p w14:paraId="658C2F1A">
      <w:pPr>
        <w:spacing w:line="360" w:lineRule="auto"/>
        <w:ind w:firstLine="0" w:firstLineChars="0"/>
        <w:jc w:val="both"/>
        <w:rPr>
          <w:rFonts w:hint="eastAsia" w:ascii="宋体" w:hAnsi="宋体" w:cs="宋体"/>
          <w:color w:val="auto"/>
          <w:kern w:val="1"/>
          <w:sz w:val="24"/>
          <w:szCs w:val="24"/>
          <w:highlight w:val="none"/>
        </w:rPr>
      </w:pPr>
    </w:p>
    <w:p w14:paraId="2322756E">
      <w:pPr>
        <w:spacing w:line="360" w:lineRule="auto"/>
        <w:ind w:firstLine="0" w:firstLineChars="0"/>
        <w:jc w:val="both"/>
        <w:rPr>
          <w:rFonts w:hint="eastAsia" w:ascii="宋体" w:hAnsi="宋体" w:cs="宋体"/>
          <w:color w:val="auto"/>
          <w:kern w:val="1"/>
          <w:sz w:val="24"/>
          <w:szCs w:val="24"/>
          <w:highlight w:val="none"/>
        </w:rPr>
      </w:pPr>
    </w:p>
    <w:p w14:paraId="7BF24742">
      <w:pPr>
        <w:spacing w:line="360" w:lineRule="auto"/>
        <w:ind w:firstLine="0" w:firstLineChars="0"/>
        <w:jc w:val="both"/>
        <w:rPr>
          <w:rFonts w:hint="eastAsia" w:ascii="宋体" w:hAnsi="宋体" w:cs="宋体"/>
          <w:color w:val="auto"/>
          <w:kern w:val="1"/>
          <w:sz w:val="24"/>
          <w:szCs w:val="24"/>
          <w:highlight w:val="none"/>
        </w:rPr>
      </w:pPr>
    </w:p>
    <w:p w14:paraId="1166655C">
      <w:pPr>
        <w:spacing w:line="360" w:lineRule="auto"/>
        <w:ind w:firstLine="0" w:firstLineChars="0"/>
        <w:jc w:val="both"/>
        <w:rPr>
          <w:rFonts w:hint="eastAsia" w:ascii="宋体" w:hAnsi="宋体" w:cs="宋体"/>
          <w:color w:val="auto"/>
          <w:kern w:val="1"/>
          <w:sz w:val="24"/>
          <w:szCs w:val="24"/>
          <w:highlight w:val="none"/>
        </w:rPr>
      </w:pPr>
    </w:p>
    <w:p w14:paraId="03BA340C">
      <w:pPr>
        <w:spacing w:line="360" w:lineRule="auto"/>
        <w:ind w:firstLine="0" w:firstLineChars="0"/>
        <w:jc w:val="right"/>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供应商名称：</w:t>
      </w:r>
      <w:r>
        <w:rPr>
          <w:rFonts w:hint="eastAsia" w:ascii="宋体" w:hAnsi="宋体" w:cs="宋体"/>
          <w:color w:val="auto"/>
          <w:kern w:val="1"/>
          <w:sz w:val="24"/>
          <w:szCs w:val="24"/>
          <w:highlight w:val="none"/>
          <w:u w:val="single"/>
        </w:rPr>
        <w:t xml:space="preserve">               </w:t>
      </w:r>
      <w:r>
        <w:rPr>
          <w:rFonts w:hint="eastAsia" w:ascii="宋体" w:hAnsi="宋体" w:cs="宋体"/>
          <w:color w:val="auto"/>
          <w:kern w:val="1"/>
          <w:sz w:val="24"/>
          <w:szCs w:val="24"/>
          <w:highlight w:val="none"/>
        </w:rPr>
        <w:t>（企业电子签章）</w:t>
      </w:r>
    </w:p>
    <w:p w14:paraId="0553D41D">
      <w:pPr>
        <w:spacing w:line="360" w:lineRule="auto"/>
        <w:ind w:firstLine="0" w:firstLineChars="0"/>
        <w:jc w:val="right"/>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法定代表人或其授权委托人：</w:t>
      </w:r>
      <w:r>
        <w:rPr>
          <w:rFonts w:hint="eastAsia" w:ascii="宋体" w:hAnsi="宋体" w:cs="宋体"/>
          <w:color w:val="auto"/>
          <w:kern w:val="1"/>
          <w:sz w:val="24"/>
          <w:szCs w:val="24"/>
          <w:highlight w:val="none"/>
          <w:u w:val="single"/>
        </w:rPr>
        <w:t xml:space="preserve">              </w:t>
      </w:r>
      <w:r>
        <w:rPr>
          <w:rFonts w:hint="eastAsia" w:ascii="宋体" w:hAnsi="宋体" w:cs="宋体"/>
          <w:color w:val="auto"/>
          <w:kern w:val="1"/>
          <w:sz w:val="24"/>
          <w:szCs w:val="24"/>
          <w:highlight w:val="none"/>
        </w:rPr>
        <w:t xml:space="preserve">（个人电子签章或签字） </w:t>
      </w:r>
    </w:p>
    <w:p w14:paraId="126BC06D">
      <w:pPr>
        <w:spacing w:line="360" w:lineRule="auto"/>
        <w:ind w:firstLine="0" w:firstLineChars="0"/>
        <w:rPr>
          <w:rFonts w:hint="eastAsia" w:ascii="宋体" w:hAnsi="宋体" w:cs="宋体"/>
          <w:color w:val="auto"/>
          <w:kern w:val="0"/>
          <w:sz w:val="24"/>
          <w:szCs w:val="24"/>
          <w:highlight w:val="none"/>
        </w:rPr>
      </w:pPr>
      <w:r>
        <w:rPr>
          <w:rFonts w:hint="eastAsia" w:ascii="宋体" w:hAnsi="宋体" w:cs="宋体"/>
          <w:color w:val="auto"/>
          <w:kern w:val="1"/>
          <w:sz w:val="24"/>
          <w:szCs w:val="24"/>
          <w:highlight w:val="none"/>
        </w:rPr>
        <w:t xml:space="preserve">                                             日期： ____年____月_____日</w:t>
      </w:r>
    </w:p>
    <w:p w14:paraId="6F7E062B">
      <w:pPr>
        <w:keepNext/>
        <w:keepLines/>
        <w:spacing w:before="260" w:after="260" w:line="410" w:lineRule="auto"/>
        <w:ind w:firstLine="482"/>
        <w:jc w:val="center"/>
        <w:outlineLvl w:val="1"/>
        <w:rPr>
          <w:rFonts w:hint="eastAsia" w:ascii="宋体" w:hAnsi="宋体" w:cs="宋体"/>
          <w:b/>
          <w:color w:val="auto"/>
          <w:sz w:val="24"/>
          <w:szCs w:val="24"/>
          <w:highlight w:val="none"/>
        </w:rPr>
      </w:pPr>
      <w:bookmarkStart w:id="529" w:name="_Toc10124"/>
      <w:r>
        <w:rPr>
          <w:rFonts w:hint="eastAsia" w:ascii="宋体" w:hAnsi="宋体" w:cs="宋体"/>
          <w:b/>
          <w:color w:val="auto"/>
          <w:kern w:val="0"/>
          <w:sz w:val="24"/>
          <w:szCs w:val="24"/>
          <w:highlight w:val="none"/>
        </w:rPr>
        <w:br w:type="column"/>
      </w:r>
      <w:r>
        <w:rPr>
          <w:rFonts w:hint="eastAsia" w:ascii="宋体" w:hAnsi="宋体" w:cs="宋体"/>
          <w:b/>
          <w:color w:val="auto"/>
          <w:kern w:val="0"/>
          <w:sz w:val="28"/>
          <w:szCs w:val="28"/>
          <w:highlight w:val="none"/>
        </w:rPr>
        <w:t>九</w:t>
      </w:r>
      <w:r>
        <w:rPr>
          <w:rFonts w:hint="eastAsia" w:ascii="宋体" w:hAnsi="宋体" w:cs="宋体"/>
          <w:color w:val="auto"/>
          <w:sz w:val="28"/>
          <w:szCs w:val="28"/>
          <w:highlight w:val="none"/>
        </w:rPr>
        <w:t>、</w:t>
      </w:r>
      <w:bookmarkStart w:id="530" w:name="_Toc10555258"/>
      <w:bookmarkStart w:id="531" w:name="_Toc10555114"/>
      <w:r>
        <w:rPr>
          <w:rFonts w:hint="eastAsia" w:ascii="宋体" w:hAnsi="宋体" w:cs="宋体"/>
          <w:b/>
          <w:color w:val="auto"/>
          <w:sz w:val="28"/>
          <w:szCs w:val="28"/>
          <w:highlight w:val="none"/>
        </w:rPr>
        <w:t>其他材料</w:t>
      </w:r>
      <w:bookmarkEnd w:id="529"/>
      <w:bookmarkEnd w:id="530"/>
      <w:bookmarkEnd w:id="531"/>
    </w:p>
    <w:p w14:paraId="2F88C277">
      <w:pPr>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1.招标文件及评标办法中要求的与本项目相关的材料；</w:t>
      </w:r>
    </w:p>
    <w:p w14:paraId="620BD62D">
      <w:pPr>
        <w:spacing w:line="360" w:lineRule="auto"/>
        <w:ind w:firstLine="480"/>
        <w:rPr>
          <w:rFonts w:hint="eastAsia" w:ascii="宋体" w:hAnsi="宋体" w:cs="宋体"/>
          <w:color w:val="auto"/>
          <w:sz w:val="24"/>
          <w:szCs w:val="24"/>
          <w:highlight w:val="none"/>
        </w:rPr>
      </w:pPr>
    </w:p>
    <w:p w14:paraId="2305E833">
      <w:pPr>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2.供应商认为与本项目相关的其他材料。</w:t>
      </w:r>
    </w:p>
    <w:p w14:paraId="538E5F4D">
      <w:pPr>
        <w:spacing w:line="360" w:lineRule="auto"/>
        <w:ind w:firstLine="480"/>
        <w:rPr>
          <w:rFonts w:hint="eastAsia" w:ascii="宋体" w:hAnsi="宋体" w:cs="宋体"/>
          <w:color w:val="auto"/>
          <w:sz w:val="24"/>
          <w:szCs w:val="24"/>
          <w:highlight w:val="none"/>
        </w:rPr>
      </w:pPr>
    </w:p>
    <w:p w14:paraId="483BABA9">
      <w:pPr>
        <w:spacing w:line="360" w:lineRule="auto"/>
        <w:ind w:firstLine="480"/>
        <w:rPr>
          <w:rFonts w:hint="eastAsia" w:ascii="宋体" w:hAnsi="宋体" w:cs="宋体"/>
          <w:color w:val="auto"/>
          <w:sz w:val="24"/>
          <w:szCs w:val="24"/>
          <w:highlight w:val="none"/>
        </w:rPr>
      </w:pPr>
      <w:r>
        <w:rPr>
          <w:rFonts w:hint="eastAsia" w:ascii="宋体" w:hAnsi="宋体" w:cs="宋体"/>
          <w:color w:val="auto"/>
          <w:sz w:val="24"/>
          <w:szCs w:val="24"/>
          <w:highlight w:val="none"/>
        </w:rPr>
        <w:t>注：招标文件中没有给出固定格式的，格式自拟。</w:t>
      </w:r>
    </w:p>
    <w:p w14:paraId="5201AED1">
      <w:pPr>
        <w:spacing w:line="360" w:lineRule="auto"/>
        <w:ind w:firstLine="480"/>
        <w:rPr>
          <w:rFonts w:hint="eastAsia" w:ascii="宋体" w:hAnsi="宋体" w:cs="宋体"/>
          <w:color w:val="auto"/>
          <w:sz w:val="24"/>
          <w:szCs w:val="24"/>
          <w:highlight w:val="none"/>
        </w:rPr>
      </w:pPr>
    </w:p>
    <w:p w14:paraId="7B8B347B">
      <w:pPr>
        <w:spacing w:line="360" w:lineRule="auto"/>
        <w:ind w:firstLine="480"/>
        <w:rPr>
          <w:rFonts w:hint="eastAsia" w:ascii="宋体" w:hAnsi="宋体" w:cs="宋体"/>
          <w:color w:val="auto"/>
          <w:sz w:val="24"/>
          <w:szCs w:val="24"/>
          <w:highlight w:val="none"/>
        </w:rPr>
      </w:pPr>
    </w:p>
    <w:p w14:paraId="1FB9A194">
      <w:pPr>
        <w:widowControl/>
        <w:adjustRightInd w:val="0"/>
        <w:snapToGrid w:val="0"/>
        <w:spacing w:after="200" w:line="240" w:lineRule="auto"/>
        <w:ind w:firstLine="0" w:firstLineChars="0"/>
        <w:rPr>
          <w:rFonts w:hint="eastAsia" w:ascii="宋体" w:hAnsi="宋体" w:cs="宋体"/>
          <w:color w:val="auto"/>
          <w:kern w:val="0"/>
          <w:sz w:val="24"/>
          <w:szCs w:val="24"/>
          <w:highlight w:val="none"/>
        </w:rPr>
      </w:pPr>
    </w:p>
    <w:p w14:paraId="5FF866A6">
      <w:pPr>
        <w:tabs>
          <w:tab w:val="left" w:pos="567"/>
        </w:tabs>
        <w:spacing w:after="120" w:line="22" w:lineRule="atLeast"/>
        <w:ind w:firstLine="0" w:firstLineChars="0"/>
        <w:jc w:val="both"/>
        <w:rPr>
          <w:rFonts w:hint="eastAsia" w:ascii="宋体" w:hAnsi="宋体" w:cs="宋体"/>
          <w:color w:val="auto"/>
          <w:sz w:val="24"/>
          <w:szCs w:val="24"/>
          <w:highlight w:val="none"/>
        </w:rPr>
      </w:pPr>
    </w:p>
    <w:p w14:paraId="225FDB4C">
      <w:pPr>
        <w:widowControl/>
        <w:jc w:val="left"/>
        <w:rPr>
          <w:rFonts w:ascii="宋体" w:hAnsi="宋体" w:cs="宋体"/>
          <w:b/>
          <w:bCs/>
          <w:color w:val="auto"/>
          <w:kern w:val="0"/>
          <w:sz w:val="32"/>
          <w:szCs w:val="32"/>
          <w:highlight w:val="none"/>
        </w:rPr>
      </w:pPr>
    </w:p>
    <w:bookmarkEnd w:id="503"/>
    <w:p w14:paraId="0D0AF8AF">
      <w:pPr>
        <w:spacing w:line="360" w:lineRule="auto"/>
        <w:rPr>
          <w:color w:val="auto"/>
          <w:highlight w:val="none"/>
        </w:rPr>
      </w:pPr>
    </w:p>
    <w:p w14:paraId="12FAF299">
      <w:pPr>
        <w:spacing w:line="360" w:lineRule="auto"/>
        <w:rPr>
          <w:color w:val="auto"/>
          <w:highlight w:val="none"/>
        </w:rPr>
      </w:pPr>
    </w:p>
    <w:p w14:paraId="117ED909">
      <w:pPr>
        <w:spacing w:line="360" w:lineRule="auto"/>
        <w:jc w:val="center"/>
        <w:rPr>
          <w:rFonts w:ascii="宋体" w:hAnsi="宋体" w:cs="宋体"/>
          <w:color w:val="auto"/>
          <w:szCs w:val="21"/>
          <w:highlight w:val="none"/>
        </w:rPr>
      </w:pPr>
    </w:p>
    <w:p w14:paraId="6D250F37">
      <w:pPr>
        <w:widowControl/>
        <w:spacing w:line="360" w:lineRule="auto"/>
        <w:jc w:val="left"/>
        <w:rPr>
          <w:color w:val="auto"/>
          <w:szCs w:val="21"/>
          <w:highlight w:val="none"/>
        </w:rPr>
      </w:pPr>
      <w:r>
        <w:rPr>
          <w:color w:val="auto"/>
          <w:szCs w:val="21"/>
          <w:highlight w:val="none"/>
        </w:rPr>
        <w:br w:type="page"/>
      </w:r>
    </w:p>
    <w:p w14:paraId="455ACD0D">
      <w:pPr>
        <w:spacing w:before="160" w:beforeLines="50" w:after="160" w:afterLines="50" w:line="360" w:lineRule="auto"/>
        <w:rPr>
          <w:rFonts w:ascii="宋体" w:hAnsi="宋体"/>
          <w:b/>
          <w:color w:val="auto"/>
          <w:kern w:val="44"/>
          <w:sz w:val="24"/>
          <w:szCs w:val="21"/>
          <w:highlight w:val="none"/>
        </w:rPr>
      </w:pPr>
      <w:r>
        <w:rPr>
          <w:rFonts w:hint="eastAsia" w:ascii="宋体" w:hAnsi="宋体"/>
          <w:b/>
          <w:color w:val="auto"/>
          <w:kern w:val="44"/>
          <w:sz w:val="24"/>
          <w:szCs w:val="21"/>
          <w:highlight w:val="none"/>
        </w:rPr>
        <w:t>附件1</w:t>
      </w:r>
      <w:r>
        <w:rPr>
          <w:rFonts w:hint="eastAsia" w:ascii="宋体" w:hAnsi="宋体"/>
          <w:b/>
          <w:color w:val="auto"/>
          <w:sz w:val="24"/>
          <w:szCs w:val="21"/>
          <w:highlight w:val="none"/>
        </w:rPr>
        <w:t>（符合政策要求，并申请按小型微型企业投标者提供）</w:t>
      </w:r>
      <w:r>
        <w:rPr>
          <w:rFonts w:hint="eastAsia" w:ascii="宋体" w:hAnsi="宋体"/>
          <w:b/>
          <w:color w:val="auto"/>
          <w:kern w:val="44"/>
          <w:sz w:val="24"/>
          <w:szCs w:val="21"/>
          <w:highlight w:val="none"/>
        </w:rPr>
        <w:t>：</w:t>
      </w:r>
    </w:p>
    <w:p w14:paraId="6F581B88">
      <w:pPr>
        <w:spacing w:before="160" w:beforeLines="50" w:after="160" w:afterLines="50" w:line="360" w:lineRule="auto"/>
        <w:jc w:val="center"/>
        <w:rPr>
          <w:rFonts w:ascii="宋体" w:hAnsi="宋体"/>
          <w:b/>
          <w:color w:val="auto"/>
          <w:sz w:val="24"/>
          <w:szCs w:val="21"/>
          <w:highlight w:val="none"/>
        </w:rPr>
      </w:pPr>
      <w:r>
        <w:rPr>
          <w:rFonts w:hint="eastAsia" w:ascii="宋体" w:hAnsi="宋体"/>
          <w:b/>
          <w:color w:val="auto"/>
          <w:sz w:val="24"/>
          <w:szCs w:val="21"/>
          <w:highlight w:val="none"/>
        </w:rPr>
        <w:t>中小企业声明函（工程、服务）</w:t>
      </w:r>
    </w:p>
    <w:p w14:paraId="5D50F9D3">
      <w:pPr>
        <w:keepNext w:val="0"/>
        <w:keepLines w:val="0"/>
        <w:pageBreakBefore w:val="0"/>
        <w:widowControl w:val="0"/>
        <w:kinsoku/>
        <w:overflowPunct/>
        <w:topLinePunct w:val="0"/>
        <w:autoSpaceDE/>
        <w:autoSpaceDN/>
        <w:bidi w:val="0"/>
        <w:adjustRightInd/>
        <w:snapToGrid w:val="0"/>
        <w:spacing w:before="160" w:beforeLines="50" w:after="160" w:afterLines="50" w:line="360" w:lineRule="auto"/>
        <w:ind w:firstLine="480" w:firstLineChars="200"/>
        <w:jc w:val="left"/>
        <w:textAlignment w:val="auto"/>
        <w:rPr>
          <w:rFonts w:ascii="宋体" w:hAnsi="宋体"/>
          <w:color w:val="auto"/>
          <w:sz w:val="24"/>
          <w:highlight w:val="none"/>
        </w:rPr>
      </w:pPr>
      <w:r>
        <w:rPr>
          <w:rFonts w:hint="eastAsia" w:ascii="宋体" w:hAnsi="宋体"/>
          <w:color w:val="auto"/>
          <w:sz w:val="24"/>
          <w:highlight w:val="none"/>
        </w:rPr>
        <w:t>本公司（联合体）郑重声明，根据《政府采购促进中小企业发展管理办法》（财库﹝2020﹞46 号）的规定，本公司（联合体）参加</w:t>
      </w:r>
      <w:r>
        <w:rPr>
          <w:rFonts w:hint="eastAsia" w:ascii="宋体" w:hAnsi="宋体"/>
          <w:color w:val="auto"/>
          <w:sz w:val="24"/>
          <w:highlight w:val="none"/>
          <w:u w:val="single"/>
        </w:rPr>
        <w:t xml:space="preserve">         （单位名称）</w:t>
      </w:r>
      <w:r>
        <w:rPr>
          <w:rFonts w:hint="eastAsia" w:ascii="宋体" w:hAnsi="宋体"/>
          <w:color w:val="auto"/>
          <w:sz w:val="24"/>
          <w:highlight w:val="none"/>
        </w:rPr>
        <w:t>的</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（项目名称）</w:t>
      </w:r>
      <w:r>
        <w:rPr>
          <w:rFonts w:hint="eastAsia" w:ascii="宋体" w:hAnsi="宋体"/>
          <w:color w:val="auto"/>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025F1398">
      <w:pPr>
        <w:keepNext w:val="0"/>
        <w:keepLines w:val="0"/>
        <w:pageBreakBefore w:val="0"/>
        <w:widowControl w:val="0"/>
        <w:kinsoku/>
        <w:overflowPunct/>
        <w:topLinePunct w:val="0"/>
        <w:autoSpaceDE/>
        <w:autoSpaceDN/>
        <w:bidi w:val="0"/>
        <w:adjustRightInd/>
        <w:snapToGrid w:val="0"/>
        <w:spacing w:before="160" w:beforeLines="50" w:after="160" w:afterLines="50" w:line="360" w:lineRule="auto"/>
        <w:ind w:firstLine="480" w:firstLineChars="200"/>
        <w:jc w:val="left"/>
        <w:textAlignment w:val="auto"/>
        <w:rPr>
          <w:rFonts w:ascii="宋体" w:hAnsi="宋体"/>
          <w:color w:val="auto"/>
          <w:sz w:val="24"/>
          <w:highlight w:val="none"/>
        </w:rPr>
      </w:pPr>
      <w:r>
        <w:rPr>
          <w:rFonts w:hint="eastAsia" w:ascii="宋体" w:hAnsi="宋体"/>
          <w:color w:val="auto"/>
          <w:sz w:val="24"/>
          <w:highlight w:val="none"/>
        </w:rPr>
        <w:t>1.</w:t>
      </w:r>
      <w:r>
        <w:rPr>
          <w:rFonts w:hint="eastAsia" w:ascii="宋体" w:hAnsi="宋体"/>
          <w:color w:val="auto"/>
          <w:sz w:val="24"/>
          <w:highlight w:val="none"/>
          <w:u w:val="single"/>
        </w:rPr>
        <w:t>（标的名称）</w:t>
      </w:r>
      <w:r>
        <w:rPr>
          <w:rFonts w:hint="eastAsia" w:ascii="宋体" w:hAnsi="宋体"/>
          <w:color w:val="auto"/>
          <w:sz w:val="24"/>
          <w:highlight w:val="none"/>
        </w:rPr>
        <w:t>，属于</w:t>
      </w:r>
      <w:r>
        <w:rPr>
          <w:rFonts w:hint="eastAsia" w:ascii="宋体" w:hAnsi="宋体"/>
          <w:color w:val="auto"/>
          <w:sz w:val="24"/>
          <w:highlight w:val="none"/>
          <w:u w:val="single"/>
        </w:rPr>
        <w:t>（采购文件中明确的所属行业）</w:t>
      </w:r>
      <w:r>
        <w:rPr>
          <w:rFonts w:hint="eastAsia" w:ascii="宋体" w:hAnsi="宋体"/>
          <w:color w:val="auto"/>
          <w:sz w:val="24"/>
          <w:highlight w:val="none"/>
        </w:rPr>
        <w:t>；承建（承接）企业为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ab/>
      </w:r>
      <w:r>
        <w:rPr>
          <w:rFonts w:hint="eastAsia" w:ascii="宋体" w:hAnsi="宋体"/>
          <w:color w:val="auto"/>
          <w:sz w:val="24"/>
          <w:highlight w:val="none"/>
        </w:rPr>
        <w:t>人，营业收入为</w:t>
      </w:r>
      <w:r>
        <w:rPr>
          <w:rFonts w:hint="eastAsia" w:ascii="宋体" w:hAnsi="宋体"/>
          <w:color w:val="auto"/>
          <w:sz w:val="24"/>
          <w:highlight w:val="none"/>
          <w:u w:val="single"/>
        </w:rPr>
        <w:tab/>
      </w:r>
      <w:r>
        <w:rPr>
          <w:rFonts w:hint="eastAsia" w:ascii="宋体" w:hAnsi="宋体"/>
          <w:color w:val="auto"/>
          <w:sz w:val="24"/>
          <w:highlight w:val="none"/>
        </w:rPr>
        <w:t>万元，资产总额为</w:t>
      </w:r>
      <w:r>
        <w:rPr>
          <w:rFonts w:hint="eastAsia" w:ascii="宋体" w:hAnsi="宋体"/>
          <w:color w:val="auto"/>
          <w:sz w:val="24"/>
          <w:highlight w:val="none"/>
          <w:u w:val="single"/>
        </w:rPr>
        <w:tab/>
      </w:r>
      <w:r>
        <w:rPr>
          <w:rFonts w:hint="eastAsia" w:ascii="宋体" w:hAnsi="宋体"/>
          <w:color w:val="auto"/>
          <w:sz w:val="24"/>
          <w:highlight w:val="none"/>
        </w:rPr>
        <w:t>万元，属于</w:t>
      </w:r>
      <w:r>
        <w:rPr>
          <w:rFonts w:hint="eastAsia" w:ascii="宋体" w:hAnsi="宋体"/>
          <w:color w:val="auto"/>
          <w:sz w:val="24"/>
          <w:highlight w:val="none"/>
          <w:u w:val="single"/>
        </w:rPr>
        <w:t>（中型企业、小型企业、微型企业）</w:t>
      </w:r>
      <w:r>
        <w:rPr>
          <w:rFonts w:hint="eastAsia" w:ascii="宋体" w:hAnsi="宋体"/>
          <w:color w:val="auto"/>
          <w:sz w:val="24"/>
          <w:highlight w:val="none"/>
        </w:rPr>
        <w:t>；</w:t>
      </w:r>
    </w:p>
    <w:p w14:paraId="5818ACA3">
      <w:pPr>
        <w:keepNext w:val="0"/>
        <w:keepLines w:val="0"/>
        <w:pageBreakBefore w:val="0"/>
        <w:widowControl w:val="0"/>
        <w:kinsoku/>
        <w:overflowPunct/>
        <w:topLinePunct w:val="0"/>
        <w:autoSpaceDE/>
        <w:autoSpaceDN/>
        <w:bidi w:val="0"/>
        <w:adjustRightInd/>
        <w:snapToGrid w:val="0"/>
        <w:spacing w:before="160" w:beforeLines="50" w:after="160" w:afterLines="50" w:line="360" w:lineRule="auto"/>
        <w:ind w:firstLine="480" w:firstLineChars="200"/>
        <w:jc w:val="left"/>
        <w:textAlignment w:val="auto"/>
        <w:rPr>
          <w:rFonts w:ascii="宋体" w:hAnsi="宋体"/>
          <w:color w:val="auto"/>
          <w:sz w:val="24"/>
          <w:highlight w:val="none"/>
        </w:rPr>
      </w:pPr>
      <w:r>
        <w:rPr>
          <w:rFonts w:hint="eastAsia" w:ascii="宋体" w:hAnsi="宋体"/>
          <w:color w:val="auto"/>
          <w:sz w:val="24"/>
          <w:highlight w:val="none"/>
        </w:rPr>
        <w:t>2.</w:t>
      </w:r>
      <w:r>
        <w:rPr>
          <w:rFonts w:hint="eastAsia" w:ascii="宋体" w:hAnsi="宋体"/>
          <w:color w:val="auto"/>
          <w:sz w:val="24"/>
          <w:highlight w:val="none"/>
          <w:u w:val="single"/>
        </w:rPr>
        <w:t>（标的名称）</w:t>
      </w:r>
      <w:r>
        <w:rPr>
          <w:rFonts w:hint="eastAsia" w:ascii="宋体" w:hAnsi="宋体"/>
          <w:color w:val="auto"/>
          <w:sz w:val="24"/>
          <w:highlight w:val="none"/>
        </w:rPr>
        <w:t>，属于</w:t>
      </w:r>
      <w:r>
        <w:rPr>
          <w:rFonts w:hint="eastAsia" w:ascii="宋体" w:hAnsi="宋体"/>
          <w:color w:val="auto"/>
          <w:sz w:val="24"/>
          <w:highlight w:val="none"/>
          <w:u w:val="single"/>
        </w:rPr>
        <w:t>（采购文件中明确的所属行业）</w:t>
      </w:r>
      <w:r>
        <w:rPr>
          <w:rFonts w:hint="eastAsia" w:ascii="宋体" w:hAnsi="宋体"/>
          <w:color w:val="auto"/>
          <w:sz w:val="24"/>
          <w:highlight w:val="none"/>
        </w:rPr>
        <w:t>；承建（承接）企业为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ab/>
      </w:r>
      <w:r>
        <w:rPr>
          <w:rFonts w:hint="eastAsia" w:ascii="宋体" w:hAnsi="宋体"/>
          <w:color w:val="auto"/>
          <w:sz w:val="24"/>
          <w:highlight w:val="none"/>
        </w:rPr>
        <w:t>人，营业收入为</w:t>
      </w:r>
      <w:r>
        <w:rPr>
          <w:rFonts w:hint="eastAsia" w:ascii="宋体" w:hAnsi="宋体"/>
          <w:color w:val="auto"/>
          <w:sz w:val="24"/>
          <w:highlight w:val="none"/>
          <w:u w:val="single"/>
        </w:rPr>
        <w:tab/>
      </w:r>
      <w:r>
        <w:rPr>
          <w:rFonts w:hint="eastAsia" w:ascii="宋体" w:hAnsi="宋体"/>
          <w:color w:val="auto"/>
          <w:sz w:val="24"/>
          <w:highlight w:val="none"/>
        </w:rPr>
        <w:t>万元，资产总额为</w:t>
      </w:r>
      <w:r>
        <w:rPr>
          <w:rFonts w:hint="eastAsia" w:ascii="宋体" w:hAnsi="宋体"/>
          <w:color w:val="auto"/>
          <w:sz w:val="24"/>
          <w:highlight w:val="none"/>
          <w:u w:val="single"/>
        </w:rPr>
        <w:tab/>
      </w:r>
      <w:r>
        <w:rPr>
          <w:rFonts w:hint="eastAsia" w:ascii="宋体" w:hAnsi="宋体"/>
          <w:color w:val="auto"/>
          <w:sz w:val="24"/>
          <w:highlight w:val="none"/>
        </w:rPr>
        <w:t>万元，属于</w:t>
      </w:r>
      <w:r>
        <w:rPr>
          <w:rFonts w:hint="eastAsia" w:ascii="宋体" w:hAnsi="宋体"/>
          <w:color w:val="auto"/>
          <w:sz w:val="24"/>
          <w:highlight w:val="none"/>
          <w:u w:val="single"/>
        </w:rPr>
        <w:t>（中型企业、小型企业、微型企业）</w:t>
      </w:r>
      <w:r>
        <w:rPr>
          <w:rFonts w:hint="eastAsia" w:ascii="宋体" w:hAnsi="宋体"/>
          <w:color w:val="auto"/>
          <w:sz w:val="24"/>
          <w:highlight w:val="none"/>
        </w:rPr>
        <w:t>；</w:t>
      </w:r>
    </w:p>
    <w:p w14:paraId="34851376">
      <w:pPr>
        <w:keepNext w:val="0"/>
        <w:keepLines w:val="0"/>
        <w:pageBreakBefore w:val="0"/>
        <w:widowControl w:val="0"/>
        <w:kinsoku/>
        <w:overflowPunct/>
        <w:topLinePunct w:val="0"/>
        <w:autoSpaceDE/>
        <w:autoSpaceDN/>
        <w:bidi w:val="0"/>
        <w:adjustRightInd/>
        <w:snapToGrid w:val="0"/>
        <w:spacing w:before="160" w:beforeLines="50" w:after="160" w:afterLines="50" w:line="360" w:lineRule="auto"/>
        <w:ind w:firstLine="480" w:firstLineChars="200"/>
        <w:jc w:val="left"/>
        <w:textAlignment w:val="auto"/>
        <w:rPr>
          <w:rFonts w:ascii="宋体" w:hAnsi="宋体"/>
          <w:color w:val="auto"/>
          <w:sz w:val="24"/>
          <w:highlight w:val="none"/>
        </w:rPr>
      </w:pPr>
      <w:r>
        <w:rPr>
          <w:rFonts w:hint="eastAsia" w:ascii="宋体" w:hAnsi="宋体"/>
          <w:color w:val="auto"/>
          <w:sz w:val="24"/>
          <w:highlight w:val="none"/>
        </w:rPr>
        <w:t>……</w:t>
      </w:r>
    </w:p>
    <w:p w14:paraId="3E709E83">
      <w:pPr>
        <w:keepNext w:val="0"/>
        <w:keepLines w:val="0"/>
        <w:pageBreakBefore w:val="0"/>
        <w:widowControl w:val="0"/>
        <w:kinsoku/>
        <w:overflowPunct/>
        <w:topLinePunct w:val="0"/>
        <w:autoSpaceDE/>
        <w:autoSpaceDN/>
        <w:bidi w:val="0"/>
        <w:adjustRightInd/>
        <w:snapToGrid w:val="0"/>
        <w:spacing w:before="160" w:beforeLines="50" w:after="160" w:afterLines="50" w:line="360" w:lineRule="auto"/>
        <w:ind w:firstLine="480" w:firstLineChars="200"/>
        <w:jc w:val="left"/>
        <w:textAlignment w:val="auto"/>
        <w:rPr>
          <w:rFonts w:ascii="宋体" w:hAnsi="宋体"/>
          <w:color w:val="auto"/>
          <w:sz w:val="24"/>
          <w:highlight w:val="none"/>
        </w:rPr>
      </w:pPr>
      <w:r>
        <w:rPr>
          <w:rFonts w:hint="eastAsia" w:ascii="宋体" w:hAnsi="宋体"/>
          <w:color w:val="auto"/>
          <w:sz w:val="24"/>
          <w:highlight w:val="none"/>
        </w:rPr>
        <w:t>以上企业，不属于大企业的分支机构，不存在控股股东为大企业的情形，也不存在与大企业的负责人为同一人的情形。</w:t>
      </w:r>
    </w:p>
    <w:p w14:paraId="62CBCC2D">
      <w:pPr>
        <w:keepNext w:val="0"/>
        <w:keepLines w:val="0"/>
        <w:pageBreakBefore w:val="0"/>
        <w:widowControl w:val="0"/>
        <w:kinsoku/>
        <w:overflowPunct/>
        <w:topLinePunct w:val="0"/>
        <w:autoSpaceDE/>
        <w:autoSpaceDN/>
        <w:bidi w:val="0"/>
        <w:adjustRightInd/>
        <w:snapToGrid w:val="0"/>
        <w:spacing w:before="160" w:beforeLines="50" w:after="160" w:afterLines="50" w:line="360" w:lineRule="auto"/>
        <w:ind w:firstLine="480" w:firstLineChars="200"/>
        <w:jc w:val="left"/>
        <w:textAlignment w:val="auto"/>
        <w:rPr>
          <w:rFonts w:ascii="宋体" w:hAnsi="宋体"/>
          <w:color w:val="auto"/>
          <w:sz w:val="24"/>
          <w:highlight w:val="none"/>
        </w:rPr>
      </w:pPr>
      <w:r>
        <w:rPr>
          <w:rFonts w:hint="eastAsia" w:ascii="宋体" w:hAnsi="宋体"/>
          <w:color w:val="auto"/>
          <w:sz w:val="24"/>
          <w:highlight w:val="none"/>
        </w:rPr>
        <w:t>本企业对上述声明内容的真实性负责。如有虚假，将依法承担相应责任。</w:t>
      </w:r>
    </w:p>
    <w:p w14:paraId="149628D9">
      <w:pPr>
        <w:keepNext w:val="0"/>
        <w:keepLines w:val="0"/>
        <w:pageBreakBefore w:val="0"/>
        <w:widowControl w:val="0"/>
        <w:kinsoku/>
        <w:wordWrap w:val="0"/>
        <w:overflowPunct/>
        <w:topLinePunct w:val="0"/>
        <w:autoSpaceDE/>
        <w:autoSpaceDN/>
        <w:bidi w:val="0"/>
        <w:adjustRightInd/>
        <w:snapToGrid w:val="0"/>
        <w:spacing w:before="160" w:beforeLines="50" w:after="160" w:afterLines="50" w:line="360" w:lineRule="auto"/>
        <w:ind w:right="-1" w:firstLine="480" w:firstLineChars="200"/>
        <w:jc w:val="right"/>
        <w:textAlignment w:val="auto"/>
        <w:rPr>
          <w:rFonts w:ascii="宋体" w:hAnsi="宋体"/>
          <w:color w:val="auto"/>
          <w:sz w:val="24"/>
          <w:highlight w:val="none"/>
          <w:u w:val="single"/>
        </w:rPr>
      </w:pPr>
      <w:r>
        <w:rPr>
          <w:rFonts w:hint="eastAsia" w:ascii="宋体" w:hAnsi="宋体"/>
          <w:color w:val="auto"/>
          <w:sz w:val="24"/>
          <w:highlight w:val="none"/>
        </w:rPr>
        <w:t>企业名称（盖章）</w:t>
      </w:r>
      <w:r>
        <w:rPr>
          <w:rFonts w:hint="eastAsia" w:ascii="宋体" w:hAnsi="宋体"/>
          <w:color w:val="auto"/>
          <w:sz w:val="24"/>
          <w:highlight w:val="none"/>
          <w:u w:val="single"/>
        </w:rPr>
        <w:t xml:space="preserve">：               </w:t>
      </w:r>
    </w:p>
    <w:p w14:paraId="5D221F8B">
      <w:pPr>
        <w:keepNext w:val="0"/>
        <w:keepLines w:val="0"/>
        <w:pageBreakBefore w:val="0"/>
        <w:widowControl w:val="0"/>
        <w:kinsoku/>
        <w:overflowPunct/>
        <w:topLinePunct w:val="0"/>
        <w:autoSpaceDE/>
        <w:autoSpaceDN/>
        <w:bidi w:val="0"/>
        <w:adjustRightInd/>
        <w:snapToGrid w:val="0"/>
        <w:spacing w:before="160" w:beforeLines="50" w:after="160" w:afterLines="50" w:line="360" w:lineRule="auto"/>
        <w:ind w:right="-1" w:firstLine="480" w:firstLineChars="200"/>
        <w:jc w:val="right"/>
        <w:textAlignment w:val="auto"/>
        <w:rPr>
          <w:rFonts w:ascii="宋体" w:hAnsi="宋体"/>
          <w:color w:val="auto"/>
          <w:sz w:val="24"/>
          <w:highlight w:val="none"/>
        </w:rPr>
      </w:pPr>
      <w:r>
        <w:rPr>
          <w:rFonts w:hint="eastAsia" w:ascii="宋体" w:hAnsi="宋体"/>
          <w:color w:val="auto"/>
          <w:sz w:val="24"/>
          <w:highlight w:val="none"/>
        </w:rPr>
        <w:t xml:space="preserve">                日期</w:t>
      </w:r>
      <w:r>
        <w:rPr>
          <w:rFonts w:hint="eastAsia" w:ascii="宋体" w:hAnsi="宋体"/>
          <w:color w:val="auto"/>
          <w:sz w:val="24"/>
          <w:highlight w:val="none"/>
          <w:u w:val="single"/>
        </w:rPr>
        <w:t xml:space="preserve">：       </w:t>
      </w:r>
      <w:r>
        <w:rPr>
          <w:rFonts w:hint="eastAsia" w:ascii="宋体" w:hAnsi="宋体" w:cs="楷体"/>
          <w:color w:val="auto"/>
          <w:sz w:val="24"/>
          <w:highlight w:val="none"/>
          <w:u w:val="single"/>
        </w:rPr>
        <w:t>年  月   日</w:t>
      </w:r>
    </w:p>
    <w:p w14:paraId="4285D5CF">
      <w:pPr>
        <w:keepNext w:val="0"/>
        <w:keepLines w:val="0"/>
        <w:pageBreakBefore w:val="0"/>
        <w:widowControl w:val="0"/>
        <w:kinsoku/>
        <w:overflowPunct/>
        <w:topLinePunct w:val="0"/>
        <w:autoSpaceDE/>
        <w:autoSpaceDN/>
        <w:bidi w:val="0"/>
        <w:adjustRightInd/>
        <w:snapToGrid w:val="0"/>
        <w:spacing w:line="360" w:lineRule="auto"/>
        <w:textAlignment w:val="auto"/>
        <w:rPr>
          <w:rFonts w:ascii="宋体" w:hAnsi="宋体"/>
          <w:b/>
          <w:color w:val="auto"/>
          <w:sz w:val="24"/>
          <w:highlight w:val="none"/>
        </w:rPr>
      </w:pPr>
      <w:r>
        <w:rPr>
          <w:rFonts w:hint="eastAsia" w:ascii="宋体" w:hAnsi="宋体"/>
          <w:b/>
          <w:color w:val="auto"/>
          <w:sz w:val="24"/>
          <w:highlight w:val="none"/>
        </w:rPr>
        <w:t>注：1、从业人员、营业收入、资产总额填报上一年度数据，无上一年度数据的新成立企业可不填报。</w:t>
      </w:r>
    </w:p>
    <w:p w14:paraId="4BFF6912">
      <w:pPr>
        <w:keepNext w:val="0"/>
        <w:keepLines w:val="0"/>
        <w:pageBreakBefore w:val="0"/>
        <w:widowControl w:val="0"/>
        <w:kinsoku/>
        <w:overflowPunct/>
        <w:topLinePunct w:val="0"/>
        <w:autoSpaceDE/>
        <w:autoSpaceDN/>
        <w:bidi w:val="0"/>
        <w:adjustRightInd/>
        <w:snapToGrid w:val="0"/>
        <w:spacing w:line="360" w:lineRule="auto"/>
        <w:textAlignment w:val="auto"/>
        <w:rPr>
          <w:rFonts w:ascii="宋体" w:hAnsi="宋体"/>
          <w:b/>
          <w:color w:val="auto"/>
          <w:sz w:val="24"/>
          <w:highlight w:val="none"/>
        </w:rPr>
      </w:pPr>
      <w:r>
        <w:rPr>
          <w:rFonts w:hint="eastAsia" w:ascii="宋体" w:hAnsi="宋体"/>
          <w:b/>
          <w:color w:val="auto"/>
          <w:sz w:val="24"/>
          <w:highlight w:val="none"/>
        </w:rPr>
        <w:t>2、小微企业应能从国家市场监督管理总局所属的“小微企业名录”网站(网址：http://xwqy.gsxt.gov.cn）上能够查询到其基本信息。</w:t>
      </w:r>
    </w:p>
    <w:p w14:paraId="5198D6DB">
      <w:pPr>
        <w:keepNext w:val="0"/>
        <w:keepLines w:val="0"/>
        <w:pageBreakBefore w:val="0"/>
        <w:widowControl w:val="0"/>
        <w:kinsoku/>
        <w:overflowPunct/>
        <w:topLinePunct w:val="0"/>
        <w:autoSpaceDE/>
        <w:autoSpaceDN/>
        <w:bidi w:val="0"/>
        <w:adjustRightInd/>
        <w:snapToGrid w:val="0"/>
        <w:spacing w:line="360" w:lineRule="auto"/>
        <w:textAlignment w:val="auto"/>
        <w:rPr>
          <w:rFonts w:ascii="宋体" w:hAnsi="宋体"/>
          <w:b/>
          <w:color w:val="auto"/>
          <w:sz w:val="24"/>
          <w:highlight w:val="none"/>
        </w:rPr>
      </w:pPr>
      <w:r>
        <w:rPr>
          <w:rFonts w:ascii="宋体" w:hAnsi="宋体"/>
          <w:b/>
          <w:color w:val="auto"/>
          <w:sz w:val="24"/>
          <w:highlight w:val="none"/>
        </w:rPr>
        <w:t>3</w:t>
      </w:r>
      <w:r>
        <w:rPr>
          <w:rFonts w:hint="eastAsia" w:ascii="宋体" w:hAnsi="宋体"/>
          <w:b/>
          <w:color w:val="auto"/>
          <w:sz w:val="24"/>
          <w:highlight w:val="none"/>
        </w:rPr>
        <w:t>、中标人的本声明函随中标结果同时公布，接受其他供应商和社会监督。</w:t>
      </w:r>
    </w:p>
    <w:p w14:paraId="610FEF5A">
      <w:pPr>
        <w:spacing w:before="160" w:beforeLines="50" w:after="160" w:afterLines="50" w:line="360" w:lineRule="auto"/>
        <w:rPr>
          <w:rFonts w:ascii="宋体" w:hAnsi="宋体"/>
          <w:b/>
          <w:color w:val="auto"/>
          <w:sz w:val="24"/>
          <w:szCs w:val="21"/>
          <w:highlight w:val="none"/>
        </w:rPr>
      </w:pPr>
      <w:r>
        <w:rPr>
          <w:rFonts w:hint="eastAsia" w:ascii="宋体" w:hAnsi="宋体"/>
          <w:b/>
          <w:color w:val="auto"/>
          <w:sz w:val="24"/>
          <w:szCs w:val="21"/>
          <w:highlight w:val="none"/>
        </w:rPr>
        <w:t>附件2（符合政策要求，并申请按残疾人福利性单位投标者提供）：</w:t>
      </w:r>
    </w:p>
    <w:p w14:paraId="1FDB0530">
      <w:pPr>
        <w:spacing w:line="360" w:lineRule="auto"/>
        <w:rPr>
          <w:rFonts w:ascii="宋体" w:hAnsi="宋体"/>
          <w:color w:val="auto"/>
          <w:spacing w:val="6"/>
          <w:szCs w:val="21"/>
          <w:highlight w:val="none"/>
        </w:rPr>
      </w:pPr>
    </w:p>
    <w:p w14:paraId="34592796">
      <w:pPr>
        <w:spacing w:before="160" w:beforeLines="50" w:after="160" w:afterLines="50" w:line="360" w:lineRule="auto"/>
        <w:jc w:val="center"/>
        <w:rPr>
          <w:rFonts w:ascii="宋体" w:hAnsi="宋体"/>
          <w:b/>
          <w:color w:val="auto"/>
          <w:sz w:val="24"/>
          <w:szCs w:val="21"/>
          <w:highlight w:val="none"/>
        </w:rPr>
      </w:pPr>
      <w:bookmarkStart w:id="532" w:name="OLE_LINK13"/>
      <w:bookmarkStart w:id="533" w:name="OLE_LINK14"/>
      <w:r>
        <w:rPr>
          <w:rFonts w:hint="eastAsia" w:ascii="宋体" w:hAnsi="宋体"/>
          <w:b/>
          <w:color w:val="auto"/>
          <w:sz w:val="24"/>
          <w:szCs w:val="21"/>
          <w:highlight w:val="none"/>
        </w:rPr>
        <w:t>残疾人福利性单位声明函</w:t>
      </w:r>
      <w:bookmarkEnd w:id="532"/>
      <w:bookmarkEnd w:id="533"/>
    </w:p>
    <w:p w14:paraId="3AD05648">
      <w:pPr>
        <w:spacing w:line="360" w:lineRule="auto"/>
        <w:ind w:firstLine="504" w:firstLineChars="200"/>
        <w:rPr>
          <w:rFonts w:ascii="宋体" w:hAnsi="宋体"/>
          <w:color w:val="auto"/>
          <w:spacing w:val="6"/>
          <w:sz w:val="24"/>
          <w:highlight w:val="none"/>
        </w:rPr>
      </w:pPr>
      <w:r>
        <w:rPr>
          <w:rFonts w:hint="eastAsia" w:ascii="宋体" w:hAnsi="宋体"/>
          <w:color w:val="auto"/>
          <w:spacing w:val="6"/>
          <w:sz w:val="24"/>
          <w:highlight w:val="none"/>
        </w:rPr>
        <w:t>本单位郑重声明，根据《财政部民政部中国残疾人联合会关于促进残疾人就业政府采购政策的通知》（财库</w:t>
      </w:r>
      <w:r>
        <w:rPr>
          <w:rFonts w:hint="eastAsia" w:ascii="宋体" w:hAnsi="宋体"/>
          <w:color w:val="auto"/>
          <w:sz w:val="24"/>
          <w:highlight w:val="none"/>
        </w:rPr>
        <w:t>〔</w:t>
      </w:r>
      <w:r>
        <w:rPr>
          <w:rFonts w:ascii="宋体" w:hAnsi="宋体"/>
          <w:color w:val="auto"/>
          <w:sz w:val="24"/>
          <w:highlight w:val="none"/>
        </w:rPr>
        <w:t>2017</w:t>
      </w:r>
      <w:r>
        <w:rPr>
          <w:rFonts w:hint="eastAsia" w:ascii="宋体" w:hAnsi="宋体"/>
          <w:color w:val="auto"/>
          <w:sz w:val="24"/>
          <w:highlight w:val="none"/>
        </w:rPr>
        <w:t>〕</w:t>
      </w:r>
      <w:r>
        <w:rPr>
          <w:rFonts w:ascii="宋体" w:hAnsi="宋体"/>
          <w:color w:val="auto"/>
          <w:sz w:val="24"/>
          <w:highlight w:val="none"/>
        </w:rPr>
        <w:t xml:space="preserve"> 141</w:t>
      </w:r>
      <w:r>
        <w:rPr>
          <w:rFonts w:hint="eastAsia" w:ascii="宋体" w:hAnsi="宋体"/>
          <w:color w:val="auto"/>
          <w:spacing w:val="6"/>
          <w:sz w:val="24"/>
          <w:highlight w:val="none"/>
        </w:rPr>
        <w:t>号）的规定，本单位为符合条件的残疾人福利性单位，且本单位参加单位的项目采购活动提供本单位制造的货物（由本单位承担工程</w:t>
      </w:r>
      <w:r>
        <w:rPr>
          <w:rFonts w:ascii="宋体" w:hAnsi="宋体"/>
          <w:color w:val="auto"/>
          <w:spacing w:val="6"/>
          <w:sz w:val="24"/>
          <w:highlight w:val="none"/>
        </w:rPr>
        <w:t>/</w:t>
      </w:r>
      <w:r>
        <w:rPr>
          <w:rFonts w:hint="eastAsia" w:ascii="宋体" w:hAnsi="宋体"/>
          <w:color w:val="auto"/>
          <w:spacing w:val="6"/>
          <w:sz w:val="24"/>
          <w:highlight w:val="none"/>
        </w:rPr>
        <w:t>提供服务），或者提供其他残疾人福利性单位制造的货物（不包括使用非残疾人福利性单位注册商标的货物）。</w:t>
      </w:r>
    </w:p>
    <w:p w14:paraId="7C605B31">
      <w:pPr>
        <w:spacing w:line="360" w:lineRule="auto"/>
        <w:ind w:firstLine="504" w:firstLineChars="200"/>
        <w:rPr>
          <w:rFonts w:ascii="宋体" w:hAnsi="宋体"/>
          <w:color w:val="auto"/>
          <w:spacing w:val="6"/>
          <w:sz w:val="24"/>
          <w:highlight w:val="none"/>
        </w:rPr>
      </w:pPr>
      <w:r>
        <w:rPr>
          <w:rFonts w:hint="eastAsia" w:ascii="宋体" w:hAnsi="宋体"/>
          <w:color w:val="auto"/>
          <w:spacing w:val="6"/>
          <w:sz w:val="24"/>
          <w:highlight w:val="none"/>
        </w:rPr>
        <w:t>本单位对上述声明的真实性负责。如有虚假，将依法承担相应责任。</w:t>
      </w:r>
    </w:p>
    <w:p w14:paraId="310887D3">
      <w:pPr>
        <w:tabs>
          <w:tab w:val="left" w:pos="4860"/>
        </w:tabs>
        <w:spacing w:line="360" w:lineRule="auto"/>
        <w:ind w:right="1560" w:firstLine="2772" w:firstLineChars="1100"/>
        <w:rPr>
          <w:rFonts w:ascii="宋体" w:hAnsi="宋体"/>
          <w:color w:val="auto"/>
          <w:spacing w:val="6"/>
          <w:sz w:val="24"/>
          <w:highlight w:val="none"/>
        </w:rPr>
      </w:pPr>
    </w:p>
    <w:p w14:paraId="72740B8C">
      <w:pPr>
        <w:tabs>
          <w:tab w:val="left" w:pos="4860"/>
        </w:tabs>
        <w:spacing w:line="360" w:lineRule="auto"/>
        <w:ind w:right="1560" w:firstLine="2772" w:firstLineChars="1100"/>
        <w:jc w:val="right"/>
        <w:rPr>
          <w:rFonts w:ascii="宋体" w:hAnsi="宋体"/>
          <w:color w:val="auto"/>
          <w:spacing w:val="6"/>
          <w:sz w:val="24"/>
          <w:highlight w:val="none"/>
        </w:rPr>
      </w:pPr>
    </w:p>
    <w:p w14:paraId="7924186D">
      <w:pPr>
        <w:tabs>
          <w:tab w:val="left" w:pos="4860"/>
          <w:tab w:val="left" w:pos="6379"/>
        </w:tabs>
        <w:spacing w:line="360" w:lineRule="auto"/>
        <w:ind w:right="-1" w:firstLine="2772" w:firstLineChars="1100"/>
        <w:jc w:val="right"/>
        <w:rPr>
          <w:rFonts w:ascii="宋体" w:hAnsi="宋体"/>
          <w:color w:val="auto"/>
          <w:spacing w:val="6"/>
          <w:sz w:val="24"/>
          <w:highlight w:val="none"/>
          <w:u w:val="single"/>
        </w:rPr>
      </w:pPr>
      <w:r>
        <w:rPr>
          <w:rFonts w:hint="eastAsia" w:ascii="宋体" w:hAnsi="宋体"/>
          <w:color w:val="auto"/>
          <w:spacing w:val="6"/>
          <w:sz w:val="24"/>
          <w:highlight w:val="none"/>
        </w:rPr>
        <w:t>单位名称（盖章）</w:t>
      </w:r>
      <w:r>
        <w:rPr>
          <w:rFonts w:hint="eastAsia" w:ascii="宋体" w:hAnsi="宋体"/>
          <w:color w:val="auto"/>
          <w:spacing w:val="6"/>
          <w:sz w:val="24"/>
          <w:highlight w:val="none"/>
          <w:u w:val="single"/>
        </w:rPr>
        <w:t>：           .</w:t>
      </w:r>
    </w:p>
    <w:p w14:paraId="3274EFCB">
      <w:pPr>
        <w:tabs>
          <w:tab w:val="left" w:pos="4860"/>
        </w:tabs>
        <w:wordWrap w:val="0"/>
        <w:spacing w:line="360" w:lineRule="auto"/>
        <w:ind w:right="-1"/>
        <w:jc w:val="right"/>
        <w:rPr>
          <w:rFonts w:ascii="宋体" w:hAnsi="宋体"/>
          <w:color w:val="auto"/>
          <w:spacing w:val="6"/>
          <w:sz w:val="24"/>
          <w:highlight w:val="none"/>
        </w:rPr>
      </w:pPr>
      <w:r>
        <w:rPr>
          <w:rFonts w:hint="eastAsia" w:ascii="宋体" w:hAnsi="宋体"/>
          <w:color w:val="auto"/>
          <w:spacing w:val="6"/>
          <w:sz w:val="24"/>
          <w:highlight w:val="none"/>
        </w:rPr>
        <w:t>日期</w:t>
      </w:r>
      <w:r>
        <w:rPr>
          <w:rFonts w:hint="eastAsia" w:ascii="宋体" w:hAnsi="宋体"/>
          <w:color w:val="auto"/>
          <w:spacing w:val="6"/>
          <w:sz w:val="24"/>
          <w:highlight w:val="none"/>
          <w:u w:val="single"/>
        </w:rPr>
        <w:t xml:space="preserve">：   </w:t>
      </w:r>
      <w:r>
        <w:rPr>
          <w:rFonts w:hint="eastAsia" w:ascii="宋体" w:hAnsi="宋体" w:cs="楷体"/>
          <w:color w:val="auto"/>
          <w:sz w:val="24"/>
          <w:highlight w:val="none"/>
          <w:u w:val="single"/>
        </w:rPr>
        <w:t>年  月  日</w:t>
      </w:r>
    </w:p>
    <w:p w14:paraId="02D06BE0">
      <w:pPr>
        <w:spacing w:line="360" w:lineRule="auto"/>
        <w:ind w:firstLine="446" w:firstLineChars="200"/>
        <w:rPr>
          <w:rFonts w:ascii="宋体" w:hAnsi="宋体"/>
          <w:b/>
          <w:bCs/>
          <w:color w:val="auto"/>
          <w:spacing w:val="6"/>
          <w:szCs w:val="21"/>
          <w:highlight w:val="none"/>
        </w:rPr>
      </w:pPr>
    </w:p>
    <w:p w14:paraId="34E9EAF2">
      <w:pPr>
        <w:spacing w:line="360" w:lineRule="auto"/>
        <w:ind w:firstLine="506" w:firstLineChars="200"/>
        <w:rPr>
          <w:rFonts w:ascii="宋体" w:hAnsi="宋体"/>
          <w:b/>
          <w:bCs/>
          <w:color w:val="auto"/>
          <w:spacing w:val="6"/>
          <w:sz w:val="24"/>
          <w:highlight w:val="none"/>
        </w:rPr>
      </w:pPr>
      <w:r>
        <w:rPr>
          <w:rFonts w:hint="eastAsia" w:ascii="宋体" w:hAnsi="宋体"/>
          <w:b/>
          <w:bCs/>
          <w:color w:val="auto"/>
          <w:spacing w:val="6"/>
          <w:sz w:val="24"/>
          <w:highlight w:val="none"/>
        </w:rPr>
        <w:t>注：1、享受政府采购支持政策的残疾人福利性单位应当同时满足以下条件：①残疾证（不少于10人，不低于单位职工人数的25%），②劳务合同（期限一年以上），③社会保险金缴纳票据或清单，④银行代发工资证明。（供应商属残疾人福利性单位，提供其他残疾人福利性单位制造的货物时，需同时提供该制造企业出具的《残疾人福利性单位声明函》）。</w:t>
      </w:r>
    </w:p>
    <w:p w14:paraId="7F404237">
      <w:pPr>
        <w:spacing w:line="360" w:lineRule="auto"/>
        <w:ind w:firstLine="506" w:firstLineChars="200"/>
        <w:rPr>
          <w:rFonts w:ascii="宋体" w:hAnsi="宋体"/>
          <w:b/>
          <w:bCs/>
          <w:color w:val="auto"/>
          <w:spacing w:val="6"/>
          <w:sz w:val="24"/>
          <w:highlight w:val="none"/>
        </w:rPr>
      </w:pPr>
      <w:r>
        <w:rPr>
          <w:rFonts w:hint="eastAsia" w:ascii="宋体" w:hAnsi="宋体"/>
          <w:b/>
          <w:bCs/>
          <w:color w:val="auto"/>
          <w:spacing w:val="6"/>
          <w:sz w:val="24"/>
          <w:highlight w:val="none"/>
        </w:rPr>
        <w:t>2、中标人本声明函随中标结果同时公布，接受其他供应商和社会监督。</w:t>
      </w:r>
    </w:p>
    <w:p w14:paraId="50AD44E2">
      <w:pPr>
        <w:spacing w:before="160" w:beforeLines="50" w:after="160" w:afterLines="50" w:line="360" w:lineRule="auto"/>
        <w:rPr>
          <w:rFonts w:ascii="宋体" w:hAnsi="宋体"/>
          <w:b/>
          <w:color w:val="auto"/>
          <w:kern w:val="44"/>
          <w:szCs w:val="21"/>
          <w:highlight w:val="none"/>
        </w:rPr>
      </w:pPr>
      <w:r>
        <w:rPr>
          <w:rFonts w:ascii="宋体" w:hAnsi="宋体"/>
          <w:color w:val="auto"/>
          <w:szCs w:val="21"/>
          <w:highlight w:val="none"/>
        </w:rPr>
        <w:br w:type="page"/>
      </w:r>
      <w:r>
        <w:rPr>
          <w:rFonts w:hint="eastAsia" w:ascii="宋体" w:hAnsi="宋体"/>
          <w:b/>
          <w:color w:val="auto"/>
          <w:sz w:val="24"/>
          <w:szCs w:val="21"/>
          <w:highlight w:val="none"/>
        </w:rPr>
        <w:t>附件3（符合政策要求，并申请按监狱企业投标者提供）：</w:t>
      </w:r>
    </w:p>
    <w:p w14:paraId="0D4416AE">
      <w:pPr>
        <w:spacing w:line="360" w:lineRule="auto"/>
        <w:rPr>
          <w:rFonts w:ascii="宋体" w:hAnsi="宋体"/>
          <w:color w:val="auto"/>
          <w:spacing w:val="6"/>
          <w:szCs w:val="21"/>
          <w:highlight w:val="none"/>
        </w:rPr>
      </w:pPr>
    </w:p>
    <w:p w14:paraId="6F0F3F5E">
      <w:pPr>
        <w:spacing w:before="160" w:beforeLines="50" w:after="160" w:afterLines="50" w:line="360" w:lineRule="auto"/>
        <w:jc w:val="center"/>
        <w:rPr>
          <w:rFonts w:ascii="宋体" w:hAnsi="宋体"/>
          <w:b/>
          <w:color w:val="auto"/>
          <w:sz w:val="24"/>
          <w:szCs w:val="21"/>
          <w:highlight w:val="none"/>
        </w:rPr>
      </w:pPr>
      <w:r>
        <w:rPr>
          <w:rFonts w:hint="eastAsia" w:ascii="宋体" w:hAnsi="宋体"/>
          <w:b/>
          <w:color w:val="auto"/>
          <w:sz w:val="24"/>
          <w:szCs w:val="21"/>
          <w:highlight w:val="none"/>
        </w:rPr>
        <w:t>监狱企业证明</w:t>
      </w:r>
    </w:p>
    <w:p w14:paraId="4AFC1F28">
      <w:pPr>
        <w:spacing w:line="360" w:lineRule="auto"/>
        <w:ind w:firstLine="420" w:firstLineChars="200"/>
        <w:rPr>
          <w:rFonts w:ascii="宋体" w:hAnsi="宋体"/>
          <w:color w:val="auto"/>
          <w:szCs w:val="21"/>
          <w:highlight w:val="none"/>
        </w:rPr>
      </w:pPr>
    </w:p>
    <w:p w14:paraId="73309CD2">
      <w:pPr>
        <w:spacing w:line="360" w:lineRule="auto"/>
        <w:ind w:firstLine="420" w:firstLineChars="200"/>
        <w:rPr>
          <w:rFonts w:ascii="宋体" w:hAnsi="宋体"/>
          <w:color w:val="auto"/>
          <w:szCs w:val="21"/>
          <w:highlight w:val="none"/>
        </w:rPr>
      </w:pPr>
    </w:p>
    <w:p w14:paraId="537F5670">
      <w:pPr>
        <w:spacing w:line="360" w:lineRule="auto"/>
        <w:ind w:firstLine="420" w:firstLineChars="200"/>
        <w:rPr>
          <w:rFonts w:ascii="宋体" w:hAnsi="宋体"/>
          <w:color w:val="auto"/>
          <w:szCs w:val="21"/>
          <w:highlight w:val="none"/>
        </w:rPr>
      </w:pPr>
    </w:p>
    <w:p w14:paraId="27560F93">
      <w:pPr>
        <w:spacing w:line="360" w:lineRule="auto"/>
        <w:ind w:firstLine="420" w:firstLineChars="200"/>
        <w:rPr>
          <w:rFonts w:ascii="宋体" w:hAnsi="宋体"/>
          <w:color w:val="auto"/>
          <w:szCs w:val="21"/>
          <w:highlight w:val="none"/>
        </w:rPr>
      </w:pPr>
    </w:p>
    <w:p w14:paraId="179E41BD">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提供由省级以上监狱管理局、戒毒管理局（含新疆生产建设兵团）出具的属于监狱企业的证明文件。</w:t>
      </w:r>
    </w:p>
    <w:p w14:paraId="3F987D2A">
      <w:pPr>
        <w:spacing w:line="360" w:lineRule="auto"/>
        <w:jc w:val="center"/>
        <w:rPr>
          <w:rFonts w:ascii="宋体" w:hAnsi="宋体" w:cs="仿宋_GB2312"/>
          <w:b/>
          <w:color w:val="auto"/>
          <w:szCs w:val="21"/>
          <w:highlight w:val="none"/>
        </w:rPr>
      </w:pPr>
    </w:p>
    <w:p w14:paraId="24E2BBE8">
      <w:pPr>
        <w:spacing w:line="360" w:lineRule="auto"/>
        <w:jc w:val="center"/>
        <w:rPr>
          <w:rFonts w:ascii="宋体" w:hAnsi="宋体" w:cs="仿宋_GB2312"/>
          <w:b/>
          <w:color w:val="auto"/>
          <w:szCs w:val="21"/>
          <w:highlight w:val="none"/>
        </w:rPr>
      </w:pPr>
    </w:p>
    <w:p w14:paraId="15D1D269">
      <w:pPr>
        <w:spacing w:line="360" w:lineRule="auto"/>
        <w:jc w:val="center"/>
        <w:rPr>
          <w:rFonts w:ascii="宋体" w:hAnsi="宋体" w:cs="仿宋_GB2312"/>
          <w:b/>
          <w:color w:val="auto"/>
          <w:szCs w:val="21"/>
          <w:highlight w:val="none"/>
        </w:rPr>
      </w:pPr>
    </w:p>
    <w:p w14:paraId="77CADA60">
      <w:pPr>
        <w:spacing w:line="360" w:lineRule="auto"/>
        <w:jc w:val="center"/>
        <w:rPr>
          <w:rFonts w:ascii="宋体" w:hAnsi="宋体" w:cs="仿宋_GB2312"/>
          <w:b/>
          <w:color w:val="auto"/>
          <w:szCs w:val="21"/>
          <w:highlight w:val="none"/>
        </w:rPr>
      </w:pPr>
    </w:p>
    <w:p w14:paraId="38C3701B">
      <w:pPr>
        <w:spacing w:line="360" w:lineRule="auto"/>
        <w:jc w:val="center"/>
        <w:rPr>
          <w:rFonts w:ascii="宋体" w:hAnsi="宋体" w:cs="仿宋_GB2312"/>
          <w:b/>
          <w:color w:val="auto"/>
          <w:szCs w:val="21"/>
          <w:highlight w:val="none"/>
        </w:rPr>
      </w:pPr>
    </w:p>
    <w:p w14:paraId="15E54426">
      <w:pPr>
        <w:spacing w:line="360" w:lineRule="auto"/>
        <w:jc w:val="center"/>
        <w:rPr>
          <w:rFonts w:ascii="宋体" w:hAnsi="宋体" w:cs="仿宋_GB2312"/>
          <w:b/>
          <w:color w:val="auto"/>
          <w:szCs w:val="21"/>
          <w:highlight w:val="none"/>
        </w:rPr>
      </w:pPr>
    </w:p>
    <w:p w14:paraId="6915429D">
      <w:pPr>
        <w:spacing w:line="360" w:lineRule="auto"/>
        <w:jc w:val="center"/>
        <w:rPr>
          <w:rFonts w:ascii="宋体" w:hAnsi="宋体" w:cs="仿宋_GB2312"/>
          <w:b/>
          <w:color w:val="auto"/>
          <w:szCs w:val="21"/>
          <w:highlight w:val="none"/>
        </w:rPr>
      </w:pPr>
    </w:p>
    <w:p w14:paraId="05DF8DDB">
      <w:pPr>
        <w:spacing w:line="360" w:lineRule="auto"/>
        <w:jc w:val="center"/>
        <w:rPr>
          <w:rFonts w:ascii="宋体" w:hAnsi="宋体" w:cs="仿宋_GB2312"/>
          <w:b/>
          <w:color w:val="auto"/>
          <w:szCs w:val="21"/>
          <w:highlight w:val="none"/>
        </w:rPr>
      </w:pPr>
    </w:p>
    <w:p w14:paraId="55117EC0">
      <w:pPr>
        <w:autoSpaceDE w:val="0"/>
        <w:autoSpaceDN w:val="0"/>
        <w:adjustRightInd w:val="0"/>
        <w:spacing w:line="360" w:lineRule="auto"/>
        <w:ind w:firstLine="482" w:firstLineChars="200"/>
        <w:jc w:val="left"/>
        <w:rPr>
          <w:rFonts w:ascii="宋体" w:hAnsi="宋体" w:cs="仿宋_GB2312"/>
          <w:color w:val="auto"/>
          <w:sz w:val="24"/>
          <w:highlight w:val="none"/>
        </w:rPr>
      </w:pPr>
      <w:r>
        <w:rPr>
          <w:rFonts w:hint="eastAsia" w:ascii="宋体" w:hAnsi="宋体"/>
          <w:b/>
          <w:color w:val="auto"/>
          <w:sz w:val="24"/>
          <w:highlight w:val="none"/>
        </w:rPr>
        <w:t>注：中标人的本证明文件随中标结果同时公布，接受其他供应商和社会监督。</w:t>
      </w:r>
    </w:p>
    <w:p w14:paraId="7D322B83">
      <w:pPr>
        <w:widowControl/>
        <w:spacing w:line="360" w:lineRule="auto"/>
        <w:jc w:val="left"/>
        <w:rPr>
          <w:rFonts w:ascii="宋体" w:hAnsi="宋体" w:cs="宋体"/>
          <w:bCs/>
          <w:color w:val="auto"/>
          <w:kern w:val="0"/>
          <w:szCs w:val="21"/>
          <w:highlight w:val="none"/>
        </w:rPr>
      </w:pPr>
    </w:p>
    <w:p w14:paraId="1D07AF96">
      <w:pPr>
        <w:spacing w:line="360" w:lineRule="auto"/>
        <w:rPr>
          <w:color w:val="auto"/>
          <w:szCs w:val="21"/>
          <w:highlight w:val="none"/>
        </w:rPr>
      </w:pPr>
    </w:p>
    <w:p w14:paraId="2B9A9D2E">
      <w:pPr>
        <w:widowControl/>
        <w:jc w:val="left"/>
        <w:rPr>
          <w:color w:val="auto"/>
          <w:szCs w:val="21"/>
          <w:highlight w:val="none"/>
        </w:rPr>
      </w:pPr>
      <w:r>
        <w:rPr>
          <w:color w:val="auto"/>
          <w:szCs w:val="21"/>
          <w:highlight w:val="none"/>
        </w:rPr>
        <w:br w:type="page"/>
      </w:r>
    </w:p>
    <w:p w14:paraId="18DB399B">
      <w:pPr>
        <w:spacing w:line="360" w:lineRule="auto"/>
        <w:jc w:val="left"/>
        <w:rPr>
          <w:rFonts w:ascii="宋体" w:hAnsi="宋体" w:cs="仿宋_GB2312"/>
          <w:b/>
          <w:color w:val="auto"/>
          <w:szCs w:val="21"/>
          <w:highlight w:val="none"/>
        </w:rPr>
      </w:pPr>
      <w:r>
        <w:rPr>
          <w:rFonts w:hint="eastAsia" w:ascii="宋体" w:hAnsi="宋体"/>
          <w:b/>
          <w:color w:val="auto"/>
          <w:sz w:val="24"/>
          <w:szCs w:val="21"/>
          <w:highlight w:val="none"/>
        </w:rPr>
        <w:t>附件4</w:t>
      </w:r>
    </w:p>
    <w:p w14:paraId="4EF84F38">
      <w:pPr>
        <w:pStyle w:val="31"/>
        <w:spacing w:before="160" w:beforeLines="50" w:after="160" w:afterLines="50" w:line="440" w:lineRule="exact"/>
        <w:ind w:left="0" w:firstLine="0"/>
        <w:jc w:val="center"/>
        <w:rPr>
          <w:b/>
          <w:color w:val="auto"/>
          <w:sz w:val="32"/>
          <w:szCs w:val="32"/>
          <w:highlight w:val="none"/>
        </w:rPr>
      </w:pPr>
      <w:r>
        <w:rPr>
          <w:rFonts w:hint="eastAsia"/>
          <w:b/>
          <w:color w:val="auto"/>
          <w:sz w:val="32"/>
          <w:szCs w:val="32"/>
          <w:highlight w:val="none"/>
        </w:rPr>
        <w:t>河南省政府采购合同融资政策告知函</w:t>
      </w:r>
    </w:p>
    <w:p w14:paraId="092EA155">
      <w:pPr>
        <w:spacing w:line="360" w:lineRule="auto"/>
        <w:rPr>
          <w:rFonts w:ascii="宋体" w:hAnsi="宋体" w:cs="宋体"/>
          <w:color w:val="auto"/>
          <w:sz w:val="24"/>
          <w:highlight w:val="none"/>
        </w:rPr>
      </w:pPr>
    </w:p>
    <w:p w14:paraId="090A4675">
      <w:pPr>
        <w:spacing w:line="360" w:lineRule="auto"/>
        <w:rPr>
          <w:rFonts w:ascii="宋体" w:hAnsi="宋体"/>
          <w:color w:val="auto"/>
          <w:sz w:val="24"/>
          <w:highlight w:val="none"/>
        </w:rPr>
      </w:pPr>
      <w:r>
        <w:rPr>
          <w:rFonts w:hint="eastAsia" w:ascii="宋体" w:hAnsi="宋体"/>
          <w:color w:val="auto"/>
          <w:sz w:val="24"/>
          <w:highlight w:val="none"/>
        </w:rPr>
        <w:t>各供应商：</w:t>
      </w:r>
    </w:p>
    <w:p w14:paraId="28DE89B7">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欢迎贵公司参与河南省政府采购活动！</w:t>
      </w:r>
    </w:p>
    <w:p w14:paraId="5B12800F">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7ED9A73A">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贷款渠道和提供贷款的金融机构，可在河南省政府采购网“河南省政府采购合同融资平台”查询联系。</w:t>
      </w:r>
    </w:p>
    <w:p w14:paraId="79856ACD">
      <w:pPr>
        <w:spacing w:before="160" w:beforeLines="50" w:after="160" w:afterLines="50" w:line="360" w:lineRule="auto"/>
        <w:rPr>
          <w:color w:val="auto"/>
          <w:szCs w:val="21"/>
          <w:highlight w:val="none"/>
        </w:rPr>
      </w:pPr>
    </w:p>
    <w:p w14:paraId="7C3EA8B7">
      <w:pPr>
        <w:rPr>
          <w:color w:val="auto"/>
          <w:highlight w:val="none"/>
        </w:rPr>
      </w:pPr>
    </w:p>
    <w:p w14:paraId="018B96BA">
      <w:pPr>
        <w:rPr>
          <w:color w:val="auto"/>
          <w:highlight w:val="none"/>
        </w:rPr>
      </w:pPr>
    </w:p>
    <w:sectPr>
      <w:footerReference r:id="rId7" w:type="default"/>
      <w:pgSz w:w="11906" w:h="16838"/>
      <w:pgMar w:top="1560" w:right="1700" w:bottom="1560" w:left="1531" w:header="851" w:footer="684" w:gutter="0"/>
      <w:pgNumType w:fmt="decimal"/>
      <w:cols w:space="720" w:num="1"/>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A8D46">
    <w:pPr>
      <w:pStyle w:val="1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A0E2068">
                          <w:pPr>
                            <w:pStyle w:val="12"/>
                            <w:jc w:val="center"/>
                          </w:pPr>
                          <w:r>
                            <w:fldChar w:fldCharType="begin"/>
                          </w:r>
                          <w:r>
                            <w:instrText xml:space="preserve"> PAGE   \* MERGEFORMAT </w:instrText>
                          </w:r>
                          <w:r>
                            <w:fldChar w:fldCharType="separate"/>
                          </w:r>
                          <w:r>
                            <w:rPr>
                              <w:lang w:val="zh-CN"/>
                            </w:rPr>
                            <w:t>22</w:t>
                          </w:r>
                          <w:r>
                            <w:rPr>
                              <w:lang w:val="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ZrAS80BAACn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1ZrAS80BAACnAwAADgAAAAAAAAABACAAAAAeAQAAZHJzL2Uy&#10;b0RvYy54bWxQSwUGAAAAAAYABgBZAQAAXQUAAAAA&#10;">
              <v:fill on="f" focussize="0,0"/>
              <v:stroke on="f"/>
              <v:imagedata o:title=""/>
              <o:lock v:ext="edit" aspectratio="f"/>
              <v:textbox inset="0mm,0mm,0mm,0mm" style="mso-fit-shape-to-text:t;">
                <w:txbxContent>
                  <w:p w14:paraId="5A0E2068">
                    <w:pPr>
                      <w:pStyle w:val="12"/>
                      <w:jc w:val="center"/>
                    </w:pPr>
                    <w:r>
                      <w:fldChar w:fldCharType="begin"/>
                    </w:r>
                    <w:r>
                      <w:instrText xml:space="preserve"> PAGE   \* MERGEFORMAT </w:instrText>
                    </w:r>
                    <w:r>
                      <w:fldChar w:fldCharType="separate"/>
                    </w:r>
                    <w:r>
                      <w:rPr>
                        <w:lang w:val="zh-CN"/>
                      </w:rPr>
                      <w:t>22</w:t>
                    </w:r>
                    <w:r>
                      <w:rPr>
                        <w:lang w:val="zh-CN"/>
                      </w:rPr>
                      <w:fldChar w:fldCharType="end"/>
                    </w:r>
                  </w:p>
                </w:txbxContent>
              </v:textbox>
            </v:shape>
          </w:pict>
        </mc:Fallback>
      </mc:AlternateContent>
    </w:r>
  </w:p>
  <w:p w14:paraId="561A82FD">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21DC2">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97A8FC8">
                          <w:pPr>
                            <w:pStyle w:val="12"/>
                          </w:pPr>
                          <w:r>
                            <w:fldChar w:fldCharType="begin"/>
                          </w:r>
                          <w:r>
                            <w:instrText xml:space="preserve"> PAGE  \* MERGEFORMAT </w:instrText>
                          </w:r>
                          <w:r>
                            <w:fldChar w:fldCharType="separate"/>
                          </w:r>
                          <w:r>
                            <w:t>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fill on="f" focussize="0,0"/>
              <v:stroke on="f"/>
              <v:imagedata o:title=""/>
              <o:lock v:ext="edit" aspectratio="f"/>
              <v:textbox inset="0mm,0mm,0mm,0mm" style="mso-fit-shape-to-text:t;">
                <w:txbxContent>
                  <w:p w14:paraId="297A8FC8">
                    <w:pPr>
                      <w:pStyle w:val="12"/>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8E3DF">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3522075">
                          <w:pPr>
                            <w:pStyle w:val="12"/>
                            <w:jc w:val="center"/>
                          </w:pPr>
                          <w:r>
                            <w:fldChar w:fldCharType="begin"/>
                          </w:r>
                          <w:r>
                            <w:instrText xml:space="preserve"> PAGE   \* MERGEFORMAT </w:instrText>
                          </w:r>
                          <w:r>
                            <w:fldChar w:fldCharType="separate"/>
                          </w:r>
                          <w:r>
                            <w:rPr>
                              <w:lang w:val="zh-CN"/>
                            </w:rPr>
                            <w:t>22</w:t>
                          </w:r>
                          <w:r>
                            <w:rPr>
                              <w:lang w:val="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zSVju0AAAAAUBAAAPAAAAAAAAAAEAIAAAACIAAABk&#10;cnMvZG93bnJldi54bWxQSwECFAAUAAAACACHTuJAIyfhZ9UBAACwAwAADgAAAAAAAAABACAAAAAf&#10;AQAAZHJzL2Uyb0RvYy54bWxQSwUGAAAAAAYABgBZAQAAZgUAAAAA&#10;">
              <v:fill on="f" focussize="0,0"/>
              <v:stroke on="f" weight="0.5pt"/>
              <v:imagedata o:title=""/>
              <o:lock v:ext="edit" aspectratio="f"/>
              <v:textbox inset="0mm,0mm,0mm,0mm" style="mso-fit-shape-to-text:t;">
                <w:txbxContent>
                  <w:p w14:paraId="13522075">
                    <w:pPr>
                      <w:pStyle w:val="12"/>
                      <w:jc w:val="center"/>
                    </w:pPr>
                    <w:r>
                      <w:fldChar w:fldCharType="begin"/>
                    </w:r>
                    <w:r>
                      <w:instrText xml:space="preserve"> PAGE   \* MERGEFORMAT </w:instrText>
                    </w:r>
                    <w:r>
                      <w:fldChar w:fldCharType="separate"/>
                    </w:r>
                    <w:r>
                      <w:rPr>
                        <w:lang w:val="zh-CN"/>
                      </w:rPr>
                      <w:t>22</w:t>
                    </w:r>
                    <w:r>
                      <w:rPr>
                        <w:lang w:val="zh-CN"/>
                      </w:rPr>
                      <w:fldChar w:fldCharType="end"/>
                    </w:r>
                  </w:p>
                </w:txbxContent>
              </v:textbox>
            </v:shape>
          </w:pict>
        </mc:Fallback>
      </mc:AlternateContent>
    </w:r>
  </w:p>
  <w:p w14:paraId="25D09244">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16FE9">
    <w:pPr>
      <w:pStyle w:val="13"/>
      <w:pBdr>
        <w:bottom w:val="none" w:color="auto" w:sz="0" w:space="0"/>
      </w:pBdr>
      <w:jc w:val="left"/>
      <w:rPr>
        <w:sz w:val="15"/>
        <w:szCs w:val="15"/>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BEC33">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D7A5FA"/>
    <w:multiLevelType w:val="singleLevel"/>
    <w:tmpl w:val="81D7A5FA"/>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JjYWEwNWE4N2Q3YmZmNDEyZjFiYTk1YTk5N2YyOTkifQ=="/>
  </w:docVars>
  <w:rsids>
    <w:rsidRoot w:val="00000000"/>
    <w:rsid w:val="01775D86"/>
    <w:rsid w:val="02F25936"/>
    <w:rsid w:val="0B341777"/>
    <w:rsid w:val="0CF11F4A"/>
    <w:rsid w:val="0F5477E7"/>
    <w:rsid w:val="118434A5"/>
    <w:rsid w:val="11FD3133"/>
    <w:rsid w:val="12A60B5A"/>
    <w:rsid w:val="15E801FE"/>
    <w:rsid w:val="170A53EE"/>
    <w:rsid w:val="184F0509"/>
    <w:rsid w:val="1A6A7BF0"/>
    <w:rsid w:val="1AB048AE"/>
    <w:rsid w:val="1B555D33"/>
    <w:rsid w:val="1BDD3B29"/>
    <w:rsid w:val="1CC17A7D"/>
    <w:rsid w:val="1DDE5925"/>
    <w:rsid w:val="1EF36D75"/>
    <w:rsid w:val="1F047610"/>
    <w:rsid w:val="1F481F38"/>
    <w:rsid w:val="20D504B9"/>
    <w:rsid w:val="20F61AF0"/>
    <w:rsid w:val="215C4688"/>
    <w:rsid w:val="21C55574"/>
    <w:rsid w:val="22146DBF"/>
    <w:rsid w:val="23FF75FB"/>
    <w:rsid w:val="24977834"/>
    <w:rsid w:val="254A28E3"/>
    <w:rsid w:val="26360EB9"/>
    <w:rsid w:val="2B931053"/>
    <w:rsid w:val="2DF908B9"/>
    <w:rsid w:val="31D76D98"/>
    <w:rsid w:val="32171FB4"/>
    <w:rsid w:val="32A001FB"/>
    <w:rsid w:val="35AF114F"/>
    <w:rsid w:val="378C461E"/>
    <w:rsid w:val="3C0A69FD"/>
    <w:rsid w:val="3F4F4B62"/>
    <w:rsid w:val="3F8656A4"/>
    <w:rsid w:val="46AA6DBC"/>
    <w:rsid w:val="48D507A7"/>
    <w:rsid w:val="48F22448"/>
    <w:rsid w:val="4A3B4048"/>
    <w:rsid w:val="4A7E1B11"/>
    <w:rsid w:val="4BBD5522"/>
    <w:rsid w:val="4D0B2CA0"/>
    <w:rsid w:val="4D570A54"/>
    <w:rsid w:val="539E4E4F"/>
    <w:rsid w:val="558460A6"/>
    <w:rsid w:val="55F54EA8"/>
    <w:rsid w:val="58522239"/>
    <w:rsid w:val="590F1885"/>
    <w:rsid w:val="59632E0D"/>
    <w:rsid w:val="59E06FAB"/>
    <w:rsid w:val="5A867B53"/>
    <w:rsid w:val="5B7E2077"/>
    <w:rsid w:val="60B62814"/>
    <w:rsid w:val="6132118F"/>
    <w:rsid w:val="64CB26CE"/>
    <w:rsid w:val="65F16B55"/>
    <w:rsid w:val="665E1184"/>
    <w:rsid w:val="679669B4"/>
    <w:rsid w:val="6A1A44A6"/>
    <w:rsid w:val="6FEF1353"/>
    <w:rsid w:val="71120F17"/>
    <w:rsid w:val="74996B19"/>
    <w:rsid w:val="74B15375"/>
    <w:rsid w:val="7C485347"/>
    <w:rsid w:val="7CDF3AA8"/>
    <w:rsid w:val="7CF23F1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21"/>
    <w:qFormat/>
    <w:uiPriority w:val="0"/>
    <w:pPr>
      <w:keepNext/>
      <w:keepLines/>
      <w:spacing w:before="340" w:after="330" w:line="576" w:lineRule="auto"/>
      <w:ind w:left="425" w:hanging="425"/>
      <w:outlineLvl w:val="0"/>
    </w:pPr>
    <w:rPr>
      <w:kern w:val="44"/>
      <w:sz w:val="44"/>
      <w:szCs w:val="44"/>
    </w:rPr>
  </w:style>
  <w:style w:type="paragraph" w:styleId="4">
    <w:name w:val="heading 2"/>
    <w:basedOn w:val="1"/>
    <w:next w:val="5"/>
    <w:qFormat/>
    <w:uiPriority w:val="0"/>
    <w:pPr>
      <w:keepNext/>
      <w:keepLines/>
      <w:spacing w:before="260" w:after="260" w:line="413" w:lineRule="auto"/>
      <w:outlineLvl w:val="1"/>
    </w:pPr>
    <w:rPr>
      <w:rFonts w:ascii="Calibri Light" w:hAnsi="Calibri Light"/>
      <w:b/>
      <w:bCs/>
      <w:kern w:val="0"/>
      <w:sz w:val="32"/>
      <w:szCs w:val="32"/>
    </w:rPr>
  </w:style>
  <w:style w:type="paragraph" w:styleId="6">
    <w:name w:val="heading 3"/>
    <w:basedOn w:val="1"/>
    <w:next w:val="5"/>
    <w:link w:val="22"/>
    <w:qFormat/>
    <w:uiPriority w:val="0"/>
    <w:pPr>
      <w:keepNext/>
      <w:keepLines/>
      <w:spacing w:before="260" w:after="260" w:line="413" w:lineRule="auto"/>
      <w:outlineLvl w:val="2"/>
    </w:pPr>
    <w:rPr>
      <w:rFonts w:ascii="Times New Roman" w:hAnsi="Times New Roman"/>
      <w:b/>
      <w:bCs/>
      <w:kern w:val="0"/>
      <w:sz w:val="32"/>
      <w:szCs w:val="32"/>
    </w:rPr>
  </w:style>
  <w:style w:type="paragraph" w:styleId="7">
    <w:name w:val="heading 4"/>
    <w:basedOn w:val="1"/>
    <w:next w:val="1"/>
    <w:qFormat/>
    <w:uiPriority w:val="0"/>
    <w:pPr>
      <w:keepNext/>
      <w:keepLines/>
      <w:spacing w:before="280" w:after="290" w:line="372" w:lineRule="auto"/>
      <w:outlineLvl w:val="3"/>
    </w:pPr>
    <w:rPr>
      <w:rFonts w:ascii="Calibri Light" w:hAnsi="Calibri Light"/>
      <w:b/>
      <w:bCs/>
      <w:sz w:val="28"/>
      <w:szCs w:val="28"/>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styleId="5">
    <w:name w:val="Normal Indent"/>
    <w:basedOn w:val="1"/>
    <w:qFormat/>
    <w:uiPriority w:val="0"/>
    <w:pPr>
      <w:ind w:firstLine="420"/>
    </w:pPr>
    <w:rPr>
      <w:rFonts w:ascii="Times New Roman" w:hAnsi="Times New Roman" w:cs="Times New Roman"/>
      <w:szCs w:val="20"/>
    </w:rPr>
  </w:style>
  <w:style w:type="paragraph" w:styleId="8">
    <w:name w:val="annotation text"/>
    <w:basedOn w:val="1"/>
    <w:unhideWhenUsed/>
    <w:qFormat/>
    <w:uiPriority w:val="99"/>
    <w:pPr>
      <w:jc w:val="left"/>
    </w:pPr>
  </w:style>
  <w:style w:type="paragraph" w:styleId="9">
    <w:name w:val="Body Text"/>
    <w:basedOn w:val="1"/>
    <w:next w:val="1"/>
    <w:qFormat/>
    <w:uiPriority w:val="0"/>
    <w:pPr>
      <w:jc w:val="left"/>
    </w:pPr>
    <w:rPr>
      <w:rFonts w:ascii="宋体" w:hAnsi="宋体"/>
      <w:kern w:val="0"/>
      <w:sz w:val="24"/>
      <w:lang w:eastAsia="en-US"/>
    </w:rPr>
  </w:style>
  <w:style w:type="paragraph" w:styleId="10">
    <w:name w:val="Body Text Indent"/>
    <w:basedOn w:val="1"/>
    <w:next w:val="11"/>
    <w:unhideWhenUsed/>
    <w:qFormat/>
    <w:uiPriority w:val="99"/>
    <w:pPr>
      <w:spacing w:after="120"/>
      <w:ind w:left="420" w:leftChars="200"/>
    </w:pPr>
  </w:style>
  <w:style w:type="paragraph" w:styleId="11">
    <w:name w:val="envelope return"/>
    <w:basedOn w:val="1"/>
    <w:qFormat/>
    <w:uiPriority w:val="0"/>
    <w:pPr>
      <w:snapToGrid w:val="0"/>
    </w:pPr>
    <w:rPr>
      <w:rFonts w:ascii="Arial" w:hAnsi="Arial"/>
    </w:rPr>
  </w:style>
  <w:style w:type="paragraph" w:styleId="12">
    <w:name w:val="footer"/>
    <w:basedOn w:val="1"/>
    <w:qFormat/>
    <w:uiPriority w:val="99"/>
    <w:pPr>
      <w:tabs>
        <w:tab w:val="center" w:pos="4153"/>
        <w:tab w:val="right" w:pos="8306"/>
      </w:tabs>
      <w:snapToGrid w:val="0"/>
      <w:jc w:val="left"/>
    </w:pPr>
    <w:rPr>
      <w:rFonts w:ascii="Times New Roman" w:hAnsi="Times New Roman"/>
      <w:kern w:val="0"/>
      <w:sz w:val="18"/>
      <w:szCs w:val="18"/>
    </w:rPr>
  </w:style>
  <w:style w:type="paragraph" w:styleId="13">
    <w:name w:val="header"/>
    <w:basedOn w:val="1"/>
    <w:qFormat/>
    <w:uiPriority w:val="99"/>
    <w:pPr>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14">
    <w:name w:val="toc 1"/>
    <w:basedOn w:val="1"/>
    <w:next w:val="1"/>
    <w:qFormat/>
    <w:uiPriority w:val="39"/>
    <w:pPr>
      <w:tabs>
        <w:tab w:val="left" w:pos="1260"/>
        <w:tab w:val="right" w:leader="dot" w:pos="8834"/>
      </w:tabs>
      <w:jc w:val="center"/>
    </w:pPr>
  </w:style>
  <w:style w:type="paragraph" w:styleId="15">
    <w:name w:val="toc 2"/>
    <w:basedOn w:val="1"/>
    <w:next w:val="1"/>
    <w:qFormat/>
    <w:uiPriority w:val="39"/>
    <w:pPr>
      <w:ind w:left="420" w:leftChars="200"/>
    </w:pPr>
  </w:style>
  <w:style w:type="character" w:styleId="18">
    <w:name w:val="FollowedHyperlink"/>
    <w:basedOn w:val="17"/>
    <w:qFormat/>
    <w:uiPriority w:val="0"/>
    <w:rPr>
      <w:color w:val="333333"/>
      <w:u w:val="none"/>
    </w:rPr>
  </w:style>
  <w:style w:type="character" w:styleId="19">
    <w:name w:val="Emphasis"/>
    <w:basedOn w:val="17"/>
    <w:qFormat/>
    <w:uiPriority w:val="0"/>
  </w:style>
  <w:style w:type="character" w:styleId="20">
    <w:name w:val="Hyperlink"/>
    <w:basedOn w:val="17"/>
    <w:qFormat/>
    <w:uiPriority w:val="0"/>
    <w:rPr>
      <w:color w:val="333333"/>
      <w:u w:val="none"/>
    </w:rPr>
  </w:style>
  <w:style w:type="character" w:customStyle="1" w:styleId="21">
    <w:name w:val="标题 1 字符"/>
    <w:link w:val="3"/>
    <w:qFormat/>
    <w:uiPriority w:val="0"/>
    <w:rPr>
      <w:kern w:val="44"/>
      <w:sz w:val="44"/>
      <w:szCs w:val="44"/>
    </w:rPr>
  </w:style>
  <w:style w:type="character" w:customStyle="1" w:styleId="22">
    <w:name w:val="标题 3 字符"/>
    <w:link w:val="6"/>
    <w:qFormat/>
    <w:uiPriority w:val="9"/>
    <w:rPr>
      <w:rFonts w:ascii="Times New Roman" w:hAnsi="Times New Roman"/>
      <w:b/>
      <w:bCs/>
      <w:kern w:val="0"/>
      <w:sz w:val="32"/>
      <w:szCs w:val="32"/>
    </w:rPr>
  </w:style>
  <w:style w:type="paragraph" w:customStyle="1" w:styleId="23">
    <w:name w:val="正文首行缩进111"/>
    <w:basedOn w:val="9"/>
    <w:next w:val="1"/>
    <w:qFormat/>
    <w:uiPriority w:val="0"/>
    <w:pPr>
      <w:spacing w:after="120"/>
      <w:ind w:firstLine="420" w:firstLineChars="100"/>
      <w:jc w:val="both"/>
    </w:pPr>
    <w:rPr>
      <w:kern w:val="2"/>
      <w:sz w:val="21"/>
    </w:rPr>
  </w:style>
  <w:style w:type="paragraph" w:customStyle="1" w:styleId="24">
    <w:name w:val="Default"/>
    <w:next w:val="25"/>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5">
    <w:name w:val="Char Char10 Char Char Char Char"/>
    <w:basedOn w:val="1"/>
    <w:next w:val="1"/>
    <w:qFormat/>
    <w:uiPriority w:val="0"/>
    <w:rPr>
      <w:rFonts w:ascii="Calibri" w:hAnsi="Calibri"/>
    </w:rPr>
  </w:style>
  <w:style w:type="paragraph" w:customStyle="1" w:styleId="26">
    <w:name w:val="正文首行缩进 2111"/>
    <w:basedOn w:val="27"/>
    <w:qFormat/>
    <w:uiPriority w:val="0"/>
    <w:pPr>
      <w:ind w:firstLine="420" w:firstLineChars="200"/>
    </w:pPr>
  </w:style>
  <w:style w:type="paragraph" w:customStyle="1" w:styleId="27">
    <w:name w:val="正文文本缩进11"/>
    <w:basedOn w:val="1"/>
    <w:qFormat/>
    <w:uiPriority w:val="0"/>
    <w:pPr>
      <w:spacing w:after="120"/>
      <w:ind w:left="420" w:leftChars="200"/>
    </w:pPr>
    <w:rPr>
      <w:rFonts w:ascii="Times New Roman" w:hAnsi="Times New Roman"/>
    </w:rPr>
  </w:style>
  <w:style w:type="paragraph" w:customStyle="1" w:styleId="28">
    <w:name w:val="普通(网站)1"/>
    <w:basedOn w:val="1"/>
    <w:next w:val="1"/>
    <w:qFormat/>
    <w:uiPriority w:val="0"/>
    <w:pPr>
      <w:widowControl/>
      <w:jc w:val="left"/>
    </w:pPr>
    <w:rPr>
      <w:rFonts w:ascii="宋体" w:hAnsi="宋体"/>
      <w:kern w:val="0"/>
      <w:sz w:val="24"/>
    </w:rPr>
  </w:style>
  <w:style w:type="paragraph" w:customStyle="1" w:styleId="29">
    <w:name w:val="正文文本 31"/>
    <w:basedOn w:val="1"/>
    <w:qFormat/>
    <w:uiPriority w:val="0"/>
    <w:rPr>
      <w:sz w:val="16"/>
      <w:szCs w:val="16"/>
    </w:rPr>
  </w:style>
  <w:style w:type="paragraph" w:customStyle="1" w:styleId="30">
    <w:name w:val="_Style 2"/>
    <w:basedOn w:val="1"/>
    <w:qFormat/>
    <w:uiPriority w:val="0"/>
    <w:pPr>
      <w:ind w:firstLine="200" w:firstLineChars="200"/>
    </w:pPr>
  </w:style>
  <w:style w:type="paragraph" w:customStyle="1" w:styleId="31">
    <w:name w:val="样式1"/>
    <w:basedOn w:val="1"/>
    <w:next w:val="7"/>
    <w:qFormat/>
    <w:uiPriority w:val="99"/>
    <w:pPr>
      <w:tabs>
        <w:tab w:val="left" w:pos="709"/>
      </w:tabs>
      <w:adjustRightInd w:val="0"/>
      <w:ind w:left="709" w:hanging="709"/>
      <w:textAlignment w:val="baseline"/>
    </w:pPr>
    <w:rPr>
      <w:rFonts w:ascii="宋体" w:hAnsi="宋体" w:cs="宋体"/>
      <w:kern w:val="0"/>
      <w:szCs w:val="21"/>
    </w:rPr>
  </w:style>
  <w:style w:type="character" w:customStyle="1" w:styleId="32">
    <w:name w:val="gb-jt"/>
    <w:basedOn w:val="17"/>
    <w:qFormat/>
    <w:uiPriority w:val="0"/>
  </w:style>
  <w:style w:type="character" w:customStyle="1" w:styleId="33">
    <w:name w:val="right"/>
    <w:basedOn w:val="17"/>
    <w:qFormat/>
    <w:uiPriority w:val="0"/>
    <w:rPr>
      <w:color w:val="999999"/>
      <w:sz w:val="18"/>
      <w:szCs w:val="18"/>
    </w:rPr>
  </w:style>
  <w:style w:type="character" w:customStyle="1" w:styleId="34">
    <w:name w:val="right1"/>
    <w:basedOn w:val="17"/>
    <w:qFormat/>
    <w:uiPriority w:val="0"/>
    <w:rPr>
      <w:color w:val="999999"/>
    </w:rPr>
  </w:style>
  <w:style w:type="character" w:customStyle="1" w:styleId="35">
    <w:name w:val="green"/>
    <w:basedOn w:val="17"/>
    <w:qFormat/>
    <w:uiPriority w:val="0"/>
    <w:rPr>
      <w:color w:val="58B200"/>
      <w:sz w:val="21"/>
      <w:szCs w:val="21"/>
    </w:rPr>
  </w:style>
  <w:style w:type="character" w:customStyle="1" w:styleId="36">
    <w:name w:val="fl2"/>
    <w:basedOn w:val="17"/>
    <w:qFormat/>
    <w:uiPriority w:val="0"/>
    <w:rPr>
      <w:color w:val="666666"/>
    </w:rPr>
  </w:style>
  <w:style w:type="character" w:customStyle="1" w:styleId="37">
    <w:name w:val="blue"/>
    <w:basedOn w:val="17"/>
    <w:qFormat/>
    <w:uiPriority w:val="0"/>
    <w:rPr>
      <w:color w:val="0371C6"/>
      <w:sz w:val="21"/>
      <w:szCs w:val="21"/>
    </w:rPr>
  </w:style>
  <w:style w:type="character" w:customStyle="1" w:styleId="38">
    <w:name w:val="hover24"/>
    <w:basedOn w:val="17"/>
    <w:uiPriority w:val="0"/>
  </w:style>
  <w:style w:type="character" w:customStyle="1" w:styleId="39">
    <w:name w:val="fr4"/>
    <w:basedOn w:val="17"/>
    <w:uiPriority w:val="0"/>
  </w:style>
  <w:style w:type="character" w:customStyle="1" w:styleId="40">
    <w:name w:val="red"/>
    <w:basedOn w:val="17"/>
    <w:qFormat/>
    <w:uiPriority w:val="0"/>
    <w:rPr>
      <w:color w:val="FF0000"/>
      <w:sz w:val="21"/>
      <w:szCs w:val="21"/>
    </w:rPr>
  </w:style>
  <w:style w:type="character" w:customStyle="1" w:styleId="41">
    <w:name w:val="red1"/>
    <w:basedOn w:val="17"/>
    <w:qFormat/>
    <w:uiPriority w:val="0"/>
    <w:rPr>
      <w:color w:val="FF0000"/>
      <w:sz w:val="24"/>
      <w:szCs w:val="24"/>
    </w:rPr>
  </w:style>
  <w:style w:type="character" w:customStyle="1" w:styleId="42">
    <w:name w:val="active3"/>
    <w:basedOn w:val="17"/>
    <w:qFormat/>
    <w:uiPriority w:val="0"/>
    <w:rPr>
      <w:color w:val="FFFFFF"/>
      <w:shd w:val="clear" w:color="auto" w:fill="2B7AFC"/>
    </w:rPr>
  </w:style>
  <w:style w:type="character" w:customStyle="1" w:styleId="43">
    <w:name w:val="hover23"/>
    <w:basedOn w:val="17"/>
    <w:qFormat/>
    <w:uiPriority w:val="0"/>
  </w:style>
  <w:style w:type="character" w:customStyle="1" w:styleId="44">
    <w:name w:val="fr"/>
    <w:basedOn w:val="17"/>
    <w:qFormat/>
    <w:uiPriority w:val="0"/>
  </w:style>
  <w:style w:type="character" w:customStyle="1" w:styleId="45">
    <w:name w:val="fl"/>
    <w:basedOn w:val="17"/>
    <w:qFormat/>
    <w:uiPriority w:val="0"/>
    <w:rPr>
      <w:color w:val="666666"/>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53</Pages>
  <Words>17384</Words>
  <Characters>18760</Characters>
  <Lines>0</Lines>
  <Paragraphs>0</Paragraphs>
  <TotalTime>0</TotalTime>
  <ScaleCrop>false</ScaleCrop>
  <LinksUpToDate>false</LinksUpToDate>
  <CharactersWithSpaces>19667</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2024-08-28T05:48:00Z</dcterms:created>
  <dc:creator>50431</dc:creator>
  <cp:lastModifiedBy>这妞疯了！</cp:lastModifiedBy>
  <dcterms:modified xsi:type="dcterms:W3CDTF">2026-08-28T03:11:04Z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D92595BBA91E4B9A8C32C062E2BA9CE9_13</vt:lpwstr>
  </property>
  <property fmtid="{D5CDD505-2E9C-101B-9397-08002B2CF9AE}" pid="4" name="KSOTemplateDocerSaveRecord">
    <vt:lpwstr>eyJoZGlkIjoiYzZkNzQ4ZWFiZmQ4NTRhOWRkZTk3YTMwMjlmMmZhYmUiLCJ1c2VySWQiOiIyNzA1MzU1NzIifQ==</vt:lpwstr>
  </property>
</Properties>
</file>