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FA1C91">
      <w:pPr>
        <w:ind w:right="99" w:rightChars="47"/>
        <w:rPr>
          <w:rFonts w:hint="eastAsia" w:ascii="宋体" w:hAnsi="宋体" w:eastAsia="宋体" w:cs="宋体"/>
          <w:color w:val="auto"/>
          <w:sz w:val="18"/>
          <w:highlight w:val="none"/>
        </w:rPr>
      </w:pPr>
    </w:p>
    <w:p w14:paraId="73DCE34B">
      <w:pPr>
        <w:ind w:right="99" w:rightChars="47"/>
        <w:jc w:val="center"/>
        <w:outlineLvl w:val="0"/>
        <w:rPr>
          <w:rFonts w:hint="eastAsia" w:ascii="宋体" w:hAnsi="宋体" w:eastAsia="宋体" w:cs="宋体"/>
          <w:b/>
          <w:bCs/>
          <w:color w:val="auto"/>
          <w:sz w:val="32"/>
          <w:highlight w:val="none"/>
          <w:lang w:eastAsia="zh-CN"/>
        </w:rPr>
      </w:pPr>
      <w:bookmarkStart w:id="0" w:name="_Toc7920"/>
      <w:r>
        <w:rPr>
          <w:rFonts w:hint="eastAsia" w:cs="宋体"/>
          <w:b/>
          <w:bCs/>
          <w:color w:val="auto"/>
          <w:sz w:val="32"/>
          <w:highlight w:val="none"/>
          <w:lang w:eastAsia="zh-CN"/>
        </w:rPr>
        <w:t>采购需求</w:t>
      </w:r>
      <w:bookmarkEnd w:id="0"/>
    </w:p>
    <w:p w14:paraId="0C60F524">
      <w:pPr>
        <w:pStyle w:val="2"/>
        <w:ind w:firstLine="0" w:firstLineChars="0"/>
        <w:jc w:val="center"/>
        <w:rPr>
          <w:rFonts w:hint="eastAsia"/>
          <w:b/>
          <w:bCs/>
          <w:color w:val="auto"/>
        </w:rPr>
      </w:pPr>
    </w:p>
    <w:p w14:paraId="511F0536">
      <w:pPr>
        <w:pStyle w:val="2"/>
        <w:ind w:firstLine="0" w:firstLineChars="0"/>
        <w:jc w:val="center"/>
        <w:rPr>
          <w:rFonts w:hint="eastAsia" w:ascii="Times New Roman" w:hAnsi="Times New Roman" w:eastAsia="宋体" w:cs="Times New Roman"/>
          <w:b/>
          <w:bCs/>
          <w:sz w:val="24"/>
          <w:szCs w:val="22"/>
          <w:lang w:val="en-US" w:eastAsia="zh-CN" w:bidi="zh-CN"/>
        </w:rPr>
      </w:pPr>
      <w:r>
        <w:rPr>
          <w:rFonts w:hint="eastAsia" w:ascii="Times New Roman" w:hAnsi="Times New Roman" w:eastAsia="宋体" w:cs="Times New Roman"/>
          <w:b/>
          <w:bCs/>
          <w:sz w:val="24"/>
          <w:szCs w:val="22"/>
          <w:lang w:val="en-US" w:eastAsia="zh-CN" w:bidi="zh-CN"/>
        </w:rPr>
        <w:t>一、商务要求</w:t>
      </w:r>
    </w:p>
    <w:p w14:paraId="06AF7ECD">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p>
    <w:p w14:paraId="474274B4">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cs="Times New Roman"/>
          <w:sz w:val="24"/>
          <w:szCs w:val="22"/>
          <w:lang w:val="en-US" w:eastAsia="zh-CN" w:bidi="zh-CN"/>
        </w:rPr>
        <w:t>1、</w:t>
      </w:r>
      <w:r>
        <w:rPr>
          <w:rFonts w:hint="eastAsia" w:ascii="Times New Roman" w:hAnsi="Times New Roman" w:eastAsia="宋体" w:cs="Times New Roman"/>
          <w:sz w:val="24"/>
          <w:szCs w:val="22"/>
          <w:lang w:val="en-US" w:eastAsia="zh-CN" w:bidi="zh-CN"/>
        </w:rPr>
        <w:t>本次招标采购项目：郑州市管城回族区外国语学校商都校区触控一体机采购项目</w:t>
      </w:r>
    </w:p>
    <w:p w14:paraId="7F166F2B">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cs="Times New Roman"/>
          <w:sz w:val="24"/>
          <w:szCs w:val="22"/>
          <w:lang w:val="en-US" w:eastAsia="zh-CN" w:bidi="zh-CN"/>
        </w:rPr>
        <w:t>2、</w:t>
      </w:r>
      <w:r>
        <w:rPr>
          <w:rFonts w:hint="eastAsia" w:ascii="Times New Roman" w:hAnsi="Times New Roman" w:eastAsia="宋体" w:cs="Times New Roman"/>
          <w:sz w:val="24"/>
          <w:szCs w:val="22"/>
          <w:lang w:val="en-US" w:eastAsia="zh-CN" w:bidi="zh-CN"/>
        </w:rPr>
        <w:t>本项目最高限价：737000元</w:t>
      </w:r>
    </w:p>
    <w:p w14:paraId="6AC0CBC7">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3、本项目是否专门面向中小企业采购：是</w:t>
      </w:r>
    </w:p>
    <w:p w14:paraId="3D3C154D">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4、本项目项目属性：货物采购</w:t>
      </w:r>
    </w:p>
    <w:p w14:paraId="2C677D28">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5、投标报价应包含：货物和附属装置、备品备件和专用工具、卖方技术服务（安装、调试、运行）报价、采购人派员参加技术联络和工厂监造、检验、技术培训费用、运保费、各类税费及验收检测费等一切费用。</w:t>
      </w:r>
    </w:p>
    <w:p w14:paraId="40BA1AF3">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6、交货地点：采购人指定地点</w:t>
      </w:r>
    </w:p>
    <w:p w14:paraId="060A318A">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7、供货期：签订合同后20天（日历</w:t>
      </w:r>
      <w:r>
        <w:rPr>
          <w:rFonts w:hint="eastAsia" w:ascii="Times New Roman" w:hAnsi="Times New Roman" w:cs="Times New Roman"/>
          <w:sz w:val="24"/>
          <w:szCs w:val="22"/>
          <w:lang w:val="en-US" w:eastAsia="zh-CN" w:bidi="zh-CN"/>
        </w:rPr>
        <w:t>天</w:t>
      </w:r>
      <w:r>
        <w:rPr>
          <w:rFonts w:hint="eastAsia" w:ascii="Times New Roman" w:hAnsi="Times New Roman" w:eastAsia="宋体" w:cs="Times New Roman"/>
          <w:sz w:val="24"/>
          <w:szCs w:val="22"/>
          <w:lang w:val="en-US" w:eastAsia="zh-CN" w:bidi="zh-CN"/>
        </w:rPr>
        <w:t>）内完成</w:t>
      </w:r>
    </w:p>
    <w:p w14:paraId="20146455">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8、付款方式：供货完毕，经验收合格后30个工作日内一次性支付。</w:t>
      </w:r>
    </w:p>
    <w:p w14:paraId="50A5F581">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9、质保期：3年，自最终验收合格并交付使用之日起计算。</w:t>
      </w:r>
    </w:p>
    <w:p w14:paraId="194E4E60">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10、包装和运输：</w:t>
      </w:r>
    </w:p>
    <w:p w14:paraId="55EE7C46">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本合同涉及商品包装、快递包装的，除【政府采购合同专用条款】另有约定外，包装应适应远距离运输、防潮、防震、防锈和防野蛮装卸等要求，确保货物安全无损地运抵【政府采购合同专用条款】约定的指定现场。</w:t>
      </w:r>
    </w:p>
    <w:p w14:paraId="741980BD">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 xml:space="preserve"> 除【政府采购合同专用条款】另有约定外，乙方负责办理将货物运抵本合同规定的交货地点，并装卸、交付至甲方的一切运输事项，相关费用应包含在合同价款中。</w:t>
      </w:r>
    </w:p>
    <w:p w14:paraId="0646D151">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71F9D94D">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乙方在运输到达之前应提前通知甲方，并提示货物运输装卸的注意事项，甲方配合乙方做好货物的接收工作。</w:t>
      </w:r>
    </w:p>
    <w:p w14:paraId="1803DA90">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如因包装、运输问题导致货物损毁、丢失或者品质下降，甲方有权要求降价、换货、拒收部分或整批货物，由此产生的费用和损失，均由乙方承担。</w:t>
      </w:r>
    </w:p>
    <w:p w14:paraId="58B24AB5">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11、保险：货物保险要求按【政府采购合同专用条款】规定执行。</w:t>
      </w:r>
    </w:p>
    <w:p w14:paraId="6E068047">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12、质量要求：合格，符合国家相关验收规范标准。</w:t>
      </w:r>
    </w:p>
    <w:p w14:paraId="32B0D685">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13、履约验收： 自行组织，供应商提出验收申请之日起</w:t>
      </w:r>
      <w:bookmarkStart w:id="1" w:name="_GoBack"/>
      <w:bookmarkEnd w:id="1"/>
      <w:r>
        <w:rPr>
          <w:rFonts w:hint="eastAsia" w:ascii="Times New Roman" w:hAnsi="Times New Roman" w:eastAsia="宋体" w:cs="Times New Roman"/>
          <w:sz w:val="24"/>
          <w:szCs w:val="22"/>
          <w:lang w:val="en-US" w:eastAsia="zh-CN" w:bidi="zh-CN"/>
        </w:rPr>
        <w:t>7个工作日内组织验收。</w:t>
      </w:r>
    </w:p>
    <w:p w14:paraId="28206AD8">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14、售后服务：在质保期或保修期内，提供运维服务，凡正常使用出现故障，投标人应提供免费维修，并负担维修过程中的费用。</w:t>
      </w:r>
    </w:p>
    <w:p w14:paraId="48698447">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 xml:space="preserve"> 投标人对3年质保期满后对质保期外的设备系统出现故障时的服务承诺及处理方法应在响应文件中明确。</w:t>
      </w:r>
    </w:p>
    <w:p w14:paraId="4C701CBB">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投标人若不能提供必要的服务或未能按响应时间进行维修，将视为投标人违约。</w:t>
      </w:r>
    </w:p>
    <w:p w14:paraId="34474DE2">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cs="Times New Roman"/>
          <w:sz w:val="24"/>
          <w:szCs w:val="22"/>
          <w:lang w:val="en-US" w:eastAsia="zh-CN" w:bidi="zh-CN"/>
        </w:rPr>
        <w:t>15、</w:t>
      </w:r>
      <w:r>
        <w:rPr>
          <w:rFonts w:hint="eastAsia" w:ascii="Times New Roman" w:hAnsi="Times New Roman" w:eastAsia="宋体" w:cs="Times New Roman"/>
          <w:sz w:val="24"/>
          <w:szCs w:val="22"/>
          <w:lang w:val="en-US" w:eastAsia="zh-CN" w:bidi="zh-CN"/>
        </w:rPr>
        <w:t>所需货物要求：</w:t>
      </w:r>
    </w:p>
    <w:p w14:paraId="3B0FB4F0">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default" w:ascii="Times New Roman" w:hAnsi="Times New Roman" w:eastAsia="宋体" w:cs="Times New Roman"/>
          <w:sz w:val="24"/>
          <w:szCs w:val="22"/>
          <w:lang w:val="en-US" w:eastAsia="zh-CN" w:bidi="zh-CN"/>
        </w:rPr>
      </w:pPr>
      <w:r>
        <w:rPr>
          <w:rFonts w:hint="default" w:ascii="Times New Roman" w:hAnsi="Times New Roman" w:eastAsia="宋体" w:cs="Times New Roman"/>
          <w:sz w:val="24"/>
          <w:szCs w:val="22"/>
          <w:lang w:val="en-US" w:eastAsia="zh-CN" w:bidi="zh-CN"/>
        </w:rPr>
        <w:t>投标人可提供品质和功能相同的或优于同类产品的货物或方案。</w:t>
      </w:r>
    </w:p>
    <w:p w14:paraId="4F73DE60">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default" w:ascii="Times New Roman" w:hAnsi="Times New Roman" w:eastAsia="宋体" w:cs="Times New Roman"/>
          <w:sz w:val="24"/>
          <w:szCs w:val="22"/>
          <w:lang w:val="en-US" w:eastAsia="zh-CN" w:bidi="zh-CN"/>
        </w:rPr>
      </w:pPr>
      <w:r>
        <w:rPr>
          <w:rFonts w:hint="default" w:ascii="Times New Roman" w:hAnsi="Times New Roman" w:eastAsia="宋体" w:cs="Times New Roman"/>
          <w:sz w:val="24"/>
          <w:szCs w:val="22"/>
          <w:lang w:val="en-US" w:eastAsia="zh-CN" w:bidi="zh-CN"/>
        </w:rPr>
        <w:t>检测的标准依据国家有关规定执行。</w:t>
      </w:r>
    </w:p>
    <w:p w14:paraId="3B72800F">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default" w:ascii="Times New Roman" w:hAnsi="Times New Roman" w:eastAsia="宋体" w:cs="Times New Roman"/>
          <w:sz w:val="24"/>
          <w:szCs w:val="22"/>
          <w:lang w:val="en-US" w:eastAsia="zh-CN" w:bidi="zh-CN"/>
        </w:rPr>
      </w:pPr>
      <w:r>
        <w:rPr>
          <w:rFonts w:hint="default" w:ascii="Times New Roman" w:hAnsi="Times New Roman" w:eastAsia="宋体" w:cs="Times New Roman"/>
          <w:sz w:val="24"/>
          <w:szCs w:val="22"/>
          <w:lang w:val="en-US" w:eastAsia="zh-CN" w:bidi="zh-CN"/>
        </w:rPr>
        <w:t>所投核心产品必须生产厂家在中国设有技术服务机构。</w:t>
      </w:r>
    </w:p>
    <w:p w14:paraId="54A02D09">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default" w:ascii="Times New Roman" w:hAnsi="Times New Roman" w:eastAsia="宋体" w:cs="Times New Roman"/>
          <w:sz w:val="24"/>
          <w:szCs w:val="22"/>
          <w:lang w:val="en-US" w:eastAsia="zh-CN" w:bidi="zh-CN"/>
        </w:rPr>
      </w:pPr>
      <w:r>
        <w:rPr>
          <w:rFonts w:hint="default" w:ascii="Times New Roman" w:hAnsi="Times New Roman" w:eastAsia="宋体" w:cs="Times New Roman"/>
          <w:sz w:val="24"/>
          <w:szCs w:val="22"/>
          <w:lang w:val="en-US" w:eastAsia="zh-CN" w:bidi="zh-CN"/>
        </w:rPr>
        <w:t>除招标文件要求提供的货物备件、专用工具和消耗品外，所有备件必须符合国家标准及行业要求。</w:t>
      </w:r>
    </w:p>
    <w:p w14:paraId="44F4F1DD">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default" w:ascii="Times New Roman" w:hAnsi="Times New Roman" w:eastAsia="宋体" w:cs="Times New Roman"/>
          <w:sz w:val="24"/>
          <w:szCs w:val="22"/>
          <w:lang w:val="en-US" w:eastAsia="zh-CN" w:bidi="zh-CN"/>
        </w:rPr>
      </w:pPr>
      <w:r>
        <w:rPr>
          <w:rFonts w:hint="default" w:ascii="Times New Roman" w:hAnsi="Times New Roman" w:eastAsia="宋体" w:cs="Times New Roman"/>
          <w:sz w:val="24"/>
          <w:szCs w:val="22"/>
          <w:lang w:val="en-US" w:eastAsia="zh-CN" w:bidi="zh-CN"/>
        </w:rPr>
        <w:t>本次采购货物中如果某些技术标准与国家所要求的标准不统一或有不兼容的地方，均以国家强制性标准或最新出台的标准为准。</w:t>
      </w:r>
    </w:p>
    <w:p w14:paraId="240C1C39">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default" w:ascii="Times New Roman" w:hAnsi="Times New Roman" w:eastAsia="宋体" w:cs="Times New Roman"/>
          <w:sz w:val="24"/>
          <w:szCs w:val="22"/>
          <w:lang w:val="en-US" w:eastAsia="zh-CN" w:bidi="zh-CN"/>
        </w:rPr>
        <w:t>如果未在招标文件中要求提供其相关行业标准或国家强制性标准的，则投标人可给予补充说明。</w:t>
      </w:r>
    </w:p>
    <w:p w14:paraId="694C8E0F">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16、中标人在接到郑州市管城区政府采购中心的中标通知书后，与采购人根据招标文件的条款和投标文件的承诺签订合同。</w:t>
      </w:r>
    </w:p>
    <w:p w14:paraId="68687A0B">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r>
        <w:rPr>
          <w:rFonts w:hint="eastAsia" w:ascii="Times New Roman" w:hAnsi="Times New Roman" w:eastAsia="宋体" w:cs="Times New Roman"/>
          <w:sz w:val="24"/>
          <w:szCs w:val="22"/>
          <w:lang w:val="en-US" w:eastAsia="zh-CN" w:bidi="zh-CN"/>
        </w:rPr>
        <w:t>17、采购人在项目达到合同要求后，要组织专业人员对此进行验收，填写验收证明。</w:t>
      </w:r>
    </w:p>
    <w:p w14:paraId="192CEE15">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p>
    <w:p w14:paraId="7557448F">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p>
    <w:p w14:paraId="1BAFFEEC">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p>
    <w:p w14:paraId="5FE1462B">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p>
    <w:p w14:paraId="437310F9">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p>
    <w:p w14:paraId="6DF5CC1F">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p>
    <w:p w14:paraId="0C876010">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p>
    <w:p w14:paraId="5AF187F0">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left"/>
        <w:textAlignment w:val="auto"/>
        <w:rPr>
          <w:rFonts w:hint="eastAsia" w:ascii="Times New Roman" w:hAnsi="Times New Roman" w:eastAsia="宋体" w:cs="Times New Roman"/>
          <w:sz w:val="24"/>
          <w:szCs w:val="22"/>
          <w:lang w:val="en-US" w:eastAsia="zh-CN" w:bidi="zh-CN"/>
        </w:rPr>
      </w:pPr>
    </w:p>
    <w:p w14:paraId="6CDCB0E6">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right="0" w:rightChars="0"/>
        <w:jc w:val="both"/>
        <w:textAlignment w:val="auto"/>
        <w:rPr>
          <w:rFonts w:hint="eastAsia" w:ascii="Times New Roman" w:hAnsi="Times New Roman" w:eastAsia="宋体" w:cs="Times New Roman"/>
          <w:sz w:val="24"/>
          <w:szCs w:val="22"/>
          <w:lang w:val="en-US" w:eastAsia="zh-CN" w:bidi="zh-CN"/>
        </w:rPr>
      </w:pPr>
    </w:p>
    <w:p w14:paraId="538E5B96">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right="0" w:rightChars="0" w:firstLine="3373" w:firstLineChars="1400"/>
        <w:jc w:val="both"/>
        <w:textAlignment w:val="auto"/>
        <w:rPr>
          <w:rFonts w:hint="eastAsia" w:ascii="Times New Roman" w:hAnsi="Times New Roman" w:eastAsia="宋体" w:cs="Times New Roman"/>
          <w:b/>
          <w:bCs/>
          <w:sz w:val="24"/>
          <w:szCs w:val="22"/>
          <w:lang w:val="en-US" w:eastAsia="zh-CN" w:bidi="zh-CN"/>
        </w:rPr>
      </w:pPr>
      <w:r>
        <w:rPr>
          <w:rFonts w:hint="eastAsia" w:ascii="Times New Roman" w:hAnsi="Times New Roman" w:eastAsia="宋体" w:cs="Times New Roman"/>
          <w:b/>
          <w:bCs/>
          <w:sz w:val="24"/>
          <w:szCs w:val="22"/>
          <w:lang w:val="en-US" w:eastAsia="zh-CN" w:bidi="zh-CN"/>
        </w:rPr>
        <w:t>二、技术要求</w:t>
      </w:r>
    </w:p>
    <w:p w14:paraId="5D70A543">
      <w:pPr>
        <w:pStyle w:val="5"/>
        <w:ind w:firstLine="420"/>
        <w:rPr>
          <w:rFonts w:hint="eastAsia" w:hAnsi="宋体"/>
          <w:color w:val="auto"/>
          <w:szCs w:val="21"/>
          <w:lang w:val="en-US"/>
        </w:rPr>
      </w:pPr>
    </w:p>
    <w:p w14:paraId="0CE2EA38">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both"/>
        <w:textAlignment w:val="auto"/>
        <w:rPr>
          <w:rFonts w:hint="eastAsia" w:ascii="Times New Roman" w:hAnsi="Times New Roman" w:eastAsia="宋体" w:cs="Times New Roman"/>
          <w:sz w:val="24"/>
          <w:szCs w:val="22"/>
          <w:lang w:val="en-US" w:eastAsia="zh-CN" w:bidi="zh-CN"/>
        </w:rPr>
      </w:pPr>
      <w:r>
        <w:rPr>
          <w:rFonts w:hint="eastAsia" w:ascii="Times New Roman" w:hAnsi="Times New Roman" w:cs="Times New Roman"/>
          <w:sz w:val="24"/>
          <w:szCs w:val="22"/>
          <w:lang w:val="en-US" w:eastAsia="zh-CN" w:bidi="zh-CN"/>
        </w:rPr>
        <w:t>1、</w:t>
      </w:r>
      <w:r>
        <w:rPr>
          <w:rFonts w:hint="eastAsia" w:ascii="Times New Roman" w:hAnsi="Times New Roman" w:eastAsia="宋体" w:cs="Times New Roman"/>
          <w:sz w:val="24"/>
          <w:szCs w:val="22"/>
          <w:lang w:val="en-US" w:eastAsia="zh-CN" w:bidi="zh-CN"/>
        </w:rPr>
        <w:t>货物清单</w:t>
      </w:r>
    </w:p>
    <w:p w14:paraId="028A2A91">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center"/>
        <w:textAlignment w:val="auto"/>
        <w:rPr>
          <w:rFonts w:hint="eastAsia" w:ascii="Times New Roman" w:hAnsi="Times New Roman" w:eastAsia="宋体" w:cs="Times New Roman"/>
          <w:sz w:val="24"/>
          <w:szCs w:val="22"/>
          <w:lang w:val="en-US" w:eastAsia="zh-CN" w:bidi="zh-CN"/>
        </w:rPr>
      </w:pPr>
    </w:p>
    <w:tbl>
      <w:tblPr>
        <w:tblStyle w:val="7"/>
        <w:tblW w:w="8399" w:type="dxa"/>
        <w:jc w:val="center"/>
        <w:tblLayout w:type="autofit"/>
        <w:tblCellMar>
          <w:top w:w="0" w:type="dxa"/>
          <w:left w:w="108" w:type="dxa"/>
          <w:bottom w:w="0" w:type="dxa"/>
          <w:right w:w="108" w:type="dxa"/>
        </w:tblCellMar>
      </w:tblPr>
      <w:tblGrid>
        <w:gridCol w:w="1075"/>
        <w:gridCol w:w="5172"/>
        <w:gridCol w:w="1076"/>
        <w:gridCol w:w="1076"/>
      </w:tblGrid>
      <w:tr w14:paraId="559E9086">
        <w:tblPrEx>
          <w:tblCellMar>
            <w:top w:w="0" w:type="dxa"/>
            <w:left w:w="108" w:type="dxa"/>
            <w:bottom w:w="0" w:type="dxa"/>
            <w:right w:w="108" w:type="dxa"/>
          </w:tblCellMar>
        </w:tblPrEx>
        <w:trPr>
          <w:trHeight w:val="1080"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55416C0">
            <w:pPr>
              <w:widowControl/>
              <w:snapToGrid w:val="0"/>
              <w:spacing w:line="240" w:lineRule="auto"/>
              <w:ind w:left="0" w:leftChars="0" w:right="0" w:rightChars="0" w:firstLine="0" w:firstLineChars="0"/>
              <w:jc w:val="center"/>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序号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767178">
            <w:pPr>
              <w:widowControl/>
              <w:snapToGrid w:val="0"/>
              <w:spacing w:line="240" w:lineRule="auto"/>
              <w:ind w:left="0" w:leftChars="0" w:right="0" w:rightChars="0" w:firstLine="0" w:firstLineChars="0"/>
              <w:jc w:val="center"/>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货物名称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EE81F">
            <w:pPr>
              <w:widowControl/>
              <w:snapToGrid w:val="0"/>
              <w:spacing w:line="240" w:lineRule="auto"/>
              <w:ind w:left="0" w:leftChars="0" w:right="0" w:rightChars="0" w:firstLine="0" w:firstLineChars="0"/>
              <w:jc w:val="center"/>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数量</w:t>
            </w:r>
          </w:p>
        </w:tc>
        <w:tc>
          <w:tcPr>
            <w:tcW w:w="1076" w:type="dxa"/>
            <w:tcBorders>
              <w:top w:val="single" w:color="000000" w:sz="4" w:space="0"/>
              <w:left w:val="single" w:color="000000" w:sz="4" w:space="0"/>
              <w:bottom w:val="single" w:color="000000" w:sz="4" w:space="0"/>
              <w:right w:val="single" w:color="000000" w:sz="4" w:space="0"/>
            </w:tcBorders>
            <w:noWrap w:val="0"/>
            <w:vAlign w:val="center"/>
          </w:tcPr>
          <w:p w14:paraId="7A0D44A6">
            <w:pPr>
              <w:widowControl/>
              <w:snapToGrid w:val="0"/>
              <w:spacing w:line="240" w:lineRule="auto"/>
              <w:ind w:left="0" w:leftChars="0" w:right="0" w:rightChars="0" w:firstLine="0" w:firstLineChars="0"/>
              <w:jc w:val="center"/>
              <w:textAlignment w:val="center"/>
              <w:rPr>
                <w:rFonts w:hint="eastAsia" w:ascii="仿宋" w:hAnsi="仿宋" w:eastAsia="仿宋" w:cs="仿宋"/>
                <w:b/>
                <w:color w:val="000000"/>
                <w:sz w:val="24"/>
              </w:rPr>
            </w:pPr>
            <w:r>
              <w:rPr>
                <w:rFonts w:hint="eastAsia" w:ascii="仿宋" w:hAnsi="仿宋" w:eastAsia="仿宋" w:cs="仿宋"/>
                <w:b/>
                <w:color w:val="000000"/>
                <w:kern w:val="0"/>
                <w:sz w:val="24"/>
                <w:lang w:bidi="ar"/>
              </w:rPr>
              <w:t>单位</w:t>
            </w:r>
          </w:p>
        </w:tc>
      </w:tr>
      <w:tr w14:paraId="2AF6E0C1">
        <w:tblPrEx>
          <w:tblCellMar>
            <w:top w:w="0" w:type="dxa"/>
            <w:left w:w="108" w:type="dxa"/>
            <w:bottom w:w="0" w:type="dxa"/>
            <w:right w:w="108" w:type="dxa"/>
          </w:tblCellMar>
        </w:tblPrEx>
        <w:trPr>
          <w:trHeight w:val="10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2D1BD0">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EAC87F">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触控一体机（智能交互黑板）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C9A0C0">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22</w:t>
            </w:r>
          </w:p>
        </w:tc>
        <w:tc>
          <w:tcPr>
            <w:tcW w:w="1076" w:type="dxa"/>
            <w:tcBorders>
              <w:top w:val="single" w:color="000000" w:sz="4" w:space="0"/>
              <w:left w:val="single" w:color="000000" w:sz="4" w:space="0"/>
              <w:bottom w:val="single" w:color="000000" w:sz="4" w:space="0"/>
              <w:right w:val="single" w:color="000000" w:sz="4" w:space="0"/>
            </w:tcBorders>
            <w:noWrap/>
            <w:vAlign w:val="center"/>
          </w:tcPr>
          <w:p w14:paraId="7A077B7B">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套</w:t>
            </w:r>
          </w:p>
        </w:tc>
      </w:tr>
      <w:tr w14:paraId="47A89620">
        <w:tblPrEx>
          <w:tblCellMar>
            <w:top w:w="0" w:type="dxa"/>
            <w:left w:w="108" w:type="dxa"/>
            <w:bottom w:w="0" w:type="dxa"/>
            <w:right w:w="108" w:type="dxa"/>
          </w:tblCellMar>
        </w:tblPrEx>
        <w:trPr>
          <w:trHeight w:val="10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BACCBE">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379F31">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无线扩音系统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FE93CF">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22</w:t>
            </w:r>
          </w:p>
        </w:tc>
        <w:tc>
          <w:tcPr>
            <w:tcW w:w="1076" w:type="dxa"/>
            <w:tcBorders>
              <w:top w:val="single" w:color="000000" w:sz="4" w:space="0"/>
              <w:left w:val="single" w:color="000000" w:sz="4" w:space="0"/>
              <w:bottom w:val="single" w:color="000000" w:sz="4" w:space="0"/>
              <w:right w:val="single" w:color="000000" w:sz="4" w:space="0"/>
            </w:tcBorders>
            <w:noWrap/>
            <w:vAlign w:val="center"/>
          </w:tcPr>
          <w:p w14:paraId="6B1C41CE">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套</w:t>
            </w:r>
          </w:p>
        </w:tc>
      </w:tr>
      <w:tr w14:paraId="029FFBEE">
        <w:tblPrEx>
          <w:tblCellMar>
            <w:top w:w="0" w:type="dxa"/>
            <w:left w:w="108" w:type="dxa"/>
            <w:bottom w:w="0" w:type="dxa"/>
            <w:right w:w="108" w:type="dxa"/>
          </w:tblCellMar>
        </w:tblPrEx>
        <w:trPr>
          <w:trHeight w:val="10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92E16E4">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BA8153">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壁挂展台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0CD159">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22</w:t>
            </w:r>
          </w:p>
        </w:tc>
        <w:tc>
          <w:tcPr>
            <w:tcW w:w="1076" w:type="dxa"/>
            <w:tcBorders>
              <w:top w:val="single" w:color="000000" w:sz="4" w:space="0"/>
              <w:left w:val="single" w:color="000000" w:sz="4" w:space="0"/>
              <w:bottom w:val="single" w:color="000000" w:sz="4" w:space="0"/>
              <w:right w:val="single" w:color="000000" w:sz="4" w:space="0"/>
            </w:tcBorders>
            <w:noWrap/>
            <w:vAlign w:val="center"/>
          </w:tcPr>
          <w:p w14:paraId="713D29B7">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套</w:t>
            </w:r>
          </w:p>
        </w:tc>
      </w:tr>
      <w:tr w14:paraId="7C528305">
        <w:tblPrEx>
          <w:tblCellMar>
            <w:top w:w="0" w:type="dxa"/>
            <w:left w:w="108" w:type="dxa"/>
            <w:bottom w:w="0" w:type="dxa"/>
            <w:right w:w="108" w:type="dxa"/>
          </w:tblCellMar>
        </w:tblPrEx>
        <w:trPr>
          <w:trHeight w:val="10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690713">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EE8EFA">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智能教鞭</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FAD4B5">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22</w:t>
            </w:r>
          </w:p>
        </w:tc>
        <w:tc>
          <w:tcPr>
            <w:tcW w:w="1076" w:type="dxa"/>
            <w:tcBorders>
              <w:top w:val="single" w:color="000000" w:sz="4" w:space="0"/>
              <w:left w:val="single" w:color="000000" w:sz="4" w:space="0"/>
              <w:bottom w:val="single" w:color="000000" w:sz="4" w:space="0"/>
              <w:right w:val="single" w:color="000000" w:sz="4" w:space="0"/>
            </w:tcBorders>
            <w:noWrap/>
            <w:vAlign w:val="center"/>
          </w:tcPr>
          <w:p w14:paraId="00F525C9">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支</w:t>
            </w:r>
          </w:p>
        </w:tc>
      </w:tr>
      <w:tr w14:paraId="5CED0183">
        <w:tblPrEx>
          <w:tblCellMar>
            <w:top w:w="0" w:type="dxa"/>
            <w:left w:w="108" w:type="dxa"/>
            <w:bottom w:w="0" w:type="dxa"/>
            <w:right w:w="108" w:type="dxa"/>
          </w:tblCellMar>
        </w:tblPrEx>
        <w:trPr>
          <w:trHeight w:val="10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FEF9BC4">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5D1B1B">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教学软件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AF3D50">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22</w:t>
            </w:r>
          </w:p>
        </w:tc>
        <w:tc>
          <w:tcPr>
            <w:tcW w:w="1076" w:type="dxa"/>
            <w:tcBorders>
              <w:top w:val="single" w:color="000000" w:sz="4" w:space="0"/>
              <w:left w:val="single" w:color="000000" w:sz="4" w:space="0"/>
              <w:bottom w:val="single" w:color="000000" w:sz="4" w:space="0"/>
              <w:right w:val="single" w:color="000000" w:sz="4" w:space="0"/>
            </w:tcBorders>
            <w:noWrap/>
            <w:vAlign w:val="center"/>
          </w:tcPr>
          <w:p w14:paraId="25FBD3FA">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套</w:t>
            </w:r>
          </w:p>
        </w:tc>
      </w:tr>
      <w:tr w14:paraId="4EC5FFB4">
        <w:tblPrEx>
          <w:tblCellMar>
            <w:top w:w="0" w:type="dxa"/>
            <w:left w:w="108" w:type="dxa"/>
            <w:bottom w:w="0" w:type="dxa"/>
            <w:right w:w="108" w:type="dxa"/>
          </w:tblCellMar>
        </w:tblPrEx>
        <w:trPr>
          <w:trHeight w:val="108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D5E92FA">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D4B5F7">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信发系统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94B0F7">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22</w:t>
            </w:r>
          </w:p>
        </w:tc>
        <w:tc>
          <w:tcPr>
            <w:tcW w:w="1076" w:type="dxa"/>
            <w:tcBorders>
              <w:top w:val="single" w:color="000000" w:sz="4" w:space="0"/>
              <w:left w:val="single" w:color="000000" w:sz="4" w:space="0"/>
              <w:bottom w:val="single" w:color="000000" w:sz="4" w:space="0"/>
              <w:right w:val="single" w:color="000000" w:sz="4" w:space="0"/>
            </w:tcBorders>
            <w:noWrap/>
            <w:vAlign w:val="center"/>
          </w:tcPr>
          <w:p w14:paraId="4ABD47B1">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套</w:t>
            </w:r>
          </w:p>
        </w:tc>
      </w:tr>
      <w:tr w14:paraId="775B85AC">
        <w:tblPrEx>
          <w:tblCellMar>
            <w:top w:w="0" w:type="dxa"/>
            <w:left w:w="108" w:type="dxa"/>
            <w:bottom w:w="0" w:type="dxa"/>
            <w:right w:w="108" w:type="dxa"/>
          </w:tblCellMar>
        </w:tblPrEx>
        <w:trPr>
          <w:trHeight w:val="1185" w:hRule="atLeast"/>
          <w:jc w:val="center"/>
        </w:trPr>
        <w:tc>
          <w:tcPr>
            <w:tcW w:w="1075" w:type="dxa"/>
            <w:tcBorders>
              <w:top w:val="single" w:color="000000" w:sz="4" w:space="0"/>
              <w:left w:val="single" w:color="000000" w:sz="4" w:space="0"/>
              <w:bottom w:val="single" w:color="000000" w:sz="4" w:space="0"/>
              <w:right w:val="single" w:color="000000" w:sz="4" w:space="0"/>
            </w:tcBorders>
            <w:noWrap/>
            <w:vAlign w:val="center"/>
          </w:tcPr>
          <w:p w14:paraId="4286EE30">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7</w:t>
            </w:r>
          </w:p>
        </w:tc>
        <w:tc>
          <w:tcPr>
            <w:tcW w:w="5172" w:type="dxa"/>
            <w:tcBorders>
              <w:top w:val="single" w:color="000000" w:sz="4" w:space="0"/>
              <w:left w:val="single" w:color="000000" w:sz="4" w:space="0"/>
              <w:bottom w:val="single" w:color="000000" w:sz="4" w:space="0"/>
              <w:right w:val="single" w:color="000000" w:sz="4" w:space="0"/>
            </w:tcBorders>
            <w:noWrap/>
            <w:vAlign w:val="center"/>
          </w:tcPr>
          <w:p w14:paraId="7B26EE62">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系统集成</w:t>
            </w:r>
          </w:p>
        </w:tc>
        <w:tc>
          <w:tcPr>
            <w:tcW w:w="1076" w:type="dxa"/>
            <w:tcBorders>
              <w:top w:val="single" w:color="000000" w:sz="4" w:space="0"/>
              <w:left w:val="single" w:color="000000" w:sz="4" w:space="0"/>
              <w:bottom w:val="single" w:color="000000" w:sz="4" w:space="0"/>
              <w:right w:val="single" w:color="000000" w:sz="4" w:space="0"/>
            </w:tcBorders>
            <w:noWrap/>
            <w:vAlign w:val="center"/>
          </w:tcPr>
          <w:p w14:paraId="1BC9902A">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22</w:t>
            </w:r>
          </w:p>
        </w:tc>
        <w:tc>
          <w:tcPr>
            <w:tcW w:w="1076" w:type="dxa"/>
            <w:tcBorders>
              <w:top w:val="single" w:color="000000" w:sz="4" w:space="0"/>
              <w:left w:val="single" w:color="000000" w:sz="4" w:space="0"/>
              <w:bottom w:val="single" w:color="000000" w:sz="4" w:space="0"/>
              <w:right w:val="single" w:color="000000" w:sz="4" w:space="0"/>
            </w:tcBorders>
            <w:noWrap/>
            <w:vAlign w:val="center"/>
          </w:tcPr>
          <w:p w14:paraId="1AE1FD5F">
            <w:pPr>
              <w:spacing w:line="420" w:lineRule="exact"/>
              <w:ind w:left="0" w:leftChars="0" w:firstLine="0" w:firstLineChars="0"/>
              <w:jc w:val="center"/>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套</w:t>
            </w:r>
          </w:p>
        </w:tc>
      </w:tr>
    </w:tbl>
    <w:p w14:paraId="51171B47">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right="0" w:rightChars="0"/>
        <w:jc w:val="both"/>
        <w:textAlignment w:val="auto"/>
        <w:rPr>
          <w:rFonts w:hint="eastAsia" w:ascii="Times New Roman" w:hAnsi="Times New Roman" w:cs="Times New Roman"/>
          <w:sz w:val="24"/>
          <w:szCs w:val="22"/>
          <w:lang w:val="en-US" w:eastAsia="zh-CN" w:bidi="zh-CN"/>
        </w:rPr>
      </w:pPr>
    </w:p>
    <w:p w14:paraId="4D3B5EA1">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both"/>
        <w:textAlignment w:val="auto"/>
        <w:rPr>
          <w:rFonts w:hint="eastAsia" w:ascii="Times New Roman" w:hAnsi="Times New Roman" w:cs="Times New Roman"/>
          <w:sz w:val="24"/>
          <w:szCs w:val="22"/>
          <w:lang w:val="en-US" w:eastAsia="zh-CN" w:bidi="zh-CN"/>
        </w:rPr>
      </w:pPr>
      <w:r>
        <w:rPr>
          <w:rFonts w:hint="eastAsia" w:ascii="Times New Roman" w:hAnsi="Times New Roman" w:cs="Times New Roman"/>
          <w:sz w:val="24"/>
          <w:szCs w:val="22"/>
          <w:lang w:val="en-US" w:eastAsia="zh-CN" w:bidi="zh-CN"/>
        </w:rPr>
        <w:t>2、具体参数要求</w:t>
      </w:r>
    </w:p>
    <w:p w14:paraId="398454CB">
      <w:pPr>
        <w:spacing w:line="420" w:lineRule="exact"/>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招标文件在以下技术要求中指出的工艺、参数、型号、尺寸、质量仅作为说明并没有限制性，供应商可以在投标文件中选用同类替代标准，但这些替代标准要相当于或优于技术要求中规定的标准。本项目核心产品为：触控一体机</w:t>
      </w:r>
    </w:p>
    <w:tbl>
      <w:tblPr>
        <w:tblStyle w:val="7"/>
        <w:tblW w:w="85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
        <w:gridCol w:w="1417"/>
        <w:gridCol w:w="5337"/>
        <w:gridCol w:w="895"/>
      </w:tblGrid>
      <w:tr w14:paraId="09002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95" w:type="dxa"/>
            <w:noWrap w:val="0"/>
            <w:vAlign w:val="center"/>
          </w:tcPr>
          <w:p w14:paraId="72736D74">
            <w:pPr>
              <w:keepNext/>
              <w:snapToGrid w:val="0"/>
              <w:spacing w:before="240" w:after="240" w:line="240" w:lineRule="auto"/>
              <w:ind w:left="0" w:leftChars="0" w:right="0" w:rightChars="0" w:firstLine="0" w:firstLineChars="0"/>
              <w:jc w:val="center"/>
              <w:rPr>
                <w:rFonts w:hint="eastAsia" w:ascii="仿宋" w:hAnsi="仿宋" w:eastAsia="仿宋" w:cs="仿宋"/>
                <w:b/>
                <w:bCs/>
                <w:sz w:val="24"/>
              </w:rPr>
            </w:pPr>
            <w:r>
              <w:rPr>
                <w:rFonts w:hint="eastAsia" w:ascii="仿宋" w:hAnsi="仿宋" w:eastAsia="仿宋" w:cs="仿宋"/>
                <w:b/>
                <w:bCs/>
                <w:sz w:val="24"/>
              </w:rPr>
              <w:t>序号</w:t>
            </w:r>
          </w:p>
        </w:tc>
        <w:tc>
          <w:tcPr>
            <w:tcW w:w="1417" w:type="dxa"/>
            <w:noWrap w:val="0"/>
            <w:vAlign w:val="center"/>
          </w:tcPr>
          <w:p w14:paraId="2C24516B">
            <w:pPr>
              <w:keepNext/>
              <w:snapToGrid w:val="0"/>
              <w:spacing w:line="240" w:lineRule="auto"/>
              <w:ind w:left="0" w:leftChars="0" w:right="0" w:rightChars="0" w:firstLine="0" w:firstLineChars="0"/>
              <w:jc w:val="center"/>
              <w:rPr>
                <w:rFonts w:hint="eastAsia" w:ascii="仿宋" w:hAnsi="仿宋" w:eastAsia="仿宋" w:cs="仿宋"/>
                <w:b/>
                <w:bCs/>
                <w:sz w:val="24"/>
              </w:rPr>
            </w:pPr>
            <w:r>
              <w:rPr>
                <w:rFonts w:hint="eastAsia" w:ascii="仿宋" w:hAnsi="仿宋" w:eastAsia="仿宋" w:cs="仿宋"/>
                <w:b/>
                <w:bCs/>
                <w:sz w:val="24"/>
              </w:rPr>
              <w:t>货物名称</w:t>
            </w:r>
          </w:p>
        </w:tc>
        <w:tc>
          <w:tcPr>
            <w:tcW w:w="5336" w:type="dxa"/>
            <w:noWrap w:val="0"/>
            <w:vAlign w:val="center"/>
          </w:tcPr>
          <w:p w14:paraId="0F655AA6">
            <w:pPr>
              <w:keepNext/>
              <w:snapToGrid w:val="0"/>
              <w:spacing w:line="240" w:lineRule="auto"/>
              <w:ind w:left="0" w:leftChars="0" w:right="0" w:rightChars="0" w:firstLine="0" w:firstLineChars="0"/>
              <w:jc w:val="center"/>
              <w:rPr>
                <w:rFonts w:hint="eastAsia" w:ascii="仿宋" w:hAnsi="仿宋" w:eastAsia="仿宋" w:cs="仿宋"/>
                <w:b/>
                <w:bCs/>
                <w:sz w:val="24"/>
              </w:rPr>
            </w:pPr>
            <w:r>
              <w:rPr>
                <w:rFonts w:hint="eastAsia" w:ascii="仿宋" w:hAnsi="仿宋" w:eastAsia="仿宋" w:cs="仿宋"/>
                <w:b/>
                <w:bCs/>
                <w:sz w:val="24"/>
              </w:rPr>
              <w:t>参数要求</w:t>
            </w:r>
          </w:p>
        </w:tc>
        <w:tc>
          <w:tcPr>
            <w:tcW w:w="895" w:type="dxa"/>
            <w:noWrap w:val="0"/>
            <w:vAlign w:val="center"/>
          </w:tcPr>
          <w:p w14:paraId="19BA3BB5">
            <w:pPr>
              <w:keepNext/>
              <w:snapToGrid w:val="0"/>
              <w:spacing w:line="240" w:lineRule="auto"/>
              <w:ind w:left="0" w:leftChars="0" w:right="0" w:rightChars="0" w:firstLine="0" w:firstLineChars="0"/>
              <w:jc w:val="center"/>
              <w:rPr>
                <w:rFonts w:hint="eastAsia" w:ascii="仿宋" w:hAnsi="仿宋" w:eastAsia="仿宋" w:cs="仿宋"/>
                <w:b/>
                <w:bCs/>
                <w:sz w:val="24"/>
              </w:rPr>
            </w:pPr>
            <w:r>
              <w:rPr>
                <w:rFonts w:hint="eastAsia" w:ascii="仿宋" w:hAnsi="仿宋" w:eastAsia="仿宋" w:cs="仿宋"/>
                <w:b/>
                <w:bCs/>
                <w:sz w:val="24"/>
              </w:rPr>
              <w:t>数量</w:t>
            </w:r>
          </w:p>
        </w:tc>
      </w:tr>
      <w:tr w14:paraId="7819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2609D91E">
            <w:pPr>
              <w:keepNext/>
              <w:widowControl/>
              <w:snapToGrid w:val="0"/>
              <w:spacing w:line="240" w:lineRule="auto"/>
              <w:ind w:left="0" w:leftChars="0" w:right="0" w:rightChars="0" w:firstLine="0" w:firstLineChars="0"/>
              <w:jc w:val="center"/>
              <w:textAlignment w:val="center"/>
              <w:rPr>
                <w:rFonts w:hint="eastAsia" w:ascii="仿宋" w:hAnsi="仿宋" w:eastAsia="仿宋" w:cs="仿宋"/>
                <w:sz w:val="24"/>
              </w:rPr>
            </w:pPr>
            <w:r>
              <w:rPr>
                <w:rFonts w:hint="eastAsia" w:ascii="仿宋" w:hAnsi="仿宋" w:eastAsia="仿宋" w:cs="仿宋"/>
                <w:color w:val="000000"/>
                <w:kern w:val="0"/>
                <w:sz w:val="24"/>
                <w:lang w:bidi="ar"/>
              </w:rPr>
              <w:t>1</w:t>
            </w:r>
          </w:p>
        </w:tc>
        <w:tc>
          <w:tcPr>
            <w:tcW w:w="1417" w:type="dxa"/>
            <w:noWrap w:val="0"/>
            <w:vAlign w:val="center"/>
          </w:tcPr>
          <w:p w14:paraId="55F585CE">
            <w:pPr>
              <w:keepNext/>
              <w:widowControl/>
              <w:snapToGrid w:val="0"/>
              <w:spacing w:line="240" w:lineRule="auto"/>
              <w:ind w:left="0" w:leftChars="0" w:right="0" w:rightChars="0" w:firstLine="0" w:firstLineChars="0"/>
              <w:jc w:val="left"/>
              <w:textAlignment w:val="center"/>
              <w:rPr>
                <w:rFonts w:hint="eastAsia" w:ascii="仿宋" w:hAnsi="仿宋" w:eastAsia="仿宋" w:cs="仿宋"/>
                <w:sz w:val="24"/>
              </w:rPr>
            </w:pPr>
            <w:r>
              <w:rPr>
                <w:rFonts w:hint="eastAsia" w:ascii="仿宋" w:hAnsi="仿宋" w:eastAsia="仿宋" w:cs="仿宋"/>
                <w:color w:val="000000"/>
                <w:kern w:val="0"/>
                <w:sz w:val="24"/>
                <w:lang w:bidi="ar"/>
              </w:rPr>
              <w:t>触控一体机（智能交互黑板）</w:t>
            </w:r>
          </w:p>
        </w:tc>
        <w:tc>
          <w:tcPr>
            <w:tcW w:w="5336" w:type="dxa"/>
            <w:noWrap w:val="0"/>
            <w:vAlign w:val="center"/>
          </w:tcPr>
          <w:p w14:paraId="2D2BA186">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一、硬件</w:t>
            </w:r>
          </w:p>
          <w:p w14:paraId="01619F71">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w:t>
            </w:r>
            <w:r>
              <w:rPr>
                <w:rFonts w:hint="eastAsia" w:ascii="仿宋" w:hAnsi="仿宋" w:eastAsia="仿宋" w:cs="仿宋"/>
                <w:sz w:val="24"/>
              </w:rPr>
              <w:t>整体外观尺寸：宽≥4200mm，高≥1200mm，厚≤122mm。</w:t>
            </w:r>
          </w:p>
          <w:p w14:paraId="0AD0EDE1">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2、</w:t>
            </w:r>
            <w:r>
              <w:rPr>
                <w:rFonts w:hint="eastAsia" w:ascii="仿宋" w:hAnsi="仿宋" w:eastAsia="仿宋" w:cs="仿宋"/>
                <w:sz w:val="24"/>
              </w:rPr>
              <w:t>整机屏幕采用86英寸液晶显示器。</w:t>
            </w:r>
          </w:p>
          <w:p w14:paraId="63CB2655">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整机采用≥12核国产化嵌入式芯片，CPU≥8核，整机嵌入式系统版本≥Android 15，主频≥1.6GHz，内存≥2GB，DDR最大速率≥2666MT/S，存储空间≥32GB。</w:t>
            </w:r>
          </w:p>
          <w:p w14:paraId="54C1B95D">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整机CPU芯片，WIFI与蓝牙芯片、摄像头图像处理芯片、均采用国产自主芯片。</w:t>
            </w:r>
          </w:p>
          <w:p w14:paraId="07F08977">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5、</w:t>
            </w:r>
            <w:r>
              <w:rPr>
                <w:rFonts w:hint="eastAsia" w:ascii="仿宋" w:hAnsi="仿宋" w:eastAsia="仿宋" w:cs="仿宋"/>
                <w:sz w:val="24"/>
              </w:rPr>
              <w:t>整机从待机状态下（待机功耗≤0.5W），≤12s可快速开机进入到系统主页，并达到可触控状态。</w:t>
            </w:r>
          </w:p>
          <w:p w14:paraId="7DC5B03B">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6、</w:t>
            </w:r>
            <w:r>
              <w:rPr>
                <w:rFonts w:hint="eastAsia" w:ascii="仿宋" w:hAnsi="仿宋" w:eastAsia="仿宋" w:cs="仿宋"/>
                <w:sz w:val="24"/>
              </w:rPr>
              <w:t>从内部Android通道切换到内部PC通道后，触摸框在1s内达到可触控状态。</w:t>
            </w:r>
          </w:p>
          <w:p w14:paraId="26CA3916">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从内部PC通道切换到外部通道后，触摸框在3s内达到可触控状态。</w:t>
            </w:r>
          </w:p>
          <w:p w14:paraId="780118DB">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8、</w:t>
            </w:r>
            <w:r>
              <w:rPr>
                <w:rFonts w:hint="eastAsia" w:ascii="仿宋" w:hAnsi="仿宋" w:eastAsia="仿宋" w:cs="仿宋"/>
                <w:sz w:val="24"/>
              </w:rPr>
              <w:t>整机内置2.2 声道扬声器，位于设备上边框，顶置朝前发声，12W高音扬声器2个，上朝向30W中低音扬声器2个，最大功率≥84W，单个扬声器容积≥0.62L，最低谐振频率≤85Hz。</w:t>
            </w:r>
          </w:p>
          <w:p w14:paraId="0F324CBA">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整机全部扬声器均采用模块化设计，无需打开背板即可单独拆卸，便于维护。</w:t>
            </w:r>
          </w:p>
          <w:p w14:paraId="745F9CEA">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10、</w:t>
            </w:r>
            <w:r>
              <w:rPr>
                <w:rFonts w:hint="eastAsia" w:ascii="仿宋" w:hAnsi="仿宋" w:eastAsia="仿宋" w:cs="仿宋"/>
                <w:sz w:val="24"/>
              </w:rPr>
              <w:t>整机听力模式下具备AI人声语言增强功能，支持三挡强弱调节，通过AI算法提取视频/音频中的语言进行效果增强，在不增加音量的情况下提升语言清晰度，扩声系统语言传输指数（STIPA）≥0.75。</w:t>
            </w:r>
          </w:p>
          <w:p w14:paraId="060EB53A">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11、</w:t>
            </w:r>
            <w:r>
              <w:rPr>
                <w:rFonts w:hint="eastAsia" w:ascii="仿宋" w:hAnsi="仿宋" w:eastAsia="仿宋" w:cs="仿宋"/>
                <w:sz w:val="24"/>
              </w:rPr>
              <w:t>整机支持无线连接智能笔、领夹麦进行本地扩音，无需连接外置接收器硬件。</w:t>
            </w:r>
          </w:p>
          <w:p w14:paraId="2B0C26C5">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12、</w:t>
            </w:r>
            <w:r>
              <w:rPr>
                <w:rFonts w:hint="eastAsia" w:ascii="仿宋" w:hAnsi="仿宋" w:eastAsia="仿宋" w:cs="仿宋"/>
                <w:sz w:val="24"/>
              </w:rPr>
              <w:t>整机具备熄屏扩声功能，在关闭显示部分的情况下可播放音频及本地扩音，轻触显示部分可点亮屏幕。</w:t>
            </w:r>
          </w:p>
          <w:p w14:paraId="746979C3">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13、</w:t>
            </w:r>
            <w:r>
              <w:rPr>
                <w:rFonts w:hint="eastAsia" w:ascii="仿宋" w:hAnsi="仿宋" w:eastAsia="仿宋" w:cs="仿宋"/>
                <w:sz w:val="24"/>
              </w:rPr>
              <w:t>整机设备屏幕亮度：≥350cd/㎡。</w:t>
            </w:r>
          </w:p>
          <w:p w14:paraId="6DF60FF2">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14、</w:t>
            </w:r>
            <w:r>
              <w:rPr>
                <w:rFonts w:hint="eastAsia" w:ascii="仿宋" w:hAnsi="仿宋" w:eastAsia="仿宋" w:cs="仿宋"/>
                <w:sz w:val="24"/>
              </w:rPr>
              <w:t>屏幕采⽤≤3mm防眩钢化玻璃保护，表⾯硬度≥9H，莫氏硬度≥7级，透光率不低于91%，雾度≤8%。</w:t>
            </w:r>
          </w:p>
          <w:p w14:paraId="03A34ADB">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15、</w:t>
            </w:r>
            <w:r>
              <w:rPr>
                <w:rFonts w:hint="eastAsia" w:ascii="仿宋" w:hAnsi="仿宋" w:eastAsia="仿宋" w:cs="仿宋"/>
                <w:sz w:val="24"/>
              </w:rPr>
              <w:t>整机无线模块（Wi-Fi和蓝牙）采用独立模块化设计，无需拆卸整机后壳即可独立拆装。</w:t>
            </w:r>
          </w:p>
          <w:p w14:paraId="471C801B">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16、</w:t>
            </w:r>
            <w:r>
              <w:rPr>
                <w:rFonts w:hint="eastAsia" w:ascii="仿宋" w:hAnsi="仿宋" w:eastAsia="仿宋" w:cs="仿宋"/>
                <w:sz w:val="24"/>
              </w:rPr>
              <w:t>整机支持发出频率为18kHz-22kHz超声波信号，智能手机和笔记本电脑接收超声波信号后可以自动识别附近投屏设备，点击对应设备即可完成投屏操作。</w:t>
            </w:r>
          </w:p>
          <w:p w14:paraId="6A84EFBC">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17、</w:t>
            </w:r>
            <w:r>
              <w:rPr>
                <w:rFonts w:hint="eastAsia" w:ascii="仿宋" w:hAnsi="仿宋" w:eastAsia="仿宋" w:cs="仿宋"/>
                <w:sz w:val="24"/>
              </w:rPr>
              <w:t>整机PC通道及安卓通道各具备一颗WiFi6无线芯片，PC和安卓通道均可通过大屏发送WiFi6热点以及连接WiFi6的路由器。</w:t>
            </w:r>
          </w:p>
          <w:p w14:paraId="15D6846A">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18、</w:t>
            </w:r>
            <w:r>
              <w:rPr>
                <w:rFonts w:hint="eastAsia" w:ascii="仿宋" w:hAnsi="仿宋" w:eastAsia="仿宋" w:cs="仿宋"/>
                <w:sz w:val="24"/>
              </w:rPr>
              <w:t>整机内置非独立广角高清摄像头，像素不小于5000万，视场角≥135度且水平视场角≥120度，支持输出4:3、16:9比例的图片和视频；在清晰度为3840x2160（4K）分辨率下，支持30帧的视频输出，支持画面畸变矫正功能 。</w:t>
            </w:r>
          </w:p>
          <w:p w14:paraId="4F824DA7">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19、</w:t>
            </w:r>
            <w:r>
              <w:rPr>
                <w:rFonts w:hint="eastAsia" w:ascii="仿宋" w:hAnsi="仿宋" w:eastAsia="仿宋" w:cs="仿宋"/>
                <w:sz w:val="24"/>
              </w:rPr>
              <w:t>整机内置智能体AI图像生成功能 ，支持通过语音与大屏开展职业主题对话交互。大屏可同步生成对应职业形象，并将其转化为对话智能体实现双向对话交流。</w:t>
            </w:r>
          </w:p>
          <w:p w14:paraId="4F9DA512">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20、</w:t>
            </w:r>
            <w:r>
              <w:rPr>
                <w:rFonts w:hint="eastAsia" w:ascii="仿宋" w:hAnsi="仿宋" w:eastAsia="仿宋" w:cs="仿宋"/>
                <w:sz w:val="24"/>
              </w:rPr>
              <w:t>整机具备班级视力检测功能，学⽣站在距离屏幕前5m处，可通过⼿势识别方式来标识方向进行视力测试，测试完成后可直接生成视力检测结果，并建立学生视力档案，对学生视力情况进⾏管理。</w:t>
            </w:r>
          </w:p>
          <w:p w14:paraId="57653638">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21、</w:t>
            </w:r>
            <w:r>
              <w:rPr>
                <w:rFonts w:hint="eastAsia" w:ascii="仿宋" w:hAnsi="仿宋" w:eastAsia="仿宋" w:cs="仿宋"/>
                <w:sz w:val="24"/>
              </w:rPr>
              <w:t>整机书写触控延迟≤25ms。</w:t>
            </w:r>
          </w:p>
          <w:p w14:paraId="41BC6A05">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22、</w:t>
            </w:r>
            <w:r>
              <w:rPr>
                <w:rFonts w:hint="eastAsia" w:ascii="仿宋" w:hAnsi="仿宋" w:eastAsia="仿宋" w:cs="仿宋"/>
                <w:sz w:val="24"/>
              </w:rPr>
              <w:t>整机具备屏体温度实时监控、高温预警及断电保护功能。</w:t>
            </w:r>
          </w:p>
          <w:p w14:paraId="6C54AD68">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23、</w:t>
            </w:r>
            <w:r>
              <w:rPr>
                <w:rFonts w:hint="eastAsia" w:ascii="仿宋" w:hAnsi="仿宋" w:eastAsia="仿宋" w:cs="仿宋"/>
                <w:sz w:val="24"/>
              </w:rPr>
              <w:t>整机支持通过机器序列号定向进行软件OTA升级。</w:t>
            </w:r>
          </w:p>
          <w:p w14:paraId="04A50340">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24、</w:t>
            </w:r>
            <w:r>
              <w:rPr>
                <w:rFonts w:hint="eastAsia" w:ascii="仿宋" w:hAnsi="仿宋" w:eastAsia="仿宋" w:cs="仿宋"/>
                <w:sz w:val="24"/>
              </w:rPr>
              <w:t>整机内置AR授课工具，支持对视频展台所采集的画面中叠加动态的3D 模型。3D模型包括：动物、微生物、人体骨骼、乐器、星球、地形。</w:t>
            </w:r>
          </w:p>
          <w:p w14:paraId="35FFD005">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25、</w:t>
            </w:r>
            <w:r>
              <w:rPr>
                <w:rFonts w:hint="eastAsia" w:ascii="仿宋" w:hAnsi="仿宋" w:eastAsia="仿宋" w:cs="仿宋"/>
                <w:sz w:val="24"/>
              </w:rPr>
              <w:t>整机内置AI授课工具，支持对整机页面显示的题目或视频展台所采集的题目内容进行识别，支持手动框选题目范围，能够对题目进行详细的讲解，讲解内容包括解题步骤和注意事项。</w:t>
            </w:r>
          </w:p>
          <w:p w14:paraId="236A9505">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26、</w:t>
            </w:r>
            <w:r>
              <w:rPr>
                <w:rFonts w:hint="eastAsia" w:ascii="仿宋" w:hAnsi="仿宋" w:eastAsia="仿宋" w:cs="仿宋"/>
                <w:sz w:val="24"/>
              </w:rPr>
              <w:t>采用抽拉内置式模块化电脑： CPU性能≥I5，内存≥ 8GB DDR4。硬盘≥256GB SSD固态硬盘，和整机的连接采用万兆级接口，传输速率≥10Gbps。采用按压式卡扣，无需工具就可快速拆卸电脑模块。</w:t>
            </w:r>
          </w:p>
        </w:tc>
        <w:tc>
          <w:tcPr>
            <w:tcW w:w="895" w:type="dxa"/>
            <w:noWrap w:val="0"/>
            <w:vAlign w:val="center"/>
          </w:tcPr>
          <w:p w14:paraId="3F22CB17">
            <w:pPr>
              <w:keepNext/>
              <w:snapToGrid w:val="0"/>
              <w:spacing w:line="240" w:lineRule="auto"/>
              <w:ind w:left="0" w:leftChars="0" w:right="0" w:rightChars="0" w:firstLine="0" w:firstLineChars="0"/>
              <w:jc w:val="center"/>
              <w:rPr>
                <w:rFonts w:hint="eastAsia" w:ascii="仿宋" w:hAnsi="仿宋" w:eastAsia="仿宋" w:cs="仿宋"/>
                <w:sz w:val="24"/>
              </w:rPr>
            </w:pPr>
            <w:r>
              <w:rPr>
                <w:rFonts w:hint="eastAsia" w:ascii="仿宋" w:hAnsi="仿宋" w:eastAsia="仿宋" w:cs="仿宋"/>
                <w:sz w:val="24"/>
              </w:rPr>
              <w:t>22</w:t>
            </w:r>
          </w:p>
        </w:tc>
      </w:tr>
      <w:tr w14:paraId="75F7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2EF6698D">
            <w:pPr>
              <w:keepNext/>
              <w:widowControl/>
              <w:snapToGrid w:val="0"/>
              <w:spacing w:line="240" w:lineRule="auto"/>
              <w:ind w:left="0" w:leftChars="0" w:right="0" w:rightChars="0" w:firstLine="0" w:firstLineChars="0"/>
              <w:jc w:val="center"/>
              <w:textAlignment w:val="center"/>
              <w:rPr>
                <w:rFonts w:hint="eastAsia" w:ascii="仿宋" w:hAnsi="仿宋" w:eastAsia="仿宋" w:cs="仿宋"/>
                <w:sz w:val="24"/>
              </w:rPr>
            </w:pPr>
            <w:r>
              <w:rPr>
                <w:rFonts w:hint="eastAsia" w:ascii="仿宋" w:hAnsi="仿宋" w:eastAsia="仿宋" w:cs="仿宋"/>
                <w:color w:val="000000"/>
                <w:kern w:val="0"/>
                <w:sz w:val="24"/>
                <w:lang w:bidi="ar"/>
              </w:rPr>
              <w:t>2</w:t>
            </w:r>
          </w:p>
        </w:tc>
        <w:tc>
          <w:tcPr>
            <w:tcW w:w="1417" w:type="dxa"/>
            <w:noWrap w:val="0"/>
            <w:vAlign w:val="center"/>
          </w:tcPr>
          <w:p w14:paraId="448C8F25">
            <w:pPr>
              <w:keepNext/>
              <w:widowControl/>
              <w:snapToGrid w:val="0"/>
              <w:spacing w:line="240" w:lineRule="auto"/>
              <w:ind w:left="0" w:leftChars="0" w:right="0" w:rightChars="0" w:firstLine="0" w:firstLineChars="0"/>
              <w:jc w:val="left"/>
              <w:textAlignment w:val="center"/>
              <w:rPr>
                <w:rFonts w:hint="eastAsia" w:ascii="仿宋" w:hAnsi="仿宋" w:eastAsia="仿宋" w:cs="仿宋"/>
                <w:color w:val="000000"/>
                <w:sz w:val="24"/>
              </w:rPr>
            </w:pPr>
            <w:r>
              <w:rPr>
                <w:rFonts w:hint="eastAsia" w:ascii="仿宋" w:hAnsi="仿宋" w:eastAsia="仿宋" w:cs="仿宋"/>
                <w:color w:val="000000"/>
                <w:sz w:val="24"/>
              </w:rPr>
              <w:t>无线扩音</w:t>
            </w:r>
          </w:p>
          <w:p w14:paraId="2AFA9D97">
            <w:pPr>
              <w:keepNext/>
              <w:widowControl/>
              <w:snapToGrid w:val="0"/>
              <w:spacing w:line="240" w:lineRule="auto"/>
              <w:ind w:left="0" w:leftChars="0" w:right="0" w:rightChars="0" w:firstLine="0" w:firstLineChars="0"/>
              <w:jc w:val="left"/>
              <w:textAlignment w:val="center"/>
              <w:rPr>
                <w:rFonts w:hint="eastAsia" w:ascii="仿宋" w:hAnsi="仿宋" w:eastAsia="仿宋" w:cs="仿宋"/>
                <w:sz w:val="24"/>
              </w:rPr>
            </w:pPr>
            <w:r>
              <w:rPr>
                <w:rFonts w:hint="eastAsia" w:ascii="仿宋" w:hAnsi="仿宋" w:eastAsia="仿宋" w:cs="仿宋"/>
                <w:color w:val="000000"/>
                <w:sz w:val="24"/>
              </w:rPr>
              <w:t>系统</w:t>
            </w:r>
          </w:p>
        </w:tc>
        <w:tc>
          <w:tcPr>
            <w:tcW w:w="5336" w:type="dxa"/>
            <w:noWrap w:val="0"/>
            <w:vAlign w:val="center"/>
          </w:tcPr>
          <w:p w14:paraId="68F3A785">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一、音箱</w:t>
            </w:r>
          </w:p>
          <w:p w14:paraId="67477F8D">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1、内置2.0声道功率放大器，具有数字式短路保护装置确保产品稳定性和安全性。</w:t>
            </w:r>
          </w:p>
          <w:p w14:paraId="23CF9770">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2、内置高低音音调电路，人声更加清晰通透，方便教学。</w:t>
            </w:r>
          </w:p>
          <w:p w14:paraId="7AFBE300">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3、具有≥2路线路输入接口。</w:t>
            </w:r>
          </w:p>
          <w:p w14:paraId="5D76400E">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4、每只音箱具有≥1个6.5寸低音喇叭和≥1个3寸高音喇叭。</w:t>
            </w:r>
          </w:p>
          <w:p w14:paraId="3B865C2F">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5、烤漆防护罩铁网；标配壁挂安装配件，安装简单。</w:t>
            </w:r>
          </w:p>
          <w:p w14:paraId="15174D16">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6、额定音频输出功率：≥30W</w:t>
            </w:r>
          </w:p>
          <w:p w14:paraId="36DFBC6A">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7、频响范围：70Hz-20kHz（±3dB）</w:t>
            </w:r>
          </w:p>
          <w:p w14:paraId="62719CBE">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8、信噪比：≥82dB（A计权）</w:t>
            </w:r>
          </w:p>
          <w:p w14:paraId="5E19ADBD">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9、最大声压级：≥101dB</w:t>
            </w:r>
          </w:p>
          <w:p w14:paraId="50C96F6A">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10、音箱灵敏度：≥89dB</w:t>
            </w:r>
          </w:p>
          <w:p w14:paraId="5C8C9E6A">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二、麦克风</w:t>
            </w:r>
          </w:p>
          <w:p w14:paraId="18EA35DD">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1、麦克风主体长宽≤30mm，领夹采用硅胶材质，麦克风主体与磁吸领夹一体式设计，磁吸夹无丢失风险。</w:t>
            </w:r>
          </w:p>
          <w:p w14:paraId="64E37EA1">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2、麦克风内置NFC模块，无线麦克风开机后，触碰接收主机对频区域即可完成对频，对频完成后自动锁频，杜绝串频风险。</w:t>
            </w:r>
          </w:p>
          <w:p w14:paraId="692536D5">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3、采用2.4GHz自适应跳频技术，支持48KHz/24bit无损音质传输，确保人声清晰饱满，低中高频均衡，还原度高。</w:t>
            </w:r>
          </w:p>
          <w:p w14:paraId="76FB7CCD">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4、单台接收主机可实现两支无线麦克风同时使用，实现师生互动。支持≥3套系统在相邻教室同时使用互不干扰。</w:t>
            </w:r>
          </w:p>
          <w:p w14:paraId="7F5A8ED4">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5、麦克风含≤2个按键，侧面按键支持电源开关与静音功能；正面按键支持语音指令功能：按住正面语音指令按键可通过语音指令对一体机、智慧黑板、电脑等设备中打开或关闭已下载的常用软件、幻灯片放映、PPT上下翻页等功能。</w:t>
            </w:r>
          </w:p>
          <w:p w14:paraId="65FC0159">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6、单次充满电可连续使用≥6小时。放入充电仓可通过POG PIN进行充电，并可在软件内查看麦克风实时电量、在位状态、音量等信息。</w:t>
            </w:r>
          </w:p>
          <w:p w14:paraId="2BC72445">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7、麦克风可通过内置红、绿、黄三色LED灯清晰指示对频、使用、静音、充电、低电量、断频等状态。</w:t>
            </w:r>
          </w:p>
          <w:p w14:paraId="5A9DD54F">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8、麦克风具有归还提醒功能，麦克风被带离使用区域后，麦克风发出蜂鸣声即刻提醒。</w:t>
            </w:r>
          </w:p>
          <w:p w14:paraId="3B7F9E1F">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9、音频延时：≤16ms</w:t>
            </w:r>
          </w:p>
          <w:p w14:paraId="0E428451">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10、拾音范围：≥50cm</w:t>
            </w:r>
          </w:p>
          <w:p w14:paraId="1FA5EADC">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11、频响范围：等于或优于70Hz - 20kHz (±3dB)</w:t>
            </w:r>
          </w:p>
          <w:p w14:paraId="69877242">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12、信噪比：≥81dB</w:t>
            </w:r>
          </w:p>
          <w:p w14:paraId="32D70E3D">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13、失真度：&lt;1% (100Hz - 20kHz)</w:t>
            </w:r>
          </w:p>
          <w:p w14:paraId="5F24BE5B">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14、无线距离：室内&gt;20米，户外&gt;30米（稳定无断续）</w:t>
            </w:r>
          </w:p>
          <w:p w14:paraId="5959C54E">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15、连续使用时间：≥6小时</w:t>
            </w:r>
          </w:p>
          <w:p w14:paraId="6F6E2DCE">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16、充电时间：≤1.5-2小时</w:t>
            </w:r>
          </w:p>
          <w:p w14:paraId="51F25D96">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17、整机重量：≤12g</w:t>
            </w:r>
          </w:p>
          <w:p w14:paraId="0F943A1F">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三、AI接收主机</w:t>
            </w:r>
          </w:p>
          <w:p w14:paraId="2F67D162">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1、麦克风无线接收主机、AI音频处理器、双麦充电仓一体式设计。接收主机前面板带透明窗可查看麦克风充电状态，顶部内置双充电槽，翻盖保护罩可开合。</w:t>
            </w:r>
          </w:p>
          <w:p w14:paraId="65D7E27A">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2、整机采用壁挂式外观设计、背部具有≥4个壁挂孔位。</w:t>
            </w:r>
          </w:p>
          <w:p w14:paraId="5CFDE0DB">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3、接收主机内置AI降噪与AI反馈抑制算法，无需调试可做到：</w:t>
            </w:r>
          </w:p>
          <w:p w14:paraId="56C5746B">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完全消除课堂稳态噪声，降噪深度≥30dB（如风扇、建筑噪音等持续噪音）</w:t>
            </w:r>
          </w:p>
          <w:p w14:paraId="49ACE0C7">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完全消除非稳态噪声，降噪深度≥30dB（敲击、摩擦、跌落等突发噪音）</w:t>
            </w:r>
          </w:p>
          <w:p w14:paraId="3A13964D">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4、接收主机内置喇叭，支持对开机、对频指引、音量调节、麦克风归还提醒等进行中文语音播报。</w:t>
            </w:r>
          </w:p>
          <w:p w14:paraId="6D51DD6A">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5、接收主机具有≥1路3.5mm立体声课件输入、≥1路3.5mm混合输出、≥1路3.5mm独立语音输出、≥1路USB语音控制接口，可同时满足本地扩声、远程录播及PC语音控制需求。</w:t>
            </w:r>
          </w:p>
          <w:p w14:paraId="04EB0D3A">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6、可通过PC软件，实时查看麦克风电量、在位状态，调节音量、音效模式（清亮/标准/浑厚），并设置智能提示模式开关。</w:t>
            </w:r>
          </w:p>
          <w:p w14:paraId="467BB2A5">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7、接收主机前面板采用触摸式音量“+、-”键，且音量加减时主机内置喇叭具有中文语音播报。接收主机前面板配备红绿双色状态指示灯，清晰显示对频、连接、语音识别、音量调节等状态。</w:t>
            </w:r>
          </w:p>
          <w:p w14:paraId="2995A573">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8、无线制式：2.4GHz 自适应跳频</w:t>
            </w:r>
          </w:p>
          <w:p w14:paraId="30DEF365">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9、频响范围：等于或优于70Hz - 20kHz</w:t>
            </w:r>
          </w:p>
          <w:p w14:paraId="2DFADDB8">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10、AI降噪深度：≥30dB（支持稳态与非稳态噪声）</w:t>
            </w:r>
          </w:p>
          <w:p w14:paraId="3E28AE93">
            <w:pPr>
              <w:pStyle w:val="10"/>
              <w:keepNext/>
              <w:snapToGrid w:val="0"/>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11、反馈抑制增益提升：≥12dB</w:t>
            </w:r>
          </w:p>
          <w:p w14:paraId="73FCF243">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12、电源输入：DC 12V/1A</w:t>
            </w:r>
          </w:p>
        </w:tc>
        <w:tc>
          <w:tcPr>
            <w:tcW w:w="895" w:type="dxa"/>
            <w:noWrap w:val="0"/>
            <w:vAlign w:val="center"/>
          </w:tcPr>
          <w:p w14:paraId="7BB44B45">
            <w:pPr>
              <w:keepNext/>
              <w:snapToGrid w:val="0"/>
              <w:spacing w:line="240" w:lineRule="auto"/>
              <w:ind w:left="0" w:leftChars="0" w:right="0" w:rightChars="0" w:firstLine="0" w:firstLineChars="0"/>
              <w:jc w:val="center"/>
              <w:rPr>
                <w:rFonts w:hint="eastAsia" w:ascii="仿宋" w:hAnsi="仿宋" w:eastAsia="仿宋" w:cs="仿宋"/>
                <w:sz w:val="24"/>
              </w:rPr>
            </w:pPr>
            <w:r>
              <w:rPr>
                <w:rFonts w:hint="eastAsia" w:ascii="仿宋" w:hAnsi="仿宋" w:eastAsia="仿宋" w:cs="仿宋"/>
                <w:sz w:val="24"/>
              </w:rPr>
              <w:t>22</w:t>
            </w:r>
          </w:p>
        </w:tc>
      </w:tr>
      <w:tr w14:paraId="4285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1427D404">
            <w:pPr>
              <w:keepNext/>
              <w:widowControl/>
              <w:snapToGrid w:val="0"/>
              <w:spacing w:line="240" w:lineRule="auto"/>
              <w:ind w:left="0" w:leftChars="0" w:right="0" w:rightChars="0" w:firstLine="0" w:firstLineChars="0"/>
              <w:jc w:val="center"/>
              <w:textAlignment w:val="center"/>
              <w:rPr>
                <w:rFonts w:hint="eastAsia" w:ascii="仿宋" w:hAnsi="仿宋" w:eastAsia="仿宋" w:cs="仿宋"/>
                <w:sz w:val="24"/>
              </w:rPr>
            </w:pPr>
            <w:r>
              <w:rPr>
                <w:rFonts w:hint="eastAsia" w:ascii="仿宋" w:hAnsi="仿宋" w:eastAsia="仿宋" w:cs="仿宋"/>
                <w:color w:val="000000"/>
                <w:kern w:val="0"/>
                <w:sz w:val="24"/>
                <w:lang w:bidi="ar"/>
              </w:rPr>
              <w:t>3</w:t>
            </w:r>
          </w:p>
        </w:tc>
        <w:tc>
          <w:tcPr>
            <w:tcW w:w="1417" w:type="dxa"/>
            <w:noWrap w:val="0"/>
            <w:vAlign w:val="center"/>
          </w:tcPr>
          <w:p w14:paraId="4D742CB2">
            <w:pPr>
              <w:keepNext/>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color w:val="000000"/>
                <w:sz w:val="24"/>
              </w:rPr>
              <w:t>壁挂展台</w:t>
            </w:r>
          </w:p>
        </w:tc>
        <w:tc>
          <w:tcPr>
            <w:tcW w:w="5336" w:type="dxa"/>
            <w:noWrap w:val="0"/>
            <w:vAlign w:val="center"/>
          </w:tcPr>
          <w:p w14:paraId="3DDD22FB">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w:t>
            </w:r>
            <w:r>
              <w:rPr>
                <w:rFonts w:hint="eastAsia" w:ascii="仿宋" w:hAnsi="仿宋" w:eastAsia="仿宋" w:cs="仿宋"/>
                <w:sz w:val="24"/>
              </w:rPr>
              <w:t>采用≥800万像素摄像头；采用 USB电源直接供电，无需额外配置电源适配器；箱内USB连线采用隐藏式设计，箱内无可见连线且USB口下出。</w:t>
            </w:r>
          </w:p>
          <w:p w14:paraId="212ACB7F">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2.</w:t>
            </w:r>
            <w:r>
              <w:rPr>
                <w:rFonts w:hint="eastAsia" w:ascii="仿宋" w:hAnsi="仿宋" w:eastAsia="仿宋" w:cs="仿宋"/>
                <w:sz w:val="24"/>
              </w:rPr>
              <w:t>A4大小拍摄幅面，1080P动态视频预览达到30帧/秒。</w:t>
            </w:r>
          </w:p>
          <w:p w14:paraId="35502283">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整机采用圆弧式设计，无锐角；托板可承重3kg，同时托板采用磁吸吸附式机构。</w:t>
            </w:r>
          </w:p>
          <w:p w14:paraId="3FB5D4C2">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支持展台画面实时批注，预设多种笔划粗细及颜色供选择，且支持对展台画面联同批注内容进行同步缩放、移动。</w:t>
            </w:r>
          </w:p>
          <w:p w14:paraId="37DA09D6">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5.</w:t>
            </w:r>
            <w:r>
              <w:rPr>
                <w:rFonts w:hint="eastAsia" w:ascii="仿宋" w:hAnsi="仿宋" w:eastAsia="仿宋" w:cs="仿宋"/>
                <w:sz w:val="24"/>
              </w:rPr>
              <w:t>支持展台画面拍照截图并进行多图预览，可对任一图片进行全屏显示。</w:t>
            </w:r>
          </w:p>
          <w:p w14:paraId="07CB901D">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6.</w:t>
            </w:r>
            <w:r>
              <w:rPr>
                <w:rFonts w:hint="eastAsia" w:ascii="仿宋" w:hAnsi="仿宋" w:eastAsia="仿宋" w:cs="仿宋"/>
                <w:sz w:val="24"/>
              </w:rPr>
              <w:t>老师可在一体机或电脑上选择延时拍照功能，支持5秒或10秒延时模式，可调整拍摄内容。</w:t>
            </w:r>
          </w:p>
          <w:p w14:paraId="1C83B36A">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具备图像增强功能，可自动裁剪背景并增强文字显示，使文档画面更清晰。</w:t>
            </w:r>
          </w:p>
          <w:p w14:paraId="5B24DCA6">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8.</w:t>
            </w:r>
            <w:r>
              <w:rPr>
                <w:rFonts w:hint="eastAsia" w:ascii="仿宋" w:hAnsi="仿宋" w:eastAsia="仿宋" w:cs="仿宋"/>
                <w:sz w:val="24"/>
              </w:rPr>
              <w:t>可选择图像、文本或动态等多种情景模式，适应不同展示内容。</w:t>
            </w:r>
          </w:p>
          <w:p w14:paraId="2DC00A47">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打开扫一扫功能后，将书本上的二维码放入扫描框内即可自动扫描，并进入系统浏览器获取二维码的链接内容，可获取电子教学资源。</w:t>
            </w:r>
          </w:p>
          <w:p w14:paraId="1AA43853">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eastAsia="仿宋" w:cs="宋体"/>
                <w:color w:val="auto"/>
                <w:kern w:val="0"/>
                <w:sz w:val="24"/>
                <w:szCs w:val="21"/>
                <w:highlight w:val="none"/>
                <w:lang w:val="en-US" w:eastAsia="zh-CN" w:bidi="ar"/>
              </w:rPr>
              <w:t>10.</w:t>
            </w: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支持故障自动检测，在软件无法出现展台拍摄画面时，自动出现检测链接，检测“无画面”的原因，并给出引导性解决方案。可判断硬件连接、显卡驱动、摄像头占用、软件版本等问题。</w:t>
            </w:r>
          </w:p>
        </w:tc>
        <w:tc>
          <w:tcPr>
            <w:tcW w:w="895" w:type="dxa"/>
            <w:noWrap w:val="0"/>
            <w:vAlign w:val="center"/>
          </w:tcPr>
          <w:p w14:paraId="7C4E4A66">
            <w:pPr>
              <w:keepNext/>
              <w:snapToGrid w:val="0"/>
              <w:spacing w:line="240" w:lineRule="auto"/>
              <w:ind w:left="0" w:leftChars="0" w:right="0" w:rightChars="0" w:firstLine="0" w:firstLineChars="0"/>
              <w:jc w:val="center"/>
              <w:rPr>
                <w:rFonts w:hint="eastAsia" w:ascii="仿宋" w:hAnsi="仿宋" w:eastAsia="仿宋" w:cs="仿宋"/>
                <w:sz w:val="24"/>
              </w:rPr>
            </w:pPr>
            <w:r>
              <w:rPr>
                <w:rFonts w:hint="eastAsia" w:ascii="仿宋" w:hAnsi="仿宋" w:eastAsia="仿宋" w:cs="仿宋"/>
                <w:sz w:val="24"/>
              </w:rPr>
              <w:t>22</w:t>
            </w:r>
          </w:p>
        </w:tc>
      </w:tr>
      <w:tr w14:paraId="6C212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58A0A0F2">
            <w:pPr>
              <w:keepNext/>
              <w:widowControl/>
              <w:snapToGrid w:val="0"/>
              <w:spacing w:line="240" w:lineRule="auto"/>
              <w:ind w:left="0" w:leftChars="0" w:right="0" w:rightChars="0" w:firstLine="0" w:firstLineChars="0"/>
              <w:jc w:val="center"/>
              <w:textAlignment w:val="center"/>
              <w:rPr>
                <w:rFonts w:hint="eastAsia" w:ascii="仿宋" w:hAnsi="仿宋" w:eastAsia="仿宋" w:cs="仿宋"/>
                <w:sz w:val="24"/>
              </w:rPr>
            </w:pPr>
            <w:r>
              <w:rPr>
                <w:rFonts w:hint="eastAsia" w:ascii="仿宋" w:hAnsi="仿宋" w:eastAsia="仿宋" w:cs="仿宋"/>
                <w:color w:val="000000"/>
                <w:kern w:val="0"/>
                <w:sz w:val="24"/>
                <w:lang w:bidi="ar"/>
              </w:rPr>
              <w:t>4</w:t>
            </w:r>
          </w:p>
        </w:tc>
        <w:tc>
          <w:tcPr>
            <w:tcW w:w="1417" w:type="dxa"/>
            <w:noWrap w:val="0"/>
            <w:vAlign w:val="center"/>
          </w:tcPr>
          <w:p w14:paraId="5BA57BCD">
            <w:pPr>
              <w:keepNext/>
              <w:widowControl/>
              <w:snapToGrid w:val="0"/>
              <w:spacing w:line="240" w:lineRule="auto"/>
              <w:ind w:left="0" w:leftChars="0" w:right="0" w:rightChars="0" w:firstLine="0" w:firstLineChars="0"/>
              <w:jc w:val="left"/>
              <w:textAlignment w:val="center"/>
              <w:rPr>
                <w:rFonts w:hint="eastAsia" w:ascii="仿宋" w:hAnsi="仿宋" w:eastAsia="仿宋" w:cs="仿宋"/>
                <w:sz w:val="24"/>
              </w:rPr>
            </w:pPr>
            <w:r>
              <w:rPr>
                <w:rFonts w:hint="eastAsia" w:ascii="仿宋" w:hAnsi="仿宋" w:eastAsia="仿宋" w:cs="仿宋"/>
                <w:color w:val="000000"/>
                <w:sz w:val="24"/>
              </w:rPr>
              <w:t>智能教鞭</w:t>
            </w:r>
          </w:p>
        </w:tc>
        <w:tc>
          <w:tcPr>
            <w:tcW w:w="5336" w:type="dxa"/>
            <w:noWrap w:val="0"/>
            <w:vAlign w:val="center"/>
          </w:tcPr>
          <w:p w14:paraId="6EA42FC5">
            <w:pPr>
              <w:pStyle w:val="11"/>
              <w:keepNext/>
              <w:numPr>
                <w:ilvl w:val="0"/>
                <w:numId w:val="0"/>
              </w:numPr>
              <w:snapToGrid w:val="0"/>
              <w:spacing w:line="240" w:lineRule="auto"/>
              <w:ind w:left="0" w:leftChars="0" w:right="0" w:rightChars="0" w:firstLine="0" w:firstLineChars="0"/>
              <w:jc w:val="left"/>
              <w:rPr>
                <w:rFonts w:hint="eastAsia" w:ascii="仿宋" w:hAnsi="仿宋" w:eastAsia="仿宋" w:cs="仿宋"/>
                <w:kern w:val="2"/>
                <w:sz w:val="24"/>
              </w:rPr>
            </w:pPr>
            <w:r>
              <w:rPr>
                <w:rFonts w:hint="eastAsia" w:ascii="仿宋" w:hAnsi="仿宋" w:eastAsia="仿宋" w:cs="仿宋"/>
                <w:kern w:val="2"/>
                <w:sz w:val="24"/>
                <w:lang w:val="en-US" w:eastAsia="zh-CN"/>
              </w:rPr>
              <w:t>1.</w:t>
            </w:r>
            <w:r>
              <w:rPr>
                <w:rFonts w:hint="eastAsia" w:ascii="仿宋" w:hAnsi="仿宋" w:eastAsia="仿宋" w:cs="仿宋"/>
                <w:kern w:val="2"/>
                <w:sz w:val="24"/>
              </w:rPr>
              <w:t>笔身造型采用圆润一体化笔型设计，表面采用手感漆工艺便于握持；笔身长度≤17cm,笔身直径≤13mm。</w:t>
            </w:r>
          </w:p>
          <w:p w14:paraId="51D46D51">
            <w:pPr>
              <w:pStyle w:val="11"/>
              <w:keepNext/>
              <w:numPr>
                <w:ilvl w:val="0"/>
                <w:numId w:val="0"/>
              </w:numPr>
              <w:snapToGrid w:val="0"/>
              <w:spacing w:line="240" w:lineRule="auto"/>
              <w:ind w:left="0" w:leftChars="0" w:right="0" w:rightChars="0" w:firstLine="0" w:firstLineChars="0"/>
              <w:jc w:val="left"/>
              <w:rPr>
                <w:rFonts w:hint="eastAsia" w:ascii="仿宋" w:hAnsi="仿宋" w:eastAsia="仿宋" w:cs="仿宋"/>
                <w:kern w:val="2"/>
                <w:sz w:val="24"/>
              </w:rPr>
            </w:pPr>
            <w:r>
              <w:rPr>
                <w:rFonts w:hint="eastAsia" w:ascii="仿宋" w:hAnsi="仿宋" w:eastAsia="仿宋" w:cs="仿宋"/>
                <w:kern w:val="2"/>
                <w:sz w:val="24"/>
                <w:lang w:val="en-US" w:eastAsia="zh-CN"/>
              </w:rPr>
              <w:t>2.</w:t>
            </w:r>
            <w:r>
              <w:rPr>
                <w:rFonts w:hint="eastAsia" w:ascii="仿宋" w:hAnsi="仿宋" w:eastAsia="仿宋" w:cs="仿宋"/>
                <w:kern w:val="2"/>
                <w:sz w:val="24"/>
              </w:rPr>
              <w:t>笔身配置不少于五个按键，具备上下翻页，智能语音，远程聚光灯/放大，书写颜色切换，兼顾触摸书写以及远程操控的握持姿态；</w:t>
            </w:r>
          </w:p>
          <w:p w14:paraId="434DD64E">
            <w:pPr>
              <w:pStyle w:val="11"/>
              <w:keepNext/>
              <w:numPr>
                <w:ilvl w:val="0"/>
                <w:numId w:val="0"/>
              </w:numPr>
              <w:snapToGrid w:val="0"/>
              <w:spacing w:line="240" w:lineRule="auto"/>
              <w:ind w:left="0" w:leftChars="0" w:right="0" w:rightChars="0" w:firstLine="0" w:firstLineChars="0"/>
              <w:jc w:val="left"/>
              <w:rPr>
                <w:rFonts w:hint="eastAsia" w:ascii="仿宋" w:hAnsi="仿宋" w:eastAsia="仿宋" w:cs="仿宋"/>
                <w:kern w:val="2"/>
                <w:sz w:val="24"/>
              </w:rPr>
            </w:pPr>
            <w:r>
              <w:rPr>
                <w:rFonts w:hint="eastAsia" w:ascii="仿宋" w:eastAsia="仿宋" w:cs="宋体"/>
                <w:color w:val="auto"/>
                <w:kern w:val="0"/>
                <w:sz w:val="24"/>
                <w:szCs w:val="21"/>
                <w:highlight w:val="none"/>
                <w:lang w:val="en-US" w:eastAsia="zh-CN" w:bidi="ar"/>
              </w:rPr>
              <w:t>3.</w:t>
            </w: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kern w:val="2"/>
                <w:sz w:val="24"/>
              </w:rPr>
              <w:t>直径≤3mm；支持电容触控设备书写，书写最小精度2mm；</w:t>
            </w:r>
          </w:p>
          <w:p w14:paraId="1BB74797">
            <w:pPr>
              <w:pStyle w:val="11"/>
              <w:keepNext/>
              <w:numPr>
                <w:ilvl w:val="0"/>
                <w:numId w:val="0"/>
              </w:numPr>
              <w:snapToGrid w:val="0"/>
              <w:spacing w:line="240" w:lineRule="auto"/>
              <w:ind w:left="0" w:leftChars="0" w:right="0" w:rightChars="0" w:firstLine="0" w:firstLineChars="0"/>
              <w:jc w:val="left"/>
              <w:rPr>
                <w:rFonts w:hint="eastAsia" w:ascii="仿宋" w:hAnsi="仿宋" w:eastAsia="仿宋" w:cs="仿宋"/>
                <w:kern w:val="2"/>
                <w:sz w:val="24"/>
              </w:rPr>
            </w:pPr>
            <w:r>
              <w:rPr>
                <w:rFonts w:hint="eastAsia" w:ascii="仿宋" w:hAnsi="仿宋" w:eastAsia="仿宋" w:cs="仿宋"/>
                <w:kern w:val="2"/>
                <w:sz w:val="24"/>
                <w:lang w:val="en-US" w:eastAsia="zh-CN"/>
              </w:rPr>
              <w:t>4.</w:t>
            </w:r>
            <w:r>
              <w:rPr>
                <w:rFonts w:hint="eastAsia" w:ascii="仿宋" w:hAnsi="仿宋" w:eastAsia="仿宋" w:cs="仿宋"/>
                <w:kern w:val="2"/>
                <w:sz w:val="24"/>
              </w:rPr>
              <w:t>内置麦克风，支持按键唤醒语音识别功能，避免杂音造成误唤醒；</w:t>
            </w:r>
          </w:p>
          <w:p w14:paraId="4BDEE651">
            <w:pPr>
              <w:pStyle w:val="11"/>
              <w:keepNext/>
              <w:numPr>
                <w:ilvl w:val="0"/>
                <w:numId w:val="0"/>
              </w:numPr>
              <w:snapToGrid w:val="0"/>
              <w:spacing w:line="240" w:lineRule="auto"/>
              <w:ind w:left="0" w:leftChars="0" w:right="0" w:rightChars="0" w:firstLine="0" w:firstLineChars="0"/>
              <w:jc w:val="left"/>
              <w:rPr>
                <w:rFonts w:hint="eastAsia" w:ascii="仿宋" w:hAnsi="仿宋" w:eastAsia="仿宋" w:cs="仿宋"/>
                <w:kern w:val="2"/>
                <w:sz w:val="24"/>
              </w:rPr>
            </w:pPr>
            <w:r>
              <w:rPr>
                <w:rFonts w:hint="eastAsia" w:ascii="仿宋" w:hAnsi="仿宋" w:eastAsia="仿宋" w:cs="仿宋"/>
                <w:kern w:val="2"/>
                <w:sz w:val="24"/>
                <w:lang w:val="en-US" w:eastAsia="zh-CN"/>
              </w:rPr>
              <w:t>5.</w:t>
            </w:r>
            <w:r>
              <w:rPr>
                <w:rFonts w:hint="eastAsia" w:ascii="仿宋" w:hAnsi="仿宋" w:eastAsia="仿宋" w:cs="仿宋"/>
                <w:kern w:val="2"/>
                <w:sz w:val="24"/>
              </w:rPr>
              <w:t>支持唤醒语音识别时，可直接通过语音打开已安装的应用，可直接通过语音调用网络搜索引擎搜索查询相应资料，可进行语音转写输入，支持语音控制屏幕黑屏、亮屏，音量大小调整，返回桌面，截屏，关机等操作。</w:t>
            </w:r>
          </w:p>
          <w:p w14:paraId="0D8C3FAD">
            <w:pPr>
              <w:pStyle w:val="11"/>
              <w:keepNext/>
              <w:numPr>
                <w:ilvl w:val="0"/>
                <w:numId w:val="0"/>
              </w:numPr>
              <w:snapToGrid w:val="0"/>
              <w:spacing w:line="240" w:lineRule="auto"/>
              <w:ind w:left="0" w:leftChars="0" w:right="0" w:rightChars="0" w:firstLine="0" w:firstLineChars="0"/>
              <w:jc w:val="left"/>
              <w:rPr>
                <w:rFonts w:hint="eastAsia" w:ascii="仿宋" w:hAnsi="仿宋" w:eastAsia="仿宋" w:cs="仿宋"/>
                <w:kern w:val="2"/>
                <w:sz w:val="24"/>
              </w:rPr>
            </w:pPr>
            <w:r>
              <w:rPr>
                <w:rFonts w:hint="eastAsia" w:ascii="仿宋" w:hAnsi="仿宋" w:eastAsia="仿宋" w:cs="仿宋"/>
                <w:kern w:val="2"/>
                <w:sz w:val="24"/>
                <w:lang w:val="en-US" w:eastAsia="zh-CN"/>
              </w:rPr>
              <w:t>6.</w:t>
            </w:r>
            <w:r>
              <w:rPr>
                <w:rFonts w:hint="eastAsia" w:ascii="仿宋" w:hAnsi="仿宋" w:eastAsia="仿宋" w:cs="仿宋"/>
                <w:kern w:val="2"/>
                <w:sz w:val="24"/>
              </w:rPr>
              <w:t>支持白板软件内，通过语音控制：切换书写、擦除、选择模式，最小化返回桌面，打开板中板，清空书写批注等操作；</w:t>
            </w:r>
          </w:p>
          <w:p w14:paraId="1734D761">
            <w:pPr>
              <w:pStyle w:val="11"/>
              <w:keepNext/>
              <w:numPr>
                <w:ilvl w:val="0"/>
                <w:numId w:val="0"/>
              </w:numPr>
              <w:snapToGrid w:val="0"/>
              <w:spacing w:line="240" w:lineRule="auto"/>
              <w:ind w:left="0" w:leftChars="0" w:right="0" w:rightChars="0" w:firstLine="0" w:firstLineChars="0"/>
              <w:jc w:val="left"/>
              <w:rPr>
                <w:rFonts w:hint="eastAsia" w:ascii="仿宋" w:hAnsi="仿宋" w:eastAsia="仿宋" w:cs="仿宋"/>
                <w:kern w:val="2"/>
                <w:sz w:val="24"/>
              </w:rPr>
            </w:pPr>
            <w:r>
              <w:rPr>
                <w:rFonts w:hint="eastAsia" w:ascii="仿宋" w:hAnsi="仿宋" w:eastAsia="仿宋" w:cs="仿宋"/>
                <w:kern w:val="2"/>
                <w:sz w:val="24"/>
                <w:lang w:val="en-US" w:eastAsia="zh-CN"/>
              </w:rPr>
              <w:t>7.</w:t>
            </w:r>
            <w:r>
              <w:rPr>
                <w:rFonts w:hint="eastAsia" w:ascii="仿宋" w:hAnsi="仿宋" w:eastAsia="仿宋" w:cs="仿宋"/>
                <w:kern w:val="2"/>
                <w:sz w:val="24"/>
              </w:rPr>
              <w:t>支持按键调起批注功能，可通过按键实现批注颜色切换，长按按键可实现橡皮擦功能</w:t>
            </w:r>
          </w:p>
          <w:p w14:paraId="44CB9C79">
            <w:pPr>
              <w:pStyle w:val="11"/>
              <w:keepNext/>
              <w:numPr>
                <w:ilvl w:val="0"/>
                <w:numId w:val="0"/>
              </w:numPr>
              <w:snapToGrid w:val="0"/>
              <w:spacing w:line="240" w:lineRule="auto"/>
              <w:ind w:left="0" w:leftChars="0" w:right="0" w:rightChars="0" w:firstLine="0" w:firstLineChars="0"/>
              <w:jc w:val="left"/>
              <w:rPr>
                <w:rFonts w:hint="eastAsia" w:ascii="仿宋" w:hAnsi="仿宋" w:eastAsia="仿宋" w:cs="仿宋"/>
                <w:kern w:val="2"/>
                <w:sz w:val="24"/>
              </w:rPr>
            </w:pPr>
            <w:r>
              <w:rPr>
                <w:rFonts w:hint="eastAsia" w:ascii="仿宋" w:hAnsi="仿宋" w:eastAsia="仿宋" w:cs="仿宋"/>
                <w:kern w:val="2"/>
                <w:sz w:val="24"/>
                <w:lang w:val="en-US" w:eastAsia="zh-CN"/>
              </w:rPr>
              <w:t>8.</w:t>
            </w:r>
            <w:r>
              <w:rPr>
                <w:rFonts w:hint="eastAsia" w:ascii="仿宋" w:hAnsi="仿宋" w:eastAsia="仿宋" w:cs="仿宋"/>
                <w:kern w:val="2"/>
                <w:sz w:val="24"/>
              </w:rPr>
              <w:t>内置锂电池，支持type-c充电，待机时间≥60h，连续书写时间≥8h，从无电到满电的充电时长≤1小时；</w:t>
            </w:r>
          </w:p>
          <w:p w14:paraId="2DA46A72">
            <w:pPr>
              <w:pStyle w:val="11"/>
              <w:keepNext/>
              <w:numPr>
                <w:ilvl w:val="0"/>
                <w:numId w:val="0"/>
              </w:numPr>
              <w:snapToGrid w:val="0"/>
              <w:spacing w:line="240" w:lineRule="auto"/>
              <w:ind w:left="0" w:leftChars="0" w:right="0" w:rightChars="0" w:firstLine="0" w:firstLineChars="0"/>
              <w:jc w:val="left"/>
              <w:rPr>
                <w:rFonts w:hint="eastAsia" w:ascii="仿宋" w:hAnsi="仿宋" w:eastAsia="仿宋" w:cs="仿宋"/>
                <w:kern w:val="2"/>
                <w:sz w:val="24"/>
              </w:rPr>
            </w:pPr>
            <w:r>
              <w:rPr>
                <w:rFonts w:hint="eastAsia" w:ascii="仿宋" w:hAnsi="仿宋" w:eastAsia="仿宋" w:cs="仿宋"/>
                <w:kern w:val="2"/>
                <w:sz w:val="24"/>
                <w:lang w:val="en-US" w:eastAsia="zh-CN"/>
              </w:rPr>
              <w:t>9.</w:t>
            </w:r>
            <w:r>
              <w:rPr>
                <w:rFonts w:hint="eastAsia" w:ascii="仿宋" w:hAnsi="仿宋" w:eastAsia="仿宋" w:cs="仿宋"/>
                <w:kern w:val="2"/>
                <w:sz w:val="24"/>
              </w:rPr>
              <w:t>支持智能休眠节电，当设备&gt;5min无人操作时，设备自动进入休眠节电模式；</w:t>
            </w:r>
          </w:p>
          <w:p w14:paraId="70374DCB">
            <w:pPr>
              <w:pStyle w:val="11"/>
              <w:keepNext/>
              <w:numPr>
                <w:ilvl w:val="0"/>
                <w:numId w:val="0"/>
              </w:numPr>
              <w:snapToGrid w:val="0"/>
              <w:spacing w:line="240" w:lineRule="auto"/>
              <w:ind w:left="0" w:leftChars="0" w:right="0" w:rightChars="0" w:firstLine="0" w:firstLineChars="0"/>
              <w:jc w:val="left"/>
              <w:rPr>
                <w:rFonts w:hint="eastAsia" w:ascii="仿宋" w:hAnsi="仿宋" w:eastAsia="仿宋" w:cs="仿宋"/>
                <w:kern w:val="2"/>
                <w:sz w:val="24"/>
              </w:rPr>
            </w:pPr>
          </w:p>
        </w:tc>
        <w:tc>
          <w:tcPr>
            <w:tcW w:w="895" w:type="dxa"/>
            <w:noWrap w:val="0"/>
            <w:vAlign w:val="center"/>
          </w:tcPr>
          <w:p w14:paraId="3C11B322">
            <w:pPr>
              <w:keepNext/>
              <w:snapToGrid w:val="0"/>
              <w:spacing w:line="240" w:lineRule="auto"/>
              <w:ind w:left="0" w:leftChars="0" w:right="0" w:rightChars="0" w:firstLine="0" w:firstLineChars="0"/>
              <w:jc w:val="center"/>
              <w:rPr>
                <w:rFonts w:hint="eastAsia" w:ascii="仿宋" w:hAnsi="仿宋" w:eastAsia="仿宋" w:cs="仿宋"/>
                <w:sz w:val="24"/>
              </w:rPr>
            </w:pPr>
            <w:r>
              <w:rPr>
                <w:rFonts w:hint="eastAsia" w:ascii="仿宋" w:hAnsi="仿宋" w:eastAsia="仿宋" w:cs="仿宋"/>
                <w:sz w:val="24"/>
              </w:rPr>
              <w:t>22</w:t>
            </w:r>
          </w:p>
        </w:tc>
      </w:tr>
      <w:tr w14:paraId="558B5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1040B529">
            <w:pPr>
              <w:keepNext/>
              <w:widowControl/>
              <w:snapToGrid w:val="0"/>
              <w:spacing w:line="240" w:lineRule="auto"/>
              <w:ind w:left="0" w:leftChars="0" w:right="0" w:rightChars="0" w:firstLine="0" w:firstLineChars="0"/>
              <w:jc w:val="center"/>
              <w:textAlignment w:val="center"/>
              <w:rPr>
                <w:rFonts w:hint="eastAsia" w:ascii="仿宋" w:hAnsi="仿宋" w:eastAsia="仿宋" w:cs="仿宋"/>
                <w:sz w:val="24"/>
              </w:rPr>
            </w:pPr>
            <w:r>
              <w:rPr>
                <w:rFonts w:hint="eastAsia" w:ascii="仿宋" w:hAnsi="仿宋" w:eastAsia="仿宋" w:cs="仿宋"/>
                <w:color w:val="000000"/>
                <w:kern w:val="0"/>
                <w:sz w:val="24"/>
                <w:lang w:bidi="ar"/>
              </w:rPr>
              <w:t>5</w:t>
            </w:r>
          </w:p>
        </w:tc>
        <w:tc>
          <w:tcPr>
            <w:tcW w:w="1417" w:type="dxa"/>
            <w:noWrap w:val="0"/>
            <w:vAlign w:val="center"/>
          </w:tcPr>
          <w:p w14:paraId="29AC1DA5">
            <w:pPr>
              <w:keepNext/>
              <w:widowControl/>
              <w:snapToGrid w:val="0"/>
              <w:spacing w:line="240" w:lineRule="auto"/>
              <w:ind w:left="0" w:leftChars="0" w:right="0" w:rightChars="0" w:firstLine="0" w:firstLineChars="0"/>
              <w:jc w:val="left"/>
              <w:textAlignment w:val="center"/>
              <w:rPr>
                <w:rFonts w:hint="eastAsia" w:ascii="仿宋" w:hAnsi="仿宋" w:eastAsia="仿宋" w:cs="仿宋"/>
                <w:sz w:val="24"/>
              </w:rPr>
            </w:pPr>
            <w:r>
              <w:rPr>
                <w:rFonts w:hint="eastAsia" w:ascii="仿宋" w:hAnsi="仿宋" w:eastAsia="仿宋" w:cs="仿宋"/>
                <w:color w:val="000000"/>
                <w:kern w:val="0"/>
                <w:sz w:val="24"/>
                <w:lang w:bidi="ar"/>
              </w:rPr>
              <w:t>教学软件</w:t>
            </w:r>
          </w:p>
        </w:tc>
        <w:tc>
          <w:tcPr>
            <w:tcW w:w="5336" w:type="dxa"/>
            <w:noWrap w:val="0"/>
            <w:vAlign w:val="center"/>
          </w:tcPr>
          <w:p w14:paraId="2D8C1478">
            <w:pPr>
              <w:pStyle w:val="6"/>
              <w:keepNext/>
              <w:snapToGrid w:val="0"/>
              <w:spacing w:line="240" w:lineRule="auto"/>
              <w:ind w:left="0" w:leftChars="0" w:right="0" w:rightChars="0" w:firstLine="0" w:firstLineChars="0"/>
              <w:jc w:val="left"/>
              <w:rPr>
                <w:rFonts w:hint="eastAsia" w:ascii="仿宋" w:hAnsi="仿宋" w:eastAsia="仿宋" w:cs="仿宋"/>
                <w:sz w:val="24"/>
                <w:lang w:eastAsia="zh-Hans"/>
              </w:rPr>
            </w:pPr>
            <w:r>
              <w:rPr>
                <w:rFonts w:hint="eastAsia" w:ascii="仿宋" w:hAnsi="仿宋" w:eastAsia="仿宋" w:cs="仿宋"/>
                <w:sz w:val="24"/>
                <w:lang w:eastAsia="zh-Hans"/>
              </w:rPr>
              <w:t>1.为教师提供可扩展，易于学校管理，安全可靠的云存储空间。</w:t>
            </w:r>
          </w:p>
          <w:p w14:paraId="736B986E">
            <w:pPr>
              <w:pStyle w:val="6"/>
              <w:keepNext/>
              <w:snapToGrid w:val="0"/>
              <w:spacing w:line="240" w:lineRule="auto"/>
              <w:ind w:left="0" w:leftChars="0" w:right="0" w:rightChars="0" w:firstLine="0" w:firstLineChars="0"/>
              <w:jc w:val="left"/>
              <w:rPr>
                <w:rFonts w:hint="eastAsia" w:ascii="仿宋" w:hAnsi="仿宋" w:eastAsia="仿宋" w:cs="仿宋"/>
                <w:sz w:val="24"/>
                <w:lang w:eastAsia="zh-Hans"/>
              </w:rPr>
            </w:pPr>
            <w:r>
              <w:rPr>
                <w:rFonts w:hint="eastAsia" w:ascii="仿宋" w:hAnsi="仿宋" w:eastAsia="仿宋" w:cs="仿宋"/>
                <w:sz w:val="24"/>
                <w:lang w:eastAsia="zh-Hans"/>
              </w:rPr>
              <w:t>2.为使用方全体教师配备个人账号，形成一体的信息化教学账号体系；根据教师账号信息将教师云空间匹配至对应学校、学科校本资源库。支持通过数字账号、微信二维码、硬件密钥方式登录教师个人账号。</w:t>
            </w:r>
          </w:p>
          <w:p w14:paraId="4CE75B71">
            <w:pPr>
              <w:pStyle w:val="6"/>
              <w:keepNext/>
              <w:snapToGrid w:val="0"/>
              <w:spacing w:line="240" w:lineRule="auto"/>
              <w:ind w:left="0" w:leftChars="0" w:right="0" w:rightChars="0" w:firstLine="0" w:firstLineChars="0"/>
              <w:jc w:val="left"/>
              <w:rPr>
                <w:rFonts w:hint="eastAsia" w:ascii="仿宋" w:hAnsi="仿宋" w:eastAsia="仿宋" w:cs="仿宋"/>
                <w:sz w:val="24"/>
                <w:lang w:eastAsia="zh-Hans"/>
              </w:rPr>
            </w:pPr>
            <w:r>
              <w:rPr>
                <w:rFonts w:hint="eastAsia" w:ascii="仿宋" w:hAnsi="仿宋" w:eastAsia="仿宋" w:cs="仿宋"/>
                <w:sz w:val="24"/>
                <w:lang w:eastAsia="zh-Hans"/>
              </w:rPr>
              <w:t>3.互动教学课件支持定向精准分享：分享者可将互动课件、课件组精准推送至指定接收方账号云空间，接收方可在云空间接收并打开分享课件。</w:t>
            </w:r>
          </w:p>
          <w:p w14:paraId="78A8749A">
            <w:pPr>
              <w:pStyle w:val="6"/>
              <w:keepNext/>
              <w:snapToGrid w:val="0"/>
              <w:spacing w:line="240" w:lineRule="auto"/>
              <w:ind w:left="0" w:leftChars="0" w:right="0" w:rightChars="0" w:firstLine="0" w:firstLineChars="0"/>
              <w:jc w:val="left"/>
              <w:rPr>
                <w:rFonts w:hint="eastAsia" w:ascii="仿宋" w:hAnsi="仿宋" w:eastAsia="仿宋" w:cs="仿宋"/>
                <w:sz w:val="24"/>
                <w:lang w:eastAsia="zh-Hans"/>
              </w:rPr>
            </w:pPr>
            <w:r>
              <w:rPr>
                <w:rFonts w:hint="eastAsia" w:ascii="仿宋" w:hAnsi="仿宋" w:eastAsia="仿宋" w:cs="仿宋"/>
                <w:sz w:val="24"/>
                <w:lang w:eastAsia="zh-Hans"/>
              </w:rPr>
              <w:t>4.接收方通过web链接或二维码的课件分享入口可预览互动课件内容并可触控课件互动元素，并能将互动课件转存至个人云空间，登陆云空间即可接收并打开互动课件。</w:t>
            </w:r>
          </w:p>
          <w:p w14:paraId="506563DA">
            <w:pPr>
              <w:pStyle w:val="6"/>
              <w:keepNext/>
              <w:snapToGrid w:val="0"/>
              <w:spacing w:line="240" w:lineRule="auto"/>
              <w:ind w:left="0" w:leftChars="0" w:right="0" w:rightChars="0" w:firstLine="0" w:firstLineChars="0"/>
              <w:jc w:val="left"/>
              <w:rPr>
                <w:rFonts w:hint="eastAsia" w:ascii="仿宋" w:hAnsi="仿宋" w:eastAsia="仿宋" w:cs="仿宋"/>
                <w:sz w:val="24"/>
                <w:lang w:eastAsia="zh-Hans"/>
              </w:rPr>
            </w:pPr>
            <w:r>
              <w:rPr>
                <w:rFonts w:hint="eastAsia" w:ascii="仿宋" w:hAnsi="仿宋" w:eastAsia="仿宋" w:cs="仿宋"/>
                <w:sz w:val="24"/>
                <w:lang w:eastAsia="zh-Hans"/>
              </w:rPr>
              <w:t>5.互动课件内容的编辑修改无需人为保存即可自动同步至云空间，可根据教师需要调整云空间自动同步的时间间隔，避免教学资源的损坏、遗失。</w:t>
            </w:r>
          </w:p>
          <w:p w14:paraId="68AABF21">
            <w:pPr>
              <w:pStyle w:val="6"/>
              <w:keepNext/>
              <w:snapToGrid w:val="0"/>
              <w:spacing w:line="240" w:lineRule="auto"/>
              <w:ind w:left="0" w:leftChars="0" w:right="0" w:rightChars="0" w:firstLine="0" w:firstLineChars="0"/>
              <w:jc w:val="left"/>
              <w:rPr>
                <w:rFonts w:hint="eastAsia" w:ascii="仿宋" w:hAnsi="仿宋" w:eastAsia="仿宋" w:cs="仿宋"/>
                <w:sz w:val="24"/>
                <w:lang w:eastAsia="zh-Hans"/>
              </w:rPr>
            </w:pPr>
            <w:r>
              <w:rPr>
                <w:rFonts w:hint="eastAsia" w:ascii="仿宋" w:hAnsi="仿宋" w:eastAsia="仿宋" w:cs="仿宋"/>
                <w:sz w:val="24"/>
                <w:lang w:eastAsia="zh-Hans"/>
              </w:rPr>
              <w:t>6.编辑多份互动课件时，教师可一键将所有处于编辑状态的课件同步到互动课件云空间。</w:t>
            </w:r>
          </w:p>
          <w:p w14:paraId="6CC80A4C">
            <w:pPr>
              <w:pStyle w:val="6"/>
              <w:keepNext/>
              <w:snapToGrid w:val="0"/>
              <w:spacing w:line="240" w:lineRule="auto"/>
              <w:ind w:left="0" w:leftChars="0" w:right="0" w:rightChars="0" w:firstLine="0" w:firstLineChars="0"/>
              <w:jc w:val="left"/>
              <w:rPr>
                <w:rFonts w:hint="eastAsia" w:ascii="仿宋" w:hAnsi="仿宋" w:eastAsia="仿宋" w:cs="仿宋"/>
                <w:sz w:val="24"/>
                <w:lang w:eastAsia="zh-Hans"/>
              </w:rPr>
            </w:pPr>
            <w:r>
              <w:rPr>
                <w:rFonts w:hint="eastAsia" w:ascii="仿宋" w:hAnsi="仿宋" w:eastAsia="仿宋" w:cs="仿宋"/>
                <w:sz w:val="24"/>
                <w:lang w:eastAsia="zh-Hans"/>
              </w:rPr>
              <w:t>7.内置图片处理功能，无需借助专业图片处理软件即可对课件内的图片进行快速抠图，图片主体处理后边缘无明显毛边，且处理后的图片可直接上传至教师云空间供后续复用。</w:t>
            </w:r>
          </w:p>
          <w:p w14:paraId="1B903BCF">
            <w:pPr>
              <w:pStyle w:val="6"/>
              <w:keepNext/>
              <w:snapToGrid w:val="0"/>
              <w:spacing w:line="240" w:lineRule="auto"/>
              <w:ind w:left="0" w:leftChars="0" w:right="0" w:rightChars="0" w:firstLine="0" w:firstLineChars="0"/>
              <w:jc w:val="left"/>
              <w:rPr>
                <w:rFonts w:hint="eastAsia" w:ascii="仿宋" w:hAnsi="仿宋" w:eastAsia="仿宋" w:cs="仿宋"/>
                <w:sz w:val="24"/>
                <w:lang w:eastAsia="zh-Hans"/>
              </w:rPr>
            </w:pPr>
            <w:r>
              <w:rPr>
                <w:rFonts w:hint="eastAsia" w:ascii="仿宋" w:hAnsi="仿宋" w:eastAsia="仿宋" w:cs="仿宋"/>
                <w:sz w:val="24"/>
                <w:lang w:eastAsia="zh-Hans"/>
              </w:rPr>
              <w:t>8.具备图形自由创作工具，教师可自由绘制复杂的任意多边图形及曲边图形；教师自主创作的图形可直接在备课界面下存储至个人云空间，无需导出转存，便于后续使用。</w:t>
            </w:r>
          </w:p>
          <w:p w14:paraId="542101E1">
            <w:pPr>
              <w:pStyle w:val="6"/>
              <w:keepNext/>
              <w:snapToGrid w:val="0"/>
              <w:spacing w:line="240" w:lineRule="auto"/>
              <w:ind w:left="0" w:leftChars="0" w:right="0" w:rightChars="0" w:firstLine="0" w:firstLineChars="0"/>
              <w:jc w:val="left"/>
              <w:rPr>
                <w:rFonts w:hint="eastAsia" w:ascii="仿宋" w:hAnsi="仿宋" w:eastAsia="仿宋" w:cs="仿宋"/>
                <w:sz w:val="24"/>
                <w:lang w:eastAsia="zh-Hans"/>
              </w:rPr>
            </w:pPr>
            <w:r>
              <w:rPr>
                <w:rFonts w:hint="eastAsia" w:ascii="仿宋" w:hAnsi="仿宋" w:eastAsia="仿宋" w:cs="仿宋"/>
                <w:sz w:val="24"/>
                <w:lang w:eastAsia="zh-Hans"/>
              </w:rPr>
              <w:t xml:space="preserve">9.支持对音频、视频文件进行关键帧标记，可在音、视频进度条任意位置自由设置关键帧播放节点，便于快速定位讲解关键教学内容。 </w:t>
            </w:r>
          </w:p>
          <w:p w14:paraId="45E96BDA">
            <w:pPr>
              <w:pStyle w:val="6"/>
              <w:keepNext/>
              <w:snapToGrid w:val="0"/>
              <w:spacing w:line="240" w:lineRule="auto"/>
              <w:ind w:left="0" w:leftChars="0" w:right="0" w:rightChars="0" w:firstLine="0" w:firstLineChars="0"/>
              <w:jc w:val="left"/>
              <w:rPr>
                <w:rFonts w:hint="eastAsia" w:ascii="仿宋" w:hAnsi="仿宋" w:eastAsia="仿宋" w:cs="仿宋"/>
                <w:sz w:val="24"/>
                <w:lang w:eastAsia="zh-Hans"/>
              </w:rPr>
            </w:pPr>
            <w:r>
              <w:rPr>
                <w:rFonts w:hint="eastAsia" w:ascii="仿宋" w:hAnsi="仿宋" w:eastAsia="仿宋" w:cs="仿宋"/>
                <w:sz w:val="24"/>
                <w:lang w:eastAsia="zh-Hans"/>
              </w:rPr>
              <w:t>10.具备交互表格功能，课件可自由插入表格；表格支持自由输入文本，且根据文本内容可一键自动调整行列宽高；表格通过表格首行首列交接处的按键可一键精准增加行列；具备遮罩功能，授课模式点击即可取消遮罩，便于教师交互式教学</w:t>
            </w:r>
          </w:p>
          <w:p w14:paraId="41D73983">
            <w:pPr>
              <w:pStyle w:val="6"/>
              <w:keepNext/>
              <w:snapToGrid w:val="0"/>
              <w:spacing w:line="240" w:lineRule="auto"/>
              <w:ind w:left="0" w:leftChars="0" w:right="0" w:rightChars="0" w:firstLine="0" w:firstLineChars="0"/>
              <w:jc w:val="left"/>
              <w:rPr>
                <w:rFonts w:hint="eastAsia" w:ascii="仿宋" w:hAnsi="仿宋" w:eastAsia="仿宋" w:cs="仿宋"/>
                <w:sz w:val="24"/>
                <w:lang w:eastAsia="zh-Hans"/>
              </w:rPr>
            </w:pPr>
            <w:r>
              <w:rPr>
                <w:rFonts w:hint="eastAsia" w:ascii="仿宋" w:hAnsi="仿宋" w:eastAsia="仿宋" w:cs="仿宋"/>
                <w:sz w:val="24"/>
                <w:lang w:eastAsia="zh-Hans"/>
              </w:rPr>
              <w:t>11.提供柱状图、折线图等互动图表，每类图表预置四种样式，支持图表文字、背景、透明度设置；柱状图、折线图可一键转置互换坐标轴类别；图表支持三维模式旋转展示，生动形象。</w:t>
            </w:r>
          </w:p>
          <w:p w14:paraId="552D5CAC">
            <w:pPr>
              <w:keepNext/>
              <w:snapToGrid w:val="0"/>
              <w:spacing w:line="240" w:lineRule="auto"/>
              <w:ind w:left="0" w:leftChars="0" w:right="0" w:rightChars="0" w:firstLine="0" w:firstLineChars="0"/>
              <w:jc w:val="left"/>
              <w:rPr>
                <w:rFonts w:hint="eastAsia" w:ascii="仿宋" w:hAnsi="仿宋" w:eastAsia="仿宋" w:cs="仿宋"/>
                <w:sz w:val="24"/>
                <w:lang w:eastAsia="zh-Hans"/>
              </w:rPr>
            </w:pPr>
            <w:r>
              <w:rPr>
                <w:rFonts w:hint="eastAsia" w:ascii="仿宋" w:hAnsi="仿宋" w:eastAsia="仿宋" w:cs="仿宋"/>
                <w:sz w:val="24"/>
                <w:lang w:eastAsia="zh-Hans"/>
              </w:rPr>
              <w:t>12.平面几何工具：可自由绘制线条、线段及射线；可自由绘制任意边数及角度的图形，自动显示内角角度，支持编辑内角角度对图形进行精细调整，提供具有智能吸附的辅助线工具，教师可快速自由绘制所需辅助线。同类几何体相互靠近时，可智能识别吸附。</w:t>
            </w:r>
          </w:p>
          <w:p w14:paraId="14CF293C">
            <w:pPr>
              <w:keepNext/>
              <w:snapToGrid w:val="0"/>
              <w:spacing w:line="240" w:lineRule="auto"/>
              <w:ind w:left="0" w:leftChars="0" w:right="0" w:rightChars="0" w:firstLine="0" w:firstLineChars="0"/>
              <w:jc w:val="left"/>
              <w:rPr>
                <w:rFonts w:hint="eastAsia" w:ascii="仿宋" w:hAnsi="仿宋" w:eastAsia="仿宋" w:cs="仿宋"/>
                <w:sz w:val="24"/>
                <w:lang w:eastAsia="zh-Hans"/>
              </w:rPr>
            </w:pPr>
          </w:p>
        </w:tc>
        <w:tc>
          <w:tcPr>
            <w:tcW w:w="895" w:type="dxa"/>
            <w:noWrap w:val="0"/>
            <w:vAlign w:val="center"/>
          </w:tcPr>
          <w:p w14:paraId="11C86635">
            <w:pPr>
              <w:keepNext/>
              <w:snapToGrid w:val="0"/>
              <w:spacing w:line="240" w:lineRule="auto"/>
              <w:ind w:left="0" w:leftChars="0" w:right="0" w:rightChars="0" w:firstLine="0" w:firstLineChars="0"/>
              <w:jc w:val="center"/>
              <w:rPr>
                <w:rFonts w:hint="eastAsia" w:ascii="仿宋" w:hAnsi="仿宋" w:eastAsia="仿宋" w:cs="仿宋"/>
                <w:sz w:val="24"/>
              </w:rPr>
            </w:pPr>
            <w:r>
              <w:rPr>
                <w:rFonts w:hint="eastAsia" w:ascii="仿宋" w:hAnsi="仿宋" w:eastAsia="仿宋" w:cs="仿宋"/>
                <w:sz w:val="24"/>
              </w:rPr>
              <w:t>22</w:t>
            </w:r>
          </w:p>
        </w:tc>
      </w:tr>
      <w:tr w14:paraId="58D18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6588CF7D">
            <w:pPr>
              <w:keepNext/>
              <w:widowControl/>
              <w:snapToGrid w:val="0"/>
              <w:spacing w:line="240" w:lineRule="auto"/>
              <w:ind w:left="0" w:leftChars="0" w:right="0" w:rightChars="0" w:firstLine="0" w:firstLineChars="0"/>
              <w:jc w:val="center"/>
              <w:textAlignment w:val="center"/>
              <w:rPr>
                <w:rFonts w:hint="eastAsia" w:ascii="仿宋" w:hAnsi="仿宋" w:eastAsia="仿宋" w:cs="仿宋"/>
                <w:sz w:val="24"/>
              </w:rPr>
            </w:pPr>
            <w:r>
              <w:rPr>
                <w:rFonts w:hint="eastAsia" w:ascii="仿宋" w:hAnsi="仿宋" w:eastAsia="仿宋" w:cs="仿宋"/>
                <w:color w:val="000000"/>
                <w:kern w:val="0"/>
                <w:sz w:val="24"/>
                <w:lang w:bidi="ar"/>
              </w:rPr>
              <w:t>6</w:t>
            </w:r>
          </w:p>
        </w:tc>
        <w:tc>
          <w:tcPr>
            <w:tcW w:w="1417" w:type="dxa"/>
            <w:noWrap w:val="0"/>
            <w:vAlign w:val="center"/>
          </w:tcPr>
          <w:p w14:paraId="7FA0C6A9">
            <w:pPr>
              <w:keepNext/>
              <w:widowControl/>
              <w:snapToGrid w:val="0"/>
              <w:spacing w:line="240" w:lineRule="auto"/>
              <w:ind w:left="0" w:leftChars="0" w:right="0" w:rightChars="0" w:firstLine="0" w:firstLineChars="0"/>
              <w:jc w:val="left"/>
              <w:textAlignment w:val="center"/>
              <w:rPr>
                <w:rFonts w:hint="eastAsia" w:ascii="仿宋" w:hAnsi="仿宋" w:eastAsia="仿宋" w:cs="仿宋"/>
                <w:sz w:val="24"/>
              </w:rPr>
            </w:pPr>
            <w:r>
              <w:rPr>
                <w:rFonts w:hint="eastAsia" w:ascii="仿宋" w:hAnsi="仿宋" w:eastAsia="仿宋" w:cs="仿宋"/>
                <w:color w:val="000000"/>
                <w:sz w:val="24"/>
              </w:rPr>
              <w:t>信发系统</w:t>
            </w:r>
          </w:p>
        </w:tc>
        <w:tc>
          <w:tcPr>
            <w:tcW w:w="5336" w:type="dxa"/>
            <w:noWrap w:val="0"/>
            <w:vAlign w:val="center"/>
          </w:tcPr>
          <w:p w14:paraId="088B05BC">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w:t>
            </w:r>
            <w:r>
              <w:rPr>
                <w:rFonts w:hint="eastAsia" w:ascii="仿宋" w:hAnsi="仿宋" w:eastAsia="仿宋" w:cs="仿宋"/>
                <w:sz w:val="24"/>
              </w:rPr>
              <w:t>支持通过不少于五大维度，科学合理监测评估基建设备的稳定性；支持通过网络达标情况了解设备是否常态化联网；支持通过硬件达标情况了解设备使用年限、CPU/内存/磁盘等硬件的配置，通过流畅度情况了解设备CPU占用/温度、内存占用、系统盘容量占用的情况；支持通过安全达标情况了解设备启用安全防护服务的情况；支持通过设备应用情况来了解设备、教师在教学中的使用情况，包含：使用率、软件使用情况、网址访问情况。</w:t>
            </w:r>
          </w:p>
          <w:p w14:paraId="35DF76D4">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2.</w:t>
            </w:r>
            <w:r>
              <w:rPr>
                <w:rFonts w:hint="eastAsia" w:ascii="仿宋" w:hAnsi="仿宋" w:eastAsia="仿宋" w:cs="仿宋"/>
                <w:sz w:val="24"/>
              </w:rPr>
              <w:t>支持快速筛选全校所有设备各项指标的达标率，快速定位和识别问题设备；支持单设备查看详情，掌握设备的基础参数，以及各项指标的明细数据；支持快速导出全校所有设备的网络状态、硬件参数、流畅度、安全防护服务开启情况。</w:t>
            </w:r>
          </w:p>
          <w:p w14:paraId="35272C81">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支持解读设备运行数据，提供基建优化建议；支持根据网络带宽利用率分析网络稳定性并提供优化方案；支持根据硬件参数及流畅度达标情况分析设备运行稳定性并提供优化方案；支持根据安全服务开启情况分析设备运行风险并提供优化方案。</w:t>
            </w:r>
          </w:p>
          <w:p w14:paraId="570C9869">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4.</w:t>
            </w:r>
            <w:r>
              <w:rPr>
                <w:rFonts w:hint="eastAsia" w:ascii="仿宋" w:hAnsi="仿宋" w:eastAsia="仿宋" w:cs="仿宋"/>
                <w:sz w:val="24"/>
              </w:rPr>
              <w:t>支持分析解读教师使用数据，提供信息化素养提升建议；支持根据各学科/设备/老师使用数据分析经验丰富的老师，并提供信息化素养提升建议；支持根据不同类型软件的使用明细分析本校常用软件，并提供软件普及、替换或拦截建议。</w:t>
            </w:r>
          </w:p>
          <w:p w14:paraId="6D0C8AE3">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5.</w:t>
            </w:r>
            <w:r>
              <w:rPr>
                <w:rFonts w:hint="eastAsia" w:ascii="仿宋" w:hAnsi="仿宋" w:eastAsia="仿宋" w:cs="仿宋"/>
                <w:sz w:val="24"/>
              </w:rPr>
              <w:t>支持一键下课锁屏、开机自动锁屏、无网络时验证身份解锁、联网时禁用密码解锁；支持下课锁屏，在班班通设备上点击“下课”按钮即可锁屏；支持开机自动锁屏，可设置生效时间和生效设备；支持无网络情况下，通过手机微信扫码，验证身份后获取密码进行解锁使用。支持设置屏幕锁壁纸；支持设置普通锁屏、极速锁屏模式。</w:t>
            </w:r>
          </w:p>
          <w:p w14:paraId="2CB1AD8B">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6.</w:t>
            </w:r>
            <w:r>
              <w:rPr>
                <w:rFonts w:hint="eastAsia" w:ascii="仿宋" w:hAnsi="仿宋" w:eastAsia="仿宋" w:cs="仿宋"/>
                <w:sz w:val="24"/>
              </w:rPr>
              <w:t>支持用户自主上传官方正版软件，支持批量将软件发送至班班通设备安装，软件自动静默安装，无需人工操作。</w:t>
            </w:r>
          </w:p>
          <w:p w14:paraId="5A94ADA2">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支持实时展示不少于20台设备的运行画面，并支持切换画面模式/列表模式；支持根据设备类型、设备所属年级/场地/自定义分组、设备开关机状态进行分组管理；支持文字检索设备名称。</w:t>
            </w:r>
          </w:p>
          <w:p w14:paraId="5BA0944D">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8.</w:t>
            </w:r>
            <w:r>
              <w:rPr>
                <w:rFonts w:hint="eastAsia" w:ascii="仿宋" w:hAnsi="仿宋" w:eastAsia="仿宋" w:cs="仿宋"/>
                <w:sz w:val="24"/>
              </w:rPr>
              <w:t>支持查看设备当前使用老师信息，以及最近一次设备解锁时间、解锁方式、解锁老师。支持查看单台设备的当日开机次数、开机时间分布情况、设备已安装软件列表及使用情况、内存/硬盘占用情况、基础参数；支持查看设备异常情况；支持查看设备所有待执行的指令信息；支持远程修改设备关联信息。</w:t>
            </w:r>
          </w:p>
          <w:p w14:paraId="351077D1">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支持设置即时、定时、循环模式的关机、重启、打铃、锁屏/解锁指令。其中打铃指令支持上传自定义铃声、设置播放时长；其中锁屏指令支持一键下课锁屏、开机自动锁屏、无网络时验证身份解锁、联网时禁用密码解锁、普通/极速锁屏模式；支持设置锁屏壁纸用于校园文化宣传；支持跑马灯、全局弹窗、桌面常驻通知3种类型的文本消息推送；支持定向传输多个超过50MB的文件至不同设备；支持开启/关闭指定设备的倒计日服务；支持批量设置设备音量；支持远程操作和控制设备；支持查看、编辑和撤销待执行指令；支持查看指令执行实时状态、设备操作日志，包含设备每次解锁方式、解锁时间、解锁人信息。</w:t>
            </w:r>
          </w:p>
          <w:p w14:paraId="489CC83E">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10.</w:t>
            </w:r>
            <w:r>
              <w:rPr>
                <w:rFonts w:hint="eastAsia" w:ascii="仿宋" w:hAnsi="仿宋" w:eastAsia="仿宋" w:cs="仿宋"/>
                <w:sz w:val="24"/>
              </w:rPr>
              <w:t>支持学校高级管理员添加多位管理员协同管理及快速转让高级管理员，支持为普通管理员分配不同权限，权限支持按系统功能菜单分配、按管理设备分配方式；支持设置在自定义时间段内自动升级设备辅助管理软件、开启/关闭自动升级后自动关机服务、开启/关闭限制旧版本覆盖安装的安全服务；支持启用/禁用管家身份验证服务，包含扫码验证、复杂密码验证服务。支持记录并回看管理员的操作日志，包含操作人、操作时间、操作内容。</w:t>
            </w:r>
          </w:p>
          <w:p w14:paraId="1C074324">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11.</w:t>
            </w:r>
            <w:r>
              <w:rPr>
                <w:rFonts w:hint="eastAsia" w:ascii="仿宋" w:hAnsi="仿宋" w:eastAsia="仿宋" w:cs="仿宋"/>
                <w:sz w:val="24"/>
              </w:rPr>
              <w:t>支持通过设备辅助管理软件，在单台班班通设备关联学校代码后，自动发现并关联同网段下其他班班通设备；支持批量解绑，解绑设备自动进入回收站，可随时恢复管理；支持修改设备的绑定关系，包含设备名称、建筑场地、班级信息、设备类型、设备品牌、采购年份。</w:t>
            </w:r>
          </w:p>
          <w:p w14:paraId="4170475B">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12.</w:t>
            </w:r>
            <w:r>
              <w:rPr>
                <w:rFonts w:hint="eastAsia" w:ascii="仿宋" w:hAnsi="仿宋" w:eastAsia="仿宋" w:cs="仿宋"/>
                <w:sz w:val="24"/>
              </w:rPr>
              <w:t>支持实时查看和导出学校设备整体使用数据，并支持查看具体设备数据。数据包含设备的使用时长、活跃次数、常用软件使用时长和次数、教学应用使用情况、设备健康度分析、弹窗拦截次数、老师使用设备教学情况。</w:t>
            </w:r>
          </w:p>
          <w:p w14:paraId="362BB29C">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eastAsia="仿宋" w:cs="宋体"/>
                <w:color w:val="auto"/>
                <w:kern w:val="0"/>
                <w:sz w:val="24"/>
                <w:szCs w:val="21"/>
                <w:highlight w:val="none"/>
                <w:lang w:val="en-US" w:eastAsia="zh-CN" w:bidi="ar"/>
              </w:rPr>
              <w:t>13.</w:t>
            </w: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支持远程批量清理设备磁盘；支持清理指定磁盘的指定文件夹；支持清理系统盘备份、缓存、日志等文件；支持迁移系统盘视频、图片、音乐、文档文件；支持格式化非系统盘磁盘。</w:t>
            </w:r>
          </w:p>
          <w:p w14:paraId="06713715">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eastAsia="仿宋" w:cs="宋体"/>
                <w:color w:val="auto"/>
                <w:kern w:val="0"/>
                <w:sz w:val="24"/>
                <w:szCs w:val="21"/>
                <w:highlight w:val="none"/>
                <w:lang w:val="en-US" w:eastAsia="zh-CN" w:bidi="ar"/>
              </w:rPr>
              <w:t>14.</w:t>
            </w: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支持远程向已冰冻的设备发送指令、安装软件，在设备正常关机时触发穿透动作，穿透完成后，设备即可使用已安装软件、执行已接收指令，且穿透过程中无需人为解冻。</w:t>
            </w:r>
          </w:p>
          <w:p w14:paraId="3B7043A5">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15.</w:t>
            </w:r>
            <w:r>
              <w:rPr>
                <w:rFonts w:hint="eastAsia" w:ascii="仿宋" w:hAnsi="仿宋" w:eastAsia="仿宋" w:cs="仿宋"/>
                <w:sz w:val="24"/>
              </w:rPr>
              <w:t>支持一键开启拦截能力；支持查看已上报的所有疑似风险窗口和上报次数，并支持拦截某个应用所有窗口、某个具体窗口；支持将某个应用、某个具体窗口加入白名单，不对软件进行拦截。</w:t>
            </w:r>
          </w:p>
          <w:p w14:paraId="49620334">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16.</w:t>
            </w:r>
            <w:r>
              <w:rPr>
                <w:rFonts w:hint="eastAsia" w:ascii="仿宋" w:hAnsi="仿宋" w:eastAsia="仿宋" w:cs="仿宋"/>
                <w:sz w:val="24"/>
              </w:rPr>
              <w:t>支持查看校内当日班班通设备流量使用的具体情况、带宽利用率；支持对设备进行限速设置。</w:t>
            </w:r>
          </w:p>
          <w:p w14:paraId="6F1275AF">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lang w:val="en-US" w:eastAsia="zh-CN"/>
              </w:rPr>
              <w:t>17.</w:t>
            </w:r>
            <w:r>
              <w:rPr>
                <w:rFonts w:hint="eastAsia" w:ascii="仿宋" w:hAnsi="仿宋" w:eastAsia="仿宋" w:cs="仿宋"/>
                <w:sz w:val="24"/>
              </w:rPr>
              <w:t>支持设置网址访问黑名单、白名单，限制所有设备的网址访问。</w:t>
            </w:r>
          </w:p>
          <w:p w14:paraId="7A7DA169">
            <w:pPr>
              <w:keepNext/>
              <w:numPr>
                <w:ilvl w:val="0"/>
                <w:numId w:val="0"/>
              </w:numPr>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eastAsia="仿宋" w:cs="宋体"/>
                <w:color w:val="auto"/>
                <w:kern w:val="0"/>
                <w:sz w:val="24"/>
                <w:szCs w:val="21"/>
                <w:highlight w:val="none"/>
                <w:lang w:val="en-US" w:eastAsia="zh-CN" w:bidi="ar"/>
              </w:rPr>
              <w:t>18.</w:t>
            </w:r>
            <w:r>
              <w:rPr>
                <w:rFonts w:hint="eastAsia" w:ascii="仿宋" w:hAnsi="宋体" w:eastAsia="仿宋" w:cs="宋体"/>
                <w:color w:val="auto"/>
                <w:kern w:val="0"/>
                <w:sz w:val="24"/>
                <w:szCs w:val="21"/>
                <w:highlight w:val="none"/>
                <w:lang w:val="en-US" w:eastAsia="zh-CN" w:bidi="ar"/>
              </w:rPr>
              <w:t>▲</w:t>
            </w:r>
            <w:r>
              <w:rPr>
                <w:rFonts w:hint="eastAsia" w:ascii="仿宋" w:hAnsi="仿宋" w:eastAsia="仿宋" w:cs="仿宋"/>
                <w:sz w:val="24"/>
              </w:rPr>
              <w:t>支持AI自动监测设备画面色情、恐怖、暴力、游戏等风险内容或元素；支持设置警告内容，当监测到不良画面后自动提醒；支持将每天监测到的风险结果自动推送至公众号提醒管理；支持按设备、按画面维度回溯历史监测到的不良画面信息。</w:t>
            </w:r>
          </w:p>
        </w:tc>
        <w:tc>
          <w:tcPr>
            <w:tcW w:w="895" w:type="dxa"/>
            <w:noWrap w:val="0"/>
            <w:vAlign w:val="center"/>
          </w:tcPr>
          <w:p w14:paraId="2BE63428">
            <w:pPr>
              <w:keepNext/>
              <w:snapToGrid w:val="0"/>
              <w:spacing w:line="240" w:lineRule="auto"/>
              <w:ind w:left="0" w:leftChars="0" w:right="0" w:rightChars="0" w:firstLine="0" w:firstLineChars="0"/>
              <w:jc w:val="center"/>
              <w:rPr>
                <w:rFonts w:hint="eastAsia" w:ascii="仿宋" w:hAnsi="仿宋" w:eastAsia="仿宋" w:cs="仿宋"/>
                <w:sz w:val="24"/>
              </w:rPr>
            </w:pPr>
            <w:r>
              <w:rPr>
                <w:rFonts w:hint="eastAsia" w:ascii="仿宋" w:hAnsi="仿宋" w:eastAsia="仿宋" w:cs="仿宋"/>
                <w:sz w:val="24"/>
              </w:rPr>
              <w:t>22</w:t>
            </w:r>
          </w:p>
        </w:tc>
      </w:tr>
      <w:tr w14:paraId="663E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95" w:type="dxa"/>
            <w:noWrap w:val="0"/>
            <w:vAlign w:val="center"/>
          </w:tcPr>
          <w:p w14:paraId="30DE6C1C">
            <w:pPr>
              <w:keepNext/>
              <w:widowControl/>
              <w:snapToGrid w:val="0"/>
              <w:spacing w:line="240" w:lineRule="auto"/>
              <w:ind w:left="0" w:leftChars="0" w:right="0" w:rightChars="0" w:firstLine="0" w:firstLineChars="0"/>
              <w:jc w:val="center"/>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7</w:t>
            </w:r>
          </w:p>
        </w:tc>
        <w:tc>
          <w:tcPr>
            <w:tcW w:w="1417" w:type="dxa"/>
            <w:noWrap w:val="0"/>
            <w:vAlign w:val="center"/>
          </w:tcPr>
          <w:p w14:paraId="4E66CA85">
            <w:pPr>
              <w:keepNext/>
              <w:widowControl/>
              <w:snapToGrid w:val="0"/>
              <w:spacing w:line="240" w:lineRule="auto"/>
              <w:ind w:left="0" w:leftChars="0" w:right="0" w:rightChars="0" w:firstLine="0" w:firstLineChars="0"/>
              <w:jc w:val="left"/>
              <w:textAlignment w:val="center"/>
              <w:rPr>
                <w:rFonts w:hint="eastAsia" w:ascii="仿宋" w:hAnsi="仿宋" w:eastAsia="仿宋" w:cs="仿宋"/>
                <w:color w:val="000000"/>
                <w:kern w:val="0"/>
                <w:sz w:val="24"/>
                <w:lang w:bidi="ar"/>
              </w:rPr>
            </w:pPr>
            <w:r>
              <w:rPr>
                <w:rFonts w:hint="eastAsia" w:ascii="仿宋" w:hAnsi="仿宋" w:eastAsia="仿宋" w:cs="仿宋"/>
                <w:color w:val="000000"/>
                <w:kern w:val="0"/>
                <w:sz w:val="24"/>
                <w:lang w:bidi="ar"/>
              </w:rPr>
              <w:t>系统集成</w:t>
            </w:r>
          </w:p>
        </w:tc>
        <w:tc>
          <w:tcPr>
            <w:tcW w:w="5336" w:type="dxa"/>
            <w:noWrap w:val="0"/>
            <w:vAlign w:val="center"/>
          </w:tcPr>
          <w:p w14:paraId="1C5A4DE7">
            <w:pPr>
              <w:keepNext/>
              <w:widowControl/>
              <w:snapToGrid w:val="0"/>
              <w:spacing w:line="240" w:lineRule="auto"/>
              <w:ind w:left="0" w:leftChars="0" w:right="0" w:rightChars="0" w:firstLine="0" w:firstLineChars="0"/>
              <w:jc w:val="left"/>
              <w:rPr>
                <w:rFonts w:hint="eastAsia" w:ascii="仿宋" w:hAnsi="仿宋" w:eastAsia="仿宋" w:cs="仿宋"/>
                <w:sz w:val="24"/>
              </w:rPr>
            </w:pPr>
            <w:r>
              <w:rPr>
                <w:rFonts w:hint="eastAsia" w:ascii="仿宋" w:hAnsi="仿宋" w:eastAsia="仿宋" w:cs="仿宋"/>
                <w:sz w:val="24"/>
              </w:rPr>
              <w:t>PVC 白线槽、音箱支架及其他必需线材满足需要且提供。要求安装流程合理，布局美观尽可能减少讲台占用宽度。 提供免费的设备运输、安装（学校将网络、电源接至黑板处，由供应商负责接通设备网络、电源）、培训、调试服务。</w:t>
            </w:r>
          </w:p>
        </w:tc>
        <w:tc>
          <w:tcPr>
            <w:tcW w:w="895" w:type="dxa"/>
            <w:noWrap w:val="0"/>
            <w:vAlign w:val="center"/>
          </w:tcPr>
          <w:p w14:paraId="5EE5B6CE">
            <w:pPr>
              <w:keepNext/>
              <w:snapToGrid w:val="0"/>
              <w:spacing w:line="240" w:lineRule="auto"/>
              <w:ind w:left="0" w:leftChars="0" w:right="0" w:rightChars="0" w:firstLine="0" w:firstLineChars="0"/>
              <w:jc w:val="center"/>
              <w:rPr>
                <w:rFonts w:hint="eastAsia" w:ascii="仿宋" w:hAnsi="仿宋" w:eastAsia="仿宋" w:cs="仿宋"/>
                <w:sz w:val="24"/>
              </w:rPr>
            </w:pPr>
            <w:r>
              <w:rPr>
                <w:rFonts w:hint="eastAsia" w:ascii="仿宋" w:hAnsi="仿宋" w:eastAsia="仿宋" w:cs="仿宋"/>
                <w:sz w:val="24"/>
              </w:rPr>
              <w:t>22</w:t>
            </w:r>
          </w:p>
        </w:tc>
      </w:tr>
    </w:tbl>
    <w:p w14:paraId="09D51F9B">
      <w:pPr>
        <w:pStyle w:val="9"/>
        <w:keepNext w:val="0"/>
        <w:keepLines w:val="0"/>
        <w:pageBreakBefore w:val="0"/>
        <w:widowControl w:val="0"/>
        <w:numPr>
          <w:ilvl w:val="0"/>
          <w:numId w:val="0"/>
        </w:numPr>
        <w:tabs>
          <w:tab w:val="left" w:pos="708"/>
        </w:tabs>
        <w:kinsoku/>
        <w:wordWrap/>
        <w:overflowPunct/>
        <w:topLinePunct w:val="0"/>
        <w:autoSpaceDE w:val="0"/>
        <w:autoSpaceDN w:val="0"/>
        <w:bidi w:val="0"/>
        <w:adjustRightInd/>
        <w:snapToGrid/>
        <w:spacing w:before="0" w:beforeLines="0" w:after="0" w:afterLines="0" w:line="420" w:lineRule="exact"/>
        <w:ind w:leftChars="0" w:right="0" w:rightChars="0" w:firstLine="480" w:firstLineChars="200"/>
        <w:jc w:val="both"/>
        <w:textAlignment w:val="auto"/>
        <w:rPr>
          <w:rFonts w:hint="eastAsia" w:ascii="仿宋" w:hAnsi="仿宋" w:eastAsia="仿宋" w:cs="仿宋"/>
          <w:sz w:val="24"/>
        </w:rPr>
      </w:pPr>
    </w:p>
    <w:p w14:paraId="006C5FB5">
      <w:pPr>
        <w:ind w:left="0" w:leftChars="0" w:firstLine="0" w:firstLineChars="0"/>
        <w:jc w:val="center"/>
        <w:rPr>
          <w:rFonts w:hint="eastAsia" w:ascii="宋体" w:hAnsi="宋体" w:eastAsia="宋体" w:cs="宋体"/>
          <w:b/>
          <w:bCs/>
          <w:color w:val="auto"/>
          <w:sz w:val="32"/>
          <w:highlight w:val="none"/>
        </w:rPr>
      </w:pPr>
    </w:p>
    <w:p w14:paraId="4E92DF4A">
      <w:pPr>
        <w:ind w:left="0" w:leftChars="0" w:firstLine="0" w:firstLineChars="0"/>
        <w:jc w:val="center"/>
        <w:rPr>
          <w:rFonts w:hint="eastAsia" w:ascii="宋体" w:hAnsi="宋体" w:eastAsia="宋体" w:cs="宋体"/>
          <w:b/>
          <w:bCs/>
          <w:color w:val="auto"/>
          <w:sz w:val="32"/>
          <w:highlight w:val="none"/>
        </w:rPr>
      </w:pPr>
    </w:p>
    <w:p w14:paraId="3DD9B984">
      <w:pPr>
        <w:ind w:left="0" w:leftChars="0" w:firstLine="0" w:firstLineChars="0"/>
        <w:jc w:val="center"/>
        <w:rPr>
          <w:rFonts w:hint="eastAsia" w:ascii="宋体" w:hAnsi="宋体" w:eastAsia="宋体" w:cs="宋体"/>
          <w:b/>
          <w:bCs/>
          <w:color w:val="auto"/>
          <w:sz w:val="32"/>
          <w:highlight w:val="none"/>
        </w:rPr>
      </w:pPr>
    </w:p>
    <w:p w14:paraId="68FC42C6">
      <w:pPr>
        <w:ind w:left="0" w:leftChars="0" w:firstLine="0" w:firstLineChars="0"/>
        <w:jc w:val="center"/>
        <w:rPr>
          <w:rFonts w:hint="eastAsia" w:ascii="宋体" w:hAnsi="宋体" w:eastAsia="宋体" w:cs="宋体"/>
          <w:b/>
          <w:bCs/>
          <w:color w:val="auto"/>
          <w:sz w:val="32"/>
          <w:highlight w:val="none"/>
        </w:rPr>
      </w:pPr>
    </w:p>
    <w:p w14:paraId="246C3F62">
      <w:pPr>
        <w:ind w:left="0" w:leftChars="0" w:firstLine="0" w:firstLineChars="0"/>
        <w:jc w:val="center"/>
        <w:rPr>
          <w:rFonts w:hint="eastAsia" w:ascii="宋体" w:hAnsi="宋体" w:eastAsia="宋体" w:cs="宋体"/>
          <w:b/>
          <w:bCs/>
          <w:color w:val="auto"/>
          <w:sz w:val="32"/>
          <w:highlight w:val="none"/>
        </w:rPr>
      </w:pPr>
    </w:p>
    <w:p w14:paraId="1EA0B810"/>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20"/>
      </w:pPr>
      <w:r>
        <w:separator/>
      </w:r>
    </w:p>
  </w:footnote>
  <w:footnote w:type="continuationSeparator" w:id="1">
    <w:p>
      <w:pPr>
        <w:spacing w:before="0" w:after="0"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FAB"/>
    <w:rsid w:val="002A7FAB"/>
    <w:rsid w:val="012C5CB5"/>
    <w:rsid w:val="0D7F02AE"/>
    <w:rsid w:val="165C41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autoSpaceDE w:val="0"/>
      <w:autoSpaceDN w:val="0"/>
      <w:spacing w:before="0" w:beforeLines="0" w:after="0" w:afterLines="0" w:line="360" w:lineRule="auto"/>
      <w:ind w:left="0" w:right="0" w:firstLine="400" w:firstLineChars="200"/>
      <w:jc w:val="left"/>
    </w:pPr>
    <w:rPr>
      <w:rFonts w:ascii="宋体" w:hAnsi="宋体" w:eastAsia="宋体" w:cs="宋体"/>
      <w:sz w:val="21"/>
      <w:szCs w:val="22"/>
      <w:lang w:val="zh-CN" w:eastAsia="zh-CN" w:bidi="zh-CN"/>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next w:val="4"/>
    <w:uiPriority w:val="0"/>
    <w:rPr>
      <w:rFonts w:ascii="宋体" w:hAnsi="宋体" w:eastAsia="宋体" w:cs="宋体"/>
      <w:sz w:val="21"/>
      <w:szCs w:val="21"/>
      <w:lang w:val="zh-CN" w:eastAsia="zh-CN" w:bidi="zh-CN"/>
    </w:rPr>
  </w:style>
  <w:style w:type="paragraph" w:styleId="4">
    <w:name w:val="Body Text 2"/>
    <w:basedOn w:val="1"/>
    <w:qFormat/>
    <w:uiPriority w:val="0"/>
    <w:pPr>
      <w:suppressAutoHyphens/>
      <w:jc w:val="left"/>
    </w:pPr>
    <w:rPr>
      <w:color w:val="000000"/>
      <w:kern w:val="1"/>
      <w:sz w:val="28"/>
      <w:szCs w:val="20"/>
    </w:rPr>
  </w:style>
  <w:style w:type="paragraph" w:styleId="5">
    <w:name w:val="Plain Text"/>
    <w:basedOn w:val="1"/>
    <w:qFormat/>
    <w:uiPriority w:val="0"/>
    <w:rPr>
      <w:rFonts w:ascii="宋体" w:hAnsi="Courier New"/>
      <w:szCs w:val="20"/>
    </w:rPr>
  </w:style>
  <w:style w:type="paragraph" w:styleId="6">
    <w:name w:val="Body Text First Indent"/>
    <w:basedOn w:val="3"/>
    <w:qFormat/>
    <w:uiPriority w:val="0"/>
    <w:pPr>
      <w:spacing w:line="312" w:lineRule="auto"/>
      <w:ind w:firstLine="420"/>
    </w:pPr>
    <w:rPr>
      <w:rFonts w:ascii="Times New Roman" w:hAnsi="Times New Roman" w:eastAsia="宋体" w:cs="Times New Roman"/>
      <w:szCs w:val="24"/>
    </w:rPr>
  </w:style>
  <w:style w:type="paragraph" w:customStyle="1" w:styleId="9">
    <w:name w:val="List Paragraph"/>
    <w:basedOn w:val="1"/>
    <w:qFormat/>
    <w:uiPriority w:val="0"/>
    <w:pPr>
      <w:ind w:left="390" w:hanging="526"/>
    </w:pPr>
    <w:rPr>
      <w:rFonts w:ascii="宋体" w:hAnsi="宋体" w:eastAsia="宋体" w:cs="宋体"/>
      <w:lang w:val="zh-CN" w:eastAsia="zh-CN" w:bidi="zh-CN"/>
    </w:rPr>
  </w:style>
  <w:style w:type="paragraph" w:customStyle="1" w:styleId="10">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11">
    <w:name w:val="列出段落1"/>
    <w:basedOn w:val="1"/>
    <w:qFormat/>
    <w:uiPriority w:val="0"/>
    <w:pPr>
      <w:ind w:left="390" w:hanging="526"/>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2720</Words>
  <Characters>2939</Characters>
  <Lines>0</Lines>
  <Paragraphs>0</Paragraphs>
  <TotalTime>1</TotalTime>
  <ScaleCrop>false</ScaleCrop>
  <LinksUpToDate>false</LinksUpToDate>
  <CharactersWithSpaces>2957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2026-09-22T06:44:00Z</dcterms:created>
  <dc:creator>lenovo</dc:creator>
  <cp:lastModifiedBy>lenovo</cp:lastModifiedBy>
  <dcterms:modified xsi:type="dcterms:W3CDTF">2026-09-22T06:57:31Z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AB500C22FDEE44B2B4033B9A7A6FBB0B_11</vt:lpwstr>
  </property>
  <property fmtid="{D5CDD505-2E9C-101B-9397-08002B2CF9AE}" pid="4" name="KSOTemplateDocerSaveRecord">
    <vt:lpwstr>eyJoZGlkIjoiYmI0YjAxNDVhNDA4OWMyODk3MzcwZjA0ZTZiMzMwYTMifQ==</vt:lpwstr>
  </property>
</Properties>
</file>