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1D1E1">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outlineLvl w:val="0"/>
        <w:rPr>
          <w:rFonts w:hint="eastAsia" w:ascii="方正小标宋_GBK" w:hAnsi="方正小标宋_GBK" w:eastAsia="方正小标宋_GBK" w:cs="方正小标宋_GBK"/>
          <w:color w:val="000000" w:themeColor="text1"/>
          <w:spacing w:val="0"/>
          <w:position w:val="0"/>
          <w:sz w:val="44"/>
          <w:szCs w:val="44"/>
          <w14:textFill>
            <w14:solidFill>
              <w14:schemeClr w14:val="tx1"/>
            </w14:solidFill>
          </w14:textFill>
        </w:rPr>
      </w:pPr>
      <w:r>
        <w:rPr>
          <w:rFonts w:hint="eastAsia" w:ascii="方正小标宋_GBK" w:hAnsi="方正小标宋_GBK" w:eastAsia="方正小标宋_GBK" w:cs="方正小标宋_GBK"/>
          <w:color w:val="000000" w:themeColor="text1"/>
          <w:spacing w:val="0"/>
          <w:position w:val="0"/>
          <w:sz w:val="44"/>
          <w:szCs w:val="44"/>
          <w14:textFill>
            <w14:solidFill>
              <w14:schemeClr w14:val="tx1"/>
            </w14:solidFill>
          </w14:textFill>
        </w:rPr>
        <w:t>曲靖经济技术开发区工业项目</w:t>
      </w:r>
    </w:p>
    <w:p w14:paraId="6801F0DE">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outlineLvl w:val="0"/>
        <w:rPr>
          <w:rFonts w:hint="eastAsia" w:ascii="方正小标宋_GBK" w:hAnsi="方正小标宋_GBK" w:eastAsia="方正小标宋_GBK" w:cs="方正小标宋_GBK"/>
          <w:color w:val="000000" w:themeColor="text1"/>
          <w:spacing w:val="0"/>
          <w:position w:val="0"/>
          <w:sz w:val="44"/>
          <w:szCs w:val="44"/>
          <w14:textFill>
            <w14:solidFill>
              <w14:schemeClr w14:val="tx1"/>
            </w14:solidFill>
          </w14:textFill>
        </w:rPr>
      </w:pPr>
      <w:r>
        <w:rPr>
          <w:rFonts w:hint="eastAsia" w:ascii="方正小标宋_GBK" w:hAnsi="方正小标宋_GBK" w:eastAsia="方正小标宋_GBK" w:cs="方正小标宋_GBK"/>
          <w:color w:val="000000" w:themeColor="text1"/>
          <w:spacing w:val="0"/>
          <w:position w:val="0"/>
          <w:sz w:val="44"/>
          <w:szCs w:val="44"/>
          <w14:textFill>
            <w14:solidFill>
              <w14:schemeClr w14:val="tx1"/>
            </w14:solidFill>
          </w14:textFill>
        </w:rPr>
        <w:t>“标准地”投资建设监管协议</w:t>
      </w:r>
    </w:p>
    <w:p w14:paraId="5BBB6CD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3195E5E2">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甲方</w:t>
      </w:r>
      <w:r>
        <w:rPr>
          <w:rFonts w:hint="eastAsia" w:ascii="方正仿宋_GBK" w:hAnsi="方正仿宋_GBK" w:eastAsia="方正仿宋_GBK" w:cs="方正仿宋_GBK"/>
          <w:color w:val="000000" w:themeColor="text1"/>
          <w:spacing w:val="0"/>
          <w:position w:val="0"/>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t>出</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让方</w:t>
      </w:r>
      <w:r>
        <w:rPr>
          <w:rFonts w:hint="eastAsia" w:ascii="方正仿宋_GBK" w:hAnsi="方正仿宋_GBK" w:eastAsia="方正仿宋_GBK" w:cs="方正仿宋_GBK"/>
          <w:color w:val="000000" w:themeColor="text1"/>
          <w:spacing w:val="0"/>
          <w:position w:val="0"/>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：曲靖经济技术开发区管理委员会</w:t>
      </w:r>
    </w:p>
    <w:p w14:paraId="0476BC02">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通讯地址：曲靖市翠峰路</w:t>
      </w:r>
      <w:r>
        <w:rPr>
          <w:rFonts w:hint="eastAsia" w:ascii="Times New Roman" w:hAnsi="Times New Roman" w:eastAsia="方正仿宋_GBK" w:cs="方正仿宋_GBK"/>
          <w:color w:val="000000" w:themeColor="text1"/>
          <w:spacing w:val="0"/>
          <w:position w:val="0"/>
          <w:sz w:val="32"/>
          <w:szCs w:val="32"/>
          <w:u w:val="none"/>
          <w14:textFill>
            <w14:solidFill>
              <w14:schemeClr w14:val="tx1"/>
            </w14:solidFill>
          </w14:textFill>
        </w:rPr>
        <w:t>83</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号</w:t>
      </w:r>
    </w:p>
    <w:p w14:paraId="7590FD74">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邮政编号：</w:t>
      </w:r>
      <w:r>
        <w:rPr>
          <w:rFonts w:hint="eastAsia" w:ascii="Times New Roman" w:hAnsi="Times New Roman" w:eastAsia="方正仿宋_GBK" w:cs="方正仿宋_GBK"/>
          <w:color w:val="000000" w:themeColor="text1"/>
          <w:spacing w:val="0"/>
          <w:position w:val="0"/>
          <w:sz w:val="32"/>
          <w:szCs w:val="32"/>
          <w:u w:val="none"/>
          <w:lang w:val="en-US" w:eastAsia="zh-CN"/>
          <w14:textFill>
            <w14:solidFill>
              <w14:schemeClr w14:val="tx1"/>
            </w14:solidFill>
          </w14:textFill>
        </w:rPr>
        <w:t>655000</w:t>
      </w:r>
    </w:p>
    <w:p w14:paraId="0BA48B55">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联系人：</w:t>
      </w:r>
      <w:r>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t>何兆昌</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 xml:space="preserve">           </w:t>
      </w:r>
    </w:p>
    <w:p w14:paraId="0E6F6A25">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联系电话：</w:t>
      </w:r>
      <w:r>
        <w:rPr>
          <w:rFonts w:hint="eastAsia" w:ascii="Times New Roman" w:hAnsi="Times New Roman" w:eastAsia="方正仿宋_GBK" w:cs="方正仿宋_GBK"/>
          <w:color w:val="000000" w:themeColor="text1"/>
          <w:spacing w:val="0"/>
          <w:position w:val="0"/>
          <w:sz w:val="32"/>
          <w:szCs w:val="32"/>
          <w:u w:val="none"/>
          <w:lang w:val="en-US" w:eastAsia="zh-CN"/>
          <w14:textFill>
            <w14:solidFill>
              <w14:schemeClr w14:val="tx1"/>
            </w14:solidFill>
          </w14:textFill>
        </w:rPr>
        <w:t>0874</w:t>
      </w:r>
      <w:r>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t>-</w:t>
      </w:r>
      <w:r>
        <w:rPr>
          <w:rFonts w:hint="eastAsia" w:ascii="Times New Roman" w:hAnsi="Times New Roman" w:eastAsia="方正仿宋_GBK" w:cs="方正仿宋_GBK"/>
          <w:color w:val="000000" w:themeColor="text1"/>
          <w:spacing w:val="0"/>
          <w:position w:val="0"/>
          <w:sz w:val="32"/>
          <w:szCs w:val="32"/>
          <w:u w:val="none"/>
          <w:lang w:val="en-US" w:eastAsia="zh-CN"/>
          <w14:textFill>
            <w14:solidFill>
              <w14:schemeClr w14:val="tx1"/>
            </w14:solidFill>
          </w14:textFill>
        </w:rPr>
        <w:t>3140665</w:t>
      </w:r>
    </w:p>
    <w:p w14:paraId="47A810BA">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default" w:ascii="方正仿宋_GBK" w:hAnsi="方正仿宋_GBK" w:eastAsia="方正仿宋_GBK" w:cs="方正仿宋_GBK"/>
          <w:i w:val="0"/>
          <w:iCs w:val="0"/>
          <w:color w:val="000000" w:themeColor="text1"/>
          <w:spacing w:val="0"/>
          <w:position w:val="0"/>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乙方</w:t>
      </w:r>
      <w:r>
        <w:rPr>
          <w:rFonts w:hint="eastAsia" w:ascii="方正仿宋_GBK" w:hAnsi="方正仿宋_GBK" w:eastAsia="方正仿宋_GBK" w:cs="方正仿宋_GBK"/>
          <w:color w:val="000000" w:themeColor="text1"/>
          <w:spacing w:val="0"/>
          <w:position w:val="0"/>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受让方</w:t>
      </w:r>
      <w:r>
        <w:rPr>
          <w:rFonts w:hint="eastAsia" w:ascii="方正仿宋_GBK" w:hAnsi="方正仿宋_GBK" w:eastAsia="方正仿宋_GBK" w:cs="方正仿宋_GBK"/>
          <w:color w:val="000000" w:themeColor="text1"/>
          <w:spacing w:val="0"/>
          <w:position w:val="0"/>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w:t>
      </w:r>
    </w:p>
    <w:p w14:paraId="6F71618E">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 xml:space="preserve">通讯地址：                                             </w:t>
      </w:r>
    </w:p>
    <w:p w14:paraId="187B68A6">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default"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邮政编号：</w:t>
      </w:r>
    </w:p>
    <w:p w14:paraId="53D8EE4B">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i w:val="0"/>
          <w:iCs w:val="0"/>
          <w:color w:val="000000" w:themeColor="text1"/>
          <w:spacing w:val="0"/>
          <w:position w:val="0"/>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联系人：</w:t>
      </w:r>
    </w:p>
    <w:p w14:paraId="39E77469">
      <w:pPr>
        <w:keepNext w:val="0"/>
        <w:keepLines w:val="0"/>
        <w:pageBreakBefore w:val="0"/>
        <w:widowControl w:val="0"/>
        <w:kinsoku/>
        <w:wordWrap/>
        <w:overflowPunct/>
        <w:topLinePunct w:val="0"/>
        <w:autoSpaceDE/>
        <w:autoSpaceDN/>
        <w:bidi w:val="0"/>
        <w:adjustRightInd w:val="0"/>
        <w:snapToGrid w:val="0"/>
        <w:spacing w:line="600" w:lineRule="exact"/>
        <w:ind w:right="0"/>
        <w:jc w:val="left"/>
        <w:textAlignment w:val="baseline"/>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u w:val="none"/>
          <w14:textFill>
            <w14:solidFill>
              <w14:schemeClr w14:val="tx1"/>
            </w14:solidFill>
          </w14:textFill>
        </w:rPr>
        <w:t>联系电话：</w:t>
      </w:r>
    </w:p>
    <w:p w14:paraId="5582EEF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1B020459">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第一章  总   则</w:t>
      </w:r>
    </w:p>
    <w:p w14:paraId="25F7CD27">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第一条 根据《中华人民共和国民法典》《中华人民共和国土地管理法》等有关法律、法规、规章的规定，本着平等、自愿、诚实守信的原则，经双方协商一致，订立本协议。</w:t>
      </w:r>
    </w:p>
    <w:p w14:paraId="32A94007">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第二章 基本情况</w:t>
      </w:r>
    </w:p>
    <w:p w14:paraId="419EB13D">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第二条 本协议下宗地编号：</w:t>
      </w:r>
      <w:r>
        <w:rPr>
          <w:rFonts w:hint="eastAsia" w:ascii="Times New Roman" w:hAnsi="Times New Roman" w:eastAsia="方正仿宋_GBK" w:cs="方正仿宋_GBK"/>
          <w:color w:val="000000" w:themeColor="text1"/>
          <w:spacing w:val="0"/>
          <w:position w:val="0"/>
          <w:sz w:val="32"/>
          <w:szCs w:val="32"/>
          <w:u w:val="single"/>
          <w14:textFill>
            <w14:solidFill>
              <w14:schemeClr w14:val="tx1"/>
            </w14:solidFill>
          </w14:textFill>
        </w:rPr>
        <w:t>QKG202</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6</w:t>
      </w:r>
      <w:r>
        <w:rPr>
          <w:rFonts w:hint="eastAsia" w:ascii="Times New Roman" w:hAnsi="Times New Roman" w:eastAsia="方正仿宋_GBK" w:cs="方正仿宋_GBK"/>
          <w:color w:val="000000" w:themeColor="text1"/>
          <w:spacing w:val="0"/>
          <w:position w:val="0"/>
          <w:sz w:val="32"/>
          <w:szCs w:val="32"/>
          <w:u w:val="single"/>
          <w14:textFill>
            <w14:solidFill>
              <w14:schemeClr w14:val="tx1"/>
            </w14:solidFill>
          </w14:textFill>
        </w:rPr>
        <w:t>-</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5</w:t>
      </w:r>
      <w:r>
        <w:rPr>
          <w:rFonts w:hint="eastAsia" w:ascii="Times New Roman" w:hAnsi="Times New Roman" w:eastAsia="方正仿宋_GBK" w:cs="方正仿宋_GBK"/>
          <w:color w:val="000000" w:themeColor="text1"/>
          <w:spacing w:val="0"/>
          <w:position w:val="0"/>
          <w:sz w:val="32"/>
          <w:szCs w:val="32"/>
          <w:u w:val="single"/>
          <w14:textFill>
            <w14:solidFill>
              <w14:schemeClr w14:val="tx1"/>
            </w14:solidFill>
          </w14:textFill>
        </w:rPr>
        <w:t>号地块</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，宗地总面积</w:t>
      </w:r>
      <w:r>
        <w:rPr>
          <w:rFonts w:hint="eastAsia" w:ascii="Times New Roman" w:hAnsi="Times New Roman" w:eastAsia="方正仿宋_GBK" w:cs="Times New Roman"/>
          <w:color w:val="000000" w:themeColor="text1"/>
          <w:spacing w:val="0"/>
          <w:position w:val="0"/>
          <w:sz w:val="32"/>
          <w:szCs w:val="32"/>
          <w:u w:val="single"/>
          <w:lang w:val="en-US" w:eastAsia="zh-CN"/>
          <w14:textFill>
            <w14:solidFill>
              <w14:schemeClr w14:val="tx1"/>
            </w14:solidFill>
          </w14:textFill>
        </w:rPr>
        <w:t>4811</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平方米，本协议下宗地坐落：</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三元路东侧、西城产业片区冶金厂规划道路西侧、电缆厂规划道路南侧</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。本协议下宗地建设项目准入行业：</w:t>
      </w:r>
      <w:r>
        <w:rPr>
          <w:rFonts w:hint="default" w:ascii="Times New Roman" w:hAnsi="Times New Roman" w:eastAsia="方正仿宋_GBK" w:cs="Times New Roman"/>
          <w:color w:val="000000" w:themeColor="text1"/>
          <w:sz w:val="32"/>
          <w:szCs w:val="32"/>
          <w:u w:val="single"/>
          <w:lang w:val="en-US" w:eastAsia="zh-CN"/>
          <w14:textFill>
            <w14:solidFill>
              <w14:schemeClr w14:val="tx1"/>
            </w14:solidFill>
          </w14:textFill>
        </w:rPr>
        <w:t>废弃资源综合利用业</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p>
    <w:p w14:paraId="6DB1973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第三条 乙方同意本协议下宗地建设项目在</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年</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月</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日之前开工，在</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年</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月</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 xml:space="preserve"> 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日之前竣工。乙方不能按期开工，应及时通知甲方，并提前</w:t>
      </w:r>
      <w:r>
        <w:rPr>
          <w:rFonts w:hint="eastAsia" w:ascii="Times New Roman" w:hAnsi="Times New Roman" w:eastAsia="方正仿宋_GBK" w:cs="方正仿宋_GBK"/>
          <w:color w:val="000000" w:themeColor="text1"/>
          <w:spacing w:val="0"/>
          <w:position w:val="0"/>
          <w:sz w:val="32"/>
          <w:szCs w:val="32"/>
          <w14:textFill>
            <w14:solidFill>
              <w14:schemeClr w14:val="tx1"/>
            </w14:solidFill>
          </w14:textFill>
        </w:rPr>
        <w:t>30</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日向自然资源主管部门提出延期建设申请，经同意延期建设的，其项目竣工时间相应顺延，但延期建设期限不得超过一年。</w:t>
      </w:r>
    </w:p>
    <w:p w14:paraId="0CBE2D9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第四条 乙方同意本协议下宗地建设项目在</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年</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月</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X</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日之前达产，经自然资源主管部门同意开工、竣工期限顺延的，达产日期相应顺延。</w:t>
      </w:r>
    </w:p>
    <w:p w14:paraId="47141B3C">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第三章 控制性指标要求</w:t>
      </w:r>
    </w:p>
    <w:p w14:paraId="3BB8AC8E">
      <w:pPr>
        <w:keepNext w:val="0"/>
        <w:keepLines w:val="0"/>
        <w:pageBreakBefore w:val="0"/>
        <w:widowControl/>
        <w:suppressLineNumbers w:val="0"/>
        <w:wordWrap/>
        <w:overflowPunct/>
        <w:topLinePunct w:val="0"/>
        <w:bidi w:val="0"/>
        <w:adjustRightInd w:val="0"/>
        <w:snapToGrid w:val="0"/>
        <w:spacing w:line="600" w:lineRule="exact"/>
        <w:ind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 xml:space="preserve">第五条 </w:t>
      </w:r>
      <w:bookmarkStart w:id="0" w:name="_GoBack"/>
      <w:bookmarkEnd w:id="0"/>
      <w:r>
        <w:rPr>
          <w:rFonts w:hint="eastAsia" w:ascii="方正仿宋_GBK" w:hAnsi="方正仿宋_GBK" w:eastAsia="方正仿宋_GBK" w:cs="方正仿宋_GBK"/>
          <w:color w:val="000000" w:themeColor="text1"/>
          <w:spacing w:val="0"/>
          <w:position w:val="0"/>
          <w:sz w:val="32"/>
          <w:szCs w:val="32"/>
          <w:highlight w:val="none"/>
          <w:lang w:val="en-US" w:eastAsia="zh-CN"/>
          <w14:textFill>
            <w14:solidFill>
              <w14:schemeClr w14:val="tx1"/>
            </w14:solidFill>
          </w14:textFill>
        </w:rPr>
        <w:t>本建设项目应符合下列标准要求</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w:t>
      </w:r>
    </w:p>
    <w:p w14:paraId="5BD39CC0">
      <w:pPr>
        <w:keepNext w:val="0"/>
        <w:keepLines w:val="0"/>
        <w:pageBreakBefore w:val="0"/>
        <w:widowControl/>
        <w:suppressLineNumbers w:val="0"/>
        <w:wordWrap/>
        <w:overflowPunct/>
        <w:topLinePunct w:val="0"/>
        <w:bidi w:val="0"/>
        <w:adjustRightInd w:val="0"/>
        <w:snapToGrid w:val="0"/>
        <w:spacing w:line="600" w:lineRule="exact"/>
        <w:ind w:firstLine="640" w:firstLineChars="200"/>
        <w:jc w:val="left"/>
        <w:textAlignment w:val="baseline"/>
        <w:rPr>
          <w:rFonts w:hint="default" w:ascii="方正仿宋_GBK" w:hAnsi="方正仿宋_GBK" w:eastAsia="方正仿宋_GBK" w:cs="方正仿宋_GBK"/>
          <w:color w:val="000000" w:themeColor="text1"/>
          <w:spacing w:val="0"/>
          <w:position w:val="0"/>
          <w:sz w:val="32"/>
          <w:szCs w:val="32"/>
          <w:highlight w:val="yellow"/>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固定资产投资强度</w:t>
      </w:r>
      <w:r>
        <w:rPr>
          <w:rFonts w:hint="eastAsia" w:ascii="方正仿宋_GBK" w:hAnsi="方正仿宋_GBK" w:eastAsia="方正仿宋_GBK" w:cs="方正仿宋_GBK"/>
          <w:color w:val="000000" w:themeColor="text1"/>
          <w:spacing w:val="0"/>
          <w:position w:val="0"/>
          <w:sz w:val="32"/>
          <w:szCs w:val="32"/>
          <w:highlight w:val="none"/>
          <w:lang w:val="en-US" w:eastAsia="zh-CN"/>
          <w14:textFill>
            <w14:solidFill>
              <w14:schemeClr w14:val="tx1"/>
            </w14:solidFill>
          </w14:textFill>
        </w:rPr>
        <w:t>不低于</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人民币大写</w:t>
      </w:r>
      <w:r>
        <w:rPr>
          <w:rFonts w:hint="eastAsia" w:ascii="方正仿宋_GBK" w:hAnsi="方正仿宋_GBK" w:eastAsia="方正仿宋_GBK" w:cs="方正仿宋_GBK"/>
          <w:color w:val="000000" w:themeColor="text1"/>
          <w:spacing w:val="0"/>
          <w:position w:val="0"/>
          <w:sz w:val="32"/>
          <w:szCs w:val="32"/>
          <w:highlight w:val="none"/>
          <w:u w:val="single"/>
          <w:lang w:val="en-US" w:eastAsia="zh-CN"/>
          <w14:textFill>
            <w14:solidFill>
              <w14:schemeClr w14:val="tx1"/>
            </w14:solidFill>
          </w14:textFill>
        </w:rPr>
        <w:t>叁佰伍拾</w:t>
      </w:r>
      <w:r>
        <w:rPr>
          <w:rFonts w:hint="eastAsia" w:ascii="方正仿宋_GBK" w:hAnsi="方正仿宋_GBK" w:eastAsia="方正仿宋_GBK" w:cs="方正仿宋_GBK"/>
          <w:color w:val="000000" w:themeColor="text1"/>
          <w:spacing w:val="0"/>
          <w:position w:val="0"/>
          <w:sz w:val="32"/>
          <w:szCs w:val="32"/>
          <w:highlight w:val="none"/>
          <w:u w:val="none"/>
          <w14:textFill>
            <w14:solidFill>
              <w14:schemeClr w14:val="tx1"/>
            </w14:solidFill>
          </w14:textFill>
        </w:rPr>
        <w:t>万元/亩</w:t>
      </w:r>
      <w:r>
        <w:rPr>
          <w:rFonts w:hint="eastAsia" w:ascii="方正仿宋_GBK" w:hAnsi="方正仿宋_GBK" w:eastAsia="方正仿宋_GBK" w:cs="方正仿宋_GBK"/>
          <w:color w:val="000000" w:themeColor="text1"/>
          <w:spacing w:val="0"/>
          <w:position w:val="0"/>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小写</w:t>
      </w:r>
      <w:r>
        <w:rPr>
          <w:rFonts w:hint="eastAsia" w:ascii="Times New Roman" w:hAnsi="Times New Roman" w:eastAsia="方正仿宋_GBK" w:cs="Times New Roman"/>
          <w:color w:val="000000" w:themeColor="text1"/>
          <w:spacing w:val="0"/>
          <w:position w:val="0"/>
          <w:sz w:val="32"/>
          <w:szCs w:val="32"/>
          <w:highlight w:val="none"/>
          <w:u w:val="single"/>
          <w:lang w:val="en-US" w:eastAsia="zh-CN"/>
          <w14:textFill>
            <w14:solidFill>
              <w14:schemeClr w14:val="tx1"/>
            </w14:solidFill>
          </w14:textFill>
        </w:rPr>
        <w:t>350</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万元/亩</w:t>
      </w:r>
      <w:r>
        <w:rPr>
          <w:rFonts w:hint="eastAsia" w:ascii="方正仿宋_GBK" w:hAnsi="方正仿宋_GBK" w:eastAsia="方正仿宋_GBK" w:cs="方正仿宋_GBK"/>
          <w:color w:val="000000" w:themeColor="text1"/>
          <w:spacing w:val="0"/>
          <w:position w:val="0"/>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lang w:val="en-US" w:eastAsia="zh-CN"/>
          <w14:textFill>
            <w14:solidFill>
              <w14:schemeClr w14:val="tx1"/>
            </w14:solidFill>
          </w14:textFill>
        </w:rPr>
        <w:t>单位能耗工业增加值不低于</w:t>
      </w:r>
      <w:r>
        <w:rPr>
          <w:rFonts w:hint="eastAsia" w:ascii="Times New Roman" w:hAnsi="Times New Roman" w:eastAsia="方正仿宋_GBK" w:cs="Times New Roman"/>
          <w:color w:val="000000" w:themeColor="text1"/>
          <w:spacing w:val="0"/>
          <w:position w:val="0"/>
          <w:sz w:val="32"/>
          <w:szCs w:val="32"/>
          <w:highlight w:val="none"/>
          <w:u w:val="single"/>
          <w:lang w:val="en-US" w:eastAsia="zh-CN"/>
          <w14:textFill>
            <w14:solidFill>
              <w14:schemeClr w14:val="tx1"/>
            </w14:solidFill>
          </w14:textFill>
        </w:rPr>
        <w:t>0.5208</w:t>
      </w:r>
      <w:r>
        <w:rPr>
          <w:rFonts w:hint="eastAsia" w:ascii="Times New Roman" w:hAnsi="Times New Roman" w:eastAsia="方正仿宋_GBK" w:cs="Times New Roman"/>
          <w:color w:val="000000" w:themeColor="text1"/>
          <w:spacing w:val="0"/>
          <w:position w:val="0"/>
          <w:sz w:val="32"/>
          <w:szCs w:val="32"/>
          <w:highlight w:val="none"/>
          <w:u w:val="none"/>
          <w:lang w:val="en-US" w:eastAsia="zh-CN"/>
          <w14:textFill>
            <w14:solidFill>
              <w14:schemeClr w14:val="tx1"/>
            </w14:solidFill>
          </w14:textFill>
        </w:rPr>
        <w:t>万元</w:t>
      </w:r>
      <w:r>
        <w:rPr>
          <w:rFonts w:hint="eastAsia" w:ascii="方正仿宋_GBK" w:hAnsi="方正仿宋_GBK" w:eastAsia="方正仿宋_GBK" w:cs="方正仿宋_GBK"/>
          <w:color w:val="000000" w:themeColor="text1"/>
          <w:spacing w:val="0"/>
          <w:position w:val="0"/>
          <w:sz w:val="32"/>
          <w:szCs w:val="32"/>
          <w:highlight w:val="none"/>
          <w:u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highlight w:val="none"/>
          <w:lang w:val="en-US" w:eastAsia="zh-CN"/>
          <w14:textFill>
            <w14:solidFill>
              <w14:schemeClr w14:val="tx1"/>
            </w14:solidFill>
          </w14:textFill>
        </w:rPr>
        <w:t>吨标煤。</w:t>
      </w:r>
    </w:p>
    <w:p w14:paraId="55D2C1D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建筑容积率不</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低</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于</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0.80</w:t>
      </w:r>
      <w:r>
        <w:rPr>
          <w:rFonts w:hint="eastAsia" w:ascii="Times New Roman" w:hAnsi="Times New Roman" w:eastAsia="方正仿宋_GBK" w:cs="方正仿宋_GBK"/>
          <w:color w:val="000000" w:themeColor="text1"/>
          <w:spacing w:val="0"/>
          <w:position w:val="0"/>
          <w:sz w:val="32"/>
          <w:szCs w:val="32"/>
          <w:u w:val="none"/>
          <w:lang w:val="en-US" w:eastAsia="zh-CN"/>
          <w14:textFill>
            <w14:solidFill>
              <w14:schemeClr w14:val="tx1"/>
            </w14:solidFill>
          </w14:textFill>
        </w:rPr>
        <w:t>。</w:t>
      </w:r>
    </w:p>
    <w:p w14:paraId="45E11429">
      <w:pPr>
        <w:keepNext w:val="0"/>
        <w:keepLines w:val="0"/>
        <w:pageBreakBefore w:val="0"/>
        <w:widowControl/>
        <w:suppressLineNumbers w:val="0"/>
        <w:wordWrap/>
        <w:overflowPunct/>
        <w:topLinePunct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三</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项目达产后亩均税收不低于人民币大写</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柒万壹仟元</w:t>
      </w:r>
      <w:r>
        <w:rPr>
          <w:rFonts w:hint="eastAsia" w:ascii="方正仿宋_GBK" w:hAnsi="方正仿宋_GBK" w:eastAsia="方正仿宋_GBK" w:cs="方正仿宋_GBK"/>
          <w:color w:val="000000" w:themeColor="text1"/>
          <w:spacing w:val="0"/>
          <w:position w:val="0"/>
          <w:sz w:val="32"/>
          <w:szCs w:val="32"/>
          <w:u w:val="single"/>
          <w:lang w:val="en-US" w:eastAsia="zh-CN"/>
          <w14:textFill>
            <w14:solidFill>
              <w14:schemeClr w14:val="tx1"/>
            </w14:solidFill>
          </w14:textFill>
        </w:rPr>
        <w:t>整</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每亩</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每年</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小写</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7.1</w:t>
      </w:r>
      <w:r>
        <w:rPr>
          <w:rFonts w:hint="eastAsia" w:ascii="方正仿宋_GBK" w:hAnsi="方正仿宋_GBK" w:eastAsia="方正仿宋_GBK" w:cs="方正仿宋_GBK"/>
          <w:color w:val="000000" w:themeColor="text1"/>
          <w:spacing w:val="0"/>
          <w:position w:val="0"/>
          <w:sz w:val="32"/>
          <w:szCs w:val="32"/>
          <w:u w:val="none"/>
          <w:lang w:val="en-US" w:eastAsia="zh-CN"/>
          <w14:textFill>
            <w14:solidFill>
              <w14:schemeClr w14:val="tx1"/>
            </w14:solidFill>
          </w14:textFill>
        </w:rPr>
        <w:t>万</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元/亩</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/年</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p>
    <w:p w14:paraId="60EC3F1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四</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）地块污染物</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排放</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限值</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单位工业增加值</w:t>
      </w:r>
      <w:r>
        <w:rPr>
          <w:rFonts w:hint="eastAsia" w:ascii="Times New Roman" w:hAnsi="Times New Roman" w:eastAsia="方正仿宋_GBK" w:cs="方正仿宋_GBK"/>
          <w:color w:val="000000" w:themeColor="text1"/>
          <w:spacing w:val="0"/>
          <w:position w:val="0"/>
          <w:sz w:val="32"/>
          <w:szCs w:val="32"/>
          <w:lang w:val="en-US" w:eastAsia="zh-CN"/>
          <w14:textFill>
            <w14:solidFill>
              <w14:schemeClr w14:val="tx1"/>
            </w14:solidFill>
          </w14:textFill>
        </w:rPr>
        <w:t>COD</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排放量小于等于</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1000万元</w:t>
      </w:r>
      <w:r>
        <w:rPr>
          <w:rFonts w:hint="eastAsia" w:ascii="方正仿宋_GBK" w:hAnsi="方正仿宋_GBK" w:eastAsia="方正仿宋_GBK" w:cs="方正仿宋_GBK"/>
          <w:color w:val="000000" w:themeColor="text1"/>
          <w:spacing w:val="0"/>
          <w:position w:val="0"/>
          <w:sz w:val="32"/>
          <w:szCs w:val="32"/>
          <w:u w:val="single"/>
          <w:lang w:val="en-US" w:eastAsia="zh-CN"/>
          <w14:textFill>
            <w14:solidFill>
              <w14:schemeClr w14:val="tx1"/>
            </w14:solidFill>
          </w14:textFill>
        </w:rPr>
        <w:t>/吨</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；单位工业增加值二氧化硫排放量小于等于</w:t>
      </w:r>
      <w:r>
        <w:rPr>
          <w:rFonts w:hint="eastAsia" w:ascii="Times New Roman" w:hAnsi="Times New Roman" w:eastAsia="方正仿宋_GBK" w:cs="方正仿宋_GBK"/>
          <w:color w:val="000000" w:themeColor="text1"/>
          <w:spacing w:val="0"/>
          <w:position w:val="0"/>
          <w:sz w:val="32"/>
          <w:szCs w:val="32"/>
          <w:u w:val="single"/>
          <w:lang w:val="en-US" w:eastAsia="zh-CN"/>
          <w14:textFill>
            <w14:solidFill>
              <w14:schemeClr w14:val="tx1"/>
            </w14:solidFill>
          </w14:textFill>
        </w:rPr>
        <w:t>1000万元</w:t>
      </w:r>
      <w:r>
        <w:rPr>
          <w:rFonts w:hint="eastAsia" w:ascii="方正仿宋_GBK" w:hAnsi="方正仿宋_GBK" w:eastAsia="方正仿宋_GBK" w:cs="方正仿宋_GBK"/>
          <w:color w:val="000000" w:themeColor="text1"/>
          <w:spacing w:val="0"/>
          <w:position w:val="0"/>
          <w:sz w:val="32"/>
          <w:szCs w:val="32"/>
          <w:u w:val="single"/>
          <w:lang w:val="en-US" w:eastAsia="zh-CN"/>
          <w14:textFill>
            <w14:solidFill>
              <w14:schemeClr w14:val="tx1"/>
            </w14:solidFill>
          </w14:textFill>
        </w:rPr>
        <w:t>/吨</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w:t>
      </w:r>
    </w:p>
    <w:p w14:paraId="33F1F05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五</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乙方必须在正式投入生产前，完成各项法定验收工作。</w:t>
      </w:r>
    </w:p>
    <w:p w14:paraId="6C01978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六</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其他指标</w:t>
      </w:r>
    </w:p>
    <w:p w14:paraId="244BBCBE">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第四章 甲方权利和义务</w:t>
      </w:r>
    </w:p>
    <w:p w14:paraId="737BCF9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第六条 就甲方义务做如下约定：</w:t>
      </w:r>
    </w:p>
    <w:p w14:paraId="3425918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严格执行“净地”出让规定；</w:t>
      </w:r>
    </w:p>
    <w:p w14:paraId="6D477D6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协调相关部门，对照本协议第五条各项规定条件对乙方实施的建设项目在约定期限内完成竣工验收、达产复核；</w:t>
      </w:r>
    </w:p>
    <w:p w14:paraId="44B9731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三</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协调各职能部门配合乙方办理建设、规划、环保、土地、税务、市场监管等相关手续；</w:t>
      </w:r>
    </w:p>
    <w:p w14:paraId="5F39523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第七条 竣工验收或达产复核未通过的，甲方有权提请相关部门依法通过政府信用网站向社会公开披露，性质严重的，列入失信“黑名单”。</w:t>
      </w:r>
    </w:p>
    <w:p w14:paraId="6A0AF636">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第五章 乙方权利和义务</w:t>
      </w:r>
    </w:p>
    <w:p w14:paraId="4FF031D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第八条 就乙方义务做如下约定：</w:t>
      </w:r>
    </w:p>
    <w:p w14:paraId="5AD055B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承担并落实工程主体责任，确保工程符合相关规定，严格按照既定计划实施；</w:t>
      </w:r>
    </w:p>
    <w:p w14:paraId="0159FF2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自觉接受甲方及相关部门的监督和指导，对检查提出的整改通知，须及时整改；</w:t>
      </w:r>
    </w:p>
    <w:p w14:paraId="516DA9A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三</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在达到本协议第五条各项规定条件前，乙方以受让地块的国有建设用地使用权进行融资的，乙方承诺抵押融资金额不超过国有建设用地使用权出让价款；</w:t>
      </w:r>
    </w:p>
    <w:p w14:paraId="7B72F32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四</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在达到本协议第五条第</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项规定条件前，乙方不得向第三方转让、出租受让地块的建设用地使用权及地上建筑物；</w:t>
      </w:r>
    </w:p>
    <w:p w14:paraId="3B95CB7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五</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在达到本协议第五条第</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项规定条件前，乙方其及股东不得向第三方以通过股权转让、股权质押等形式变相转让土地使用权和地上建筑物；</w:t>
      </w:r>
    </w:p>
    <w:p w14:paraId="5004FF1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第九条 在达到本协议第五条第</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二</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项规定条件后，且符合《国有建设用地使用权出让合同》《招商引资投资协议》约定情形的，经曲靖经济技术开发区管委会同意，乙方有权将本协议下的全部或部分国有建设用地使用权及地上建筑物转让、出租或进行项目转让</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含股权</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p>
    <w:p w14:paraId="2FB2F3C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乙方应当在做出转让、出租决定后</w:t>
      </w:r>
      <w:r>
        <w:rPr>
          <w:rFonts w:hint="eastAsia" w:ascii="Times New Roman" w:hAnsi="Times New Roman" w:eastAsia="方正仿宋_GBK" w:cs="方正仿宋_GBK"/>
          <w:color w:val="000000" w:themeColor="text1"/>
          <w:spacing w:val="0"/>
          <w:position w:val="0"/>
          <w:sz w:val="32"/>
          <w:szCs w:val="32"/>
          <w14:textFill>
            <w14:solidFill>
              <w14:schemeClr w14:val="tx1"/>
            </w14:solidFill>
          </w14:textFill>
        </w:rPr>
        <w:t>5</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个工作日内书面告知甲方，同等条件下，甲方享有优先受让权、承租权。</w:t>
      </w:r>
    </w:p>
    <w:p w14:paraId="74EDAA7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本协议项下的全部或部分国有建设用地使用权在符合前述要求向第三方转让后，本协议中载明的权利、义务随之转移；向第三方出租后，本协议中载明的权利、义务仍由乙方承担。</w:t>
      </w:r>
    </w:p>
    <w:p w14:paraId="238A29F9">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第六章 违约责任</w:t>
      </w:r>
    </w:p>
    <w:p w14:paraId="406EAE8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第十条 因非乙方原因导致项目竣工验收、达产复核延期的，企业承诺的时间期限可依申请相应顺延。</w:t>
      </w:r>
    </w:p>
    <w:p w14:paraId="73829B0C">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第十一条 本协议项下固定资产投资强度、亩均税收、单位工业增加值能耗等任一指标不符合本协议约定的，甲方给予乙方不超</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过</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半年的自行整改期限。若乙方整改后仍不达标的，甲方对达产验收不予通过并由乙方承担相应的违约责任。</w:t>
      </w:r>
    </w:p>
    <w:p w14:paraId="6FD9AA3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第十二条 乙方未按本协议第八条第</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三</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四</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五</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项和第九条规定，擅自转让、抵押、出租国有建设用地使用权，导致工业项目“标准地”出让目的无法实现的，甲方有权解除协议，并依法追究乙方违约责任。</w:t>
      </w:r>
    </w:p>
    <w:p w14:paraId="6982B27D">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第七章 不可抗力</w:t>
      </w:r>
    </w:p>
    <w:p w14:paraId="7F716B4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第十三条 因不可抗力不能履行本协议的，根据不可抗力的影响，部分或全部免除责任，但法律另有规定的除外。一方延迟履行后发生不可抗力的，不能免除责任。</w:t>
      </w:r>
    </w:p>
    <w:p w14:paraId="353BEC4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“不可抗力”是指不能预见、不能避免并不能克服的客观情况。</w:t>
      </w:r>
    </w:p>
    <w:p w14:paraId="6B7ADB1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第十四条 主张不可抗力的一方应及时通知对方，以减轻可能给对方造成的损失，并应在合理期限内提供证明。</w:t>
      </w:r>
    </w:p>
    <w:p w14:paraId="36735518">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第八章 争议解决</w:t>
      </w:r>
    </w:p>
    <w:p w14:paraId="30A01F3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第十五条 本协议订立、效力、解释、履行及争议的解决，适用《中华人民共和国民法典》。应执行本协议所发生的或与本协议有关的一切争议，甲、乙双方应通过友好协商解决，协商不成的，向项目所在地有管辖权的人民法院提起诉讼。</w:t>
      </w:r>
    </w:p>
    <w:p w14:paraId="44D7A080">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pPr>
      <w:r>
        <w:rPr>
          <w:rFonts w:hint="eastAsia" w:ascii="方正黑体_GBK" w:hAnsi="方正黑体_GBK" w:eastAsia="方正黑体_GBK" w:cs="方正黑体_GBK"/>
          <w:color w:val="000000" w:themeColor="text1"/>
          <w:spacing w:val="0"/>
          <w:position w:val="0"/>
          <w:sz w:val="32"/>
          <w:szCs w:val="32"/>
          <w14:textFill>
            <w14:solidFill>
              <w14:schemeClr w14:val="tx1"/>
            </w14:solidFill>
          </w14:textFill>
        </w:rPr>
        <w:t>第九章 附 则</w:t>
      </w:r>
    </w:p>
    <w:p w14:paraId="0DC406F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第十六条 本协议双方当事人均保证本协议中所填写的姓名、通讯地址、联系人、联系电话等内容的真实有效，一方的信息如有变更，应于变更之日起</w:t>
      </w:r>
      <w:r>
        <w:rPr>
          <w:rFonts w:hint="eastAsia" w:ascii="Times New Roman" w:hAnsi="Times New Roman" w:eastAsia="方正仿宋_GBK" w:cs="方正仿宋_GBK"/>
          <w:color w:val="000000" w:themeColor="text1"/>
          <w:spacing w:val="0"/>
          <w:position w:val="0"/>
          <w:sz w:val="32"/>
          <w:szCs w:val="32"/>
          <w14:textFill>
            <w14:solidFill>
              <w14:schemeClr w14:val="tx1"/>
            </w14:solidFill>
          </w14:textFill>
        </w:rPr>
        <w:t>15</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日内以书面形式告知对方，否则由此引起的无法及时告知的责任由信息变更方承担。同时，一方按照本协议中填写的通讯地址、通知方式送达的，无论另一方是否收到皆视为有效送达。</w:t>
      </w:r>
    </w:p>
    <w:p w14:paraId="4C52409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第十七条 本协议自双方签字盖章之日起生效。本协议正本壹式肆份，甲乙双方各执贰份，副本报有关部门备案使用。</w:t>
      </w:r>
    </w:p>
    <w:p w14:paraId="63568EB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46412CD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36F54AFF">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baseline"/>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甲方</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盖章</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乙方</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盖章</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p>
    <w:p w14:paraId="447BB710">
      <w:pPr>
        <w:keepNext w:val="0"/>
        <w:keepLines w:val="0"/>
        <w:pageBreakBefore w:val="0"/>
        <w:widowControl w:val="0"/>
        <w:tabs>
          <w:tab w:val="left" w:pos="133"/>
        </w:tabs>
        <w:kinsoku/>
        <w:wordWrap/>
        <w:overflowPunct/>
        <w:topLinePunct w:val="0"/>
        <w:autoSpaceDE/>
        <w:autoSpaceDN/>
        <w:bidi w:val="0"/>
        <w:adjustRightInd w:val="0"/>
        <w:snapToGrid w:val="0"/>
        <w:spacing w:line="600" w:lineRule="exact"/>
        <w:ind w:right="0"/>
        <w:jc w:val="both"/>
        <w:textAlignment w:val="baseline"/>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法定代表人</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委托代理人</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法定代表人</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委托代理人</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p>
    <w:p w14:paraId="779C1FA1">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baseline"/>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签字</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签字</w:t>
      </w:r>
      <w:r>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t>）</w:t>
      </w:r>
    </w:p>
    <w:p w14:paraId="6C43840C">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年   月   日</w:t>
      </w:r>
      <w:r>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t>年   月   日</w:t>
      </w:r>
    </w:p>
    <w:p w14:paraId="57725EF4">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35FB12C5">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pPr>
    </w:p>
    <w:p w14:paraId="1D296B8E">
      <w:pPr>
        <w:keepNext w:val="0"/>
        <w:keepLines w:val="0"/>
        <w:pageBreakBefore w:val="0"/>
        <w:widowControl w:val="0"/>
        <w:tabs>
          <w:tab w:val="left" w:pos="133"/>
        </w:tabs>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lang w:eastAsia="zh-CN"/>
          <w14:textFill>
            <w14:solidFill>
              <w14:schemeClr w14:val="tx1"/>
            </w14:solidFill>
          </w14:textFill>
        </w:rPr>
      </w:pPr>
    </w:p>
    <w:p w14:paraId="648A09E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p w14:paraId="4707D51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baseline"/>
        <w:rPr>
          <w:rFonts w:hint="eastAsia" w:ascii="方正仿宋_GBK" w:hAnsi="方正仿宋_GBK" w:eastAsia="方正仿宋_GBK" w:cs="方正仿宋_GBK"/>
          <w:color w:val="000000" w:themeColor="text1"/>
          <w:spacing w:val="0"/>
          <w:position w:val="0"/>
          <w:sz w:val="32"/>
          <w:szCs w:val="32"/>
          <w:lang w:val="en-US" w:eastAsia="zh-CN"/>
          <w14:textFill>
            <w14:solidFill>
              <w14:schemeClr w14:val="tx1"/>
            </w14:solidFill>
          </w14:textFill>
        </w:rPr>
        <w:sectPr>
          <w:footerReference r:id="rId3" w:type="default"/>
          <w:pgSz w:w="11906" w:h="16839"/>
          <w:pgMar w:top="1440" w:right="1800" w:bottom="1440" w:left="1800" w:header="0" w:footer="992" w:gutter="0"/>
          <w:pgNumType w:fmt="decimal"/>
          <w:cols w:space="720" w:num="1"/>
        </w:sectPr>
      </w:pPr>
    </w:p>
    <w:p w14:paraId="32BB2655">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baseline"/>
        <w:rPr>
          <w:rFonts w:hint="eastAsia" w:ascii="方正仿宋_GBK" w:hAnsi="方正仿宋_GBK" w:eastAsia="方正仿宋_GBK" w:cs="方正仿宋_GBK"/>
          <w:color w:val="000000" w:themeColor="text1"/>
          <w:spacing w:val="0"/>
          <w:position w:val="0"/>
          <w:sz w:val="32"/>
          <w:szCs w:val="32"/>
          <w14:textFill>
            <w14:solidFill>
              <w14:schemeClr w14:val="tx1"/>
            </w14:solidFill>
          </w14:textFill>
        </w:rPr>
      </w:pPr>
    </w:p>
    <w:sectPr>
      <w:type w:val="continuous"/>
      <w:pgSz w:w="11906" w:h="16839"/>
      <w:pgMar w:top="1440" w:right="1800" w:bottom="1440" w:left="1800" w:header="0" w:footer="0" w:gutter="0"/>
      <w:pgNumType w:fmt="decimal"/>
      <w:cols w:equalWidth="0" w:num="2">
        <w:col w:w="4269" w:space="100"/>
        <w:col w:w="393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1060001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CDC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B2BE8">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8B2BE8">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displayBackgroundShape w:val="1"/>
  <w:embedSystem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NWYxZjM0NmIzOTk2YThlYmJiODEyNjZhNTAxZjUifQ=="/>
  </w:docVars>
  <w:rsids>
    <w:rsidRoot w:val="00B15C65"/>
    <w:rsid w:val="000D5ECC"/>
    <w:rsid w:val="001E35ED"/>
    <w:rsid w:val="00201B6E"/>
    <w:rsid w:val="002E1205"/>
    <w:rsid w:val="003014FF"/>
    <w:rsid w:val="00363D2E"/>
    <w:rsid w:val="004144CE"/>
    <w:rsid w:val="004524A3"/>
    <w:rsid w:val="004632FE"/>
    <w:rsid w:val="004A29C0"/>
    <w:rsid w:val="00651A84"/>
    <w:rsid w:val="00736F00"/>
    <w:rsid w:val="00811F4D"/>
    <w:rsid w:val="00851238"/>
    <w:rsid w:val="00942FF0"/>
    <w:rsid w:val="009631CE"/>
    <w:rsid w:val="00985423"/>
    <w:rsid w:val="00B15C65"/>
    <w:rsid w:val="00B81D4A"/>
    <w:rsid w:val="00BB232D"/>
    <w:rsid w:val="00C2091E"/>
    <w:rsid w:val="00C71ED8"/>
    <w:rsid w:val="00D249A5"/>
    <w:rsid w:val="00EF2653"/>
    <w:rsid w:val="00F55E74"/>
    <w:rsid w:val="00FE71CF"/>
    <w:rsid w:val="03BD3D36"/>
    <w:rsid w:val="0517787F"/>
    <w:rsid w:val="051931EE"/>
    <w:rsid w:val="07F05E0C"/>
    <w:rsid w:val="0B193C18"/>
    <w:rsid w:val="0C643D73"/>
    <w:rsid w:val="0F985657"/>
    <w:rsid w:val="122711D7"/>
    <w:rsid w:val="14123C2A"/>
    <w:rsid w:val="14CD7B51"/>
    <w:rsid w:val="15F07F9B"/>
    <w:rsid w:val="188024EA"/>
    <w:rsid w:val="19CB072B"/>
    <w:rsid w:val="1A4B1767"/>
    <w:rsid w:val="1BF140B1"/>
    <w:rsid w:val="1DB10079"/>
    <w:rsid w:val="1E6365A2"/>
    <w:rsid w:val="242F7EE0"/>
    <w:rsid w:val="260F3CD4"/>
    <w:rsid w:val="279D1605"/>
    <w:rsid w:val="27E796F6"/>
    <w:rsid w:val="29D72261"/>
    <w:rsid w:val="2ADC0696"/>
    <w:rsid w:val="2C1163C0"/>
    <w:rsid w:val="2CBA0563"/>
    <w:rsid w:val="2D564730"/>
    <w:rsid w:val="2DD7792D"/>
    <w:rsid w:val="2EDC7F8B"/>
    <w:rsid w:val="2F477C2B"/>
    <w:rsid w:val="2FF262F8"/>
    <w:rsid w:val="30835D68"/>
    <w:rsid w:val="3145092C"/>
    <w:rsid w:val="32432DA9"/>
    <w:rsid w:val="325E2CE5"/>
    <w:rsid w:val="32790F3E"/>
    <w:rsid w:val="35176082"/>
    <w:rsid w:val="35404BEF"/>
    <w:rsid w:val="376C22A9"/>
    <w:rsid w:val="3A1B38B1"/>
    <w:rsid w:val="3C544530"/>
    <w:rsid w:val="3DF53AF1"/>
    <w:rsid w:val="3F185A3B"/>
    <w:rsid w:val="412F2E76"/>
    <w:rsid w:val="42057D2A"/>
    <w:rsid w:val="449E37FB"/>
    <w:rsid w:val="44F00012"/>
    <w:rsid w:val="459774EA"/>
    <w:rsid w:val="45FE5506"/>
    <w:rsid w:val="47043429"/>
    <w:rsid w:val="473A07C7"/>
    <w:rsid w:val="479C7FA9"/>
    <w:rsid w:val="4C6574A9"/>
    <w:rsid w:val="4FD772EA"/>
    <w:rsid w:val="51155486"/>
    <w:rsid w:val="51721913"/>
    <w:rsid w:val="51A034C7"/>
    <w:rsid w:val="51C70135"/>
    <w:rsid w:val="52FB52AE"/>
    <w:rsid w:val="55881633"/>
    <w:rsid w:val="57550974"/>
    <w:rsid w:val="5B232313"/>
    <w:rsid w:val="5E0F22E9"/>
    <w:rsid w:val="5E665722"/>
    <w:rsid w:val="5FBF4DE5"/>
    <w:rsid w:val="610572E3"/>
    <w:rsid w:val="62BA28BA"/>
    <w:rsid w:val="65913850"/>
    <w:rsid w:val="66474EE0"/>
    <w:rsid w:val="66EB4244"/>
    <w:rsid w:val="67256946"/>
    <w:rsid w:val="68DF6F93"/>
    <w:rsid w:val="69EE1271"/>
    <w:rsid w:val="6EDC2F28"/>
    <w:rsid w:val="6F2166AD"/>
    <w:rsid w:val="6F392F8E"/>
    <w:rsid w:val="6FDEC914"/>
    <w:rsid w:val="72F26F49"/>
    <w:rsid w:val="733E1D67"/>
    <w:rsid w:val="738E1470"/>
    <w:rsid w:val="7473E854"/>
    <w:rsid w:val="766052A4"/>
    <w:rsid w:val="76B75AE8"/>
    <w:rsid w:val="772004C5"/>
    <w:rsid w:val="77A4166B"/>
    <w:rsid w:val="77D01FB6"/>
    <w:rsid w:val="795462DF"/>
    <w:rsid w:val="7AA05BBD"/>
    <w:rsid w:val="7E18726D"/>
    <w:rsid w:val="7F34633B"/>
    <w:rsid w:val="9FDF7417"/>
    <w:rsid w:val="BAB69961"/>
    <w:rsid w:val="BF3B0012"/>
    <w:rsid w:val="BFF4A634"/>
    <w:rsid w:val="E2FA65F1"/>
    <w:rsid w:val="E63B3EFB"/>
    <w:rsid w:val="F617016C"/>
    <w:rsid w:val="F6AF3970"/>
    <w:rsid w:val="F9DFDF89"/>
    <w:rsid w:val="FFB70296"/>
    <w:rsid w:val="FFE6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pPr>
    <w:rPr>
      <w:sz w:val="18"/>
      <w:szCs w:val="18"/>
    </w:rPr>
  </w:style>
  <w:style w:type="paragraph" w:styleId="3">
    <w:name w:val="header"/>
    <w:basedOn w:val="1"/>
    <w:link w:val="7"/>
    <w:qFormat/>
    <w:uiPriority w:val="0"/>
    <w:pPr>
      <w:pBdr>
        <w:bottom w:val="single" w:color="auto" w:sz="6" w:space="1"/>
      </w:pBdr>
      <w:tabs>
        <w:tab w:val="center" w:pos="4153"/>
        <w:tab w:val="right" w:pos="8306"/>
      </w:tabs>
      <w:jc w:val="center"/>
    </w:pPr>
    <w:rPr>
      <w:sz w:val="18"/>
      <w:szCs w:val="18"/>
    </w:rPr>
  </w:style>
  <w:style w:type="table" w:customStyle="1" w:styleId="6">
    <w:name w:val="Table Normal"/>
    <w:semiHidden/>
    <w:unhideWhenUsed/>
    <w:qFormat/>
    <w:uiPriority w:val="0"/>
    <w:tblPr>
      <w:tblCellMar>
        <w:top w:w="0" w:type="dxa"/>
        <w:left w:w="0" w:type="dxa"/>
        <w:bottom w:w="0" w:type="dxa"/>
        <w:right w:w="0" w:type="dxa"/>
      </w:tblCellMar>
    </w:tblPr>
  </w:style>
  <w:style w:type="character" w:customStyle="1" w:styleId="7">
    <w:name w:val="页眉 Char"/>
    <w:basedOn w:val="5"/>
    <w:link w:val="3"/>
    <w:qFormat/>
    <w:uiPriority w:val="0"/>
    <w:rPr>
      <w:rFonts w:eastAsia="Arial"/>
      <w:snapToGrid w:val="0"/>
      <w:color w:val="000000"/>
      <w:sz w:val="18"/>
      <w:szCs w:val="18"/>
    </w:rPr>
  </w:style>
  <w:style w:type="character" w:customStyle="1" w:styleId="8">
    <w:name w:val="页脚 Char"/>
    <w:basedOn w:val="5"/>
    <w:link w:val="2"/>
    <w:qFormat/>
    <w:uiPriority w:val="0"/>
    <w:rPr>
      <w:rFonts w:eastAsia="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2287</Words>
  <Characters>2372</Characters>
  <Lines>22</Lines>
  <Paragraphs>6</Paragraphs>
  <TotalTime>37</TotalTime>
  <ScaleCrop>false</ScaleCrop>
  <LinksUpToDate>false</LinksUpToDate>
  <CharactersWithSpaces>3039</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2022-11-26T15:27:00Z</dcterms:created>
  <dc:creator>zsn</dc:creator>
  <cp:lastModifiedBy>Bан цюн</cp:lastModifiedBy>
  <cp:lastPrinted>2023-03-25T01:43:00Z</cp:lastPrinted>
  <dcterms:modified xsi:type="dcterms:W3CDTF">2026-09-22T15:52:18Z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2023-02-13T10:08:49Z</vt:filetime>
  </property>
  <property fmtid="{D5CDD505-2E9C-101B-9397-08002B2CF9AE}" pid="4" name="KSOProductBuildVer">
    <vt:lpwstr>2052-12.1.28496.28496</vt:lpwstr>
  </property>
  <property fmtid="{D5CDD505-2E9C-101B-9397-08002B2CF9AE}" pid="5" name="ICV">
    <vt:lpwstr>1B9E7A3BAD5C2075B33AAF6A3C1F7417_43</vt:lpwstr>
  </property>
  <property fmtid="{D5CDD505-2E9C-101B-9397-08002B2CF9AE}" pid="6" name="KSOTemplateDocerSaveRecord">
    <vt:lpwstr>eyJoZGlkIjoiYmYwNDJmZWNkMTlhYTdkNjA3ZjNhMTdkYWQ1ZDdlNDQiLCJ1c2VySWQiOiIxMjEyMzYxNiJ9</vt:lpwstr>
  </property>
</Properties>
</file>