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方正小标宋_GBK" w:hAnsi="Times New Roman" w:eastAsia="方正小标宋_GBK"/>
          <w:sz w:val="44"/>
        </w:rPr>
      </w:pPr>
      <w:r>
        <w:rPr>
          <w:rFonts w:hint="eastAsia" w:ascii="方正小标宋_GBK" w:hAnsi="Times New Roman" w:eastAsia="方正小标宋_GBK"/>
          <w:sz w:val="44"/>
          <w:lang w:val="en-US" w:eastAsia="zh-CN"/>
        </w:rPr>
        <w:t>重庆银行股份有限公司西安曲江新区支行原址装修建筑结构加固设计项目</w:t>
      </w:r>
      <w:r>
        <w:rPr>
          <w:rFonts w:hint="eastAsia" w:ascii="方正小标宋_GBK" w:hAnsi="Times New Roman" w:eastAsia="方正小标宋_GBK"/>
          <w:sz w:val="44"/>
        </w:rPr>
        <w:t>分散采购文件</w:t>
      </w:r>
    </w:p>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ascii="方正小标宋_GBK" w:hAnsi="黑体" w:eastAsia="方正小标宋_GBK"/>
          <w:sz w:val="20"/>
          <w:szCs w:val="20"/>
        </w:rPr>
      </w:pP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default" w:ascii="Times New Roman" w:hAnsi="Times New Roman" w:eastAsia="方正仿宋_GBK" w:cs="Times New Roman"/>
          <w:sz w:val="32"/>
        </w:rPr>
        <w:t>现</w:t>
      </w:r>
      <w:r>
        <w:rPr>
          <w:rFonts w:hint="default" w:ascii="Times New Roman" w:hAnsi="Times New Roman" w:eastAsia="方正仿宋_GBK" w:cs="Times New Roman"/>
          <w:sz w:val="32"/>
          <w:lang w:eastAsia="zh-CN"/>
        </w:rPr>
        <w:t>公开征集不特定供应商</w:t>
      </w:r>
      <w:r>
        <w:rPr>
          <w:rFonts w:hint="eastAsia" w:ascii="方正仿宋_GBK" w:hAnsi="仿宋_GB2312" w:eastAsia="方正仿宋_GBK" w:cs="Times New Roman"/>
          <w:sz w:val="32"/>
          <w:lang w:val="en-US" w:eastAsia="zh-CN"/>
        </w:rPr>
        <w:t>就“重庆银行股份有限公司西安曲江新区支行原址装修建筑结构加固设计项目”进行报价，</w:t>
      </w:r>
      <w:r>
        <w:rPr>
          <w:rFonts w:hint="eastAsia" w:ascii="方正仿宋_GBK" w:hAnsi="仿宋_GB2312" w:eastAsia="方正仿宋_GBK" w:cs="Times New Roman"/>
          <w:b/>
          <w:bCs/>
          <w:sz w:val="32"/>
          <w:u w:val="single"/>
          <w:lang w:val="en-US" w:eastAsia="zh-CN"/>
        </w:rPr>
        <w:t>本项目预算为6.6万元（报价不得超过该预算金额），</w:t>
      </w:r>
      <w:r>
        <w:rPr>
          <w:rFonts w:hint="eastAsia" w:ascii="方正仿宋_GBK" w:hAnsi="仿宋_GB2312" w:eastAsia="方正仿宋_GBK" w:cs="Times New Roman"/>
          <w:sz w:val="32"/>
          <w:lang w:val="en-US" w:eastAsia="zh-CN"/>
        </w:rPr>
        <w:t>现将相关事项通知如下：</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eastAsia" w:ascii="方正黑体_GBK" w:hAnsi="方正黑体_GBK" w:eastAsia="方正黑体_GBK" w:cs="方正黑体_GBK"/>
          <w:sz w:val="32"/>
          <w:lang w:val="en-US" w:eastAsia="zh-CN"/>
        </w:rPr>
      </w:pPr>
      <w:bookmarkStart w:id="0" w:name="OLE_LINK1"/>
      <w:r>
        <w:rPr>
          <w:rFonts w:hint="eastAsia" w:ascii="方正黑体_GBK" w:hAnsi="方正黑体_GBK" w:eastAsia="方正黑体_GBK" w:cs="方正黑体_GBK"/>
          <w:sz w:val="32"/>
          <w:lang w:val="en-US" w:eastAsia="zh-CN"/>
        </w:rPr>
        <w:t>一、项目简介</w:t>
      </w:r>
    </w:p>
    <w:bookmarkEnd w:id="0"/>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项目名称：重庆银行股份有限公司西安曲江新区支行原址装修建筑结构加固设计项目。</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项目位置：西安市南二环东段</w:t>
      </w:r>
      <w:r>
        <w:rPr>
          <w:rFonts w:hint="eastAsia" w:ascii="方正仿宋_GBK" w:hAnsi="方正仿宋_GBK" w:eastAsia="方正仿宋_GBK" w:cs="方正仿宋_GBK"/>
          <w:kern w:val="2"/>
          <w:sz w:val="32"/>
          <w:szCs w:val="32"/>
          <w:lang w:val="en-US" w:eastAsia="zh-CN" w:bidi="ar-SA"/>
        </w:rPr>
        <w:t>118号</w:t>
      </w:r>
      <w:r>
        <w:rPr>
          <w:rFonts w:hint="eastAsia" w:ascii="方正仿宋_GBK" w:hAnsi="仿宋_GB2312" w:eastAsia="方正仿宋_GBK" w:cs="Times New Roman"/>
          <w:sz w:val="32"/>
          <w:lang w:val="en-US" w:eastAsia="zh-CN"/>
        </w:rPr>
        <w:t>天伦御城龙脉</w:t>
      </w:r>
      <w:r>
        <w:rPr>
          <w:rFonts w:hint="eastAsia" w:ascii="方正仿宋_GBK" w:hAnsi="方正仿宋_GBK" w:eastAsia="方正仿宋_GBK" w:cs="方正仿宋_GBK"/>
          <w:kern w:val="2"/>
          <w:sz w:val="32"/>
          <w:szCs w:val="32"/>
          <w:lang w:val="en-US" w:eastAsia="zh-CN" w:bidi="ar-SA"/>
        </w:rPr>
        <w:t>1幢。</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建筑概况：支行所在大楼为商住楼，总建筑面积共56828.48㎡，建筑总高度为98.9米，层数为地上33层，地下1层，本项目无原始施工蓝图。</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lang w:val="en-US" w:eastAsia="zh-CN"/>
        </w:rPr>
        <w:t>项目范围：支行建筑面积905㎡，位于大楼的一层及二层部分区域，本次装修</w:t>
      </w:r>
      <w:r>
        <w:rPr>
          <w:rFonts w:hint="eastAsia" w:ascii="方正仿宋_GBK" w:hAnsi="仿宋_GB2312" w:eastAsia="方正仿宋_GBK" w:cs="Times New Roman"/>
          <w:sz w:val="32"/>
          <w:highlight w:val="none"/>
          <w:lang w:val="en-US" w:eastAsia="zh-CN"/>
        </w:rPr>
        <w:t>需在大楼的裙楼及住宅高层区域进行改造装修，按照平面方案图</w:t>
      </w:r>
      <w:r>
        <w:rPr>
          <w:rFonts w:hint="eastAsia" w:ascii="方正仿宋_GBK" w:hAnsi="方正仿宋_GBK" w:eastAsia="方正仿宋_GBK" w:cs="方正仿宋_GBK"/>
          <w:sz w:val="32"/>
          <w:szCs w:val="32"/>
          <w:highlight w:val="none"/>
          <w:lang w:val="en-US" w:eastAsia="zh-CN"/>
        </w:rPr>
        <w:t>需增加一层至二层的消防楼梯通道1处，封堵原有一层至二层楼梯通道1处，并在楼梯封堵处设置一层通向二层风机房的的排烟井1个</w:t>
      </w:r>
      <w:r>
        <w:rPr>
          <w:rFonts w:hint="eastAsia" w:ascii="方正仿宋_GBK" w:hAnsi="仿宋_GB2312" w:eastAsia="方正仿宋_GBK" w:cs="Times New Roman"/>
          <w:sz w:val="32"/>
          <w:highlight w:val="no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服务要求：为确保支行原址装修项目的实施，供应商需根据装修平面图及结构检测报告和意见书，为本项目增加消防楼梯、封堵原楼梯、设置排烟井提供建筑结构加固方案及施工依据，供应商需出具建筑结构加固设计方案及施工图纸，</w:t>
      </w:r>
      <w:r>
        <w:rPr>
          <w:rFonts w:hint="eastAsia" w:ascii="方正仿宋_GBK" w:hAnsi="仿宋_GB2312" w:eastAsia="方正仿宋_GBK" w:cs="Times New Roman"/>
          <w:sz w:val="32"/>
          <w:highlight w:val="none"/>
          <w:lang w:val="en-US" w:eastAsia="zh-CN"/>
        </w:rPr>
        <w:t>并配合招标人完成全套施工图审查及项目实施过程中提供技术支持和配套服务。</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二、报价要求</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采购报价为全包价（</w:t>
      </w:r>
      <w:r>
        <w:rPr>
          <w:rFonts w:hint="default" w:ascii="方正仿宋_GBK" w:hAnsi="仿宋_GB2312" w:eastAsia="方正仿宋_GBK" w:cs="Times New Roman"/>
          <w:sz w:val="32"/>
          <w:highlight w:val="none"/>
          <w:lang w:val="en-US" w:eastAsia="zh-CN"/>
        </w:rPr>
        <w:t>报价为完成项目所涉及的一切费用，含</w:t>
      </w:r>
      <w:r>
        <w:rPr>
          <w:rFonts w:hint="eastAsia" w:ascii="方正仿宋_GBK" w:hAnsi="仿宋_GB2312" w:eastAsia="方正仿宋_GBK" w:cs="Times New Roman"/>
          <w:sz w:val="32"/>
          <w:highlight w:val="none"/>
          <w:lang w:val="en-US" w:eastAsia="zh-CN"/>
        </w:rPr>
        <w:t>现场勘察、检验检测、取样试验、验算复核、交通差旅、配合</w:t>
      </w:r>
      <w:r>
        <w:rPr>
          <w:rFonts w:hint="default" w:ascii="方正仿宋_GBK" w:hAnsi="仿宋_GB2312" w:eastAsia="方正仿宋_GBK" w:cs="Times New Roman"/>
          <w:sz w:val="32"/>
          <w:highlight w:val="none"/>
          <w:lang w:val="en-US" w:eastAsia="zh-CN"/>
        </w:rPr>
        <w:t>服务、市场物价上涨以及税金（含增值税专用发票税金）</w:t>
      </w:r>
      <w:r>
        <w:rPr>
          <w:rFonts w:hint="eastAsia" w:ascii="方正仿宋_GBK" w:hAnsi="仿宋_GB2312" w:eastAsia="方正仿宋_GBK" w:cs="Times New Roman"/>
          <w:sz w:val="32"/>
          <w:highlight w:val="none"/>
          <w:lang w:val="en-US" w:eastAsia="zh-CN"/>
        </w:rPr>
        <w:t>等）。因供应商自身原因造成漏报、少报皆由其自行承担责任。</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三、图纸领取要求</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因本项目图纸涉及到银行网点的内部结构布局，请有合作意向的供</w:t>
      </w:r>
      <w:r>
        <w:rPr>
          <w:rFonts w:hint="eastAsia" w:ascii="方正仿宋_GBK" w:hAnsi="仿宋_GB2312" w:eastAsia="方正仿宋_GBK" w:cs="Times New Roman"/>
          <w:sz w:val="32"/>
          <w:highlight w:val="none"/>
          <w:lang w:val="en-US" w:eastAsia="zh-CN"/>
        </w:rPr>
        <w:t>应商于</w:t>
      </w:r>
      <w:r>
        <w:rPr>
          <w:rFonts w:hint="eastAsia" w:ascii="方正仿宋_GBK" w:hAnsi="仿宋_GB2312" w:eastAsia="方正仿宋_GBK" w:cs="Times New Roman"/>
          <w:sz w:val="32"/>
          <w:highlight w:val="none"/>
          <w:lang w:val="en-US" w:eastAsia="zh-CN"/>
        </w:rPr>
        <w:t>2026年</w:t>
      </w:r>
      <w:r>
        <w:rPr>
          <w:rFonts w:hint="eastAsia" w:ascii="方正仿宋_GBK" w:hAnsi="仿宋_GB2312" w:eastAsia="方正仿宋_GBK" w:cs="Times New Roman"/>
          <w:sz w:val="32"/>
          <w:highlight w:val="none"/>
          <w:lang w:val="en-US" w:eastAsia="zh-CN"/>
        </w:rPr>
        <w:t>9月</w:t>
      </w:r>
      <w:r>
        <w:rPr>
          <w:rFonts w:hint="eastAsia" w:ascii="方正仿宋_GBK" w:hAnsi="仿宋_GB2312" w:eastAsia="方正仿宋_GBK" w:cs="Times New Roman"/>
          <w:sz w:val="32"/>
          <w:highlight w:val="none"/>
          <w:lang w:val="en-US" w:eastAsia="zh-CN"/>
        </w:rPr>
        <w:t>22日</w:t>
      </w:r>
      <w:r>
        <w:rPr>
          <w:rFonts w:hint="eastAsia" w:ascii="方正仿宋_GBK" w:hAnsi="仿宋_GB2312" w:eastAsia="方正仿宋_GBK" w:cs="Times New Roman"/>
          <w:sz w:val="32"/>
          <w:highlight w:val="none"/>
          <w:lang w:val="en-US" w:eastAsia="zh-CN"/>
        </w:rPr>
        <w:t>下午17时</w:t>
      </w:r>
      <w:r>
        <w:rPr>
          <w:rFonts w:hint="eastAsia" w:ascii="方正仿宋_GBK" w:hAnsi="仿宋_GB2312" w:eastAsia="方正仿宋_GBK" w:cs="Times New Roman"/>
          <w:sz w:val="32"/>
          <w:highlight w:val="none"/>
          <w:lang w:val="en-US" w:eastAsia="zh-CN"/>
        </w:rPr>
        <w:t>前到现场领取相关图纸资料，供应人需携带公司营业执照、工程设计资质证书、介绍信及领取人身份证的复印件，以上资料需加盖公章。</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领取地址：西安市唐延路</w:t>
      </w:r>
      <w:r>
        <w:rPr>
          <w:rFonts w:hint="eastAsia" w:ascii="方正仿宋_GBK" w:hAnsi="仿宋_GB2312" w:eastAsia="方正仿宋_GBK" w:cs="Times New Roman"/>
          <w:sz w:val="32"/>
          <w:highlight w:val="none"/>
          <w:lang w:val="en-US" w:eastAsia="zh-CN"/>
        </w:rPr>
        <w:t>25号重庆银行西安分行18楼李斌，电话：029-88195666转6886。</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四、报价文件要求</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请于</w:t>
      </w:r>
      <w:r>
        <w:rPr>
          <w:rFonts w:hint="eastAsia" w:ascii="方正仿宋_GBK" w:hAnsi="仿宋_GB2312" w:eastAsia="方正仿宋_GBK" w:cs="Times New Roman"/>
          <w:sz w:val="32"/>
          <w:highlight w:val="none"/>
          <w:lang w:val="en-US" w:eastAsia="zh-CN"/>
        </w:rPr>
        <w:t>2026年</w:t>
      </w:r>
      <w:r>
        <w:rPr>
          <w:rFonts w:hint="eastAsia" w:ascii="方正仿宋_GBK" w:hAnsi="仿宋_GB2312" w:eastAsia="方正仿宋_GBK" w:cs="Times New Roman"/>
          <w:sz w:val="32"/>
          <w:highlight w:val="none"/>
          <w:lang w:val="en-US" w:eastAsia="zh-CN"/>
        </w:rPr>
        <w:t>9月</w:t>
      </w:r>
      <w:r>
        <w:rPr>
          <w:rFonts w:hint="eastAsia" w:ascii="方正仿宋_GBK" w:hAnsi="仿宋_GB2312" w:eastAsia="方正仿宋_GBK" w:cs="Times New Roman"/>
          <w:sz w:val="32"/>
          <w:highlight w:val="none"/>
          <w:lang w:val="en-US" w:eastAsia="zh-CN"/>
        </w:rPr>
        <w:t>29日</w:t>
      </w:r>
      <w:r>
        <w:rPr>
          <w:rFonts w:hint="eastAsia" w:ascii="方正仿宋_GBK" w:hAnsi="仿宋_GB2312" w:eastAsia="方正仿宋_GBK" w:cs="Times New Roman"/>
          <w:sz w:val="32"/>
          <w:highlight w:val="none"/>
          <w:lang w:val="en-US" w:eastAsia="zh-CN"/>
        </w:rPr>
        <w:t>上午11时</w:t>
      </w:r>
      <w:r>
        <w:rPr>
          <w:rFonts w:hint="eastAsia" w:ascii="方正仿宋_GBK" w:hAnsi="仿宋_GB2312" w:eastAsia="方正仿宋_GBK" w:cs="Times New Roman"/>
          <w:sz w:val="32"/>
          <w:highlight w:val="none"/>
          <w:lang w:val="en-US" w:eastAsia="zh-CN"/>
        </w:rPr>
        <w:t>前将以下材料装订成册（不得活页、散页）</w:t>
      </w:r>
      <w:r>
        <w:rPr>
          <w:rFonts w:hint="eastAsia" w:ascii="方正仿宋_GBK" w:hAnsi="仿宋_GB2312" w:eastAsia="方正仿宋_GBK" w:cs="Times New Roman"/>
          <w:sz w:val="32"/>
          <w:highlight w:val="none"/>
          <w:lang w:val="en-US" w:eastAsia="zh-CN"/>
        </w:rPr>
        <w:t>并密封:</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1.报价资料；</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2.投标人具有独立法人资格（提供营业执照复印件并加盖公章）；</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3.法人授权委托书（附授权人和被授权人的身份证复印件加盖公章）；</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4.公司资质（建设行政主管部门颁发的有效的工程设计综合资质或建筑行业建筑工程乙级及以上资质或建筑行业建筑工程专业乙级及以上资质，以上复印件加盖公章）；</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bookmarkStart w:id="4" w:name="_GoBack"/>
      <w:bookmarkEnd w:id="4"/>
      <w:r>
        <w:rPr>
          <w:rFonts w:hint="eastAsia" w:ascii="方正仿宋_GBK" w:hAnsi="仿宋_GB2312" w:eastAsia="方正仿宋_GBK" w:cs="Times New Roman"/>
          <w:sz w:val="32"/>
          <w:highlight w:val="none"/>
          <w:lang w:val="en-US" w:eastAsia="zh-CN"/>
        </w:rPr>
        <w:t>5.拟派项目负责人（需具备二级及以上注册建筑师执业资格或相关专业高级工程师资格；未被列入失信被执行人名单（以“信用中国网站、全国法院失信被执行人名单信息公布与查询平台”的信息为准）；提供在本单位2026年至今任意3个月养老保险对账单或社保缴费证明等扫描件 。</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6.投标人需提供包含但不限于以下内容的承诺函（加盖投标人公章）：</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6.1投标人未被“信用中国”网站列入失信被执行人和重大税收违法案件当事人名单；</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6.2未列入重庆银行供应商禁用退出名单和负面清单；</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6.3投标人不存在直接或间接地与招标人为本项目所委托的咨询公司或其附属机构有任何关联；</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6.4投标人法定代表人、控股股东或实际控制人与招标人高管人员及使用（需求部门）、采购人员无夫妻、直系血亲、三代以内旁系血亲或者近姻亲关系；</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6.5存在下列关联关系情形的投标人不得同时参与本项目采购：</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①存在控股、管理关系；</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②一方直接持有另一方股权，比例超过 20%；</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③同时被同一第三方法人或非法人组织或自然人直接持有股权，比例超过20%（国家控股的投标人除外）；</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④单位负责人、董事、监事等主要人员之一为同一人（以“国家企业信用信息公示系统”显示的“主要人员信息”名单为准）。</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7.外省投标人需按陕西省住建厅规定进行入陕备案；</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8.投标人认为需要提供的其它资料（如有）；</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highlight w:val="none"/>
          <w:lang w:val="en-US" w:eastAsia="zh-CN"/>
        </w:rPr>
        <w:t>9.参加本项目投标人不得参与“重庆</w:t>
      </w:r>
      <w:r>
        <w:rPr>
          <w:rFonts w:hint="eastAsia" w:ascii="方正仿宋_GBK" w:hAnsi="仿宋_GB2312" w:eastAsia="方正仿宋_GBK" w:cs="Times New Roman"/>
          <w:sz w:val="32"/>
          <w:lang w:val="en-US" w:eastAsia="zh-CN"/>
        </w:rPr>
        <w:t>银行股份有限公司西安曲江新区支行原址装修建筑结构检测评估项目”的投标。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lang w:val="en-US" w:eastAsia="zh-CN"/>
        </w:rPr>
      </w:pPr>
      <w:r>
        <w:rPr>
          <w:rFonts w:hint="eastAsia" w:ascii="方正仿宋_GBK" w:hAnsi="仿宋_GB2312" w:eastAsia="方正仿宋_GBK" w:cs="Times New Roman"/>
          <w:sz w:val="32"/>
          <w:lang w:val="en-US" w:eastAsia="zh-CN"/>
        </w:rPr>
        <w:t>10.不接受联合体投标；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投标文件如有制式须按本采购文件要求的文件格式制作，以上投标文件需密封并在相应的位置签字或盖章，送</w:t>
      </w:r>
      <w:r>
        <w:rPr>
          <w:rFonts w:hint="eastAsia" w:ascii="方正仿宋_GBK" w:hAnsi="仿宋_GB2312" w:eastAsia="方正仿宋_GBK" w:cs="Times New Roman"/>
          <w:sz w:val="32"/>
          <w:lang w:eastAsia="zh-CN"/>
        </w:rPr>
        <w:t>达至：</w:t>
      </w:r>
      <w:r>
        <w:rPr>
          <w:rFonts w:hint="eastAsia" w:ascii="方正仿宋_GBK" w:hAnsi="仿宋_GB2312" w:eastAsia="方正仿宋_GBK" w:cs="Times New Roman"/>
          <w:sz w:val="32"/>
          <w:lang w:val="en-US" w:eastAsia="zh-CN"/>
        </w:rPr>
        <w:t>陕西省</w:t>
      </w:r>
      <w:r>
        <w:rPr>
          <w:rFonts w:hint="eastAsia" w:ascii="方正仿宋_GBK" w:hAnsi="仿宋_GB2312" w:eastAsia="方正仿宋_GBK" w:cs="Times New Roman"/>
          <w:sz w:val="32"/>
          <w:lang w:eastAsia="zh-CN"/>
        </w:rPr>
        <w:t>西安市唐延路</w:t>
      </w:r>
      <w:r>
        <w:rPr>
          <w:rFonts w:hint="eastAsia" w:ascii="方正仿宋_GBK" w:hAnsi="仿宋_GB2312" w:eastAsia="方正仿宋_GBK" w:cs="Times New Roman"/>
          <w:sz w:val="32"/>
          <w:lang w:val="en-US" w:eastAsia="zh-CN"/>
        </w:rPr>
        <w:t>25号重庆银行西安分行18楼李斌，电话：029-88195666转6886</w:t>
      </w:r>
      <w:r>
        <w:rPr>
          <w:rFonts w:hint="eastAsia" w:ascii="方正仿宋_GBK" w:hAnsi="仿宋_GB2312" w:eastAsia="方正仿宋_GBK" w:cs="Times New Roman"/>
          <w:sz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五、开标时间</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sz w:val="32"/>
          <w:lang w:val="en-US" w:eastAsia="zh-CN"/>
        </w:rPr>
      </w:pPr>
      <w:r>
        <w:rPr>
          <w:rFonts w:hint="eastAsia" w:ascii="方正仿宋_GBK" w:hAnsi="仿宋_GB2312" w:eastAsia="方正仿宋_GBK"/>
          <w:sz w:val="32"/>
          <w:lang w:val="en-US" w:eastAsia="zh-CN"/>
        </w:rPr>
        <w:t>2026年9月29日上午11时00分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eastAsia" w:ascii="方正仿宋_GBK" w:hAnsi="Times New Roman" w:eastAsia="方正仿宋_GBK"/>
          <w:sz w:val="32"/>
          <w:lang w:val="en-US" w:eastAsia="zh-CN"/>
        </w:rPr>
      </w:pPr>
      <w:r>
        <w:rPr>
          <w:rFonts w:hint="eastAsia" w:ascii="方正黑体_GBK" w:hAnsi="方正黑体_GBK" w:eastAsia="方正黑体_GBK" w:cs="方正黑体_GBK"/>
          <w:sz w:val="32"/>
          <w:lang w:val="en-US" w:eastAsia="zh-CN"/>
        </w:rPr>
        <w:t>六、工期要求：</w:t>
      </w:r>
      <w:r>
        <w:rPr>
          <w:rFonts w:hint="eastAsia" w:ascii="方正仿宋_GBK" w:hAnsi="Times New Roman" w:eastAsia="方正仿宋_GBK"/>
          <w:sz w:val="32"/>
          <w:lang w:val="en-US" w:eastAsia="zh-CN"/>
        </w:rPr>
        <w:t>15日历天。</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七、结算方式</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1.</w:t>
      </w:r>
      <w:r>
        <w:rPr>
          <w:rFonts w:hint="eastAsia" w:ascii="方正仿宋_GBK" w:hAnsi="仿宋_GB2312" w:eastAsia="方正仿宋_GBK"/>
          <w:sz w:val="32"/>
          <w:lang w:val="en-US" w:eastAsia="zh-CN"/>
        </w:rPr>
        <w:t>使用货币币制如未作特别说明均为</w:t>
      </w:r>
      <w:r>
        <w:rPr>
          <w:rFonts w:hint="eastAsia" w:ascii="方正仿宋_GBK" w:hAnsi="仿宋_GB2312" w:eastAsia="方正仿宋_GBK"/>
          <w:sz w:val="32"/>
          <w:lang w:eastAsia="zh-CN"/>
        </w:rPr>
        <w:t>人民币；</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2.付款方式：银行汇款或者电汇；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3.付款方法：乙方提交</w:t>
      </w:r>
      <w:r>
        <w:rPr>
          <w:rFonts w:hint="eastAsia" w:ascii="方正仿宋_GBK" w:hAnsi="仿宋_GB2312" w:eastAsia="方正仿宋_GBK"/>
          <w:sz w:val="32"/>
          <w:lang w:val="en-US" w:eastAsia="zh-CN"/>
        </w:rPr>
        <w:t>本项目全套施工图纸</w:t>
      </w:r>
      <w:r>
        <w:rPr>
          <w:rFonts w:hint="eastAsia" w:ascii="方正仿宋_GBK" w:hAnsi="仿宋_GB2312" w:eastAsia="方正仿宋_GBK"/>
          <w:sz w:val="32"/>
          <w:lang w:eastAsia="zh-CN"/>
        </w:rPr>
        <w:t>，甲方</w:t>
      </w:r>
      <w:r>
        <w:rPr>
          <w:rFonts w:hint="eastAsia" w:ascii="方正仿宋_GBK" w:hAnsi="仿宋_GB2312" w:eastAsia="方正仿宋_GBK"/>
          <w:sz w:val="32"/>
          <w:lang w:val="en-US" w:eastAsia="zh-CN"/>
        </w:rPr>
        <w:t>支付50%的项目价款；原址装修项目竣工完成后，支</w:t>
      </w:r>
      <w:r>
        <w:rPr>
          <w:rFonts w:hint="eastAsia" w:ascii="方正仿宋_GBK" w:hAnsi="仿宋_GB2312" w:eastAsia="方正仿宋_GBK"/>
          <w:sz w:val="32"/>
          <w:lang w:eastAsia="zh-CN"/>
        </w:rPr>
        <w:t>付</w:t>
      </w:r>
      <w:r>
        <w:rPr>
          <w:rFonts w:hint="eastAsia" w:ascii="方正仿宋_GBK" w:hAnsi="仿宋_GB2312" w:eastAsia="方正仿宋_GBK"/>
          <w:sz w:val="32"/>
          <w:lang w:val="en-US" w:eastAsia="zh-CN"/>
        </w:rPr>
        <w:t>项目剩余50%价款；</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4.</w:t>
      </w:r>
      <w:r>
        <w:rPr>
          <w:rFonts w:hint="eastAsia" w:ascii="方正仿宋_GBK" w:hAnsi="Times New Roman" w:eastAsia="方正仿宋_GBK"/>
          <w:sz w:val="32"/>
          <w:lang w:val="en-US" w:eastAsia="zh-CN"/>
        </w:rPr>
        <w:t>我行付款前，供应商具有先行开具等额增值税专票义务，</w:t>
      </w:r>
      <w:r>
        <w:rPr>
          <w:rFonts w:hint="eastAsia" w:ascii="方正仿宋_GBK" w:hAnsi="Times New Roman" w:eastAsia="方正仿宋_GBK"/>
          <w:bCs w:val="0"/>
          <w:sz w:val="32"/>
          <w:lang w:eastAsia="zh-CN"/>
        </w:rPr>
        <w:t>我行</w:t>
      </w:r>
      <w:r>
        <w:rPr>
          <w:rFonts w:hint="eastAsia" w:ascii="方正仿宋_GBK" w:hAnsi="Times New Roman" w:eastAsia="方正仿宋_GBK"/>
          <w:bCs w:val="0"/>
          <w:sz w:val="32"/>
        </w:rPr>
        <w:t>在收到</w:t>
      </w:r>
      <w:r>
        <w:rPr>
          <w:rFonts w:hint="eastAsia" w:ascii="方正仿宋_GBK" w:hAnsi="Times New Roman" w:eastAsia="方正仿宋_GBK"/>
          <w:sz w:val="32"/>
          <w:lang w:val="en-US" w:eastAsia="zh-CN"/>
        </w:rPr>
        <w:t>供应商</w:t>
      </w:r>
      <w:r>
        <w:rPr>
          <w:rFonts w:hint="eastAsia" w:ascii="方正仿宋_GBK" w:hAnsi="Times New Roman" w:eastAsia="方正仿宋_GBK"/>
          <w:bCs w:val="0"/>
          <w:sz w:val="32"/>
        </w:rPr>
        <w:t>增值税专用发票后</w:t>
      </w:r>
      <w:r>
        <w:rPr>
          <w:rFonts w:hint="eastAsia" w:ascii="方正仿宋_GBK" w:hAnsi="Times New Roman" w:eastAsia="方正仿宋_GBK"/>
          <w:bCs w:val="0"/>
          <w:sz w:val="32"/>
          <w:lang w:val="en-US" w:eastAsia="zh-CN"/>
        </w:rPr>
        <w:t>的</w:t>
      </w:r>
      <w:r>
        <w:rPr>
          <w:rFonts w:hint="eastAsia" w:ascii="方正仿宋_GBK" w:hAnsi="Times New Roman" w:eastAsia="方正仿宋_GBK"/>
          <w:bCs w:val="0"/>
          <w:sz w:val="32"/>
        </w:rPr>
        <w:t>三十个工作日内将</w:t>
      </w:r>
      <w:r>
        <w:rPr>
          <w:rFonts w:hint="eastAsia" w:ascii="方正仿宋_GBK" w:hAnsi="Times New Roman" w:eastAsia="方正仿宋_GBK"/>
          <w:bCs w:val="0"/>
          <w:sz w:val="32"/>
          <w:lang w:val="en-US" w:eastAsia="zh-CN"/>
        </w:rPr>
        <w:t>费用</w:t>
      </w:r>
      <w:r>
        <w:rPr>
          <w:rFonts w:hint="eastAsia" w:ascii="方正仿宋_GBK" w:hAnsi="Times New Roman" w:eastAsia="方正仿宋_GBK"/>
          <w:bCs w:val="0"/>
          <w:sz w:val="32"/>
        </w:rPr>
        <w:t>汇入</w:t>
      </w:r>
      <w:bookmarkStart w:id="1" w:name="OLE_LINK25"/>
      <w:r>
        <w:rPr>
          <w:rFonts w:hint="eastAsia" w:ascii="方正仿宋_GBK" w:hAnsi="Times New Roman" w:eastAsia="方正仿宋_GBK"/>
          <w:sz w:val="32"/>
          <w:lang w:val="en-US" w:eastAsia="zh-CN"/>
        </w:rPr>
        <w:t>供应商</w:t>
      </w:r>
      <w:bookmarkEnd w:id="1"/>
      <w:r>
        <w:rPr>
          <w:rFonts w:hint="eastAsia" w:ascii="方正仿宋_GBK" w:hAnsi="Times New Roman" w:eastAsia="方正仿宋_GBK"/>
          <w:bCs w:val="0"/>
          <w:sz w:val="32"/>
        </w:rPr>
        <w:t>提供的银行账户</w:t>
      </w:r>
      <w:r>
        <w:rPr>
          <w:rFonts w:hint="eastAsia" w:ascii="方正仿宋_GBK" w:hAnsi="仿宋_GB2312" w:eastAsia="方正仿宋_GBK"/>
          <w:sz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八、评审方式</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采购方式及评审办法：本项目采购方式为公开竞争性磋商,评审办法为综合评分法，供应商需进行二次报价。第一次报价不得高于项目预算金额；如磋商文件采购需求无实质性变动，第二次报价不得高于第一次报价。若供应商第一次报价高于项目预算金额或第二次报价高于其初次报价，磋商小组有权拒绝其报价，其响应文件作无效文件处理。</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lang w:val="en-US" w:eastAsia="zh-CN"/>
        </w:rPr>
      </w:pPr>
      <w:r>
        <w:rPr>
          <w:rFonts w:hint="eastAsia" w:ascii="方正仿宋_GBK" w:hAnsi="仿宋_GB2312" w:eastAsia="方正仿宋_GBK" w:cs="Times New Roman"/>
          <w:sz w:val="32"/>
          <w:lang w:val="en-US" w:eastAsia="zh-CN"/>
        </w:rPr>
        <w:t>磋商小组对初步评审合格的供应商进行综合评审，按综合评审得分由高到低排出名次，并推荐综合得分前三名为成交候选供应商。综合评审得分相同的，按照磋商报价由低到高的顺序推荐。</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center"/>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评审方法</w:t>
      </w:r>
    </w:p>
    <w:tbl>
      <w:tblPr>
        <w:tblStyle w:val="6"/>
        <w:tblW w:w="9280" w:type="dxa"/>
        <w:tblInd w:w="-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990"/>
        <w:gridCol w:w="1189"/>
        <w:gridCol w:w="6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68" w:type="dxa"/>
            <w:vAlign w:val="center"/>
          </w:tcPr>
          <w:p>
            <w:pPr>
              <w:spacing w:line="320" w:lineRule="exact"/>
              <w:ind w:firstLine="28"/>
              <w:jc w:val="center"/>
              <w:rPr>
                <w:rFonts w:hint="default" w:ascii="Times New Roman" w:hAnsi="Times New Roman" w:eastAsia="方正黑体_GBK" w:cs="Times New Roman"/>
                <w:bCs/>
                <w:sz w:val="18"/>
                <w:szCs w:val="18"/>
              </w:rPr>
            </w:pPr>
            <w:bookmarkStart w:id="2" w:name="OLE_LINK34" w:colFirst="0" w:colLast="3"/>
            <w:r>
              <w:rPr>
                <w:rFonts w:hint="default" w:ascii="Times New Roman" w:hAnsi="Times New Roman" w:eastAsia="方正黑体_GBK" w:cs="Times New Roman"/>
                <w:bCs/>
                <w:sz w:val="18"/>
                <w:szCs w:val="18"/>
              </w:rPr>
              <w:t>序号</w:t>
            </w:r>
          </w:p>
        </w:tc>
        <w:tc>
          <w:tcPr>
            <w:tcW w:w="990" w:type="dxa"/>
            <w:vAlign w:val="center"/>
          </w:tcPr>
          <w:p>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评分因素</w:t>
            </w:r>
          </w:p>
          <w:p>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及权重</w:t>
            </w:r>
          </w:p>
        </w:tc>
        <w:tc>
          <w:tcPr>
            <w:tcW w:w="1189" w:type="dxa"/>
            <w:vAlign w:val="center"/>
          </w:tcPr>
          <w:p>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分值</w:t>
            </w:r>
          </w:p>
        </w:tc>
        <w:tc>
          <w:tcPr>
            <w:tcW w:w="6433" w:type="dxa"/>
            <w:vAlign w:val="center"/>
          </w:tcPr>
          <w:p>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68" w:type="dxa"/>
            <w:vAlign w:val="center"/>
          </w:tcPr>
          <w:p>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1</w:t>
            </w:r>
          </w:p>
        </w:tc>
        <w:tc>
          <w:tcPr>
            <w:tcW w:w="990" w:type="dxa"/>
            <w:vAlign w:val="center"/>
          </w:tcPr>
          <w:p>
            <w:pPr>
              <w:adjustRightInd/>
              <w:snapToGrid/>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投标报价评分标准</w:t>
            </w:r>
          </w:p>
          <w:p>
            <w:pPr>
              <w:adjustRightInd/>
              <w:snapToGrid/>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7</w:t>
            </w:r>
            <w:r>
              <w:rPr>
                <w:rFonts w:hint="eastAsia" w:ascii="方正仿宋_GBK" w:hAnsi="方正仿宋_GBK" w:eastAsia="方正仿宋_GBK" w:cs="方正仿宋_GBK"/>
                <w:sz w:val="18"/>
                <w:szCs w:val="18"/>
              </w:rPr>
              <w:t>0分）</w:t>
            </w:r>
          </w:p>
        </w:tc>
        <w:tc>
          <w:tcPr>
            <w:tcW w:w="1189" w:type="dxa"/>
            <w:vAlign w:val="center"/>
          </w:tcPr>
          <w:p>
            <w:pPr>
              <w:adjustRightInd/>
              <w:snapToGrid/>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价格</w:t>
            </w:r>
            <w:r>
              <w:rPr>
                <w:rFonts w:hint="eastAsia" w:ascii="方正仿宋_GBK" w:hAnsi="方正仿宋_GBK" w:eastAsia="方正仿宋_GBK" w:cs="方正仿宋_GBK"/>
                <w:sz w:val="18"/>
                <w:szCs w:val="18"/>
                <w:lang w:eastAsia="zh-CN"/>
              </w:rPr>
              <w:t>部分</w:t>
            </w:r>
          </w:p>
        </w:tc>
        <w:tc>
          <w:tcPr>
            <w:tcW w:w="6433" w:type="dxa"/>
            <w:vAlign w:val="center"/>
          </w:tcPr>
          <w:p>
            <w:pPr>
              <w:adjustRightInd/>
              <w:snapToGrid/>
              <w:spacing w:line="320" w:lineRule="exact"/>
              <w:ind w:firstLine="28"/>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本项目第二次最终报价为最终磋商报价，按照低价优先法计算，即满足磋商文件要求且磋商报价最低的为基准价，其价格得满分70分，其他供应商磋商报价得分=（评审基准价/磋商报价）</w:t>
            </w:r>
            <w:bookmarkStart w:id="3" w:name="OLE_LINK36"/>
            <w:r>
              <w:rPr>
                <w:rFonts w:hint="eastAsia" w:ascii="方正仿宋_GBK" w:hAnsi="方正仿宋_GBK" w:eastAsia="方正仿宋_GBK" w:cs="方正仿宋_GBK"/>
                <w:sz w:val="18"/>
                <w:szCs w:val="18"/>
                <w:lang w:val="en-US" w:eastAsia="zh-CN"/>
              </w:rPr>
              <w:t>×</w:t>
            </w:r>
            <w:bookmarkEnd w:id="3"/>
            <w:r>
              <w:rPr>
                <w:rFonts w:hint="eastAsia" w:ascii="方正仿宋_GBK" w:hAnsi="方正仿宋_GBK" w:eastAsia="方正仿宋_GBK" w:cs="方正仿宋_GBK"/>
                <w:sz w:val="18"/>
                <w:szCs w:val="18"/>
                <w:lang w:val="en-US" w:eastAsia="zh-CN"/>
              </w:rPr>
              <w:t>100×70%</w:t>
            </w:r>
            <w:r>
              <w:rPr>
                <w:rFonts w:hint="eastAsia" w:ascii="方正仿宋_GBK" w:hAnsi="方正仿宋_GBK" w:eastAsia="方正仿宋_GBK" w:cs="方正仿宋_GBK"/>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668" w:type="dxa"/>
            <w:vAlign w:val="center"/>
          </w:tcPr>
          <w:p>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2</w:t>
            </w:r>
          </w:p>
        </w:tc>
        <w:tc>
          <w:tcPr>
            <w:tcW w:w="990" w:type="dxa"/>
            <w:vAlign w:val="center"/>
          </w:tcPr>
          <w:p>
            <w:pPr>
              <w:snapToGrid w:val="0"/>
              <w:spacing w:line="320" w:lineRule="exact"/>
              <w:jc w:val="center"/>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技术</w:t>
            </w:r>
            <w:r>
              <w:rPr>
                <w:rFonts w:hint="eastAsia" w:ascii="方正仿宋_GBK" w:hAnsi="方正仿宋_GBK" w:eastAsia="方正仿宋_GBK" w:cs="方正仿宋_GBK"/>
                <w:sz w:val="18"/>
                <w:szCs w:val="18"/>
                <w:lang w:val="en-US" w:eastAsia="zh-CN"/>
              </w:rPr>
              <w:t>部分</w:t>
            </w:r>
          </w:p>
          <w:p>
            <w:pPr>
              <w:snapToGrid w:val="0"/>
              <w:spacing w:line="320" w:lineRule="exact"/>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20</w:t>
            </w:r>
            <w:r>
              <w:rPr>
                <w:rFonts w:hint="eastAsia" w:ascii="方正仿宋_GBK" w:hAnsi="方正仿宋_GBK" w:eastAsia="方正仿宋_GBK" w:cs="方正仿宋_GBK"/>
                <w:sz w:val="18"/>
                <w:szCs w:val="18"/>
              </w:rPr>
              <w:t>分）</w:t>
            </w:r>
          </w:p>
        </w:tc>
        <w:tc>
          <w:tcPr>
            <w:tcW w:w="1189" w:type="dxa"/>
            <w:vAlign w:val="center"/>
          </w:tcPr>
          <w:p>
            <w:pPr>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服务方案</w:t>
            </w:r>
          </w:p>
          <w:p>
            <w:pPr>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20</w:t>
            </w:r>
            <w:r>
              <w:rPr>
                <w:rFonts w:hint="eastAsia" w:ascii="方正仿宋_GBK" w:hAnsi="方正仿宋_GBK" w:eastAsia="方正仿宋_GBK" w:cs="方正仿宋_GBK"/>
                <w:sz w:val="18"/>
                <w:szCs w:val="18"/>
              </w:rPr>
              <w:t>分</w:t>
            </w:r>
            <w:r>
              <w:rPr>
                <w:rFonts w:hint="eastAsia" w:ascii="方正仿宋_GBK" w:hAnsi="方正仿宋_GBK" w:eastAsia="方正仿宋_GBK" w:cs="方正仿宋_GBK"/>
                <w:sz w:val="18"/>
                <w:szCs w:val="18"/>
                <w:lang w:eastAsia="zh-CN"/>
              </w:rPr>
              <w:t>）</w:t>
            </w:r>
          </w:p>
        </w:tc>
        <w:tc>
          <w:tcPr>
            <w:tcW w:w="6433" w:type="dxa"/>
            <w:vAlign w:val="center"/>
          </w:tcPr>
          <w:p>
            <w:pPr>
              <w:adjustRightInd w:val="0"/>
              <w:snapToGrid w:val="0"/>
              <w:spacing w:line="300" w:lineRule="exact"/>
              <w:jc w:val="left"/>
              <w:rPr>
                <w:rFonts w:hint="eastAsia" w:ascii="方正仿宋_GBK" w:hAnsi="方正仿宋_GBK" w:eastAsia="方正仿宋_GBK" w:cs="方正仿宋_GBK"/>
                <w:sz w:val="18"/>
                <w:szCs w:val="18"/>
                <w:lang w:eastAsia="zh-CN"/>
              </w:rPr>
            </w:pPr>
            <w:r>
              <w:rPr>
                <w:rFonts w:hint="eastAsia" w:ascii="方正仿宋_GBK" w:hAnsi="方正仿宋_GBK" w:eastAsia="方正仿宋_GBK" w:cs="方正仿宋_GBK"/>
                <w:sz w:val="18"/>
                <w:szCs w:val="18"/>
              </w:rPr>
              <w:t>1</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供应商</w:t>
            </w:r>
            <w:r>
              <w:rPr>
                <w:rFonts w:hint="eastAsia" w:ascii="方正仿宋_GBK" w:hAnsi="方正仿宋_GBK" w:eastAsia="方正仿宋_GBK" w:cs="方正仿宋_GBK"/>
                <w:sz w:val="18"/>
                <w:szCs w:val="18"/>
                <w:lang w:eastAsia="zh-CN"/>
              </w:rPr>
              <w:t>根据项目</w:t>
            </w:r>
            <w:r>
              <w:rPr>
                <w:rFonts w:hint="eastAsia" w:ascii="方正仿宋_GBK" w:hAnsi="方正仿宋_GBK" w:eastAsia="方正仿宋_GBK" w:cs="方正仿宋_GBK"/>
                <w:sz w:val="18"/>
                <w:szCs w:val="18"/>
                <w:lang w:val="en-US" w:eastAsia="zh-CN"/>
              </w:rPr>
              <w:t>实际情况并</w:t>
            </w:r>
            <w:r>
              <w:rPr>
                <w:rFonts w:hint="eastAsia" w:ascii="方正仿宋_GBK" w:hAnsi="方正仿宋_GBK" w:eastAsia="方正仿宋_GBK" w:cs="方正仿宋_GBK"/>
                <w:sz w:val="18"/>
                <w:szCs w:val="18"/>
                <w:lang w:eastAsia="zh-CN"/>
              </w:rPr>
              <w:t>结合自身以往的经验</w:t>
            </w:r>
            <w:r>
              <w:rPr>
                <w:rFonts w:hint="eastAsia" w:ascii="方正仿宋_GBK" w:hAnsi="方正仿宋_GBK" w:eastAsia="方正仿宋_GBK" w:cs="方正仿宋_GBK"/>
                <w:sz w:val="18"/>
                <w:szCs w:val="18"/>
                <w:lang w:val="en-US" w:eastAsia="zh-CN"/>
              </w:rPr>
              <w:t>，通过</w:t>
            </w:r>
            <w:r>
              <w:rPr>
                <w:rFonts w:hint="eastAsia" w:ascii="方正仿宋_GBK" w:hAnsi="方正仿宋_GBK" w:eastAsia="方正仿宋_GBK" w:cs="方正仿宋_GBK"/>
                <w:sz w:val="18"/>
                <w:szCs w:val="18"/>
                <w:lang w:eastAsia="zh-CN"/>
              </w:rPr>
              <w:t>分析提出设计</w:t>
            </w:r>
            <w:r>
              <w:rPr>
                <w:rFonts w:hint="eastAsia" w:ascii="方正仿宋_GBK" w:hAnsi="方正仿宋_GBK" w:eastAsia="方正仿宋_GBK" w:cs="方正仿宋_GBK"/>
                <w:sz w:val="18"/>
                <w:szCs w:val="18"/>
                <w:lang w:val="en-US" w:eastAsia="zh-CN"/>
              </w:rPr>
              <w:t>服务方案，包括项目</w:t>
            </w:r>
            <w:r>
              <w:rPr>
                <w:rFonts w:hint="eastAsia" w:ascii="方正仿宋_GBK" w:hAnsi="方正仿宋_GBK" w:eastAsia="方正仿宋_GBK" w:cs="方正仿宋_GBK"/>
                <w:sz w:val="18"/>
                <w:szCs w:val="18"/>
                <w:lang w:eastAsia="zh-CN"/>
              </w:rPr>
              <w:t>重点、难点分析及应对措施，</w:t>
            </w:r>
            <w:r>
              <w:rPr>
                <w:rFonts w:hint="eastAsia" w:ascii="方正仿宋_GBK" w:hAnsi="方正仿宋_GBK" w:eastAsia="方正仿宋_GBK" w:cs="方正仿宋_GBK"/>
                <w:sz w:val="18"/>
                <w:szCs w:val="18"/>
                <w:lang w:val="en-US" w:eastAsia="zh-CN"/>
              </w:rPr>
              <w:t>以及设计规划、技术措施、进度安排、分析说明及服务</w:t>
            </w:r>
            <w:r>
              <w:rPr>
                <w:rFonts w:hint="eastAsia" w:ascii="方正仿宋_GBK" w:hAnsi="方正仿宋_GBK" w:eastAsia="方正仿宋_GBK" w:cs="方正仿宋_GBK"/>
                <w:sz w:val="18"/>
                <w:szCs w:val="18"/>
              </w:rPr>
              <w:t>方案等</w:t>
            </w:r>
            <w:r>
              <w:rPr>
                <w:rFonts w:hint="eastAsia" w:ascii="方正仿宋_GBK" w:hAnsi="方正仿宋_GBK" w:eastAsia="方正仿宋_GBK" w:cs="方正仿宋_GBK"/>
                <w:sz w:val="18"/>
                <w:szCs w:val="18"/>
                <w:lang w:eastAsia="zh-CN"/>
              </w:rPr>
              <w:t>。</w:t>
            </w:r>
          </w:p>
          <w:p>
            <w:pPr>
              <w:adjustRightInd w:val="0"/>
              <w:snapToGrid w:val="0"/>
              <w:spacing w:line="300" w:lineRule="exact"/>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eastAsia="zh-CN"/>
              </w:rPr>
              <w:t>横向对比后综合评分，优得</w:t>
            </w:r>
            <w:r>
              <w:rPr>
                <w:rFonts w:hint="eastAsia" w:ascii="方正仿宋_GBK" w:hAnsi="方正仿宋_GBK" w:eastAsia="方正仿宋_GBK" w:cs="方正仿宋_GBK"/>
                <w:sz w:val="18"/>
                <w:szCs w:val="18"/>
                <w:lang w:val="en-US" w:eastAsia="zh-CN"/>
              </w:rPr>
              <w:t>15分（含）</w:t>
            </w:r>
            <w:r>
              <w:rPr>
                <w:rFonts w:hint="eastAsia" w:ascii="方正仿宋_GBK" w:hAnsi="方正仿宋_GBK" w:eastAsia="方正仿宋_GBK" w:cs="方正仿宋_GBK"/>
                <w:sz w:val="18"/>
                <w:szCs w:val="18"/>
                <w:lang w:eastAsia="zh-CN"/>
              </w:rPr>
              <w:t>-1</w:t>
            </w:r>
            <w:r>
              <w:rPr>
                <w:rFonts w:hint="eastAsia" w:ascii="方正仿宋_GBK" w:hAnsi="方正仿宋_GBK" w:eastAsia="方正仿宋_GBK" w:cs="方正仿宋_GBK"/>
                <w:sz w:val="18"/>
                <w:szCs w:val="18"/>
                <w:lang w:val="en-US" w:eastAsia="zh-CN"/>
              </w:rPr>
              <w:t>0</w:t>
            </w:r>
            <w:r>
              <w:rPr>
                <w:rFonts w:hint="eastAsia" w:ascii="方正仿宋_GBK" w:hAnsi="方正仿宋_GBK" w:eastAsia="方正仿宋_GBK" w:cs="方正仿宋_GBK"/>
                <w:sz w:val="18"/>
                <w:szCs w:val="18"/>
                <w:lang w:eastAsia="zh-CN"/>
              </w:rPr>
              <w:t>分，良</w:t>
            </w:r>
            <w:r>
              <w:rPr>
                <w:rFonts w:hint="eastAsia" w:ascii="方正仿宋_GBK" w:hAnsi="方正仿宋_GBK" w:eastAsia="方正仿宋_GBK" w:cs="方正仿宋_GBK"/>
                <w:sz w:val="18"/>
                <w:szCs w:val="18"/>
                <w:lang w:val="en-US" w:eastAsia="zh-CN"/>
              </w:rPr>
              <w:t>5分（含）</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10</w:t>
            </w:r>
            <w:r>
              <w:rPr>
                <w:rFonts w:hint="eastAsia" w:ascii="方正仿宋_GBK" w:hAnsi="方正仿宋_GBK" w:eastAsia="方正仿宋_GBK" w:cs="方正仿宋_GBK"/>
                <w:sz w:val="18"/>
                <w:szCs w:val="18"/>
                <w:lang w:eastAsia="zh-CN"/>
              </w:rPr>
              <w:t>分</w:t>
            </w:r>
            <w:r>
              <w:rPr>
                <w:rFonts w:hint="eastAsia" w:ascii="方正仿宋_GBK" w:hAnsi="方正仿宋_GBK" w:eastAsia="方正仿宋_GBK" w:cs="方正仿宋_GBK"/>
                <w:sz w:val="18"/>
                <w:szCs w:val="18"/>
                <w:lang w:val="en-US" w:eastAsia="zh-CN"/>
              </w:rPr>
              <w:t>（不含）</w:t>
            </w:r>
            <w:r>
              <w:rPr>
                <w:rFonts w:hint="eastAsia" w:ascii="方正仿宋_GBK" w:hAnsi="方正仿宋_GBK" w:eastAsia="方正仿宋_GBK" w:cs="方正仿宋_GBK"/>
                <w:sz w:val="18"/>
                <w:szCs w:val="18"/>
                <w:lang w:eastAsia="zh-CN"/>
              </w:rPr>
              <w:t>，一般</w:t>
            </w:r>
            <w:r>
              <w:rPr>
                <w:rFonts w:hint="eastAsia" w:ascii="方正仿宋_GBK" w:hAnsi="方正仿宋_GBK" w:eastAsia="方正仿宋_GBK" w:cs="方正仿宋_GBK"/>
                <w:sz w:val="18"/>
                <w:szCs w:val="18"/>
                <w:lang w:val="en-US" w:eastAsia="zh-CN"/>
              </w:rPr>
              <w:t>0分</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5分（不含）</w:t>
            </w:r>
            <w:r>
              <w:rPr>
                <w:rFonts w:hint="eastAsia" w:ascii="方正仿宋_GBK" w:hAnsi="方正仿宋_GBK" w:eastAsia="方正仿宋_GBK" w:cs="方正仿宋_GBK"/>
                <w:sz w:val="18"/>
                <w:szCs w:val="18"/>
                <w:lang w:eastAsia="zh-CN"/>
              </w:rPr>
              <w:t>。</w:t>
            </w:r>
          </w:p>
          <w:p>
            <w:pPr>
              <w:adjustRightInd w:val="0"/>
              <w:snapToGrid w:val="0"/>
              <w:spacing w:line="300" w:lineRule="exact"/>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2</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供应商拟为本项目配置的技术服务团队。</w:t>
            </w:r>
          </w:p>
          <w:p>
            <w:pPr>
              <w:adjustRightInd w:val="0"/>
              <w:snapToGrid w:val="0"/>
              <w:spacing w:line="300" w:lineRule="exact"/>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eastAsia="zh-CN"/>
              </w:rPr>
              <w:t>横向对比后综合评分，优得</w:t>
            </w:r>
            <w:r>
              <w:rPr>
                <w:rFonts w:hint="eastAsia" w:ascii="方正仿宋_GBK" w:hAnsi="方正仿宋_GBK" w:eastAsia="方正仿宋_GBK" w:cs="方正仿宋_GBK"/>
                <w:sz w:val="18"/>
                <w:szCs w:val="18"/>
                <w:lang w:val="en-US" w:eastAsia="zh-CN"/>
              </w:rPr>
              <w:t>5分（含）</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3</w:t>
            </w:r>
            <w:r>
              <w:rPr>
                <w:rFonts w:hint="eastAsia" w:ascii="方正仿宋_GBK" w:hAnsi="方正仿宋_GBK" w:eastAsia="方正仿宋_GBK" w:cs="方正仿宋_GBK"/>
                <w:sz w:val="18"/>
                <w:szCs w:val="18"/>
                <w:lang w:eastAsia="zh-CN"/>
              </w:rPr>
              <w:t>分，一般</w:t>
            </w:r>
            <w:r>
              <w:rPr>
                <w:rFonts w:hint="eastAsia" w:ascii="方正仿宋_GBK" w:hAnsi="方正仿宋_GBK" w:eastAsia="方正仿宋_GBK" w:cs="方正仿宋_GBK"/>
                <w:sz w:val="18"/>
                <w:szCs w:val="18"/>
                <w:lang w:val="en-US" w:eastAsia="zh-CN"/>
              </w:rPr>
              <w:t>0分</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3分（不含）</w:t>
            </w:r>
            <w:r>
              <w:rPr>
                <w:rFonts w:hint="eastAsia" w:ascii="方正仿宋_GBK" w:hAnsi="方正仿宋_GBK" w:eastAsia="方正仿宋_GBK" w:cs="方正仿宋_GBK"/>
                <w:sz w:val="18"/>
                <w:szCs w:val="1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68" w:type="dxa"/>
            <w:tcBorders>
              <w:top w:val="nil"/>
            </w:tcBorders>
            <w:vAlign w:val="center"/>
          </w:tcPr>
          <w:p>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3</w:t>
            </w:r>
          </w:p>
        </w:tc>
        <w:tc>
          <w:tcPr>
            <w:tcW w:w="990" w:type="dxa"/>
            <w:tcBorders>
              <w:top w:val="nil"/>
            </w:tcBorders>
            <w:vAlign w:val="center"/>
          </w:tcPr>
          <w:p>
            <w:pPr>
              <w:snapToGrid w:val="0"/>
              <w:spacing w:line="320" w:lineRule="exact"/>
              <w:jc w:val="center"/>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商务</w:t>
            </w:r>
            <w:r>
              <w:rPr>
                <w:rFonts w:hint="eastAsia" w:ascii="方正仿宋_GBK" w:hAnsi="方正仿宋_GBK" w:eastAsia="方正仿宋_GBK" w:cs="方正仿宋_GBK"/>
                <w:sz w:val="18"/>
                <w:szCs w:val="18"/>
                <w:lang w:val="en-US" w:eastAsia="zh-CN"/>
              </w:rPr>
              <w:t>部分</w:t>
            </w:r>
          </w:p>
          <w:p>
            <w:pPr>
              <w:snapToGrid w:val="0"/>
              <w:spacing w:line="320" w:lineRule="exact"/>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10</w:t>
            </w:r>
            <w:r>
              <w:rPr>
                <w:rFonts w:hint="eastAsia" w:ascii="方正仿宋_GBK" w:hAnsi="方正仿宋_GBK" w:eastAsia="方正仿宋_GBK" w:cs="方正仿宋_GBK"/>
                <w:sz w:val="18"/>
                <w:szCs w:val="18"/>
              </w:rPr>
              <w:t>分）</w:t>
            </w:r>
          </w:p>
        </w:tc>
        <w:tc>
          <w:tcPr>
            <w:tcW w:w="1189" w:type="dxa"/>
            <w:tcBorders>
              <w:top w:val="single" w:color="auto" w:sz="4" w:space="0"/>
              <w:bottom w:val="single" w:color="auto" w:sz="4" w:space="0"/>
            </w:tcBorders>
            <w:vAlign w:val="center"/>
          </w:tcPr>
          <w:p>
            <w:pPr>
              <w:spacing w:line="320" w:lineRule="exact"/>
              <w:ind w:firstLine="28"/>
              <w:jc w:val="center"/>
              <w:rPr>
                <w:rFonts w:hint="eastAsia" w:ascii="方正仿宋_GBK" w:hAnsi="方正仿宋_GBK" w:eastAsia="方正仿宋_GBK" w:cs="方正仿宋_GBK"/>
                <w:sz w:val="18"/>
                <w:szCs w:val="18"/>
                <w:lang w:eastAsia="zh-CN"/>
              </w:rPr>
            </w:pPr>
            <w:r>
              <w:rPr>
                <w:rFonts w:hint="eastAsia" w:ascii="方正仿宋_GBK" w:hAnsi="方正仿宋_GBK" w:eastAsia="方正仿宋_GBK" w:cs="方正仿宋_GBK"/>
                <w:sz w:val="18"/>
                <w:szCs w:val="18"/>
                <w:lang w:eastAsia="zh-CN"/>
              </w:rPr>
              <w:t>业绩部分</w:t>
            </w:r>
          </w:p>
          <w:p>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10</w:t>
            </w:r>
            <w:r>
              <w:rPr>
                <w:rFonts w:hint="eastAsia" w:ascii="方正仿宋_GBK" w:hAnsi="方正仿宋_GBK" w:eastAsia="方正仿宋_GBK" w:cs="方正仿宋_GBK"/>
                <w:sz w:val="18"/>
                <w:szCs w:val="18"/>
              </w:rPr>
              <w:t>分</w:t>
            </w:r>
            <w:r>
              <w:rPr>
                <w:rFonts w:hint="eastAsia" w:ascii="方正仿宋_GBK" w:hAnsi="方正仿宋_GBK" w:eastAsia="方正仿宋_GBK" w:cs="方正仿宋_GBK"/>
                <w:sz w:val="18"/>
                <w:szCs w:val="18"/>
                <w:lang w:eastAsia="zh-CN"/>
              </w:rPr>
              <w:t>）</w:t>
            </w:r>
          </w:p>
        </w:tc>
        <w:tc>
          <w:tcPr>
            <w:tcW w:w="6433" w:type="dxa"/>
            <w:vAlign w:val="center"/>
          </w:tcPr>
          <w:p>
            <w:pPr>
              <w:adjustRightInd w:val="0"/>
              <w:snapToGrid w:val="0"/>
              <w:spacing w:line="300" w:lineRule="exact"/>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caps w:val="0"/>
                <w:spacing w:val="0"/>
                <w:kern w:val="2"/>
                <w:sz w:val="18"/>
                <w:szCs w:val="18"/>
                <w:shd w:val="clear"/>
                <w:lang w:val="en-US" w:eastAsia="zh-CN" w:bidi="ar"/>
              </w:rPr>
              <w:t>投标人近3年（2023年9月1日至投标截止时间，以合同签订时间为准）具有8万元及以上的建筑工程类设计项目业绩，</w:t>
            </w:r>
            <w:r>
              <w:rPr>
                <w:rFonts w:hint="eastAsia" w:ascii="方正仿宋_GBK" w:hAnsi="方正仿宋_GBK" w:eastAsia="方正仿宋_GBK" w:cs="方正仿宋_GBK"/>
                <w:sz w:val="18"/>
                <w:szCs w:val="18"/>
              </w:rPr>
              <w:t>每提供1份</w:t>
            </w:r>
            <w:r>
              <w:rPr>
                <w:rFonts w:hint="eastAsia" w:ascii="方正仿宋_GBK" w:hAnsi="方正仿宋_GBK" w:eastAsia="方正仿宋_GBK" w:cs="方正仿宋_GBK"/>
                <w:sz w:val="18"/>
                <w:szCs w:val="18"/>
                <w:lang w:val="en-US" w:eastAsia="zh-CN"/>
              </w:rPr>
              <w:t>同类</w:t>
            </w:r>
            <w:r>
              <w:rPr>
                <w:rFonts w:hint="eastAsia" w:ascii="方正仿宋_GBK" w:hAnsi="方正仿宋_GBK" w:eastAsia="方正仿宋_GBK" w:cs="方正仿宋_GBK"/>
                <w:sz w:val="18"/>
                <w:szCs w:val="18"/>
              </w:rPr>
              <w:t>业绩</w:t>
            </w:r>
            <w:r>
              <w:rPr>
                <w:rFonts w:hint="eastAsia" w:ascii="方正仿宋_GBK" w:hAnsi="方正仿宋_GBK" w:eastAsia="方正仿宋_GBK" w:cs="方正仿宋_GBK"/>
                <w:sz w:val="18"/>
                <w:szCs w:val="18"/>
                <w:lang w:eastAsia="zh-CN"/>
              </w:rPr>
              <w:t>合同</w:t>
            </w:r>
            <w:r>
              <w:rPr>
                <w:rFonts w:hint="eastAsia" w:ascii="方正仿宋_GBK" w:hAnsi="方正仿宋_GBK" w:eastAsia="方正仿宋_GBK" w:cs="方正仿宋_GBK"/>
                <w:sz w:val="18"/>
                <w:szCs w:val="18"/>
              </w:rPr>
              <w:t>得</w:t>
            </w:r>
            <w:r>
              <w:rPr>
                <w:rFonts w:hint="eastAsia" w:ascii="方正仿宋_GBK" w:hAnsi="方正仿宋_GBK" w:eastAsia="方正仿宋_GBK" w:cs="方正仿宋_GBK"/>
                <w:sz w:val="18"/>
                <w:szCs w:val="18"/>
                <w:lang w:val="en-US" w:eastAsia="zh-CN"/>
              </w:rPr>
              <w:t>2</w:t>
            </w:r>
            <w:r>
              <w:rPr>
                <w:rFonts w:hint="eastAsia" w:ascii="方正仿宋_GBK" w:hAnsi="方正仿宋_GBK" w:eastAsia="方正仿宋_GBK" w:cs="方正仿宋_GBK"/>
                <w:sz w:val="18"/>
                <w:szCs w:val="18"/>
              </w:rPr>
              <w:t>分，最高得</w:t>
            </w:r>
            <w:r>
              <w:rPr>
                <w:rFonts w:hint="eastAsia" w:ascii="方正仿宋_GBK" w:hAnsi="方正仿宋_GBK" w:eastAsia="方正仿宋_GBK" w:cs="方正仿宋_GBK"/>
                <w:sz w:val="18"/>
                <w:szCs w:val="18"/>
                <w:lang w:val="en-US" w:eastAsia="zh-CN"/>
              </w:rPr>
              <w:t>10</w:t>
            </w:r>
            <w:r>
              <w:rPr>
                <w:rFonts w:hint="eastAsia" w:ascii="方正仿宋_GBK" w:hAnsi="方正仿宋_GBK" w:eastAsia="方正仿宋_GBK" w:cs="方正仿宋_GBK"/>
                <w:sz w:val="18"/>
                <w:szCs w:val="18"/>
              </w:rPr>
              <w:t>分。</w:t>
            </w:r>
          </w:p>
          <w:p>
            <w:pPr>
              <w:adjustRightInd w:val="0"/>
              <w:snapToGrid w:val="0"/>
              <w:spacing w:line="300" w:lineRule="exact"/>
              <w:jc w:val="left"/>
              <w:rPr>
                <w:rFonts w:hint="eastAsia" w:ascii="方正仿宋_GBK" w:hAnsi="方正仿宋_GBK" w:eastAsia="方正仿宋_GBK" w:cs="方正仿宋_GBK"/>
                <w:i w:val="0"/>
                <w:caps w:val="0"/>
                <w:spacing w:val="0"/>
                <w:sz w:val="18"/>
                <w:szCs w:val="18"/>
                <w:shd w:val="clear"/>
              </w:rPr>
            </w:pPr>
            <w:r>
              <w:rPr>
                <w:rFonts w:hint="eastAsia" w:ascii="方正仿宋_GBK" w:hAnsi="方正仿宋_GBK" w:eastAsia="方正仿宋_GBK" w:cs="方正仿宋_GBK"/>
                <w:i w:val="0"/>
                <w:caps w:val="0"/>
                <w:spacing w:val="0"/>
                <w:sz w:val="18"/>
                <w:szCs w:val="18"/>
                <w:shd w:val="clear"/>
              </w:rPr>
              <w:t>注：1</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i w:val="0"/>
                <w:caps w:val="0"/>
                <w:spacing w:val="0"/>
                <w:sz w:val="18"/>
                <w:szCs w:val="18"/>
                <w:shd w:val="clear"/>
              </w:rPr>
              <w:t>合同复印件须包含包括但不限于提供合同首页和签署页、合同总金额页</w:t>
            </w:r>
            <w:r>
              <w:rPr>
                <w:rFonts w:hint="eastAsia" w:ascii="方正仿宋_GBK" w:hAnsi="方正仿宋_GBK" w:eastAsia="方正仿宋_GBK" w:cs="方正仿宋_GBK"/>
                <w:i w:val="0"/>
                <w:caps w:val="0"/>
                <w:spacing w:val="0"/>
                <w:sz w:val="18"/>
                <w:szCs w:val="18"/>
                <w:shd w:val="clear"/>
                <w:lang w:val="en-US" w:eastAsia="zh-CN"/>
              </w:rPr>
              <w:t>、项目业务范围描述页及业绩</w:t>
            </w:r>
            <w:r>
              <w:rPr>
                <w:rFonts w:hint="eastAsia" w:ascii="方正仿宋_GBK" w:hAnsi="方正仿宋_GBK" w:eastAsia="方正仿宋_GBK" w:cs="方正仿宋_GBK"/>
                <w:i w:val="0"/>
                <w:caps w:val="0"/>
                <w:spacing w:val="0"/>
                <w:sz w:val="18"/>
                <w:szCs w:val="18"/>
                <w:shd w:val="clear"/>
              </w:rPr>
              <w:t>合同任意一期发票复印件加盖供应商公章；</w:t>
            </w:r>
          </w:p>
          <w:p>
            <w:pPr>
              <w:adjustRightInd w:val="0"/>
              <w:snapToGrid w:val="0"/>
              <w:spacing w:line="300" w:lineRule="exact"/>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caps w:val="0"/>
                <w:spacing w:val="0"/>
                <w:sz w:val="18"/>
                <w:szCs w:val="18"/>
                <w:shd w:val="clear"/>
              </w:rPr>
              <w:t>2</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i w:val="0"/>
                <w:caps w:val="0"/>
                <w:spacing w:val="0"/>
                <w:sz w:val="18"/>
                <w:szCs w:val="18"/>
                <w:shd w:val="clear"/>
              </w:rPr>
              <w:t>案例时间以合同签订时间为准，如未明确签订日期以服务启始时间为准。</w:t>
            </w:r>
          </w:p>
        </w:tc>
      </w:tr>
      <w:bookmarkEnd w:id="2"/>
    </w:tbl>
    <w:p>
      <w:pPr>
        <w:pStyle w:val="9"/>
        <w:keepNext w:val="0"/>
        <w:keepLines w:val="0"/>
        <w:pageBreakBefore w:val="0"/>
        <w:kinsoku/>
        <w:wordWrap/>
        <w:overflowPunct/>
        <w:topLinePunct w:val="0"/>
        <w:autoSpaceDE/>
        <w:autoSpaceDN/>
        <w:bidi w:val="0"/>
        <w:adjustRightInd w:val="0"/>
        <w:snapToGrid w:val="0"/>
        <w:spacing w:line="480" w:lineRule="exact"/>
        <w:textAlignment w:val="auto"/>
        <w:rPr>
          <w:rFonts w:hint="eastAsia"/>
          <w:lang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672" w:leftChars="0" w:right="0" w:rightChars="0"/>
        <w:jc w:val="left"/>
        <w:textAlignment w:val="auto"/>
        <w:outlineLvl w:val="9"/>
        <w:rPr>
          <w:rFonts w:ascii="方正仿宋_GBK" w:hAnsi="Times New Roman" w:eastAsia="方正仿宋_GBK"/>
          <w:sz w:val="32"/>
        </w:rPr>
      </w:pPr>
      <w:r>
        <w:rPr>
          <w:rFonts w:hint="eastAsia" w:ascii="方正仿宋_GBK" w:hAnsi="Times New Roman" w:eastAsia="方正仿宋_GBK"/>
          <w:sz w:val="32"/>
          <w:lang w:val="en-US" w:eastAsia="zh-CN"/>
        </w:rPr>
        <w:t xml:space="preserve">                         </w:t>
      </w:r>
      <w:r>
        <w:rPr>
          <w:rFonts w:ascii="方正仿宋_GBK" w:hAnsi="Times New Roman" w:eastAsia="方正仿宋_GBK"/>
          <w:sz w:val="32"/>
        </w:rPr>
        <w:t>重庆银行</w:t>
      </w:r>
      <w:r>
        <w:rPr>
          <w:rFonts w:hint="eastAsia" w:ascii="方正仿宋_GBK" w:hAnsi="Times New Roman" w:eastAsia="方正仿宋_GBK"/>
          <w:sz w:val="32"/>
          <w:lang w:eastAsia="zh-CN"/>
        </w:rPr>
        <w:t>西安分行办公室</w:t>
      </w:r>
    </w:p>
    <w:p>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jc w:val="left"/>
        <w:textAlignment w:val="auto"/>
        <w:outlineLvl w:val="9"/>
        <w:rPr>
          <w:rFonts w:hint="eastAsia" w:ascii="方正仿宋_GBK" w:hAnsi="方正仿宋_GBK" w:eastAsia="方正仿宋_GBK" w:cs="方正仿宋_GBK"/>
          <w:color w:val="000000"/>
          <w:sz w:val="30"/>
          <w:szCs w:val="30"/>
          <w:lang w:eastAsia="zh-CN"/>
        </w:rPr>
      </w:pPr>
      <w:r>
        <w:rPr>
          <w:rFonts w:ascii="方正仿宋_GBK" w:hAnsi="Times New Roman" w:eastAsia="方正仿宋_GBK"/>
          <w:sz w:val="32"/>
        </w:rPr>
        <w:t xml:space="preserve">                </w:t>
      </w:r>
      <w:r>
        <w:rPr>
          <w:rFonts w:hint="eastAsia" w:ascii="方正仿宋_GBK" w:hAnsi="Times New Roman" w:eastAsia="方正仿宋_GBK"/>
          <w:sz w:val="32"/>
          <w:lang w:val="en-US" w:eastAsia="zh-CN"/>
        </w:rPr>
        <w:t xml:space="preserve">                 2026</w:t>
      </w:r>
      <w:r>
        <w:rPr>
          <w:rFonts w:ascii="方正仿宋_GBK" w:hAnsi="Times New Roman" w:eastAsia="方正仿宋_GBK"/>
          <w:sz w:val="32"/>
        </w:rPr>
        <w:t>年</w:t>
      </w:r>
      <w:r>
        <w:rPr>
          <w:rFonts w:hint="eastAsia" w:ascii="方正仿宋_GBK" w:hAnsi="Times New Roman" w:eastAsia="方正仿宋_GBK"/>
          <w:sz w:val="32"/>
          <w:lang w:val="en-US" w:eastAsia="zh-CN"/>
        </w:rPr>
        <w:t>9</w:t>
      </w:r>
      <w:r>
        <w:rPr>
          <w:rFonts w:ascii="方正仿宋_GBK" w:hAnsi="Times New Roman" w:eastAsia="方正仿宋_GBK"/>
          <w:sz w:val="32"/>
        </w:rPr>
        <w:t>月</w:t>
      </w:r>
      <w:r>
        <w:rPr>
          <w:rFonts w:hint="eastAsia" w:ascii="方正仿宋_GBK" w:hAnsi="Times New Roman" w:eastAsia="方正仿宋_GBK"/>
          <w:sz w:val="32"/>
          <w:lang w:val="en-US" w:eastAsia="zh-CN"/>
        </w:rPr>
        <w:t>18</w:t>
      </w:r>
      <w:r>
        <w:rPr>
          <w:rFonts w:ascii="方正仿宋_GBK" w:hAnsi="Times New Roman" w:eastAsia="方正仿宋_GBK"/>
          <w:sz w:val="32"/>
        </w:rPr>
        <w:t>日</w:t>
      </w:r>
      <w:r>
        <w:rPr>
          <w:rFonts w:ascii="方正小标宋_GBK" w:hAnsi="Times New Roman" w:eastAsia="方正小标宋_GBK"/>
          <w:sz w:val="44"/>
        </w:rPr>
        <w:br w:type="page"/>
      </w:r>
    </w:p>
    <w:p>
      <w:pPr>
        <w:keepNext w:val="0"/>
        <w:keepLines w:val="0"/>
        <w:pageBreakBefore w:val="0"/>
        <w:widowControl/>
        <w:kinsoku/>
        <w:wordWrap/>
        <w:overflowPunct/>
        <w:topLinePunct w:val="0"/>
        <w:bidi w:val="0"/>
        <w:spacing w:line="360" w:lineRule="auto"/>
        <w:jc w:val="center"/>
        <w:textAlignment w:val="auto"/>
        <w:rPr>
          <w:rFonts w:ascii="方正小标宋_GBK" w:hAnsi="Times New Roman" w:eastAsia="方正小标宋_GBK"/>
          <w:sz w:val="44"/>
        </w:rPr>
      </w:pPr>
      <w:r>
        <w:rPr>
          <w:rFonts w:ascii="方正小标宋_GBK" w:hAnsi="Times New Roman" w:eastAsia="方正小标宋_GBK"/>
          <w:sz w:val="44"/>
        </w:rPr>
        <w:t>法人授权书</w:t>
      </w:r>
    </w:p>
    <w:p>
      <w:pPr>
        <w:keepNext w:val="0"/>
        <w:keepLines w:val="0"/>
        <w:pageBreakBefore w:val="0"/>
        <w:widowControl/>
        <w:kinsoku/>
        <w:wordWrap/>
        <w:overflowPunct/>
        <w:topLinePunct w:val="0"/>
        <w:bidi w:val="0"/>
        <w:spacing w:line="360" w:lineRule="auto"/>
        <w:jc w:val="both"/>
        <w:textAlignment w:val="auto"/>
        <w:rPr>
          <w:rFonts w:ascii="方正小标宋_GBK" w:hAnsi="Times New Roman" w:eastAsia="方正小标宋_GBK"/>
          <w:sz w:val="20"/>
          <w:szCs w:val="20"/>
        </w:rPr>
      </w:pPr>
    </w:p>
    <w:p>
      <w:pPr>
        <w:widowControl/>
        <w:snapToGrid w:val="0"/>
        <w:spacing w:line="600" w:lineRule="exact"/>
        <w:jc w:val="left"/>
        <w:rPr>
          <w:rFonts w:ascii="方正仿宋_GBK" w:hAnsi="Times New Roman" w:eastAsia="方正仿宋_GBK"/>
          <w:sz w:val="32"/>
        </w:rPr>
      </w:pPr>
      <w:r>
        <w:rPr>
          <w:rFonts w:ascii="方正仿宋_GBK" w:hAnsi="Times New Roman" w:eastAsia="方正仿宋_GBK"/>
          <w:sz w:val="32"/>
        </w:rPr>
        <w:t>重庆银行</w:t>
      </w:r>
      <w:r>
        <w:rPr>
          <w:rFonts w:hint="eastAsia" w:ascii="方正仿宋_GBK" w:hAnsi="Times New Roman" w:eastAsia="方正仿宋_GBK"/>
          <w:sz w:val="32"/>
          <w:lang w:eastAsia="zh-CN"/>
        </w:rPr>
        <w:t>西安分行</w:t>
      </w:r>
      <w:r>
        <w:rPr>
          <w:rFonts w:hint="eastAsia" w:ascii="方正仿宋_GBK" w:hAnsi="Times New Roman" w:eastAsia="方正仿宋_GBK"/>
          <w:sz w:val="32"/>
          <w:lang w:val="en-US" w:eastAsia="zh-CN"/>
        </w:rPr>
        <w:t>办公室</w:t>
      </w:r>
      <w:r>
        <w:rPr>
          <w:rFonts w:ascii="方正仿宋_GBK" w:hAnsi="Times New Roman" w:eastAsia="方正仿宋_GBK"/>
          <w:sz w:val="32"/>
        </w:rPr>
        <w:t>：</w:t>
      </w:r>
    </w:p>
    <w:p>
      <w:pPr>
        <w:widowControl/>
        <w:jc w:val="left"/>
        <w:rPr>
          <w:rFonts w:ascii="方正仿宋_GBK" w:hAnsi="Times New Roman" w:eastAsia="方正仿宋_GBK"/>
          <w:sz w:val="32"/>
        </w:rPr>
      </w:pPr>
      <w:r>
        <w:rPr>
          <w:rFonts w:hint="eastAsia" w:ascii="方正仿宋_GBK" w:eastAsia="方正仿宋_GBK"/>
          <w:sz w:val="32"/>
        </w:rPr>
        <w:t xml:space="preserve">   </w:t>
      </w:r>
      <w:r>
        <w:rPr>
          <w:rFonts w:ascii="方正仿宋_GBK" w:hAnsi="Times New Roman" w:eastAsia="方正仿宋_GBK"/>
          <w:sz w:val="32"/>
          <w:u w:val="single"/>
        </w:rPr>
        <w:t>（报价单位全称）</w:t>
      </w:r>
      <w:r>
        <w:rPr>
          <w:rFonts w:ascii="方正仿宋_GBK" w:hAnsi="Times New Roman" w:eastAsia="方正仿宋_GBK"/>
          <w:sz w:val="32"/>
        </w:rPr>
        <w:t>法人代表授权（</w:t>
      </w:r>
      <w:r>
        <w:rPr>
          <w:rFonts w:ascii="方正仿宋_GBK" w:hAnsi="Times New Roman" w:eastAsia="方正仿宋_GBK"/>
          <w:sz w:val="32"/>
          <w:u w:val="single"/>
        </w:rPr>
        <w:t>授权代表姓名）</w:t>
      </w:r>
      <w:r>
        <w:rPr>
          <w:rFonts w:hint="eastAsia" w:ascii="方正仿宋_GBK" w:hAnsi="Times New Roman" w:eastAsia="方正仿宋_GBK"/>
          <w:sz w:val="32"/>
          <w:u w:val="single"/>
        </w:rPr>
        <w:t xml:space="preserve"> </w:t>
      </w:r>
      <w:r>
        <w:rPr>
          <w:rFonts w:ascii="方正仿宋_GBK" w:hAnsi="Times New Roman" w:eastAsia="方正仿宋_GBK"/>
          <w:sz w:val="32"/>
        </w:rPr>
        <w:t>为授权代表，参加贵部项目</w:t>
      </w:r>
      <w:r>
        <w:rPr>
          <w:rFonts w:hint="eastAsia" w:ascii="方正仿宋_GBK" w:hAnsi="Times New Roman" w:eastAsia="方正仿宋_GBK"/>
          <w:sz w:val="32"/>
          <w:lang w:eastAsia="zh-CN"/>
        </w:rPr>
        <w:t>采购</w:t>
      </w:r>
      <w:r>
        <w:rPr>
          <w:rFonts w:ascii="方正仿宋_GBK" w:hAnsi="Times New Roman" w:eastAsia="方正仿宋_GBK"/>
          <w:sz w:val="32"/>
        </w:rPr>
        <w:t>活动，全权处理</w:t>
      </w:r>
      <w:r>
        <w:rPr>
          <w:rFonts w:hint="eastAsia" w:ascii="方正仿宋_GBK" w:hAnsi="Times New Roman" w:eastAsia="方正仿宋_GBK"/>
          <w:sz w:val="32"/>
          <w:lang w:eastAsia="zh-CN"/>
        </w:rPr>
        <w:t>采购</w:t>
      </w:r>
      <w:r>
        <w:rPr>
          <w:rFonts w:ascii="方正仿宋_GBK" w:hAnsi="Times New Roman" w:eastAsia="方正仿宋_GBK"/>
          <w:sz w:val="32"/>
        </w:rPr>
        <w:t>中的一切事宜。</w:t>
      </w:r>
    </w:p>
    <w:p>
      <w:pPr>
        <w:widowControl/>
        <w:jc w:val="left"/>
        <w:rPr>
          <w:rFonts w:ascii="方正仿宋_GBK" w:hAnsi="Times New Roman" w:eastAsia="方正仿宋_GBK"/>
          <w:sz w:val="32"/>
        </w:rPr>
      </w:pPr>
    </w:p>
    <w:p>
      <w:pPr>
        <w:widowControl/>
        <w:jc w:val="left"/>
        <w:rPr>
          <w:rFonts w:ascii="方正仿宋_GBK" w:hAnsi="Times New Roman" w:eastAsia="方正仿宋_GBK"/>
          <w:sz w:val="32"/>
        </w:rPr>
      </w:pPr>
      <w:r>
        <w:rPr>
          <w:rFonts w:ascii="方正仿宋_GBK" w:hAnsi="Times New Roman" w:eastAsia="方正仿宋_GBK"/>
          <w:sz w:val="32"/>
        </w:rPr>
        <w:t>法人代表（签字或盖章）：</w:t>
      </w:r>
    </w:p>
    <w:p>
      <w:pPr>
        <w:widowControl/>
        <w:jc w:val="left"/>
        <w:rPr>
          <w:rFonts w:ascii="方正仿宋_GBK" w:hAnsi="Times New Roman" w:eastAsia="方正仿宋_GBK"/>
          <w:sz w:val="32"/>
        </w:rPr>
      </w:pPr>
    </w:p>
    <w:p>
      <w:pPr>
        <w:widowControl/>
        <w:jc w:val="left"/>
        <w:rPr>
          <w:rFonts w:ascii="方正仿宋_GBK" w:hAnsi="Times New Roman" w:eastAsia="方正仿宋_GBK"/>
          <w:sz w:val="32"/>
        </w:rPr>
      </w:pPr>
      <w:r>
        <w:rPr>
          <w:rFonts w:ascii="方正仿宋_GBK" w:hAnsi="Times New Roman" w:eastAsia="方正仿宋_GBK"/>
          <w:sz w:val="32"/>
        </w:rPr>
        <w:t>被授权人（签字）：</w:t>
      </w:r>
    </w:p>
    <w:p>
      <w:pPr>
        <w:widowControl/>
        <w:jc w:val="left"/>
        <w:rPr>
          <w:rFonts w:ascii="方正仿宋_GBK" w:hAnsi="Times New Roman" w:eastAsia="方正仿宋_GBK"/>
          <w:sz w:val="32"/>
        </w:rPr>
      </w:pPr>
    </w:p>
    <w:p>
      <w:pPr>
        <w:widowControl/>
        <w:jc w:val="left"/>
        <w:rPr>
          <w:rFonts w:ascii="方正仿宋_GBK" w:hAnsi="Times New Roman" w:eastAsia="方正仿宋_GBK"/>
          <w:sz w:val="32"/>
        </w:rPr>
      </w:pPr>
      <w:r>
        <w:rPr>
          <w:rFonts w:hint="eastAsia" w:ascii="方正仿宋_GBK" w:hAnsi="Times New Roman" w:eastAsia="方正仿宋_GBK"/>
          <w:sz w:val="32"/>
        </w:rPr>
        <w:t>供应商</w:t>
      </w:r>
      <w:r>
        <w:rPr>
          <w:rFonts w:ascii="方正仿宋_GBK" w:hAnsi="Times New Roman" w:eastAsia="方正仿宋_GBK"/>
          <w:sz w:val="32"/>
        </w:rPr>
        <w:t>全称（加盖公章）：</w:t>
      </w:r>
    </w:p>
    <w:p>
      <w:pPr>
        <w:widowControl/>
        <w:jc w:val="left"/>
        <w:rPr>
          <w:rFonts w:ascii="方正仿宋_GBK" w:hAnsi="Times New Roman" w:eastAsia="方正仿宋_GBK"/>
          <w:sz w:val="32"/>
        </w:rPr>
      </w:pPr>
    </w:p>
    <w:p>
      <w:pPr>
        <w:widowControl/>
        <w:jc w:val="left"/>
        <w:rPr>
          <w:rFonts w:ascii="方正仿宋_GBK" w:hAnsi="Times New Roman" w:eastAsia="方正仿宋_GBK"/>
          <w:sz w:val="32"/>
        </w:rPr>
      </w:pPr>
      <w:r>
        <w:rPr>
          <w:rFonts w:ascii="方正仿宋_GBK" w:hAnsi="Times New Roman" w:eastAsia="方正仿宋_GBK"/>
          <w:sz w:val="32"/>
        </w:rPr>
        <w:t>签署日期：</w:t>
      </w:r>
    </w:p>
    <w:p>
      <w:pPr>
        <w:widowControl/>
        <w:spacing w:line="440" w:lineRule="exact"/>
        <w:jc w:val="left"/>
        <w:rPr>
          <w:rFonts w:ascii="方正仿宋_GBK" w:hAnsi="Times New Roman" w:eastAsia="方正仿宋_GBK"/>
          <w:sz w:val="32"/>
        </w:rPr>
      </w:pPr>
    </w:p>
    <w:p>
      <w:pPr>
        <w:widowControl/>
        <w:spacing w:line="440" w:lineRule="exact"/>
        <w:jc w:val="left"/>
        <w:rPr>
          <w:rFonts w:ascii="方正仿宋_GBK" w:hAnsi="Times New Roman" w:eastAsia="方正仿宋_GBK"/>
          <w:sz w:val="32"/>
        </w:rPr>
      </w:pPr>
      <w:r>
        <w:rPr>
          <w:rFonts w:ascii="方正仿宋_GBK" w:hAnsi="Times New Roman" w:eastAsia="方正仿宋_GBK"/>
          <w:sz w:val="32"/>
        </w:rPr>
        <w:t>法人身份证复印件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 授权代表身份证复印件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w:t>
      </w:r>
    </w:p>
    <w:tbl>
      <w:tblPr>
        <w:tblStyle w:val="6"/>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tblPrEx>
          <w:tblCellMar>
            <w:top w:w="0" w:type="dxa"/>
            <w:left w:w="0" w:type="dxa"/>
            <w:bottom w:w="0" w:type="dxa"/>
            <w:right w:w="0" w:type="dxa"/>
          </w:tblCellMar>
        </w:tblPrEx>
        <w:trPr>
          <w:trHeight w:val="4213"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kinsoku/>
              <w:wordWrap/>
              <w:overflowPunct/>
              <w:topLinePunct w:val="0"/>
              <w:bidi w:val="0"/>
              <w:spacing w:line="360" w:lineRule="auto"/>
              <w:jc w:val="left"/>
              <w:textAlignment w:val="auto"/>
              <w:rPr>
                <w:rFonts w:ascii="方正仿宋_GBK" w:eastAsia="方正仿宋_GBK"/>
                <w:sz w:val="32"/>
              </w:rPr>
            </w:pP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kinsoku/>
              <w:wordWrap/>
              <w:overflowPunct/>
              <w:topLinePunct w:val="0"/>
              <w:bidi w:val="0"/>
              <w:spacing w:line="360" w:lineRule="auto"/>
              <w:jc w:val="left"/>
              <w:textAlignment w:val="auto"/>
              <w:rPr>
                <w:rFonts w:ascii="方正仿宋_GBK" w:eastAsia="方正仿宋_GBK"/>
                <w:sz w:val="32"/>
              </w:rPr>
            </w:pPr>
          </w:p>
        </w:tc>
      </w:tr>
    </w:tbl>
    <w:p>
      <w:pPr>
        <w:keepNext w:val="0"/>
        <w:keepLines w:val="0"/>
        <w:pageBreakBefore w:val="0"/>
        <w:widowControl/>
        <w:kinsoku/>
        <w:wordWrap/>
        <w:overflowPunct/>
        <w:topLinePunct w:val="0"/>
        <w:autoSpaceDE/>
        <w:autoSpaceDN/>
        <w:bidi w:val="0"/>
        <w:adjustRightInd/>
        <w:snapToGrid w:val="0"/>
        <w:spacing w:line="600" w:lineRule="exact"/>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重庆银行股份有限公司西安曲江新区支行原址装修建筑结构加固设计项目报价表</w:t>
      </w:r>
    </w:p>
    <w:p>
      <w:pPr>
        <w:widowControl/>
        <w:tabs>
          <w:tab w:val="left" w:pos="540"/>
          <w:tab w:val="left" w:pos="720"/>
        </w:tabs>
        <w:snapToGrid w:val="0"/>
        <w:spacing w:line="600" w:lineRule="exact"/>
        <w:jc w:val="center"/>
        <w:rPr>
          <w:rFonts w:hint="eastAsia" w:ascii="方正仿宋_GBK" w:hAnsi="Times New Roman" w:eastAsia="方正仿宋_GBK" w:cs="Times New Roman"/>
          <w:sz w:val="32"/>
          <w:szCs w:val="32"/>
          <w:lang w:val="en-US" w:eastAsia="zh-CN"/>
        </w:rPr>
      </w:pPr>
      <w:r>
        <w:rPr>
          <w:rFonts w:hint="eastAsia" w:ascii="方正仿宋_GBK" w:hAnsi="Times New Roman" w:eastAsia="方正仿宋_GBK" w:cs="Times New Roman"/>
          <w:sz w:val="32"/>
          <w:szCs w:val="32"/>
          <w:lang w:val="en-US" w:eastAsia="zh-CN"/>
        </w:rPr>
        <w:t>（第   次）</w:t>
      </w:r>
    </w:p>
    <w:p>
      <w:pPr>
        <w:widowControl/>
        <w:tabs>
          <w:tab w:val="left" w:pos="540"/>
          <w:tab w:val="left" w:pos="720"/>
        </w:tabs>
        <w:snapToGrid w:val="0"/>
        <w:spacing w:line="600" w:lineRule="exact"/>
        <w:jc w:val="left"/>
        <w:rPr>
          <w:rFonts w:hint="eastAsia" w:ascii="方正仿宋_GBK" w:hAnsi="Times New Roman" w:eastAsia="方正仿宋_GBK"/>
          <w:sz w:val="32"/>
          <w:szCs w:val="32"/>
          <w:lang w:eastAsia="zh-CN"/>
        </w:rPr>
      </w:pPr>
      <w:r>
        <w:rPr>
          <w:rFonts w:hint="eastAsia" w:ascii="方正仿宋_GBK" w:hAnsi="Times New Roman" w:eastAsia="方正仿宋_GBK"/>
          <w:sz w:val="32"/>
          <w:szCs w:val="32"/>
          <w:lang w:eastAsia="zh-CN"/>
        </w:rPr>
        <w:t>重庆银行西安分行</w:t>
      </w:r>
      <w:r>
        <w:rPr>
          <w:rFonts w:hint="eastAsia" w:ascii="方正仿宋_GBK" w:hAnsi="Times New Roman" w:eastAsia="方正仿宋_GBK"/>
          <w:sz w:val="32"/>
          <w:szCs w:val="32"/>
          <w:lang w:val="en-US" w:eastAsia="zh-CN"/>
        </w:rPr>
        <w:t>办公室</w:t>
      </w:r>
      <w:r>
        <w:rPr>
          <w:rFonts w:hint="eastAsia" w:ascii="方正仿宋_GBK" w:hAnsi="Times New Roman" w:eastAsia="方正仿宋_GBK"/>
          <w:sz w:val="32"/>
          <w:szCs w:val="32"/>
          <w:lang w:eastAsia="zh-CN"/>
        </w:rPr>
        <w:t>：</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hint="eastAsia" w:ascii="方正仿宋_GBK" w:hAnsi="Times New Roman" w:eastAsia="方正仿宋_GBK" w:cs="Times New Roman"/>
          <w:color w:val="000000"/>
          <w:kern w:val="2"/>
          <w:sz w:val="32"/>
          <w:szCs w:val="32"/>
          <w:lang w:val="en-US" w:eastAsia="zh-CN" w:bidi="ar-SA"/>
        </w:rPr>
      </w:pPr>
      <w:r>
        <w:rPr>
          <w:rFonts w:hint="eastAsia" w:ascii="方正仿宋_GBK" w:hAnsi="Times New Roman" w:eastAsia="方正仿宋_GBK" w:cs="Times New Roman"/>
          <w:color w:val="000000"/>
          <w:kern w:val="2"/>
          <w:sz w:val="32"/>
          <w:szCs w:val="32"/>
          <w:lang w:val="en-US" w:eastAsia="zh-CN" w:bidi="ar-SA"/>
        </w:rPr>
        <w:t>我方完全理解并接受该项目采购文件所有要求。我方提交的所有响应文件、资料都是准确和真实的，如有虚假或隐瞒，我方愿意承担一切法律责任。</w:t>
      </w:r>
    </w:p>
    <w:p>
      <w:pPr>
        <w:pStyle w:val="9"/>
        <w:keepNext w:val="0"/>
        <w:keepLines w:val="0"/>
        <w:pageBreakBefore w:val="0"/>
        <w:kinsoku/>
        <w:wordWrap/>
        <w:overflowPunct/>
        <w:topLinePunct w:val="0"/>
        <w:autoSpaceDE/>
        <w:autoSpaceDN/>
        <w:bidi w:val="0"/>
        <w:adjustRightInd w:val="0"/>
        <w:snapToGrid w:val="0"/>
        <w:spacing w:line="600" w:lineRule="exact"/>
        <w:ind w:left="0" w:leftChars="0" w:right="0" w:rightChars="0"/>
        <w:textAlignment w:val="auto"/>
        <w:outlineLvl w:val="9"/>
        <w:rPr>
          <w:rFonts w:hint="eastAsia" w:ascii="方正小标宋_GBK" w:hAnsi="Times New Roman" w:eastAsia="方正小标宋_GBK"/>
          <w:sz w:val="32"/>
          <w:szCs w:val="32"/>
          <w:lang w:val="en-US" w:eastAsia="zh-CN"/>
        </w:rPr>
      </w:pPr>
      <w:r>
        <w:rPr>
          <w:rFonts w:hint="eastAsia" w:ascii="方正仿宋_GBK" w:hAnsi="Times New Roman" w:eastAsia="方正仿宋_GBK" w:cs="Times New Roman"/>
          <w:kern w:val="2"/>
          <w:sz w:val="32"/>
          <w:szCs w:val="32"/>
          <w:lang w:val="en-US" w:eastAsia="zh-CN" w:bidi="ar-SA"/>
        </w:rPr>
        <w:t>我方针对“</w:t>
      </w:r>
      <w:r>
        <w:rPr>
          <w:rFonts w:hint="eastAsia" w:ascii="方正仿宋_GBK" w:hAnsi="仿宋_GB2312" w:eastAsia="方正仿宋_GBK" w:cs="Times New Roman"/>
          <w:sz w:val="32"/>
          <w:lang w:val="en-US" w:eastAsia="zh-CN"/>
        </w:rPr>
        <w:t>重庆银行股份有限公司西安曲江新区支行原址装修建筑结构加固设计项目</w:t>
      </w:r>
      <w:r>
        <w:rPr>
          <w:rFonts w:hint="eastAsia" w:ascii="方正仿宋_GBK" w:hAnsi="Times New Roman" w:eastAsia="方正仿宋_GBK" w:cs="Times New Roman"/>
          <w:kern w:val="2"/>
          <w:sz w:val="32"/>
          <w:szCs w:val="32"/>
          <w:lang w:val="en-US" w:eastAsia="zh-CN" w:bidi="ar-SA"/>
        </w:rPr>
        <w:t>”报价明细如下：</w:t>
      </w:r>
    </w:p>
    <w:tbl>
      <w:tblPr>
        <w:tblStyle w:val="6"/>
        <w:tblW w:w="9278" w:type="dxa"/>
        <w:tblInd w:w="108" w:type="dxa"/>
        <w:tblLayout w:type="fixed"/>
        <w:tblCellMar>
          <w:top w:w="0" w:type="dxa"/>
          <w:left w:w="0" w:type="dxa"/>
          <w:bottom w:w="0" w:type="dxa"/>
          <w:right w:w="0" w:type="dxa"/>
        </w:tblCellMar>
      </w:tblPr>
      <w:tblGrid>
        <w:gridCol w:w="1023"/>
        <w:gridCol w:w="5673"/>
        <w:gridCol w:w="2582"/>
      </w:tblGrid>
      <w:tr>
        <w:tblPrEx>
          <w:tblCellMar>
            <w:top w:w="0" w:type="dxa"/>
            <w:left w:w="0" w:type="dxa"/>
            <w:bottom w:w="0" w:type="dxa"/>
            <w:right w:w="0" w:type="dxa"/>
          </w:tblCellMar>
        </w:tblPrEx>
        <w:trPr>
          <w:trHeight w:val="773"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bidi w:val="0"/>
              <w:spacing w:line="360" w:lineRule="auto"/>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序号</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bidi w:val="0"/>
              <w:spacing w:line="360" w:lineRule="auto"/>
              <w:jc w:val="center"/>
              <w:textAlignment w:val="auto"/>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rPr>
              <w:t>项目</w:t>
            </w:r>
            <w:r>
              <w:rPr>
                <w:rFonts w:hint="eastAsia" w:ascii="方正仿宋_GBK" w:hAnsi="方正仿宋_GBK" w:eastAsia="方正仿宋_GBK" w:cs="方正仿宋_GBK"/>
                <w:b/>
                <w:bCs/>
                <w:sz w:val="32"/>
                <w:szCs w:val="32"/>
                <w:lang w:val="en-US" w:eastAsia="zh-CN"/>
              </w:rPr>
              <w:t>名称</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报价</w:t>
            </w:r>
          </w:p>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b/>
                <w:bCs/>
                <w:sz w:val="32"/>
                <w:szCs w:val="32"/>
              </w:rPr>
              <w:t>小计</w:t>
            </w:r>
            <w:r>
              <w:rPr>
                <w:rFonts w:hint="eastAsia" w:ascii="方正仿宋_GBK" w:hAnsi="方正仿宋_GBK" w:eastAsia="方正仿宋_GBK" w:cs="方正仿宋_GBK"/>
                <w:b/>
                <w:bCs/>
                <w:sz w:val="32"/>
                <w:szCs w:val="32"/>
                <w:lang w:eastAsia="zh-CN"/>
              </w:rPr>
              <w:t>）</w:t>
            </w:r>
          </w:p>
        </w:tc>
      </w:tr>
      <w:tr>
        <w:tblPrEx>
          <w:tblCellMar>
            <w:top w:w="0" w:type="dxa"/>
            <w:left w:w="0" w:type="dxa"/>
            <w:bottom w:w="0" w:type="dxa"/>
            <w:right w:w="0" w:type="dxa"/>
          </w:tblCellMar>
        </w:tblPrEx>
        <w:trPr>
          <w:trHeight w:val="1268"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bidi w:val="0"/>
              <w:spacing w:line="360" w:lineRule="auto"/>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1</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方正仿宋_GBK" w:hAnsi="方正仿宋_GBK" w:eastAsia="方正仿宋_GBK" w:cs="方正仿宋_GBK"/>
                <w:sz w:val="32"/>
                <w:szCs w:val="32"/>
              </w:rPr>
            </w:pPr>
            <w:r>
              <w:rPr>
                <w:rFonts w:hint="eastAsia" w:ascii="方正仿宋_GBK" w:hAnsi="仿宋_GB2312" w:eastAsia="方正仿宋_GBK" w:cs="Times New Roman"/>
                <w:sz w:val="32"/>
                <w:lang w:val="en-US" w:eastAsia="zh-CN"/>
              </w:rPr>
              <w:t>重庆银行股份有限公司西安曲江新区支行原址装修建筑结构加固设计项目</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bidi w:val="0"/>
              <w:spacing w:line="360" w:lineRule="auto"/>
              <w:jc w:val="center"/>
              <w:textAlignment w:val="auto"/>
              <w:rPr>
                <w:rFonts w:hint="eastAsia" w:ascii="方正仿宋_GBK" w:hAnsi="方正仿宋_GBK" w:eastAsia="方正仿宋_GBK" w:cs="方正仿宋_GBK"/>
                <w:sz w:val="32"/>
                <w:szCs w:val="32"/>
              </w:rPr>
            </w:pPr>
          </w:p>
        </w:tc>
      </w:tr>
      <w:tr>
        <w:tblPrEx>
          <w:tblCellMar>
            <w:top w:w="0" w:type="dxa"/>
            <w:left w:w="0" w:type="dxa"/>
            <w:bottom w:w="0" w:type="dxa"/>
            <w:right w:w="0" w:type="dxa"/>
          </w:tblCellMar>
        </w:tblPrEx>
        <w:trPr>
          <w:trHeight w:val="955"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bidi w:val="0"/>
              <w:spacing w:line="360" w:lineRule="auto"/>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总计</w:t>
            </w:r>
          </w:p>
        </w:tc>
        <w:tc>
          <w:tcPr>
            <w:tcW w:w="825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bidi w:val="0"/>
              <w:spacing w:line="360" w:lineRule="auto"/>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大写：</w:t>
            </w:r>
          </w:p>
        </w:tc>
      </w:tr>
      <w:tr>
        <w:tblPrEx>
          <w:tblCellMar>
            <w:top w:w="0" w:type="dxa"/>
            <w:left w:w="0" w:type="dxa"/>
            <w:bottom w:w="0" w:type="dxa"/>
            <w:right w:w="0" w:type="dxa"/>
          </w:tblCellMar>
        </w:tblPrEx>
        <w:trPr>
          <w:trHeight w:val="955" w:hRule="atLeast"/>
        </w:trPr>
        <w:tc>
          <w:tcPr>
            <w:tcW w:w="9278"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z w:val="28"/>
                <w:szCs w:val="28"/>
              </w:rPr>
            </w:pPr>
            <w:r>
              <w:rPr>
                <w:rFonts w:hint="eastAsia" w:ascii="方正仿宋_GBK" w:hAnsi="Times New Roman" w:eastAsia="方正仿宋_GBK"/>
                <w:sz w:val="22"/>
                <w:szCs w:val="22"/>
                <w:lang w:val="en-US" w:eastAsia="zh-CN"/>
              </w:rPr>
              <w:t>备注：采购报价为全包价（报价为完成项目所涉及的一切费用，含现场勘察、检验检测、取样试验、验算复核、交通差旅、配合服务、市场物价上涨以及税金（含增值税专用发票税金）等）。因供应商自身原因造成漏报、少报皆由其自行承担责任。</w:t>
            </w:r>
          </w:p>
        </w:tc>
      </w:tr>
    </w:tbl>
    <w:p>
      <w:pPr>
        <w:keepNext w:val="0"/>
        <w:keepLines w:val="0"/>
        <w:pageBreakBefore w:val="0"/>
        <w:widowControl/>
        <w:tabs>
          <w:tab w:val="left" w:pos="540"/>
          <w:tab w:val="left" w:pos="720"/>
        </w:tabs>
        <w:kinsoku/>
        <w:wordWrap/>
        <w:overflowPunct/>
        <w:topLinePunct w:val="0"/>
        <w:bidi w:val="0"/>
        <w:adjustRightInd w:val="0"/>
        <w:snapToGrid w:val="0"/>
        <w:spacing w:line="360" w:lineRule="auto"/>
        <w:ind w:left="0" w:leftChars="0" w:right="0" w:rightChars="0"/>
        <w:jc w:val="left"/>
        <w:textAlignment w:val="auto"/>
        <w:outlineLvl w:val="9"/>
        <w:rPr>
          <w:rFonts w:hint="eastAsia" w:ascii="方正仿宋_GBK" w:hAnsi="方正仿宋_GBK" w:eastAsia="方正仿宋_GBK" w:cs="方正仿宋_GBK"/>
          <w:sz w:val="32"/>
          <w:szCs w:val="32"/>
        </w:rPr>
      </w:pP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480" w:lineRule="auto"/>
        <w:ind w:left="0" w:leftChars="0" w:right="0" w:rightChars="0"/>
        <w:jc w:val="left"/>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供应商（加盖公章）：</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480" w:lineRule="auto"/>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授权代表签字：</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480" w:lineRule="auto"/>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时间：</w:t>
      </w:r>
    </w:p>
    <w:p>
      <w:pPr>
        <w:keepNext w:val="0"/>
        <w:keepLines w:val="0"/>
        <w:pageBreakBefore w:val="0"/>
        <w:widowControl/>
        <w:kinsoku/>
        <w:wordWrap/>
        <w:overflowPunct/>
        <w:topLinePunct w:val="0"/>
        <w:bidi w:val="0"/>
        <w:snapToGrid w:val="0"/>
        <w:spacing w:line="360" w:lineRule="auto"/>
        <w:jc w:val="left"/>
        <w:textAlignment w:val="auto"/>
        <w:rPr>
          <w:rFonts w:hint="eastAsia" w:ascii="方正仿宋_GBK" w:hAnsi="Times New Roman" w:eastAsia="方正仿宋_GBK"/>
          <w:sz w:val="32"/>
          <w:lang w:val="en-US" w:eastAsia="zh-CN"/>
        </w:rPr>
      </w:pPr>
    </w:p>
    <w:sectPr>
      <w:pgSz w:w="11906" w:h="16838"/>
      <w:pgMar w:top="1440" w:right="1361" w:bottom="1440" w:left="1474"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84A8C"/>
    <w:rsid w:val="00E23867"/>
    <w:rsid w:val="011370EC"/>
    <w:rsid w:val="01DE43CA"/>
    <w:rsid w:val="020C64B8"/>
    <w:rsid w:val="021A05C4"/>
    <w:rsid w:val="0315639B"/>
    <w:rsid w:val="0385646B"/>
    <w:rsid w:val="03D56BEA"/>
    <w:rsid w:val="04303D7F"/>
    <w:rsid w:val="0438490E"/>
    <w:rsid w:val="04473F03"/>
    <w:rsid w:val="045370A8"/>
    <w:rsid w:val="05D60125"/>
    <w:rsid w:val="05DA5C2A"/>
    <w:rsid w:val="060D2CF0"/>
    <w:rsid w:val="065305FF"/>
    <w:rsid w:val="06D205BE"/>
    <w:rsid w:val="07586FA5"/>
    <w:rsid w:val="077E2FB3"/>
    <w:rsid w:val="07DE1E83"/>
    <w:rsid w:val="08AB5C43"/>
    <w:rsid w:val="08C8030D"/>
    <w:rsid w:val="09401B70"/>
    <w:rsid w:val="096324F9"/>
    <w:rsid w:val="09B515C0"/>
    <w:rsid w:val="09BA2EAA"/>
    <w:rsid w:val="09EC6316"/>
    <w:rsid w:val="0AE7126A"/>
    <w:rsid w:val="0C934B5F"/>
    <w:rsid w:val="0D08527D"/>
    <w:rsid w:val="0D946D2C"/>
    <w:rsid w:val="0D9F29A7"/>
    <w:rsid w:val="0DC27C32"/>
    <w:rsid w:val="0DD04065"/>
    <w:rsid w:val="0EC5447D"/>
    <w:rsid w:val="0F9E7170"/>
    <w:rsid w:val="105E0EAB"/>
    <w:rsid w:val="110A3777"/>
    <w:rsid w:val="121735AC"/>
    <w:rsid w:val="12202B95"/>
    <w:rsid w:val="12971020"/>
    <w:rsid w:val="13902D20"/>
    <w:rsid w:val="13A00801"/>
    <w:rsid w:val="142C4DA5"/>
    <w:rsid w:val="14316CAE"/>
    <w:rsid w:val="14A77599"/>
    <w:rsid w:val="15226607"/>
    <w:rsid w:val="15741D1E"/>
    <w:rsid w:val="15A901AD"/>
    <w:rsid w:val="16195FB4"/>
    <w:rsid w:val="16454737"/>
    <w:rsid w:val="17110DCF"/>
    <w:rsid w:val="17440F01"/>
    <w:rsid w:val="17733188"/>
    <w:rsid w:val="17B071E9"/>
    <w:rsid w:val="1831599B"/>
    <w:rsid w:val="18AD36CD"/>
    <w:rsid w:val="18B65219"/>
    <w:rsid w:val="193908DD"/>
    <w:rsid w:val="193A23E1"/>
    <w:rsid w:val="19790F57"/>
    <w:rsid w:val="19827B4A"/>
    <w:rsid w:val="198F75FA"/>
    <w:rsid w:val="1A120C9B"/>
    <w:rsid w:val="1A864873"/>
    <w:rsid w:val="1AD801FE"/>
    <w:rsid w:val="1B046119"/>
    <w:rsid w:val="1B18185E"/>
    <w:rsid w:val="1B275F36"/>
    <w:rsid w:val="1B6C7DA7"/>
    <w:rsid w:val="1B8A257F"/>
    <w:rsid w:val="1BE3405D"/>
    <w:rsid w:val="1C653031"/>
    <w:rsid w:val="1C9A527B"/>
    <w:rsid w:val="1CA0285A"/>
    <w:rsid w:val="1CE9349A"/>
    <w:rsid w:val="1D341CA7"/>
    <w:rsid w:val="1D7E1D4D"/>
    <w:rsid w:val="1D8C14D4"/>
    <w:rsid w:val="1D9B6CA0"/>
    <w:rsid w:val="1E1B1CAE"/>
    <w:rsid w:val="1EC93FE8"/>
    <w:rsid w:val="1F302C14"/>
    <w:rsid w:val="1F54007D"/>
    <w:rsid w:val="1F74039D"/>
    <w:rsid w:val="1FD60080"/>
    <w:rsid w:val="1FE46194"/>
    <w:rsid w:val="2037039A"/>
    <w:rsid w:val="20716711"/>
    <w:rsid w:val="212203A4"/>
    <w:rsid w:val="221A525C"/>
    <w:rsid w:val="22206D0A"/>
    <w:rsid w:val="225A1ADE"/>
    <w:rsid w:val="22CC28C8"/>
    <w:rsid w:val="22E62D5C"/>
    <w:rsid w:val="230F4AD2"/>
    <w:rsid w:val="23AD310C"/>
    <w:rsid w:val="242C699C"/>
    <w:rsid w:val="248C1C53"/>
    <w:rsid w:val="2491010B"/>
    <w:rsid w:val="255467B4"/>
    <w:rsid w:val="25C64B44"/>
    <w:rsid w:val="25E159BD"/>
    <w:rsid w:val="26451FED"/>
    <w:rsid w:val="268818DC"/>
    <w:rsid w:val="271C757F"/>
    <w:rsid w:val="271D7011"/>
    <w:rsid w:val="275C2EA8"/>
    <w:rsid w:val="27661DC6"/>
    <w:rsid w:val="27663DC3"/>
    <w:rsid w:val="27723BF1"/>
    <w:rsid w:val="27854A42"/>
    <w:rsid w:val="27863318"/>
    <w:rsid w:val="27DE6A3E"/>
    <w:rsid w:val="280527CB"/>
    <w:rsid w:val="28467A71"/>
    <w:rsid w:val="294C0E49"/>
    <w:rsid w:val="29A62C6C"/>
    <w:rsid w:val="29FD687C"/>
    <w:rsid w:val="2A41738D"/>
    <w:rsid w:val="2A4E3407"/>
    <w:rsid w:val="2ADC5378"/>
    <w:rsid w:val="2B6641EA"/>
    <w:rsid w:val="2BEE35E3"/>
    <w:rsid w:val="2C4A1A38"/>
    <w:rsid w:val="2C4B22C1"/>
    <w:rsid w:val="2C6456FC"/>
    <w:rsid w:val="2CD8447A"/>
    <w:rsid w:val="2CF80036"/>
    <w:rsid w:val="2DDE404C"/>
    <w:rsid w:val="2E024187"/>
    <w:rsid w:val="2E2E4679"/>
    <w:rsid w:val="2E614443"/>
    <w:rsid w:val="2EA643D7"/>
    <w:rsid w:val="2EEF7CD6"/>
    <w:rsid w:val="2F167509"/>
    <w:rsid w:val="2FE058BB"/>
    <w:rsid w:val="2FEF5598"/>
    <w:rsid w:val="300632D2"/>
    <w:rsid w:val="30927C5B"/>
    <w:rsid w:val="314630E4"/>
    <w:rsid w:val="319E0BDF"/>
    <w:rsid w:val="31B2305B"/>
    <w:rsid w:val="31D74DC6"/>
    <w:rsid w:val="32591447"/>
    <w:rsid w:val="32747CCE"/>
    <w:rsid w:val="328C4FEC"/>
    <w:rsid w:val="329A2E0A"/>
    <w:rsid w:val="32B67C13"/>
    <w:rsid w:val="33484DB8"/>
    <w:rsid w:val="33800D81"/>
    <w:rsid w:val="33854255"/>
    <w:rsid w:val="33D606D0"/>
    <w:rsid w:val="34073DE3"/>
    <w:rsid w:val="341E0DC4"/>
    <w:rsid w:val="3463107F"/>
    <w:rsid w:val="34742DD5"/>
    <w:rsid w:val="34870E99"/>
    <w:rsid w:val="34DE2E2E"/>
    <w:rsid w:val="350F2169"/>
    <w:rsid w:val="351501F2"/>
    <w:rsid w:val="35450280"/>
    <w:rsid w:val="356108CE"/>
    <w:rsid w:val="35846635"/>
    <w:rsid w:val="35D41828"/>
    <w:rsid w:val="35E84E8F"/>
    <w:rsid w:val="36013D01"/>
    <w:rsid w:val="365D36B2"/>
    <w:rsid w:val="36647FF1"/>
    <w:rsid w:val="376E2A87"/>
    <w:rsid w:val="37714E2F"/>
    <w:rsid w:val="37AA5F43"/>
    <w:rsid w:val="37CF7E3C"/>
    <w:rsid w:val="37D13396"/>
    <w:rsid w:val="38D0172E"/>
    <w:rsid w:val="39141251"/>
    <w:rsid w:val="3917703B"/>
    <w:rsid w:val="395F76D5"/>
    <w:rsid w:val="3A357947"/>
    <w:rsid w:val="3A3A5478"/>
    <w:rsid w:val="3A402CFE"/>
    <w:rsid w:val="3A6819BC"/>
    <w:rsid w:val="3AA06DD7"/>
    <w:rsid w:val="3AF545D9"/>
    <w:rsid w:val="3B1E5FAE"/>
    <w:rsid w:val="3C284BE1"/>
    <w:rsid w:val="3C3073C4"/>
    <w:rsid w:val="3C4957DF"/>
    <w:rsid w:val="3C4A1824"/>
    <w:rsid w:val="3C4F78FD"/>
    <w:rsid w:val="3C5F3ECB"/>
    <w:rsid w:val="3C9124ED"/>
    <w:rsid w:val="3C9D3671"/>
    <w:rsid w:val="3CA42C0F"/>
    <w:rsid w:val="3CDE094F"/>
    <w:rsid w:val="3D3E4E82"/>
    <w:rsid w:val="3D5337CE"/>
    <w:rsid w:val="3D7A693E"/>
    <w:rsid w:val="3DA457FE"/>
    <w:rsid w:val="3E230050"/>
    <w:rsid w:val="3EDC6ACB"/>
    <w:rsid w:val="3F1C6199"/>
    <w:rsid w:val="3F5C623E"/>
    <w:rsid w:val="3FA61E4F"/>
    <w:rsid w:val="400D1912"/>
    <w:rsid w:val="405E0750"/>
    <w:rsid w:val="40CD2FEB"/>
    <w:rsid w:val="40FC085A"/>
    <w:rsid w:val="411E414B"/>
    <w:rsid w:val="41342149"/>
    <w:rsid w:val="41351CCB"/>
    <w:rsid w:val="4138216B"/>
    <w:rsid w:val="416B6390"/>
    <w:rsid w:val="41802E84"/>
    <w:rsid w:val="41814CB2"/>
    <w:rsid w:val="41BD627E"/>
    <w:rsid w:val="41D377FC"/>
    <w:rsid w:val="41E70A43"/>
    <w:rsid w:val="4230218A"/>
    <w:rsid w:val="427B340E"/>
    <w:rsid w:val="427D6E0D"/>
    <w:rsid w:val="4305209B"/>
    <w:rsid w:val="43267139"/>
    <w:rsid w:val="43396BB6"/>
    <w:rsid w:val="433B7972"/>
    <w:rsid w:val="44EA5461"/>
    <w:rsid w:val="4569011B"/>
    <w:rsid w:val="45A94030"/>
    <w:rsid w:val="46382B4D"/>
    <w:rsid w:val="463C64BE"/>
    <w:rsid w:val="46FB40E7"/>
    <w:rsid w:val="4733782A"/>
    <w:rsid w:val="47C51C43"/>
    <w:rsid w:val="485E1361"/>
    <w:rsid w:val="489B5A70"/>
    <w:rsid w:val="48A9091E"/>
    <w:rsid w:val="48B305BB"/>
    <w:rsid w:val="49241ADC"/>
    <w:rsid w:val="49A21887"/>
    <w:rsid w:val="4AA5584F"/>
    <w:rsid w:val="4B294DDA"/>
    <w:rsid w:val="4B400BB7"/>
    <w:rsid w:val="4B48339C"/>
    <w:rsid w:val="4B62374B"/>
    <w:rsid w:val="4BAD64FF"/>
    <w:rsid w:val="4BC249B7"/>
    <w:rsid w:val="4BFE50DE"/>
    <w:rsid w:val="4C430C38"/>
    <w:rsid w:val="4C5A315C"/>
    <w:rsid w:val="4C974228"/>
    <w:rsid w:val="4CB36B26"/>
    <w:rsid w:val="4CD80AF5"/>
    <w:rsid w:val="4CF72D77"/>
    <w:rsid w:val="4CFA120F"/>
    <w:rsid w:val="4D0B7186"/>
    <w:rsid w:val="4E0741DD"/>
    <w:rsid w:val="4E187CBA"/>
    <w:rsid w:val="4EBC3C80"/>
    <w:rsid w:val="4ECB4F9C"/>
    <w:rsid w:val="4ED674E5"/>
    <w:rsid w:val="4EEE28B4"/>
    <w:rsid w:val="4F052F49"/>
    <w:rsid w:val="4F253BFB"/>
    <w:rsid w:val="4F665BB6"/>
    <w:rsid w:val="4F9F12E1"/>
    <w:rsid w:val="4FB971F5"/>
    <w:rsid w:val="504346B5"/>
    <w:rsid w:val="50784E56"/>
    <w:rsid w:val="507A311B"/>
    <w:rsid w:val="50833B62"/>
    <w:rsid w:val="50E37293"/>
    <w:rsid w:val="51037A9A"/>
    <w:rsid w:val="51317981"/>
    <w:rsid w:val="515D5ADB"/>
    <w:rsid w:val="51723E3D"/>
    <w:rsid w:val="519E4EF2"/>
    <w:rsid w:val="51DC73A3"/>
    <w:rsid w:val="5206435E"/>
    <w:rsid w:val="52826F73"/>
    <w:rsid w:val="52E94DE0"/>
    <w:rsid w:val="530E77BA"/>
    <w:rsid w:val="53CB7EB5"/>
    <w:rsid w:val="53E40143"/>
    <w:rsid w:val="542E29F4"/>
    <w:rsid w:val="5443387D"/>
    <w:rsid w:val="54D92B13"/>
    <w:rsid w:val="55BB6B96"/>
    <w:rsid w:val="55F400A3"/>
    <w:rsid w:val="562751DE"/>
    <w:rsid w:val="564E30BA"/>
    <w:rsid w:val="56B02091"/>
    <w:rsid w:val="56D51B68"/>
    <w:rsid w:val="56D70B89"/>
    <w:rsid w:val="57753BF6"/>
    <w:rsid w:val="57A17D13"/>
    <w:rsid w:val="57DE00B6"/>
    <w:rsid w:val="5812180A"/>
    <w:rsid w:val="58814342"/>
    <w:rsid w:val="59207A1D"/>
    <w:rsid w:val="59A32EE6"/>
    <w:rsid w:val="5A346B63"/>
    <w:rsid w:val="5A5603C6"/>
    <w:rsid w:val="5A7A5B74"/>
    <w:rsid w:val="5AB00403"/>
    <w:rsid w:val="5ADF64CB"/>
    <w:rsid w:val="5BB809E3"/>
    <w:rsid w:val="5C3F4B66"/>
    <w:rsid w:val="5CD97E63"/>
    <w:rsid w:val="5CF91153"/>
    <w:rsid w:val="5D090DDE"/>
    <w:rsid w:val="5D171035"/>
    <w:rsid w:val="5D2B3D4A"/>
    <w:rsid w:val="5D8155EF"/>
    <w:rsid w:val="5DAA122F"/>
    <w:rsid w:val="5DBB69A9"/>
    <w:rsid w:val="5DF6559C"/>
    <w:rsid w:val="5EA944E1"/>
    <w:rsid w:val="5EAB19DE"/>
    <w:rsid w:val="5F0A7FB5"/>
    <w:rsid w:val="5F1A583A"/>
    <w:rsid w:val="5FDB3FE4"/>
    <w:rsid w:val="6007341F"/>
    <w:rsid w:val="60B00DE0"/>
    <w:rsid w:val="60ED293A"/>
    <w:rsid w:val="61865F21"/>
    <w:rsid w:val="62122920"/>
    <w:rsid w:val="62C34B08"/>
    <w:rsid w:val="637F5198"/>
    <w:rsid w:val="645304D6"/>
    <w:rsid w:val="64AA6B65"/>
    <w:rsid w:val="64E64093"/>
    <w:rsid w:val="656674CD"/>
    <w:rsid w:val="65B95621"/>
    <w:rsid w:val="662C3495"/>
    <w:rsid w:val="663530D2"/>
    <w:rsid w:val="6666770B"/>
    <w:rsid w:val="66C52AA0"/>
    <w:rsid w:val="67A00B63"/>
    <w:rsid w:val="67EC6595"/>
    <w:rsid w:val="681B4A70"/>
    <w:rsid w:val="685E081F"/>
    <w:rsid w:val="68701A6E"/>
    <w:rsid w:val="6874746B"/>
    <w:rsid w:val="68FC1904"/>
    <w:rsid w:val="695A0F59"/>
    <w:rsid w:val="6A0503ED"/>
    <w:rsid w:val="6A642F4D"/>
    <w:rsid w:val="6A7D697F"/>
    <w:rsid w:val="6AA65D4F"/>
    <w:rsid w:val="6B3027DA"/>
    <w:rsid w:val="6BCA6684"/>
    <w:rsid w:val="6DD96102"/>
    <w:rsid w:val="6DEC59C7"/>
    <w:rsid w:val="6E0C71A6"/>
    <w:rsid w:val="6E350D9D"/>
    <w:rsid w:val="6E484ED6"/>
    <w:rsid w:val="6E733FCA"/>
    <w:rsid w:val="6E8973E6"/>
    <w:rsid w:val="6EE43F15"/>
    <w:rsid w:val="6F2947A4"/>
    <w:rsid w:val="6FB73DF0"/>
    <w:rsid w:val="6FE7247D"/>
    <w:rsid w:val="700E4F43"/>
    <w:rsid w:val="70416B0F"/>
    <w:rsid w:val="705E3AE9"/>
    <w:rsid w:val="705E3EEA"/>
    <w:rsid w:val="70D77F62"/>
    <w:rsid w:val="712E0F12"/>
    <w:rsid w:val="71566197"/>
    <w:rsid w:val="717330EB"/>
    <w:rsid w:val="71E23ED3"/>
    <w:rsid w:val="72D4073E"/>
    <w:rsid w:val="73266A62"/>
    <w:rsid w:val="7363556C"/>
    <w:rsid w:val="737060B2"/>
    <w:rsid w:val="73994938"/>
    <w:rsid w:val="741B5D14"/>
    <w:rsid w:val="74A51E69"/>
    <w:rsid w:val="756574BD"/>
    <w:rsid w:val="75AC3DBE"/>
    <w:rsid w:val="76092882"/>
    <w:rsid w:val="760E4CC5"/>
    <w:rsid w:val="7661678D"/>
    <w:rsid w:val="769842DB"/>
    <w:rsid w:val="77607235"/>
    <w:rsid w:val="77771C8D"/>
    <w:rsid w:val="778B0160"/>
    <w:rsid w:val="77910D90"/>
    <w:rsid w:val="77913F65"/>
    <w:rsid w:val="779D6649"/>
    <w:rsid w:val="77EB3465"/>
    <w:rsid w:val="77F61D15"/>
    <w:rsid w:val="799744C6"/>
    <w:rsid w:val="7A4651C8"/>
    <w:rsid w:val="7A671A58"/>
    <w:rsid w:val="7A681017"/>
    <w:rsid w:val="7A8A413D"/>
    <w:rsid w:val="7AEF5A05"/>
    <w:rsid w:val="7B106074"/>
    <w:rsid w:val="7B1D171E"/>
    <w:rsid w:val="7BA24B81"/>
    <w:rsid w:val="7BC24B9B"/>
    <w:rsid w:val="7CC12BFB"/>
    <w:rsid w:val="7D5F0095"/>
    <w:rsid w:val="7E473F0A"/>
    <w:rsid w:val="7E4A0C56"/>
    <w:rsid w:val="7E562A33"/>
    <w:rsid w:val="7E7E1EEE"/>
    <w:rsid w:val="7F0644D9"/>
    <w:rsid w:val="7F723D34"/>
    <w:rsid w:val="7F876ADB"/>
    <w:rsid w:val="7FA963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unhideWhenUsed/>
    <w:qFormat/>
    <w:uiPriority w:val="0"/>
    <w:pPr>
      <w:autoSpaceDE w:val="0"/>
      <w:autoSpaceDN w:val="0"/>
      <w:adjustRightInd w:val="0"/>
      <w:spacing w:before="16"/>
      <w:jc w:val="left"/>
      <w:outlineLvl w:val="2"/>
    </w:pPr>
    <w:rPr>
      <w:rFonts w:ascii="仿宋_GB2312"/>
      <w:b/>
      <w:kern w:val="0"/>
      <w:sz w:val="24"/>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lock Text"/>
    <w:basedOn w:val="1"/>
    <w:unhideWhenUsed/>
    <w:qFormat/>
    <w:uiPriority w:val="99"/>
    <w:pPr>
      <w:adjustRightInd w:val="0"/>
      <w:ind w:left="420" w:right="33"/>
      <w:jc w:val="left"/>
      <w:textAlignment w:val="baseline"/>
    </w:pPr>
    <w:rPr>
      <w:kern w:val="0"/>
      <w:sz w:val="24"/>
      <w:szCs w:val="20"/>
    </w:rPr>
  </w:style>
  <w:style w:type="paragraph" w:styleId="4">
    <w:name w:val="annotation text"/>
    <w:basedOn w:val="1"/>
    <w:qFormat/>
    <w:uiPriority w:val="0"/>
    <w:pPr>
      <w:jc w:val="left"/>
    </w:p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9">
    <w:name w:val="正文-公1"/>
    <w:basedOn w:val="1"/>
    <w:qFormat/>
    <w:uiPriority w:val="99"/>
    <w:pPr>
      <w:ind w:firstLine="200" w:firstLineChars="200"/>
    </w:pPr>
    <w:rPr>
      <w:color w:val="000000"/>
    </w:rPr>
  </w:style>
  <w:style w:type="character" w:customStyle="1" w:styleId="10">
    <w:name w:val="font01"/>
    <w:basedOn w:val="7"/>
    <w:qFormat/>
    <w:uiPriority w:val="0"/>
    <w:rPr>
      <w:rFonts w:hint="eastAsia" w:ascii="宋体" w:hAnsi="宋体" w:eastAsia="宋体" w:cs="宋体"/>
      <w:color w:val="000000"/>
      <w:sz w:val="24"/>
      <w:szCs w:val="24"/>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cqcb_user0123</cp:lastModifiedBy>
  <cp:lastPrinted>2023-05-16T05:42:00Z</cp:lastPrinted>
  <dcterms:modified xsi:type="dcterms:W3CDTF">2026-09-18T10:19:20Z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10EB6B8B71284956820434C180A6355B</vt:lpwstr>
  </property>
</Properties>
</file>