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06FD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b/>
          <w:bCs/>
          <w:snapToGrid/>
          <w:color w:val="000000"/>
          <w:kern w:val="0"/>
          <w:sz w:val="21"/>
          <w:szCs w:val="21"/>
          <w:highlight w:val="none"/>
          <w:lang w:val="en-US" w:eastAsia="zh-CN" w:bidi="ar"/>
        </w:rPr>
        <w:t>一、采购需求</w:t>
      </w:r>
    </w:p>
    <w:p w14:paraId="175579D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（一）</w:t>
      </w:r>
      <w:r>
        <w:rPr>
          <w:rFonts w:hint="eastAsia" w:ascii="宋体" w:hAnsi="宋体" w:eastAsia="宋体" w:cs="宋体"/>
          <w:snapToGrid/>
          <w:kern w:val="2"/>
          <w:szCs w:val="24"/>
          <w:highlight w:val="none"/>
          <w:lang w:val="en-US" w:eastAsia="en-US"/>
        </w:rPr>
        <w:t>项目背景</w:t>
      </w:r>
    </w:p>
    <w:p w14:paraId="0E4C533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深入贯彻习近平总书记关于质量安全生产工作的系列指示批示精神，牢固树立“发展决不能以牺牲人的生命为代价”红线意识，采取有效措施，及时消除建筑领域质量安全事故隐患，有效管控风险，坚决遏制质量安全事故的发生，确保东区建筑领域质量安全整体形势持续稳定向好。</w:t>
      </w:r>
    </w:p>
    <w:p w14:paraId="46E835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2.为确保郑东新区建设工程建设质量安全，强化郑东新区建设工程质量安全监督管理力量，提升郑东新区建设工程质量安全监督工作水平，在人员编制暂时得不到解决的情况下，需聘请实力强、经验丰富的第三方单位协助开展质量安全监督管理工作。通过第三方单位为本辖区工程建设过程的质量安全监督工作提供技术支撑服务，加强在建工程进行全过程跟踪管理，同时对工程实体质量进行抽检，推进建设工程质量进一步提升。</w:t>
      </w:r>
    </w:p>
    <w:p w14:paraId="646F94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（二）</w:t>
      </w:r>
      <w:r>
        <w:rPr>
          <w:rFonts w:hint="eastAsia" w:ascii="宋体" w:hAnsi="宋体" w:eastAsia="宋体" w:cs="宋体"/>
          <w:snapToGrid/>
          <w:kern w:val="2"/>
          <w:szCs w:val="24"/>
          <w:highlight w:val="none"/>
          <w:lang w:val="en-US" w:eastAsia="en-US"/>
        </w:rPr>
        <w:t>工程质量、安全监督依据</w:t>
      </w:r>
    </w:p>
    <w:p w14:paraId="1A54920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1.《安全生产法》、《建筑法》</w:t>
      </w:r>
    </w:p>
    <w:p w14:paraId="430AC4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2.《建设工程安全生产管理条例》(国务院令第279号2019年修订版);</w:t>
      </w:r>
    </w:p>
    <w:p w14:paraId="63A69E1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3.《建设工程质量管理条例》(国务院令第393号);</w:t>
      </w:r>
    </w:p>
    <w:p w14:paraId="77D235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4.《房屋建筑和市政基础设施工程质量监督管理规定》(建设部5号令);</w:t>
      </w:r>
    </w:p>
    <w:p w14:paraId="3D5A1BE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5.《房屋建筑和市政基础设施工程施工安全监督规定》(建质[2014]153号);</w:t>
      </w:r>
    </w:p>
    <w:p w14:paraId="78CC8E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6.《河南省房屋建筑和市政基础设施工程施工安全监督实施办法》(豫建[2016]52号);</w:t>
      </w:r>
    </w:p>
    <w:p w14:paraId="42D1DF7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7.《河南省房屋建筑和市政基础设施工程质量监督管理实施办法》(豫建[2012]53号);</w:t>
      </w:r>
    </w:p>
    <w:p w14:paraId="0E24B0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8.《危险性较大的分部分项工程安全管理规定》(住建部37号令);</w:t>
      </w:r>
    </w:p>
    <w:p w14:paraId="6D7972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9.《河南省房屋建筑和市政基础设施工程危险性较大的分部分项工程安全管理实施细则》(豫建行规</w:t>
      </w:r>
      <w:r>
        <w:rPr>
          <w:rFonts w:hint="eastAsia" w:ascii="宋体" w:hAnsi="宋体" w:eastAsia="宋体" w:cs="宋体"/>
          <w:snapToGrid/>
          <w:kern w:val="2"/>
          <w:szCs w:val="24"/>
          <w:highlight w:val="none"/>
          <w:lang w:val="en-US" w:eastAsia="zh-CN"/>
        </w:rPr>
        <w:t>【</w:t>
      </w:r>
      <w:r>
        <w:rPr>
          <w:rFonts w:hint="eastAsia" w:ascii="宋体" w:hAnsi="宋体" w:eastAsia="宋体" w:cs="宋体"/>
          <w:snapToGrid/>
          <w:kern w:val="2"/>
          <w:szCs w:val="24"/>
          <w:highlight w:val="none"/>
          <w:lang w:val="en-US" w:eastAsia="en-US"/>
        </w:rPr>
        <w:t>2021</w:t>
      </w:r>
      <w:r>
        <w:rPr>
          <w:rFonts w:hint="eastAsia" w:ascii="宋体" w:hAnsi="宋体" w:eastAsia="宋体" w:cs="宋体"/>
          <w:snapToGrid/>
          <w:kern w:val="2"/>
          <w:szCs w:val="24"/>
          <w:highlight w:val="none"/>
          <w:lang w:val="en-US" w:eastAsia="zh-CN"/>
        </w:rPr>
        <w:t>】</w:t>
      </w:r>
      <w:r>
        <w:rPr>
          <w:rFonts w:hint="eastAsia" w:ascii="宋体" w:hAnsi="宋体" w:eastAsia="宋体" w:cs="宋体"/>
          <w:snapToGrid/>
          <w:kern w:val="2"/>
          <w:szCs w:val="24"/>
          <w:highlight w:val="none"/>
          <w:lang w:val="en-US" w:eastAsia="en-US"/>
        </w:rPr>
        <w:t>7号〕;</w:t>
      </w:r>
    </w:p>
    <w:p w14:paraId="55CD924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10.《通用规范》(GB55001-GB55037);</w:t>
      </w:r>
    </w:p>
    <w:p w14:paraId="55554F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11.</w:t>
      </w:r>
      <w:r>
        <w:rPr>
          <w:rFonts w:hint="eastAsia" w:ascii="宋体" w:hAnsi="宋体" w:eastAsia="宋体" w:cs="宋体"/>
          <w:snapToGrid/>
          <w:kern w:val="2"/>
          <w:szCs w:val="24"/>
          <w:highlight w:val="none"/>
          <w:lang w:val="en-US" w:eastAsia="en-US"/>
        </w:rPr>
        <w:t>《建筑施工安全检查标准》(JGJ59-2011)</w:t>
      </w:r>
    </w:p>
    <w:p w14:paraId="7B59A3E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12. 工程合同；经批准的设计文件；</w:t>
      </w:r>
    </w:p>
    <w:p w14:paraId="759369F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13. 国家、地方其他有关工程质量监督的有关规定和其他有关质量与安全的法律法规、技术规程、规范、质量标准。</w:t>
      </w:r>
    </w:p>
    <w:p w14:paraId="0A6A30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（三）</w:t>
      </w:r>
      <w:r>
        <w:rPr>
          <w:rFonts w:hint="eastAsia" w:ascii="宋体" w:hAnsi="宋体" w:eastAsia="宋体" w:cs="宋体"/>
          <w:snapToGrid/>
          <w:kern w:val="2"/>
          <w:szCs w:val="24"/>
          <w:highlight w:val="none"/>
          <w:lang w:val="en-US" w:eastAsia="en-US"/>
        </w:rPr>
        <w:t>第三方质量监督服务的流程</w:t>
      </w:r>
    </w:p>
    <w:p w14:paraId="065A63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 从项目接受质量监督，编制质量监督交底书开始；</w:t>
      </w:r>
    </w:p>
    <w:p w14:paraId="15C392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2. 每月不少于2次对工程施工现场开展巡查，对有实体工程质量存在疑问或隐蔽工程质量进行抽检；</w:t>
      </w:r>
    </w:p>
    <w:p w14:paraId="5F5ED90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3.每月抽查2次工程质量安全资料，问询相关人员；</w:t>
      </w:r>
    </w:p>
    <w:p w14:paraId="1C79C8A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4.被检查单位主要负责人确认对检查发现的主要问题；</w:t>
      </w:r>
    </w:p>
    <w:p w14:paraId="79D588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5.向参建单位反馈监督检查意见，提出整改要求；</w:t>
      </w:r>
    </w:p>
    <w:p w14:paraId="78A256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6.针对监督检查中发现的问题，质安中心审核后形成正式监督意见(监督检查情况通报),第三方须在监督检查结束之日起7个工作日内或限定期限内将落实整改情况以正式文件报监督机构备案。</w:t>
      </w:r>
    </w:p>
    <w:p w14:paraId="1E0DB2C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（四）</w:t>
      </w:r>
      <w:r>
        <w:rPr>
          <w:rFonts w:hint="eastAsia" w:ascii="宋体" w:hAnsi="宋体" w:eastAsia="宋体" w:cs="宋体"/>
          <w:snapToGrid/>
          <w:kern w:val="2"/>
          <w:szCs w:val="24"/>
          <w:highlight w:val="none"/>
          <w:lang w:val="en-US" w:eastAsia="en-US"/>
        </w:rPr>
        <w:t>监督对象</w:t>
      </w:r>
    </w:p>
    <w:p w14:paraId="4EE9C9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郑东新区在建工程(纳入质安中心监督的项目)。</w:t>
      </w:r>
    </w:p>
    <w:p w14:paraId="5F464D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（五）</w:t>
      </w:r>
      <w:r>
        <w:rPr>
          <w:rFonts w:hint="eastAsia" w:ascii="宋体" w:hAnsi="宋体" w:eastAsia="宋体" w:cs="宋体"/>
          <w:snapToGrid/>
          <w:kern w:val="2"/>
          <w:szCs w:val="24"/>
          <w:highlight w:val="none"/>
          <w:lang w:val="en-US" w:eastAsia="en-US"/>
        </w:rPr>
        <w:t>监督服务内容</w:t>
      </w:r>
    </w:p>
    <w:p w14:paraId="0DF89A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监督服务内容主要包括参建单位的质量安全体系、行为、工程实体质量和现场安全防护，监督重点是参建单位对法律法规和工程强制性条文的执行情况。</w:t>
      </w:r>
    </w:p>
    <w:p w14:paraId="09D8E5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工程质量监督的主要内容：</w:t>
      </w:r>
    </w:p>
    <w:p w14:paraId="1CA1DF2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1.对监理、设计、施工和有关产品制作等单位的资质进行复核。</w:t>
      </w:r>
    </w:p>
    <w:p w14:paraId="56E931A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2.对各参建单位的质量体系和行为进行监督抽查。</w:t>
      </w:r>
    </w:p>
    <w:p w14:paraId="4EDE02B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3.对工程项目划分和工程外观质量评定标准予以确认</w:t>
      </w:r>
    </w:p>
    <w:p w14:paraId="60E093F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4.对各参建单位执行质量法律法规、强制性标准情况实施监督抽查。</w:t>
      </w:r>
    </w:p>
    <w:p w14:paraId="712800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5.抽查单位工程施工质量评定标准及相应评定表格与现行规范、设计的符合性。</w:t>
      </w:r>
    </w:p>
    <w:p w14:paraId="765A04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6. 抽查施工单位“三检制的落实情况，监理单位复核签证情况。</w:t>
      </w:r>
    </w:p>
    <w:p w14:paraId="2B6B4D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7.抽查原材料及中间产品的质量检验、试验与控制情况；抽查机电及金属结构制造与质量检测记录是否齐全、准确、完整。</w:t>
      </w:r>
    </w:p>
    <w:p w14:paraId="1175CA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8.抽查监理单位旁站监理和有关监理措施落实与执行情况。</w:t>
      </w:r>
    </w:p>
    <w:p w14:paraId="1068991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9.抽查项目法人委托检测的落实情况。</w:t>
      </w:r>
    </w:p>
    <w:p w14:paraId="53A71C9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10.抽查设计单位现场服务情况。</w:t>
      </w:r>
    </w:p>
    <w:p w14:paraId="5289428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11.抽查基础处理等重要隐蔽工程及关键部位的验收签证。</w:t>
      </w:r>
    </w:p>
    <w:p w14:paraId="0DB8871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12.抽查监理实施细则、监理日记、监理月报记录和编制是否规范、准确、完整。</w:t>
      </w:r>
    </w:p>
    <w:p w14:paraId="46D442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13.抽查项目法人、监理单位和施工单位对工程质量检验和质量评定的情况。</w:t>
      </w:r>
    </w:p>
    <w:p w14:paraId="358FA51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14.抽查专项施工组织设计的审核、审批情况。</w:t>
      </w:r>
    </w:p>
    <w:p w14:paraId="603D18E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15.抽查竣工资料收集、汇总、整理、审查情况。</w:t>
      </w:r>
    </w:p>
    <w:p w14:paraId="698FB2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16.参与质量事故与缺陷的调查、分析和处理工作。</w:t>
      </w:r>
    </w:p>
    <w:p w14:paraId="136D824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17.参与涉及工程质量与安全的重要技术会议。</w:t>
      </w:r>
    </w:p>
    <w:p w14:paraId="68635F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18.核备对主体工程质量与安全有重要影响的临时工程质量检验及评定标准、规范未列出的外观质量评定项目质量标准及标准分、重要隐蔽(关键部位)单元工程质量等级、分部工程质量等级、单位工程外观质量评定结论、单位工程质量等级和工程 项目质量等级。</w:t>
      </w:r>
    </w:p>
    <w:p w14:paraId="1B3201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19. 列席单位工程验收、竣工验收自查会议。参加阶段验收、竣工技术预验收和竣工验收会议，编制《工程质量评价意见》、《工程质量监督报告》。</w:t>
      </w:r>
    </w:p>
    <w:p w14:paraId="19840B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工程安全监督的主要内容：</w:t>
      </w:r>
    </w:p>
    <w:p w14:paraId="02DC97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1.抽查各参建单位执行安全生产法律法规、强制性条文、操作规程情况。</w:t>
      </w:r>
    </w:p>
    <w:p w14:paraId="59866A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2.抽查项目法人保证安全生产的措施方案备案情况。</w:t>
      </w:r>
    </w:p>
    <w:p w14:paraId="39097F5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3.抽查涉及爆破工程和拆除工程的施工单位资质及备案情况。</w:t>
      </w:r>
    </w:p>
    <w:p w14:paraId="7E3203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4.抽查设计文件中涉及施工安全的重点部位和环节是否已注明，对防范安全生产事故是否已提出指导意见。</w:t>
      </w:r>
    </w:p>
    <w:p w14:paraId="5A0E450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5.抽查施工现场作业安全及安全防护情况。</w:t>
      </w:r>
    </w:p>
    <w:p w14:paraId="54FC523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6.抽查专项施工方案(含危大工程)的编制、审批和实施、验收情况；重大危险源的辨识、评价与管理，安全措施制定及应急救援预案的建立与落实情况；度汛预案的编报及落实情况。需组织专家审查论证的，专家的组成、专家意见的响应情况并汇总统计辖区危大工程清单台账。</w:t>
      </w:r>
    </w:p>
    <w:p w14:paraId="76DDDA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7.抽查监理单位安全监理实施细则编制与执行情况，抽查安全监理工作开展情况。</w:t>
      </w:r>
    </w:p>
    <w:p w14:paraId="58E626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8.抽查特种设备办理使用登记证、特种作业持证上岗情况。</w:t>
      </w:r>
    </w:p>
    <w:p w14:paraId="290B99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9.抽查施工单位人身意外伤害险办理情况。</w:t>
      </w:r>
    </w:p>
    <w:p w14:paraId="319932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10.抽查施工单位安全教育培训及安全技术交底情况。</w:t>
      </w:r>
    </w:p>
    <w:p w14:paraId="077A33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11.抽查安全生产措施费的投入与使用情况。</w:t>
      </w:r>
    </w:p>
    <w:p w14:paraId="4EC9F2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12.抽查各参建单位安全生产检查与整改闭环情况。</w:t>
      </w:r>
    </w:p>
    <w:p w14:paraId="3060A2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13</w:t>
      </w:r>
      <w:r>
        <w:rPr>
          <w:rFonts w:hint="eastAsia" w:ascii="宋体" w:hAnsi="宋体" w:eastAsia="宋体" w:cs="宋体"/>
          <w:snapToGrid/>
          <w:kern w:val="2"/>
          <w:szCs w:val="24"/>
          <w:highlight w:val="none"/>
          <w:lang w:val="en-US" w:eastAsia="zh-CN"/>
        </w:rPr>
        <w:t>.</w:t>
      </w:r>
      <w:r>
        <w:rPr>
          <w:rFonts w:hint="eastAsia" w:ascii="宋体" w:hAnsi="宋体" w:eastAsia="宋体" w:cs="宋体"/>
          <w:snapToGrid/>
          <w:kern w:val="2"/>
          <w:szCs w:val="24"/>
          <w:highlight w:val="none"/>
          <w:lang w:val="en-US" w:eastAsia="en-US"/>
        </w:rPr>
        <w:t>抽查各参建单位施工组织方案的安全技术措施编制与审查。</w:t>
      </w:r>
    </w:p>
    <w:p w14:paraId="4F82332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14.抽查各参建单位安全生产台帐的完整性、规范性情况。</w:t>
      </w:r>
    </w:p>
    <w:p w14:paraId="7D7F71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15.参与安全事故的调查、分析及处理工作。</w:t>
      </w:r>
    </w:p>
    <w:p w14:paraId="3FF684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开展实体工程监督检测</w:t>
      </w:r>
    </w:p>
    <w:p w14:paraId="750385F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1.根据工程类型制定工程实体质量检测初步方案。</w:t>
      </w:r>
    </w:p>
    <w:p w14:paraId="6228ED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2.主要检测指标有：混凝土强度、压实度、相对密度、外观尺寸、原材料和构配 件复试、弯沉值等，按不同工程类型开展相应检测。</w:t>
      </w:r>
    </w:p>
    <w:p w14:paraId="34D4BA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协助完善相关监督制度</w:t>
      </w:r>
    </w:p>
    <w:p w14:paraId="387822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协助质安中心完善郑东新区建设工程质量监督工作制度，提出有针对性的建议。</w:t>
      </w:r>
    </w:p>
    <w:p w14:paraId="39FD32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（六）</w:t>
      </w:r>
      <w:r>
        <w:rPr>
          <w:rFonts w:hint="eastAsia" w:ascii="宋体" w:hAnsi="宋体" w:eastAsia="宋体" w:cs="宋体"/>
          <w:snapToGrid/>
          <w:kern w:val="2"/>
          <w:szCs w:val="24"/>
          <w:highlight w:val="none"/>
          <w:lang w:val="en-US" w:eastAsia="en-US"/>
        </w:rPr>
        <w:t>监督工作要求</w:t>
      </w:r>
    </w:p>
    <w:p w14:paraId="616D47D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1.</w:t>
      </w:r>
      <w:r>
        <w:rPr>
          <w:rFonts w:hint="eastAsia" w:ascii="宋体" w:hAnsi="宋体" w:eastAsia="宋体" w:cs="宋体"/>
          <w:snapToGrid/>
          <w:kern w:val="2"/>
          <w:szCs w:val="24"/>
          <w:highlight w:val="none"/>
          <w:lang w:val="en-US" w:eastAsia="en-US"/>
        </w:rPr>
        <w:t>工作要求</w:t>
      </w:r>
    </w:p>
    <w:p w14:paraId="17DA255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工程监督过程中，第三方单位要督促项目法人及时向质安中心报送《项目划分(单 位、分部、单元)方案》、《新增单元质量评定标准》、《临时工程质量检验及评定标准》、《外观质量标准及标准分》、《重要隐蔽单元工程及关键部位单元工程质量》、《分部工程质量》、《单位工程质量》、《工程项目质量》、《检测单位资质及试验计划书》、《质量缺陷备案》、《重大设计变更》等相关资料核查、核备、备案及有  关信息化工作的要求。</w:t>
      </w:r>
    </w:p>
    <w:p w14:paraId="2771DC0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第三方单位还要对项目的参建单位及有关机构的质量安全管理体系、行为、工程实体质量、现场安全防护是否符合相关法律法规、强制性条文、技术标准及经批准的设计文件等有关规定和要求进行监督检查。找出工程中可能存在的安全和质量风险点</w:t>
      </w:r>
      <w:r>
        <w:rPr>
          <w:rFonts w:hint="eastAsia" w:ascii="宋体" w:hAnsi="宋体" w:eastAsia="宋体" w:cs="宋体"/>
          <w:snapToGrid/>
          <w:kern w:val="2"/>
          <w:szCs w:val="24"/>
          <w:highlight w:val="none"/>
          <w:lang w:val="en-US" w:eastAsia="zh-CN"/>
        </w:rPr>
        <w:t>，</w:t>
      </w:r>
      <w:r>
        <w:rPr>
          <w:rFonts w:hint="eastAsia" w:ascii="宋体" w:hAnsi="宋体" w:eastAsia="宋体" w:cs="宋体"/>
          <w:snapToGrid/>
          <w:kern w:val="2"/>
          <w:szCs w:val="24"/>
          <w:highlight w:val="none"/>
          <w:lang w:val="en-US" w:eastAsia="en-US"/>
        </w:rPr>
        <w:t>对每个风险点进行针对性的预防。</w:t>
      </w:r>
    </w:p>
    <w:p w14:paraId="492693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第三方单位每周五19点前需向业主单位提交下周的工作计划和当周的工作小结；</w:t>
      </w:r>
    </w:p>
    <w:p w14:paraId="5CBF1F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zh-CN"/>
        </w:rPr>
      </w:pPr>
      <w:r>
        <w:rPr>
          <w:rFonts w:hint="eastAsia" w:ascii="宋体" w:hAnsi="宋体" w:eastAsia="宋体" w:cs="宋体"/>
          <w:snapToGrid/>
          <w:kern w:val="2"/>
          <w:szCs w:val="24"/>
          <w:highlight w:val="none"/>
          <w:lang w:val="en-US" w:eastAsia="en-US"/>
        </w:rPr>
        <w:t>每月28号前，提交月工作总结，节假日顺延；每半年提交一次工作总结；服务期内受监督项目不得发生较大质量安全事故；检查问题整改率100%,工程实体质量持续向好；每月编制至少一期质量安全检查情况通报，每季度向质安中心作一次质量安全监 督专题汇报，遇紧急、重大、突发事件除外，并接受质安中心相应绩效考核。实施期满必须按规定要求移交所有服务成果</w:t>
      </w:r>
      <w:r>
        <w:rPr>
          <w:rFonts w:hint="eastAsia" w:ascii="宋体" w:hAnsi="宋体" w:eastAsia="宋体" w:cs="宋体"/>
          <w:snapToGrid/>
          <w:kern w:val="2"/>
          <w:szCs w:val="24"/>
          <w:highlight w:val="none"/>
          <w:lang w:val="en-US" w:eastAsia="zh-CN"/>
        </w:rPr>
        <w:t>。</w:t>
      </w:r>
    </w:p>
    <w:p w14:paraId="53FBFE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2.</w:t>
      </w:r>
      <w:r>
        <w:rPr>
          <w:rFonts w:hint="eastAsia" w:ascii="宋体" w:hAnsi="宋体" w:eastAsia="宋体" w:cs="宋体"/>
          <w:snapToGrid/>
          <w:kern w:val="2"/>
          <w:szCs w:val="24"/>
          <w:highlight w:val="none"/>
          <w:lang w:val="en-US" w:eastAsia="en-US"/>
        </w:rPr>
        <w:t>纪律要求</w:t>
      </w:r>
    </w:p>
    <w:p w14:paraId="31B8A5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2.1</w:t>
      </w:r>
      <w:r>
        <w:rPr>
          <w:rFonts w:hint="eastAsia" w:ascii="宋体" w:hAnsi="宋体" w:eastAsia="宋体" w:cs="宋体"/>
          <w:snapToGrid/>
          <w:kern w:val="2"/>
          <w:szCs w:val="24"/>
          <w:highlight w:val="none"/>
          <w:lang w:val="en-US" w:eastAsia="en-US"/>
        </w:rPr>
        <w:t>严禁工作时间内或可能影响工作的时间内饮酒；</w:t>
      </w:r>
    </w:p>
    <w:p w14:paraId="27362C8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2.</w:t>
      </w:r>
      <w:r>
        <w:rPr>
          <w:rFonts w:hint="eastAsia" w:ascii="宋体" w:hAnsi="宋体" w:eastAsia="宋体" w:cs="宋体"/>
          <w:snapToGrid/>
          <w:kern w:val="2"/>
          <w:szCs w:val="24"/>
          <w:highlight w:val="none"/>
          <w:lang w:val="en-US" w:eastAsia="zh-CN"/>
        </w:rPr>
        <w:t>2</w:t>
      </w:r>
      <w:r>
        <w:rPr>
          <w:rFonts w:hint="eastAsia" w:ascii="宋体" w:hAnsi="宋体" w:eastAsia="宋体" w:cs="宋体"/>
          <w:snapToGrid/>
          <w:kern w:val="2"/>
          <w:szCs w:val="24"/>
          <w:highlight w:val="none"/>
          <w:lang w:val="en-US" w:eastAsia="en-US"/>
        </w:rPr>
        <w:t>严禁以权谋私，收受被监督对象钱物；</w:t>
      </w:r>
    </w:p>
    <w:p w14:paraId="05B244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2.3</w:t>
      </w:r>
      <w:r>
        <w:rPr>
          <w:rFonts w:hint="eastAsia" w:ascii="宋体" w:hAnsi="宋体" w:eastAsia="宋体" w:cs="宋体"/>
          <w:snapToGrid/>
          <w:kern w:val="2"/>
          <w:szCs w:val="24"/>
          <w:highlight w:val="none"/>
          <w:lang w:val="en-US" w:eastAsia="en-US"/>
        </w:rPr>
        <w:t>严禁监督巡查工作中以权谋私，吃拿卡要，损坏质监形象；</w:t>
      </w:r>
    </w:p>
    <w:p w14:paraId="20EC7E4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2.4</w:t>
      </w:r>
      <w:r>
        <w:rPr>
          <w:rFonts w:hint="eastAsia" w:ascii="宋体" w:hAnsi="宋体" w:eastAsia="宋体" w:cs="宋体"/>
          <w:snapToGrid/>
          <w:kern w:val="2"/>
          <w:szCs w:val="24"/>
          <w:highlight w:val="none"/>
          <w:lang w:val="en-US" w:eastAsia="en-US"/>
        </w:rPr>
        <w:t>严禁利用职权借故刁难，拖延或设置障碍；</w:t>
      </w:r>
    </w:p>
    <w:p w14:paraId="64FF2B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default" w:ascii="宋体" w:hAnsi="宋体" w:eastAsia="宋体" w:cs="宋体"/>
          <w:snapToGrid/>
          <w:kern w:val="2"/>
          <w:szCs w:val="24"/>
          <w:highlight w:val="none"/>
          <w:lang w:val="en-US" w:eastAsia="en-US"/>
        </w:rPr>
        <mc:AlternateContent>
          <mc:Choice Requires="wps">
            <w:drawing>
              <wp:anchor distT="0" distB="0" distL="114300" distR="114300" simplePos="0" relativeHeight="251659264" behindDoc="0" locked="0" layoutInCell="1" allowOverlap="1">
                <wp:simplePos x="0" y="0"/>
                <wp:positionH relativeFrom="column">
                  <wp:posOffset>5848350</wp:posOffset>
                </wp:positionH>
                <wp:positionV relativeFrom="paragraph">
                  <wp:posOffset>147955</wp:posOffset>
                </wp:positionV>
                <wp:extent cx="193675" cy="5156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93675" cy="515620"/>
                        </a:xfrm>
                        <a:prstGeom prst="rect">
                          <a:avLst/>
                        </a:prstGeom>
                        <a:noFill/>
                        <a:ln>
                          <a:noFill/>
                        </a:ln>
                        <a:effectLst/>
                      </wps:spPr>
                      <wps:txbx>
                        <w:txbxContent>
                          <w:p w14:paraId="15481BBE">
                            <w:pPr>
                              <w:widowControl w:val="0"/>
                              <w:kinsoku/>
                              <w:autoSpaceDE/>
                              <w:autoSpaceDN/>
                              <w:adjustRightInd/>
                              <w:snapToGrid/>
                              <w:spacing w:line="240" w:lineRule="auto"/>
                              <w:jc w:val="both"/>
                              <w:textAlignment w:val="auto"/>
                              <w:rPr>
                                <w:rFonts w:ascii="Calibri" w:hAnsi="Calibri" w:eastAsia="宋体" w:cs="Times New Roman"/>
                                <w:snapToGrid/>
                                <w:kern w:val="2"/>
                                <w:szCs w:val="24"/>
                                <w:lang w:eastAsia="en-US"/>
                              </w:rPr>
                            </w:pPr>
                          </w:p>
                        </w:txbxContent>
                      </wps:txbx>
                      <wps:bodyPr lIns="0" tIns="0" rIns="0" bIns="0" upright="1"/>
                    </wps:wsp>
                  </a:graphicData>
                </a:graphic>
              </wp:anchor>
            </w:drawing>
          </mc:Choice>
          <mc:Fallback>
            <w:pict>
              <v:shape id="_x0000_s1026" o:spid="_x0000_s1026" o:spt="202" type="#_x0000_t202" style="position:absolute;left:0pt;margin-left:460.5pt;margin-top:11.65pt;height:40.6pt;width:15.25pt;z-index:251659264;mso-width-relative:page;mso-height-relative:page;" filled="f" stroked="f" coordsize="21600,21600" o:gfxdata="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m5Jk7ZAAAACgEAAA8AAAAAAAAAAQAgAAAAIgAAAGRycy9kb3ducmV2Lnht&#10;bFBLAQIUABQAAAAIAIdO4kCPQzzHvwEAAH8DAAAOAAAAAAAAAAEAIAAAACgBAABkcnMvZTJvRG9j&#10;LnhtbFBLBQYAAAAABgAGAFkBAABZBQAAAAA=&#10;">
                <v:fill on="f" focussize="0,0"/>
                <v:stroke on="f"/>
                <v:imagedata o:title=""/>
                <o:lock v:ext="edit" aspectratio="f"/>
                <v:textbox inset="0mm,0mm,0mm,0mm">
                  <w:txbxContent>
                    <w:p w14:paraId="15481BBE">
                      <w:pPr>
                        <w:widowControl w:val="0"/>
                        <w:kinsoku/>
                        <w:autoSpaceDE/>
                        <w:autoSpaceDN/>
                        <w:adjustRightInd/>
                        <w:snapToGrid/>
                        <w:spacing w:line="240" w:lineRule="auto"/>
                        <w:jc w:val="both"/>
                        <w:textAlignment w:val="auto"/>
                        <w:rPr>
                          <w:rFonts w:ascii="Calibri" w:hAnsi="Calibri" w:eastAsia="宋体" w:cs="Times New Roman"/>
                          <w:snapToGrid/>
                          <w:kern w:val="2"/>
                          <w:szCs w:val="24"/>
                          <w:lang w:eastAsia="en-US"/>
                        </w:rPr>
                      </w:pPr>
                    </w:p>
                  </w:txbxContent>
                </v:textbox>
              </v:shape>
            </w:pict>
          </mc:Fallback>
        </mc:AlternateContent>
      </w:r>
      <w:r>
        <w:rPr>
          <w:rFonts w:hint="eastAsia" w:ascii="宋体" w:hAnsi="宋体" w:eastAsia="宋体" w:cs="宋体"/>
          <w:snapToGrid/>
          <w:kern w:val="2"/>
          <w:szCs w:val="24"/>
          <w:highlight w:val="none"/>
          <w:lang w:val="en-US" w:eastAsia="zh-CN"/>
        </w:rPr>
        <w:t>2.5</w:t>
      </w:r>
      <w:r>
        <w:rPr>
          <w:rFonts w:hint="eastAsia" w:ascii="宋体" w:hAnsi="宋体" w:eastAsia="宋体" w:cs="宋体"/>
          <w:snapToGrid/>
          <w:kern w:val="2"/>
          <w:szCs w:val="24"/>
          <w:highlight w:val="none"/>
          <w:lang w:val="en-US" w:eastAsia="en-US"/>
        </w:rPr>
        <w:t>严禁向被监督对象推销产品或建立经济关系；</w:t>
      </w:r>
    </w:p>
    <w:p w14:paraId="78D1633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2.6</w:t>
      </w:r>
      <w:r>
        <w:rPr>
          <w:rFonts w:hint="eastAsia" w:ascii="宋体" w:hAnsi="宋体" w:eastAsia="宋体" w:cs="宋体"/>
          <w:snapToGrid/>
          <w:kern w:val="2"/>
          <w:szCs w:val="24"/>
          <w:highlight w:val="none"/>
          <w:lang w:val="en-US" w:eastAsia="en-US"/>
        </w:rPr>
        <w:t>严禁擅自行使处罚权；</w:t>
      </w:r>
    </w:p>
    <w:p w14:paraId="3B1908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2.7</w:t>
      </w:r>
      <w:r>
        <w:rPr>
          <w:rFonts w:hint="eastAsia" w:ascii="宋体" w:hAnsi="宋体" w:eastAsia="宋体" w:cs="宋体"/>
          <w:snapToGrid/>
          <w:kern w:val="2"/>
          <w:szCs w:val="24"/>
          <w:highlight w:val="none"/>
          <w:lang w:val="en-US" w:eastAsia="en-US"/>
        </w:rPr>
        <w:t>严禁知法犯法、违规、违章、违反程序办事；</w:t>
      </w:r>
    </w:p>
    <w:p w14:paraId="63F547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2.8</w:t>
      </w:r>
      <w:r>
        <w:rPr>
          <w:rFonts w:hint="eastAsia" w:ascii="宋体" w:hAnsi="宋体" w:eastAsia="宋体" w:cs="宋体"/>
          <w:snapToGrid/>
          <w:kern w:val="2"/>
          <w:szCs w:val="24"/>
          <w:highlight w:val="none"/>
          <w:lang w:val="en-US" w:eastAsia="en-US"/>
        </w:rPr>
        <w:t>严禁监督缺位、越位、错位，或工作推诿扯皮、弄虚作假；</w:t>
      </w:r>
    </w:p>
    <w:p w14:paraId="56806A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2.9</w:t>
      </w:r>
      <w:r>
        <w:rPr>
          <w:rFonts w:hint="eastAsia" w:ascii="宋体" w:hAnsi="宋体" w:eastAsia="宋体" w:cs="宋体"/>
          <w:snapToGrid/>
          <w:kern w:val="2"/>
          <w:szCs w:val="24"/>
          <w:highlight w:val="none"/>
          <w:lang w:val="en-US" w:eastAsia="en-US"/>
        </w:rPr>
        <w:t>严禁骄奢贪逸、工作态度冷硬，刁难、报复管理相对人。</w:t>
      </w:r>
    </w:p>
    <w:p w14:paraId="4C392E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3.</w:t>
      </w:r>
      <w:r>
        <w:rPr>
          <w:rFonts w:hint="eastAsia" w:ascii="宋体" w:hAnsi="宋体" w:eastAsia="宋体" w:cs="宋体"/>
          <w:snapToGrid/>
          <w:kern w:val="2"/>
          <w:szCs w:val="24"/>
          <w:highlight w:val="none"/>
          <w:lang w:val="en-US" w:eastAsia="en-US"/>
        </w:rPr>
        <w:t>人员要求</w:t>
      </w:r>
    </w:p>
    <w:p w14:paraId="63027D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宋体"/>
          <w:snapToGrid/>
          <w:color w:val="auto"/>
          <w:kern w:val="2"/>
          <w:sz w:val="21"/>
          <w:szCs w:val="24"/>
          <w:highlight w:val="none"/>
          <w:lang w:val="en-US" w:eastAsia="zh-CN" w:bidi="ar-SA"/>
        </w:rPr>
      </w:pPr>
      <w:r>
        <w:rPr>
          <w:rFonts w:hint="eastAsia" w:ascii="宋体" w:hAnsi="宋体" w:eastAsia="宋体" w:cs="宋体"/>
          <w:snapToGrid/>
          <w:color w:val="auto"/>
          <w:kern w:val="2"/>
          <w:szCs w:val="24"/>
          <w:highlight w:val="none"/>
          <w:lang w:val="en-US" w:eastAsia="zh-CN"/>
        </w:rPr>
        <w:t>3.1</w:t>
      </w:r>
      <w:r>
        <w:rPr>
          <w:rFonts w:hint="eastAsia" w:ascii="宋体" w:hAnsi="宋体" w:eastAsia="宋体" w:cs="宋体"/>
          <w:snapToGrid/>
          <w:color w:val="auto"/>
          <w:kern w:val="2"/>
          <w:sz w:val="21"/>
          <w:szCs w:val="24"/>
          <w:highlight w:val="none"/>
          <w:lang w:val="en-US" w:eastAsia="zh-CN" w:bidi="ar-SA"/>
        </w:rPr>
        <w:t xml:space="preserve"> </w:t>
      </w:r>
      <w:r>
        <w:rPr>
          <w:rFonts w:hint="default" w:ascii="宋体" w:hAnsi="宋体" w:eastAsia="宋体" w:cs="宋体"/>
          <w:snapToGrid/>
          <w:color w:val="auto"/>
          <w:kern w:val="2"/>
          <w:sz w:val="21"/>
          <w:szCs w:val="24"/>
          <w:highlight w:val="none"/>
          <w:lang w:val="en-US" w:eastAsia="zh-CN" w:bidi="ar-SA"/>
        </w:rPr>
        <w:t>应组建能够满足本项目工程质量安全咨询和技术服务项目管理部，并配备必要的工具，其中包含至少7名常驻人员</w:t>
      </w:r>
      <w:r>
        <w:rPr>
          <w:rFonts w:hint="eastAsia" w:ascii="宋体" w:hAnsi="宋体" w:eastAsia="宋体" w:cs="宋体"/>
          <w:snapToGrid/>
          <w:color w:val="auto"/>
          <w:kern w:val="2"/>
          <w:sz w:val="21"/>
          <w:szCs w:val="24"/>
          <w:highlight w:val="none"/>
          <w:lang w:val="en-US" w:eastAsia="zh-CN" w:bidi="ar-SA"/>
        </w:rPr>
        <w:t>（含项目负责人）</w:t>
      </w:r>
      <w:r>
        <w:rPr>
          <w:rFonts w:hint="default" w:ascii="宋体" w:hAnsi="宋体" w:eastAsia="宋体" w:cs="宋体"/>
          <w:snapToGrid/>
          <w:color w:val="auto"/>
          <w:kern w:val="2"/>
          <w:sz w:val="21"/>
          <w:szCs w:val="24"/>
          <w:highlight w:val="none"/>
          <w:lang w:val="en-US" w:eastAsia="zh-CN" w:bidi="ar-SA"/>
        </w:rPr>
        <w:t>，1名建筑</w:t>
      </w:r>
      <w:r>
        <w:rPr>
          <w:rFonts w:hint="eastAsia" w:ascii="宋体" w:hAnsi="宋体" w:eastAsia="宋体" w:cs="宋体"/>
          <w:snapToGrid/>
          <w:color w:val="auto"/>
          <w:kern w:val="2"/>
          <w:sz w:val="21"/>
          <w:szCs w:val="24"/>
          <w:highlight w:val="none"/>
          <w:lang w:val="en-US" w:eastAsia="zh-CN" w:bidi="ar-SA"/>
        </w:rPr>
        <w:t>相关专业</w:t>
      </w:r>
      <w:r>
        <w:rPr>
          <w:rFonts w:hint="default" w:ascii="宋体" w:hAnsi="宋体" w:eastAsia="宋体" w:cs="宋体"/>
          <w:snapToGrid/>
          <w:color w:val="auto"/>
          <w:kern w:val="2"/>
          <w:sz w:val="21"/>
          <w:szCs w:val="24"/>
          <w:highlight w:val="none"/>
          <w:lang w:val="en-US" w:eastAsia="zh-CN" w:bidi="ar-SA"/>
        </w:rPr>
        <w:t>副高级</w:t>
      </w:r>
      <w:r>
        <w:rPr>
          <w:rFonts w:hint="eastAsia" w:ascii="宋体" w:hAnsi="宋体" w:eastAsia="宋体" w:cs="宋体"/>
          <w:snapToGrid/>
          <w:color w:val="auto"/>
          <w:kern w:val="2"/>
          <w:sz w:val="21"/>
          <w:szCs w:val="24"/>
          <w:highlight w:val="none"/>
          <w:lang w:val="en-US" w:eastAsia="zh-CN" w:bidi="ar-SA"/>
        </w:rPr>
        <w:t>及以上</w:t>
      </w:r>
      <w:r>
        <w:rPr>
          <w:rFonts w:hint="default" w:ascii="宋体" w:hAnsi="宋体" w:eastAsia="宋体" w:cs="宋体"/>
          <w:snapToGrid/>
          <w:color w:val="auto"/>
          <w:kern w:val="2"/>
          <w:sz w:val="21"/>
          <w:szCs w:val="24"/>
          <w:highlight w:val="none"/>
          <w:lang w:val="en-US" w:eastAsia="zh-CN" w:bidi="ar-SA"/>
        </w:rPr>
        <w:t>工程师、2名建筑</w:t>
      </w:r>
      <w:r>
        <w:rPr>
          <w:rFonts w:hint="eastAsia" w:ascii="宋体" w:hAnsi="宋体" w:eastAsia="宋体" w:cs="宋体"/>
          <w:snapToGrid/>
          <w:color w:val="auto"/>
          <w:kern w:val="2"/>
          <w:sz w:val="21"/>
          <w:szCs w:val="24"/>
          <w:highlight w:val="none"/>
          <w:lang w:val="en-US" w:eastAsia="zh-CN" w:bidi="ar-SA"/>
        </w:rPr>
        <w:t>相关专业</w:t>
      </w:r>
      <w:r>
        <w:rPr>
          <w:rFonts w:hint="default" w:ascii="宋体" w:hAnsi="宋体" w:eastAsia="宋体" w:cs="宋体"/>
          <w:snapToGrid/>
          <w:color w:val="auto"/>
          <w:kern w:val="2"/>
          <w:sz w:val="21"/>
          <w:szCs w:val="24"/>
          <w:highlight w:val="none"/>
          <w:lang w:val="en-US" w:eastAsia="zh-CN" w:bidi="ar-SA"/>
        </w:rPr>
        <w:t>中级</w:t>
      </w:r>
      <w:r>
        <w:rPr>
          <w:rFonts w:hint="eastAsia" w:ascii="宋体" w:hAnsi="宋体" w:eastAsia="宋体" w:cs="宋体"/>
          <w:snapToGrid/>
          <w:color w:val="auto"/>
          <w:kern w:val="2"/>
          <w:sz w:val="21"/>
          <w:szCs w:val="24"/>
          <w:highlight w:val="none"/>
          <w:lang w:val="en-US" w:eastAsia="zh-CN" w:bidi="ar-SA"/>
        </w:rPr>
        <w:t>及以上</w:t>
      </w:r>
      <w:r>
        <w:rPr>
          <w:rFonts w:hint="default" w:ascii="宋体" w:hAnsi="宋体" w:eastAsia="宋体" w:cs="宋体"/>
          <w:snapToGrid/>
          <w:color w:val="auto"/>
          <w:kern w:val="2"/>
          <w:sz w:val="21"/>
          <w:szCs w:val="24"/>
          <w:highlight w:val="none"/>
          <w:lang w:val="en-US" w:eastAsia="zh-CN" w:bidi="ar-SA"/>
        </w:rPr>
        <w:t>工程师、1名市政</w:t>
      </w:r>
      <w:r>
        <w:rPr>
          <w:rFonts w:hint="eastAsia" w:ascii="宋体" w:hAnsi="宋体" w:eastAsia="宋体" w:cs="宋体"/>
          <w:snapToGrid/>
          <w:color w:val="auto"/>
          <w:kern w:val="2"/>
          <w:sz w:val="21"/>
          <w:szCs w:val="24"/>
          <w:highlight w:val="none"/>
          <w:lang w:val="en-US" w:eastAsia="zh-CN" w:bidi="ar-SA"/>
        </w:rPr>
        <w:t>相关专业</w:t>
      </w:r>
      <w:r>
        <w:rPr>
          <w:rFonts w:hint="default" w:ascii="宋体" w:hAnsi="宋体" w:eastAsia="宋体" w:cs="宋体"/>
          <w:snapToGrid/>
          <w:color w:val="auto"/>
          <w:kern w:val="2"/>
          <w:sz w:val="21"/>
          <w:szCs w:val="24"/>
          <w:highlight w:val="none"/>
          <w:lang w:val="en-US" w:eastAsia="zh-CN" w:bidi="ar-SA"/>
        </w:rPr>
        <w:t>中级</w:t>
      </w:r>
      <w:r>
        <w:rPr>
          <w:rFonts w:hint="eastAsia" w:ascii="宋体" w:hAnsi="宋体" w:eastAsia="宋体" w:cs="宋体"/>
          <w:snapToGrid/>
          <w:color w:val="auto"/>
          <w:kern w:val="2"/>
          <w:sz w:val="21"/>
          <w:szCs w:val="24"/>
          <w:highlight w:val="none"/>
          <w:lang w:val="en-US" w:eastAsia="zh-CN" w:bidi="ar-SA"/>
        </w:rPr>
        <w:t>及以上</w:t>
      </w:r>
      <w:r>
        <w:rPr>
          <w:rFonts w:hint="default" w:ascii="宋体" w:hAnsi="宋体" w:eastAsia="宋体" w:cs="宋体"/>
          <w:snapToGrid/>
          <w:color w:val="auto"/>
          <w:kern w:val="2"/>
          <w:sz w:val="21"/>
          <w:szCs w:val="24"/>
          <w:highlight w:val="none"/>
          <w:lang w:val="en-US" w:eastAsia="zh-CN" w:bidi="ar-SA"/>
        </w:rPr>
        <w:t>工程师、2名安全中级</w:t>
      </w:r>
      <w:r>
        <w:rPr>
          <w:rFonts w:hint="eastAsia" w:ascii="宋体" w:hAnsi="宋体" w:eastAsia="宋体" w:cs="宋体"/>
          <w:snapToGrid/>
          <w:color w:val="auto"/>
          <w:kern w:val="2"/>
          <w:sz w:val="21"/>
          <w:szCs w:val="24"/>
          <w:highlight w:val="none"/>
          <w:lang w:val="en-US" w:eastAsia="zh-CN" w:bidi="ar-SA"/>
        </w:rPr>
        <w:t>及以上</w:t>
      </w:r>
      <w:r>
        <w:rPr>
          <w:rFonts w:hint="default" w:ascii="宋体" w:hAnsi="宋体" w:eastAsia="宋体" w:cs="宋体"/>
          <w:snapToGrid/>
          <w:color w:val="auto"/>
          <w:kern w:val="2"/>
          <w:sz w:val="21"/>
          <w:szCs w:val="24"/>
          <w:highlight w:val="none"/>
          <w:lang w:val="en-US" w:eastAsia="zh-CN" w:bidi="ar-SA"/>
        </w:rPr>
        <w:t>工程师、1名特种设备</w:t>
      </w:r>
      <w:r>
        <w:rPr>
          <w:rFonts w:hint="eastAsia" w:ascii="宋体" w:hAnsi="宋体" w:eastAsia="宋体" w:cs="宋体"/>
          <w:snapToGrid/>
          <w:color w:val="auto"/>
          <w:kern w:val="2"/>
          <w:sz w:val="21"/>
          <w:szCs w:val="24"/>
          <w:highlight w:val="none"/>
          <w:lang w:val="en-US" w:eastAsia="zh-CN" w:bidi="ar-SA"/>
        </w:rPr>
        <w:t>相关专业</w:t>
      </w:r>
      <w:r>
        <w:rPr>
          <w:rFonts w:hint="default" w:ascii="宋体" w:hAnsi="宋体" w:eastAsia="宋体" w:cs="宋体"/>
          <w:snapToGrid/>
          <w:color w:val="auto"/>
          <w:kern w:val="2"/>
          <w:sz w:val="21"/>
          <w:szCs w:val="24"/>
          <w:highlight w:val="none"/>
          <w:lang w:val="en-US" w:eastAsia="zh-CN" w:bidi="ar-SA"/>
        </w:rPr>
        <w:t>中级</w:t>
      </w:r>
      <w:r>
        <w:rPr>
          <w:rFonts w:hint="eastAsia" w:ascii="宋体" w:hAnsi="宋体" w:eastAsia="宋体" w:cs="宋体"/>
          <w:snapToGrid/>
          <w:color w:val="auto"/>
          <w:kern w:val="2"/>
          <w:sz w:val="21"/>
          <w:szCs w:val="24"/>
          <w:highlight w:val="none"/>
          <w:lang w:val="en-US" w:eastAsia="zh-CN" w:bidi="ar-SA"/>
        </w:rPr>
        <w:t>及以上</w:t>
      </w:r>
      <w:r>
        <w:rPr>
          <w:rFonts w:hint="default" w:ascii="宋体" w:hAnsi="宋体" w:eastAsia="宋体" w:cs="宋体"/>
          <w:snapToGrid/>
          <w:color w:val="auto"/>
          <w:kern w:val="2"/>
          <w:sz w:val="21"/>
          <w:szCs w:val="24"/>
          <w:highlight w:val="none"/>
          <w:lang w:val="en-US" w:eastAsia="zh-CN" w:bidi="ar-SA"/>
        </w:rPr>
        <w:t>工程师。</w:t>
      </w:r>
    </w:p>
    <w:p w14:paraId="2DCA98AC">
      <w:pPr>
        <w:pageBreakBefore w:val="0"/>
        <w:widowControl w:val="0"/>
        <w:numPr>
          <w:ilvl w:val="0"/>
          <w:numId w:val="0"/>
        </w:numPr>
        <w:kinsoku/>
        <w:overflowPunct/>
        <w:autoSpaceDE/>
        <w:autoSpaceDN/>
        <w:bidi w:val="0"/>
        <w:adjustRightInd/>
        <w:snapToGrid/>
        <w:spacing w:after="120" w:line="360" w:lineRule="auto"/>
        <w:ind w:firstLine="420" w:firstLineChars="200"/>
        <w:jc w:val="both"/>
        <w:textAlignment w:val="auto"/>
        <w:rPr>
          <w:rFonts w:hint="default" w:ascii="宋体" w:hAnsi="宋体" w:eastAsia="宋体" w:cs="宋体"/>
          <w:snapToGrid/>
          <w:color w:val="auto"/>
          <w:kern w:val="2"/>
          <w:sz w:val="21"/>
          <w:szCs w:val="24"/>
          <w:highlight w:val="none"/>
          <w:lang w:val="en-US" w:eastAsia="zh-CN" w:bidi="ar-SA"/>
        </w:rPr>
      </w:pPr>
      <w:r>
        <w:rPr>
          <w:rFonts w:hint="eastAsia" w:ascii="宋体" w:hAnsi="宋体" w:eastAsia="宋体" w:cs="宋体"/>
          <w:snapToGrid/>
          <w:color w:val="auto"/>
          <w:kern w:val="2"/>
          <w:sz w:val="21"/>
          <w:szCs w:val="24"/>
          <w:highlight w:val="none"/>
          <w:lang w:val="en-US" w:eastAsia="zh-CN" w:bidi="ar-SA"/>
        </w:rPr>
        <w:t>3.2</w:t>
      </w:r>
      <w:r>
        <w:rPr>
          <w:rFonts w:hint="default" w:ascii="宋体" w:hAnsi="宋体" w:eastAsia="宋体" w:cs="宋体"/>
          <w:snapToGrid/>
          <w:color w:val="auto"/>
          <w:kern w:val="2"/>
          <w:sz w:val="21"/>
          <w:szCs w:val="24"/>
          <w:highlight w:val="none"/>
          <w:lang w:val="en-US" w:eastAsia="zh-CN" w:bidi="ar-SA"/>
        </w:rPr>
        <w:t>项目负责人应具有工程类相关专业高级及以上职称及从业资格相关证件，常驻人员应具有相关专业</w:t>
      </w:r>
      <w:r>
        <w:rPr>
          <w:rFonts w:hint="eastAsia" w:ascii="宋体" w:hAnsi="宋体" w:eastAsia="宋体" w:cs="宋体"/>
          <w:snapToGrid/>
          <w:color w:val="auto"/>
          <w:kern w:val="2"/>
          <w:sz w:val="21"/>
          <w:szCs w:val="24"/>
          <w:highlight w:val="none"/>
          <w:lang w:val="en-US" w:eastAsia="zh-CN" w:bidi="ar-SA"/>
        </w:rPr>
        <w:t>中级</w:t>
      </w:r>
      <w:r>
        <w:rPr>
          <w:rFonts w:hint="default" w:ascii="宋体" w:hAnsi="宋体" w:eastAsia="宋体" w:cs="宋体"/>
          <w:snapToGrid/>
          <w:color w:val="auto"/>
          <w:kern w:val="2"/>
          <w:sz w:val="21"/>
          <w:szCs w:val="24"/>
          <w:highlight w:val="none"/>
          <w:lang w:val="en-US" w:eastAsia="zh-CN" w:bidi="ar-SA"/>
        </w:rPr>
        <w:t>及以上技术职称。</w:t>
      </w:r>
    </w:p>
    <w:p w14:paraId="119933A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3.3</w:t>
      </w:r>
      <w:r>
        <w:rPr>
          <w:rFonts w:hint="eastAsia" w:ascii="宋体" w:hAnsi="宋体" w:eastAsia="宋体" w:cs="宋体"/>
          <w:snapToGrid/>
          <w:kern w:val="2"/>
          <w:szCs w:val="24"/>
          <w:highlight w:val="none"/>
          <w:lang w:val="en-US" w:eastAsia="en-US"/>
        </w:rPr>
        <w:t>常驻人员的食宿和交通自行安排。</w:t>
      </w:r>
    </w:p>
    <w:p w14:paraId="7A4BA7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3.4</w:t>
      </w:r>
      <w:r>
        <w:rPr>
          <w:rFonts w:hint="eastAsia" w:ascii="宋体" w:hAnsi="宋体" w:eastAsia="宋体" w:cs="宋体"/>
          <w:snapToGrid/>
          <w:kern w:val="2"/>
          <w:szCs w:val="24"/>
          <w:highlight w:val="none"/>
          <w:lang w:val="en-US" w:eastAsia="en-US"/>
        </w:rPr>
        <w:t>派驻人员的食宿和交通工具的各项支出费用自行承担。</w:t>
      </w:r>
    </w:p>
    <w:p w14:paraId="2B248BC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3.5</w:t>
      </w:r>
      <w:r>
        <w:rPr>
          <w:rFonts w:hint="eastAsia" w:ascii="宋体" w:hAnsi="宋体" w:eastAsia="宋体" w:cs="宋体"/>
          <w:snapToGrid/>
          <w:kern w:val="2"/>
          <w:szCs w:val="24"/>
          <w:highlight w:val="none"/>
          <w:lang w:val="en-US" w:eastAsia="en-US"/>
        </w:rPr>
        <w:t>与本项目相关的人员、车辆、设备等安全由第三方单位负责。</w:t>
      </w:r>
    </w:p>
    <w:p w14:paraId="5409BC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zh-CN"/>
        </w:rPr>
        <w:t>（七）</w:t>
      </w:r>
      <w:r>
        <w:rPr>
          <w:rFonts w:hint="eastAsia" w:ascii="宋体" w:hAnsi="宋体" w:eastAsia="宋体" w:cs="宋体"/>
          <w:snapToGrid/>
          <w:kern w:val="2"/>
          <w:szCs w:val="24"/>
          <w:highlight w:val="none"/>
          <w:lang w:val="en-US" w:eastAsia="en-US"/>
        </w:rPr>
        <w:t>考核办法</w:t>
      </w:r>
    </w:p>
    <w:p w14:paraId="5B9C096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1.人员考勤，由质安中心负责对第三方团队指定专人进行人员考勤。</w:t>
      </w:r>
    </w:p>
    <w:p w14:paraId="342B43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2.常驻人员每人每月不少于23天到施工现场检查/巡查，每月不少于23天考勤出勤人于每个考勤日早上8:30前到质安中心签到。</w:t>
      </w:r>
    </w:p>
    <w:p w14:paraId="59A5C31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3.请假，原则上不得请假，确有特殊原因需请假的应办理书面请假手续，但一天以上应由第三方单位应安排相应替代人员，每名常驻人员请假总天数分别不得超过3天。不请假或请假不符规定的按未出勤计。</w:t>
      </w:r>
    </w:p>
    <w:p w14:paraId="7516D32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4.每名常驻人员每缺勤1天分别按 500元/天扣除咨询服务费。</w:t>
      </w:r>
    </w:p>
    <w:p w14:paraId="44F2059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5.业绩考核，由质安中心负责。</w:t>
      </w:r>
    </w:p>
    <w:p w14:paraId="54B8A3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5.1 第三方应日常巡查到位、检查成果提交及时。月现场巡查每少一天，按500 元/天扣除咨询服务费，以现场检查成果提交为准。</w:t>
      </w:r>
    </w:p>
    <w:p w14:paraId="3C4656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5.2第三方每月少编制一期质量安全检查通报或每季度向质安中心少作一次质量安全监督专题汇报的，由第三方项目负责人向质安中心作出书面说明。</w:t>
      </w:r>
    </w:p>
    <w:p w14:paraId="688590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5.3 第三方累计少编制质量安全检查通报两期以上或累计少向质安中心委作质量安全监督专题汇报达两次以上的，质安中心组织约谈第三方公司负责人，并扣除咨询服务费5000 元/次。</w:t>
      </w:r>
    </w:p>
    <w:p w14:paraId="37FCDEE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5.4.第三方周工作计划或小结、月工作小结、工作总结不按时提交质安中心，经质安中心提醒后仍不提交的按  500元/次扣除履约保证金。</w:t>
      </w:r>
    </w:p>
    <w:p w14:paraId="00DDEF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5.5.由于第三方未正确按监督服务内容和工作要求有效开展监督服务造成业主单位负面社会影响、经济损失的或被上级部门通报的，第三方应承担相应的同等责任。</w:t>
      </w:r>
    </w:p>
    <w:p w14:paraId="0EFAFB8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5.6.由于第三方消极怠工或工作能力不能满足业主单位要求的，业主单位可要求第三方无条件更换同等业务能力工作人员。</w:t>
      </w:r>
    </w:p>
    <w:p w14:paraId="777B9DC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5.7 其他由于第三方原因被举报查实或被纪检查处的，由质安中心或相关纪检部门将处理结果或处理建议抄报有关单位。</w:t>
      </w:r>
    </w:p>
    <w:p w14:paraId="6D1ED5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kern w:val="2"/>
          <w:szCs w:val="24"/>
          <w:highlight w:val="none"/>
          <w:lang w:val="en-US" w:eastAsia="en-US"/>
        </w:rPr>
      </w:pPr>
      <w:r>
        <w:rPr>
          <w:rFonts w:hint="eastAsia" w:ascii="宋体" w:hAnsi="宋体" w:eastAsia="宋体" w:cs="宋体"/>
          <w:snapToGrid/>
          <w:kern w:val="2"/>
          <w:szCs w:val="24"/>
          <w:highlight w:val="none"/>
          <w:lang w:val="en-US" w:eastAsia="en-US"/>
        </w:rPr>
        <w:t>6</w:t>
      </w:r>
      <w:r>
        <w:rPr>
          <w:rFonts w:hint="eastAsia" w:ascii="宋体" w:hAnsi="宋体" w:eastAsia="宋体" w:cs="宋体"/>
          <w:snapToGrid/>
          <w:kern w:val="2"/>
          <w:szCs w:val="24"/>
          <w:highlight w:val="none"/>
          <w:lang w:val="en-US" w:eastAsia="zh-CN"/>
        </w:rPr>
        <w:t>.</w:t>
      </w:r>
      <w:r>
        <w:rPr>
          <w:rFonts w:hint="eastAsia" w:ascii="宋体" w:hAnsi="宋体" w:eastAsia="宋体" w:cs="宋体"/>
          <w:snapToGrid/>
          <w:kern w:val="2"/>
          <w:szCs w:val="24"/>
          <w:highlight w:val="none"/>
          <w:lang w:val="en-US" w:eastAsia="en-US"/>
        </w:rPr>
        <w:t>项目服务期满，由质安中心组织验收，未通过验收的，服务余款可不予支付。</w:t>
      </w:r>
    </w:p>
    <w:p w14:paraId="007A5F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snapToGrid w:val="0"/>
          <w:color w:val="000000"/>
          <w:spacing w:val="-8"/>
          <w:kern w:val="0"/>
          <w:sz w:val="24"/>
          <w:szCs w:val="24"/>
          <w:lang w:val="en-US" w:eastAsia="zh-CN"/>
        </w:rPr>
      </w:pPr>
      <w:r>
        <w:rPr>
          <w:rFonts w:hint="eastAsia" w:ascii="宋体" w:hAnsi="宋体" w:eastAsia="宋体" w:cs="宋体"/>
          <w:snapToGrid/>
          <w:kern w:val="2"/>
          <w:szCs w:val="24"/>
          <w:highlight w:val="none"/>
          <w:lang w:val="en-US" w:eastAsia="en-US"/>
        </w:rPr>
        <w:t>7</w:t>
      </w:r>
      <w:r>
        <w:rPr>
          <w:rFonts w:hint="eastAsia" w:ascii="宋体" w:hAnsi="宋体" w:eastAsia="宋体" w:cs="宋体"/>
          <w:snapToGrid/>
          <w:kern w:val="2"/>
          <w:szCs w:val="24"/>
          <w:highlight w:val="none"/>
          <w:lang w:val="en-US" w:eastAsia="zh-CN"/>
        </w:rPr>
        <w:t>.</w:t>
      </w:r>
      <w:r>
        <w:rPr>
          <w:rFonts w:hint="eastAsia" w:ascii="宋体" w:hAnsi="宋体" w:eastAsia="宋体" w:cs="宋体"/>
          <w:snapToGrid/>
          <w:kern w:val="2"/>
          <w:szCs w:val="24"/>
          <w:highlight w:val="none"/>
          <w:lang w:val="en-US" w:eastAsia="en-US"/>
        </w:rPr>
        <w:t>合同另有约定的按合同执行。</w:t>
      </w:r>
    </w:p>
    <w:p w14:paraId="4CEFFC6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napToGrid/>
          <w:kern w:val="2"/>
          <w:sz w:val="21"/>
          <w:szCs w:val="21"/>
          <w:highlight w:val="none"/>
          <w:lang w:eastAsia="zh-CN"/>
        </w:rPr>
      </w:pPr>
      <w:r>
        <w:rPr>
          <w:rFonts w:hint="eastAsia" w:ascii="宋体" w:hAnsi="宋体" w:eastAsia="宋体" w:cs="宋体"/>
          <w:b/>
          <w:bCs/>
          <w:snapToGrid/>
          <w:color w:val="000000"/>
          <w:kern w:val="0"/>
          <w:sz w:val="21"/>
          <w:szCs w:val="21"/>
          <w:highlight w:val="none"/>
          <w:lang w:val="en-US" w:eastAsia="zh-CN" w:bidi="ar"/>
        </w:rPr>
        <w:t xml:space="preserve">二、商务要求 </w:t>
      </w:r>
    </w:p>
    <w:p w14:paraId="02FBFC51">
      <w:pPr>
        <w:pageBreakBefore w:val="0"/>
        <w:widowControl w:val="0"/>
        <w:numPr>
          <w:ilvl w:val="0"/>
          <w:numId w:val="0"/>
        </w:numPr>
        <w:kinsoku/>
        <w:overflowPunct/>
        <w:autoSpaceDE/>
        <w:autoSpaceDN/>
        <w:bidi w:val="0"/>
        <w:adjustRightInd/>
        <w:snapToGrid/>
        <w:spacing w:after="120" w:line="360" w:lineRule="auto"/>
        <w:ind w:firstLine="420" w:firstLineChars="200"/>
        <w:jc w:val="both"/>
        <w:textAlignment w:val="auto"/>
        <w:rPr>
          <w:rFonts w:hint="eastAsia" w:ascii="宋体" w:hAnsi="宋体" w:eastAsia="宋体" w:cs="宋体"/>
          <w:snapToGrid/>
          <w:kern w:val="2"/>
          <w:sz w:val="21"/>
          <w:szCs w:val="24"/>
          <w:highlight w:val="none"/>
          <w:lang w:val="en-US" w:eastAsia="zh-CN" w:bidi="ar-SA"/>
        </w:rPr>
      </w:pPr>
      <w:r>
        <w:rPr>
          <w:rFonts w:hint="eastAsia" w:ascii="宋体" w:hAnsi="宋体" w:eastAsia="宋体" w:cs="宋体"/>
          <w:snapToGrid/>
          <w:kern w:val="2"/>
          <w:sz w:val="21"/>
          <w:szCs w:val="24"/>
          <w:highlight w:val="none"/>
          <w:lang w:val="en-US" w:eastAsia="zh-CN" w:bidi="ar-SA"/>
        </w:rPr>
        <w:t>1.采购范围：郑州市郑东新区建设局2026-2028年度建设工程质量安全监督第三方技术咨询服务。</w:t>
      </w:r>
    </w:p>
    <w:p w14:paraId="7BA11EC3">
      <w:pPr>
        <w:pageBreakBefore w:val="0"/>
        <w:widowControl w:val="0"/>
        <w:numPr>
          <w:ilvl w:val="0"/>
          <w:numId w:val="0"/>
        </w:numPr>
        <w:kinsoku/>
        <w:overflowPunct/>
        <w:autoSpaceDE/>
        <w:autoSpaceDN/>
        <w:bidi w:val="0"/>
        <w:adjustRightInd/>
        <w:snapToGrid/>
        <w:spacing w:after="120" w:line="360" w:lineRule="auto"/>
        <w:ind w:firstLine="420" w:firstLineChars="200"/>
        <w:jc w:val="both"/>
        <w:textAlignment w:val="auto"/>
        <w:rPr>
          <w:rFonts w:hint="eastAsia" w:ascii="宋体" w:hAnsi="宋体" w:eastAsia="宋体" w:cs="宋体"/>
          <w:snapToGrid/>
          <w:kern w:val="2"/>
          <w:sz w:val="21"/>
          <w:szCs w:val="24"/>
          <w:highlight w:val="none"/>
          <w:lang w:val="en-US" w:eastAsia="zh-CN" w:bidi="ar-SA"/>
        </w:rPr>
      </w:pPr>
      <w:r>
        <w:rPr>
          <w:rFonts w:hint="eastAsia" w:ascii="宋体" w:hAnsi="宋体" w:eastAsia="宋体" w:cs="宋体"/>
          <w:snapToGrid/>
          <w:kern w:val="2"/>
          <w:sz w:val="21"/>
          <w:szCs w:val="24"/>
          <w:highlight w:val="none"/>
          <w:lang w:val="en-US" w:eastAsia="zh-CN" w:bidi="ar-SA"/>
        </w:rPr>
        <w:t>2.资金来源：财政资金。</w:t>
      </w:r>
    </w:p>
    <w:p w14:paraId="6E4794AB">
      <w:pPr>
        <w:pageBreakBefore w:val="0"/>
        <w:widowControl w:val="0"/>
        <w:numPr>
          <w:ilvl w:val="0"/>
          <w:numId w:val="0"/>
        </w:numPr>
        <w:kinsoku/>
        <w:overflowPunct/>
        <w:autoSpaceDE/>
        <w:autoSpaceDN/>
        <w:bidi w:val="0"/>
        <w:adjustRightInd/>
        <w:snapToGrid/>
        <w:spacing w:after="120" w:line="360" w:lineRule="auto"/>
        <w:ind w:firstLine="420" w:firstLineChars="200"/>
        <w:jc w:val="both"/>
        <w:textAlignment w:val="auto"/>
        <w:rPr>
          <w:rFonts w:hint="eastAsia" w:ascii="宋体" w:hAnsi="宋体" w:eastAsia="宋体" w:cs="宋体"/>
          <w:snapToGrid/>
          <w:kern w:val="2"/>
          <w:sz w:val="21"/>
          <w:szCs w:val="24"/>
          <w:highlight w:val="none"/>
          <w:lang w:val="en-US" w:eastAsia="zh-CN" w:bidi="ar-SA"/>
        </w:rPr>
      </w:pPr>
      <w:r>
        <w:rPr>
          <w:rFonts w:hint="eastAsia" w:ascii="宋体" w:hAnsi="宋体" w:eastAsia="宋体" w:cs="宋体"/>
          <w:snapToGrid/>
          <w:kern w:val="2"/>
          <w:sz w:val="21"/>
          <w:szCs w:val="24"/>
          <w:highlight w:val="none"/>
          <w:lang w:val="en-US" w:eastAsia="zh-CN" w:bidi="ar-SA"/>
        </w:rPr>
        <w:t>3.服务期限：</w:t>
      </w:r>
      <w:r>
        <w:rPr>
          <w:rFonts w:hint="eastAsia" w:ascii="宋体" w:hAnsi="宋体" w:eastAsia="宋体" w:cs="宋体"/>
          <w:snapToGrid/>
          <w:color w:val="auto"/>
          <w:kern w:val="2"/>
          <w:sz w:val="21"/>
          <w:szCs w:val="21"/>
          <w:highlight w:val="none"/>
          <w:shd w:val="clear" w:color="auto" w:fill="FFFFFF"/>
          <w:lang w:val="en-US" w:eastAsia="zh-CN"/>
        </w:rPr>
        <w:t>自合同签订之日起2年</w:t>
      </w:r>
      <w:r>
        <w:rPr>
          <w:rFonts w:hint="eastAsia" w:ascii="宋体" w:hAnsi="宋体" w:eastAsia="宋体" w:cs="宋体"/>
          <w:snapToGrid/>
          <w:kern w:val="2"/>
          <w:sz w:val="21"/>
          <w:szCs w:val="24"/>
          <w:highlight w:val="none"/>
          <w:lang w:val="en-US" w:eastAsia="zh-CN" w:bidi="ar-SA"/>
        </w:rPr>
        <w:t>。</w:t>
      </w:r>
    </w:p>
    <w:p w14:paraId="10AA2787">
      <w:pPr>
        <w:pageBreakBefore w:val="0"/>
        <w:widowControl w:val="0"/>
        <w:numPr>
          <w:ilvl w:val="0"/>
          <w:numId w:val="0"/>
        </w:numPr>
        <w:kinsoku/>
        <w:overflowPunct/>
        <w:autoSpaceDE/>
        <w:autoSpaceDN/>
        <w:bidi w:val="0"/>
        <w:adjustRightInd/>
        <w:snapToGrid/>
        <w:spacing w:after="120" w:line="360" w:lineRule="auto"/>
        <w:ind w:firstLine="420" w:firstLineChars="200"/>
        <w:jc w:val="both"/>
        <w:textAlignment w:val="auto"/>
        <w:rPr>
          <w:rFonts w:hint="eastAsia" w:ascii="宋体" w:hAnsi="宋体" w:eastAsia="宋体" w:cs="宋体"/>
          <w:snapToGrid/>
          <w:kern w:val="2"/>
          <w:sz w:val="21"/>
          <w:szCs w:val="24"/>
          <w:highlight w:val="none"/>
          <w:lang w:val="en-US" w:eastAsia="zh-CN" w:bidi="ar-SA"/>
        </w:rPr>
      </w:pPr>
      <w:r>
        <w:rPr>
          <w:rFonts w:hint="eastAsia" w:ascii="宋体" w:hAnsi="宋体" w:eastAsia="宋体" w:cs="宋体"/>
          <w:snapToGrid/>
          <w:kern w:val="2"/>
          <w:sz w:val="21"/>
          <w:szCs w:val="24"/>
          <w:highlight w:val="none"/>
          <w:lang w:val="en-US" w:eastAsia="zh-CN" w:bidi="ar-SA"/>
        </w:rPr>
        <w:t>4.服务地点：采购人指定地点。</w:t>
      </w:r>
    </w:p>
    <w:p w14:paraId="30AA6D65">
      <w:pPr>
        <w:pageBreakBefore w:val="0"/>
        <w:widowControl w:val="0"/>
        <w:numPr>
          <w:ilvl w:val="0"/>
          <w:numId w:val="0"/>
        </w:numPr>
        <w:kinsoku/>
        <w:overflowPunct/>
        <w:autoSpaceDE/>
        <w:autoSpaceDN/>
        <w:bidi w:val="0"/>
        <w:adjustRightInd/>
        <w:snapToGrid/>
        <w:spacing w:after="120" w:line="360" w:lineRule="auto"/>
        <w:ind w:firstLine="420" w:firstLineChars="200"/>
        <w:jc w:val="both"/>
        <w:textAlignment w:val="auto"/>
        <w:rPr>
          <w:rFonts w:hint="eastAsia" w:ascii="宋体" w:hAnsi="宋体" w:eastAsia="宋体" w:cs="宋体"/>
          <w:snapToGrid/>
          <w:kern w:val="2"/>
          <w:sz w:val="21"/>
          <w:szCs w:val="24"/>
          <w:highlight w:val="none"/>
          <w:lang w:val="en-US" w:eastAsia="zh-CN" w:bidi="ar-SA"/>
        </w:rPr>
      </w:pPr>
      <w:r>
        <w:rPr>
          <w:rFonts w:hint="eastAsia" w:ascii="宋体" w:hAnsi="宋体" w:eastAsia="宋体" w:cs="宋体"/>
          <w:snapToGrid/>
          <w:kern w:val="2"/>
          <w:sz w:val="21"/>
          <w:szCs w:val="24"/>
          <w:highlight w:val="none"/>
          <w:lang w:val="en-US" w:eastAsia="zh-CN" w:bidi="ar-SA"/>
        </w:rPr>
        <w:t>5.服务质量：合格，满足采购人要求。</w:t>
      </w:r>
    </w:p>
    <w:p w14:paraId="721DF5A6">
      <w:pPr>
        <w:pageBreakBefore w:val="0"/>
        <w:widowControl w:val="0"/>
        <w:numPr>
          <w:ilvl w:val="0"/>
          <w:numId w:val="0"/>
        </w:numPr>
        <w:kinsoku/>
        <w:overflowPunct/>
        <w:autoSpaceDE/>
        <w:autoSpaceDN/>
        <w:bidi w:val="0"/>
        <w:adjustRightInd/>
        <w:snapToGrid/>
        <w:spacing w:after="120" w:line="360" w:lineRule="auto"/>
        <w:ind w:firstLine="420" w:firstLineChars="200"/>
        <w:jc w:val="both"/>
        <w:textAlignment w:val="auto"/>
        <w:rPr>
          <w:rFonts w:hint="eastAsia" w:ascii="宋体" w:hAnsi="宋体" w:eastAsia="宋体" w:cs="宋体"/>
          <w:snapToGrid/>
          <w:kern w:val="2"/>
          <w:sz w:val="21"/>
          <w:szCs w:val="24"/>
          <w:highlight w:val="none"/>
          <w:lang w:val="en-US" w:eastAsia="zh-CN" w:bidi="ar-SA"/>
        </w:rPr>
      </w:pPr>
      <w:r>
        <w:rPr>
          <w:rFonts w:hint="eastAsia" w:ascii="宋体" w:hAnsi="宋体" w:eastAsia="宋体" w:cs="宋体"/>
          <w:snapToGrid/>
          <w:kern w:val="2"/>
          <w:sz w:val="21"/>
          <w:szCs w:val="24"/>
          <w:highlight w:val="none"/>
          <w:lang w:val="en-US" w:eastAsia="zh-CN" w:bidi="ar-SA"/>
        </w:rPr>
        <w:t>6.付款方式：</w:t>
      </w:r>
      <w:r>
        <w:rPr>
          <w:rFonts w:hint="eastAsia" w:ascii="宋体" w:hAnsi="宋体" w:eastAsia="宋体" w:cs="宋体"/>
          <w:snapToGrid/>
          <w:color w:val="auto"/>
          <w:kern w:val="2"/>
          <w:sz w:val="21"/>
          <w:szCs w:val="21"/>
          <w:highlight w:val="none"/>
          <w:lang w:val="en-US" w:eastAsia="zh-CN"/>
        </w:rPr>
        <w:t>：按照年度周期进行付款，乙方按要求开展工作满7个月后，甲</w:t>
      </w:r>
      <w:r>
        <w:rPr>
          <w:rFonts w:hint="eastAsia" w:ascii="宋体" w:hAnsi="宋体" w:eastAsia="宋体" w:cs="宋体"/>
          <w:snapToGrid/>
          <w:color w:val="auto"/>
          <w:kern w:val="2"/>
          <w:szCs w:val="24"/>
          <w:highlight w:val="none"/>
          <w:lang w:val="en-US" w:eastAsia="zh-CN"/>
        </w:rPr>
        <w:t>方向乙方支付年度合同金额的60%，年度服务期限时间到期后，支付年度合同金额的剩余费用。</w:t>
      </w:r>
    </w:p>
    <w:p w14:paraId="7DFC68A1">
      <w:pPr>
        <w:pageBreakBefore w:val="0"/>
        <w:widowControl w:val="0"/>
        <w:numPr>
          <w:ilvl w:val="0"/>
          <w:numId w:val="0"/>
        </w:numPr>
        <w:kinsoku/>
        <w:overflowPunct/>
        <w:autoSpaceDE/>
        <w:autoSpaceDN/>
        <w:bidi w:val="0"/>
        <w:adjustRightInd/>
        <w:snapToGrid/>
        <w:spacing w:after="120" w:line="360" w:lineRule="auto"/>
        <w:ind w:firstLine="420" w:firstLineChars="200"/>
        <w:jc w:val="both"/>
        <w:textAlignment w:val="auto"/>
        <w:rPr>
          <w:rFonts w:hint="default" w:ascii="宋体" w:hAnsi="宋体" w:eastAsia="宋体" w:cs="宋体"/>
          <w:snapToGrid/>
          <w:kern w:val="2"/>
          <w:sz w:val="21"/>
          <w:szCs w:val="24"/>
          <w:highlight w:val="none"/>
          <w:lang w:val="en-US" w:eastAsia="zh-CN" w:bidi="ar-SA"/>
        </w:rPr>
      </w:pPr>
      <w:r>
        <w:rPr>
          <w:rFonts w:hint="eastAsia" w:ascii="宋体" w:hAnsi="宋体" w:eastAsia="宋体" w:cs="宋体"/>
          <w:snapToGrid/>
          <w:kern w:val="2"/>
          <w:sz w:val="21"/>
          <w:szCs w:val="24"/>
          <w:highlight w:val="none"/>
          <w:lang w:val="en-US" w:eastAsia="zh-CN" w:bidi="ar-SA"/>
        </w:rPr>
        <w:t>7.验收标准：</w:t>
      </w:r>
      <w:r>
        <w:rPr>
          <w:rFonts w:hint="eastAsia" w:ascii="宋体" w:hAnsi="宋体" w:eastAsia="宋体" w:cs="宋体"/>
          <w:snapToGrid/>
          <w:color w:val="auto"/>
          <w:kern w:val="2"/>
          <w:sz w:val="21"/>
          <w:szCs w:val="21"/>
          <w:highlight w:val="none"/>
          <w:lang w:val="en-US" w:eastAsia="zh-CN"/>
        </w:rPr>
        <w:t>符合招标文件、投标文件等文件要求。</w:t>
      </w:r>
    </w:p>
    <w:p w14:paraId="0622222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napToGrid/>
          <w:color w:val="000000"/>
          <w:kern w:val="0"/>
          <w:sz w:val="21"/>
          <w:szCs w:val="21"/>
          <w:highlight w:val="none"/>
          <w:lang w:val="en-US" w:eastAsia="zh-CN" w:bidi="ar"/>
        </w:rPr>
      </w:pPr>
      <w:r>
        <w:rPr>
          <w:rFonts w:hint="eastAsia" w:ascii="宋体" w:hAnsi="宋体" w:eastAsia="宋体" w:cs="宋体"/>
          <w:b/>
          <w:bCs/>
          <w:snapToGrid/>
          <w:color w:val="000000"/>
          <w:kern w:val="0"/>
          <w:sz w:val="21"/>
          <w:szCs w:val="21"/>
          <w:highlight w:val="none"/>
          <w:lang w:val="en-US" w:eastAsia="zh-CN" w:bidi="ar"/>
        </w:rPr>
        <w:t>三、其他要求</w:t>
      </w:r>
    </w:p>
    <w:p w14:paraId="446CCA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napToGrid/>
          <w:color w:val="auto"/>
          <w:kern w:val="0"/>
          <w:sz w:val="21"/>
          <w:szCs w:val="21"/>
          <w:highlight w:val="none"/>
          <w:lang w:val="en-US" w:eastAsia="zh-CN" w:bidi="ar"/>
        </w:rPr>
      </w:pPr>
      <w:r>
        <w:rPr>
          <w:rFonts w:hint="eastAsia" w:ascii="宋体" w:hAnsi="宋体" w:eastAsia="宋体" w:cs="宋体"/>
          <w:snapToGrid/>
          <w:kern w:val="2"/>
          <w:szCs w:val="24"/>
          <w:highlight w:val="none"/>
          <w:lang w:val="en-US" w:eastAsia="zh-CN"/>
        </w:rPr>
        <w:t>（1）投标人针对本项目，编制总体服务方案，包含对项目的需求</w:t>
      </w:r>
      <w:r>
        <w:rPr>
          <w:rFonts w:hint="eastAsia" w:ascii="宋体" w:hAnsi="宋体" w:eastAsia="宋体" w:cs="宋体"/>
          <w:snapToGrid/>
          <w:color w:val="auto"/>
          <w:kern w:val="0"/>
          <w:sz w:val="21"/>
          <w:szCs w:val="21"/>
          <w:highlight w:val="none"/>
          <w:lang w:val="en-US" w:eastAsia="zh-CN" w:bidi="ar"/>
        </w:rPr>
        <w:t>理解、巡查实施方案、整体服务方案、质量安全及技术咨询服务、项目进度安排方案。</w:t>
      </w:r>
    </w:p>
    <w:p w14:paraId="1CF0830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snapToGrid/>
          <w:color w:val="auto"/>
          <w:kern w:val="0"/>
          <w:sz w:val="21"/>
          <w:szCs w:val="21"/>
          <w:highlight w:val="none"/>
          <w:lang w:val="en-US" w:eastAsia="zh-CN" w:bidi="ar"/>
        </w:rPr>
      </w:pPr>
      <w:r>
        <w:rPr>
          <w:rFonts w:hint="eastAsia" w:ascii="宋体" w:hAnsi="宋体" w:eastAsia="宋体" w:cs="宋体"/>
          <w:snapToGrid/>
          <w:color w:val="auto"/>
          <w:kern w:val="0"/>
          <w:sz w:val="21"/>
          <w:szCs w:val="21"/>
          <w:highlight w:val="none"/>
          <w:lang w:val="en-US" w:eastAsia="zh-CN" w:bidi="ar"/>
        </w:rPr>
        <w:t>（2）</w:t>
      </w:r>
      <w:r>
        <w:rPr>
          <w:rFonts w:hint="eastAsia" w:ascii="宋体" w:hAnsi="宋体" w:eastAsia="宋体" w:cs="宋体"/>
          <w:snapToGrid/>
          <w:kern w:val="2"/>
          <w:szCs w:val="24"/>
          <w:highlight w:val="none"/>
          <w:lang w:val="en-US" w:eastAsia="zh-CN"/>
        </w:rPr>
        <w:t>投标人针对本项目，编制服务质量控制及保障措施，包含服务质量制度、质量保障措施、风险管控措施、安全生产教育培训方案</w:t>
      </w:r>
      <w:r>
        <w:rPr>
          <w:rFonts w:hint="eastAsia" w:ascii="宋体" w:hAnsi="宋体" w:eastAsia="宋体" w:cs="宋体"/>
          <w:snapToGrid/>
          <w:color w:val="auto"/>
          <w:kern w:val="0"/>
          <w:sz w:val="21"/>
          <w:szCs w:val="21"/>
          <w:highlight w:val="none"/>
          <w:lang w:val="en-US" w:eastAsia="zh-CN" w:bidi="ar"/>
        </w:rPr>
        <w:t>。</w:t>
      </w:r>
    </w:p>
    <w:p w14:paraId="65958E99">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（3）</w:t>
      </w:r>
      <w:r>
        <w:rPr>
          <w:rFonts w:hint="eastAsia" w:ascii="宋体" w:hAnsi="宋体" w:eastAsia="宋体" w:cs="宋体"/>
          <w:snapToGrid/>
          <w:kern w:val="2"/>
          <w:szCs w:val="24"/>
          <w:highlight w:val="none"/>
          <w:lang w:val="en-US" w:eastAsia="zh-CN"/>
        </w:rPr>
        <w:t>投标人针对本项目</w:t>
      </w:r>
      <w:r>
        <w:rPr>
          <w:rFonts w:hint="eastAsia" w:ascii="宋体" w:hAnsi="宋体" w:eastAsia="宋体" w:cs="宋体"/>
          <w:snapToGrid/>
          <w:color w:val="auto"/>
          <w:kern w:val="2"/>
          <w:sz w:val="21"/>
          <w:szCs w:val="21"/>
          <w:highlight w:val="none"/>
          <w:lang w:val="en-US" w:eastAsia="zh-CN"/>
        </w:rPr>
        <w:t>，编制</w:t>
      </w:r>
      <w:r>
        <w:rPr>
          <w:rFonts w:hint="eastAsia" w:ascii="宋体" w:hAnsi="宋体" w:eastAsia="宋体" w:cs="宋体"/>
          <w:snapToGrid/>
          <w:kern w:val="2"/>
          <w:szCs w:val="24"/>
          <w:highlight w:val="none"/>
          <w:lang w:val="en-US" w:eastAsia="zh-CN"/>
        </w:rPr>
        <w:t>内部管理制度</w:t>
      </w:r>
      <w:r>
        <w:rPr>
          <w:rFonts w:hint="eastAsia" w:ascii="宋体" w:hAnsi="宋体" w:eastAsia="宋体" w:cs="宋体"/>
          <w:snapToGrid/>
          <w:color w:val="auto"/>
          <w:kern w:val="2"/>
          <w:sz w:val="21"/>
          <w:szCs w:val="21"/>
          <w:highlight w:val="none"/>
          <w:lang w:val="en-US" w:eastAsia="zh-CN"/>
        </w:rPr>
        <w:t>，包含档案管理制度</w:t>
      </w:r>
      <w:r>
        <w:rPr>
          <w:rFonts w:hint="eastAsia" w:ascii="宋体" w:hAnsi="宋体" w:eastAsia="宋体" w:cs="宋体"/>
          <w:snapToGrid/>
          <w:kern w:val="2"/>
          <w:szCs w:val="24"/>
          <w:highlight w:val="none"/>
          <w:lang w:val="en-US" w:eastAsia="zh-CN"/>
        </w:rPr>
        <w:t>、咨询</w:t>
      </w:r>
      <w:r>
        <w:rPr>
          <w:rFonts w:hint="eastAsia" w:ascii="宋体" w:hAnsi="宋体" w:eastAsia="宋体" w:cs="宋体"/>
          <w:snapToGrid/>
          <w:color w:val="auto"/>
          <w:kern w:val="2"/>
          <w:sz w:val="21"/>
          <w:szCs w:val="21"/>
          <w:highlight w:val="none"/>
          <w:lang w:val="en-US" w:eastAsia="zh-CN"/>
        </w:rPr>
        <w:t>服务管理制度、岗位责任制度</w:t>
      </w:r>
      <w:r>
        <w:rPr>
          <w:rFonts w:hint="eastAsia" w:ascii="宋体" w:hAnsi="宋体" w:eastAsia="宋体" w:cs="宋体"/>
          <w:snapToGrid/>
          <w:kern w:val="2"/>
          <w:szCs w:val="24"/>
          <w:highlight w:val="none"/>
          <w:lang w:val="en-US" w:eastAsia="zh-CN"/>
        </w:rPr>
        <w:t>、</w:t>
      </w:r>
      <w:r>
        <w:rPr>
          <w:rFonts w:hint="eastAsia" w:ascii="宋体" w:hAnsi="宋体" w:eastAsia="宋体" w:cs="宋体"/>
          <w:snapToGrid/>
          <w:color w:val="auto"/>
          <w:kern w:val="2"/>
          <w:sz w:val="21"/>
          <w:szCs w:val="21"/>
          <w:highlight w:val="none"/>
          <w:lang w:val="en-US" w:eastAsia="zh-CN"/>
        </w:rPr>
        <w:t>服务人员管理制度。</w:t>
      </w:r>
    </w:p>
    <w:p w14:paraId="3A0CB88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snapToGrid/>
          <w:color w:val="auto"/>
          <w:kern w:val="0"/>
          <w:sz w:val="21"/>
          <w:szCs w:val="21"/>
          <w:highlight w:val="none"/>
          <w:lang w:val="en-US" w:eastAsia="zh-CN" w:bidi="ar"/>
        </w:rPr>
      </w:pPr>
      <w:r>
        <w:rPr>
          <w:rFonts w:hint="eastAsia" w:ascii="宋体" w:hAnsi="宋体" w:eastAsia="宋体" w:cs="宋体"/>
          <w:snapToGrid/>
          <w:kern w:val="2"/>
          <w:szCs w:val="24"/>
          <w:highlight w:val="none"/>
          <w:lang w:val="en-US" w:eastAsia="zh-CN"/>
        </w:rPr>
        <w:t>（4）投标人针对本项目，编制人员调配方案，包含</w:t>
      </w:r>
      <w:r>
        <w:rPr>
          <w:rFonts w:hint="eastAsia" w:ascii="宋体" w:hAnsi="宋体" w:eastAsia="宋体" w:cs="宋体"/>
          <w:snapToGrid/>
          <w:color w:val="auto"/>
          <w:kern w:val="0"/>
          <w:sz w:val="21"/>
          <w:szCs w:val="21"/>
          <w:highlight w:val="none"/>
          <w:lang w:val="en-US" w:eastAsia="zh-CN" w:bidi="ar"/>
        </w:rPr>
        <w:t>人员编制与岗位规划、人员调配原则、动态调整机制、人员调配流程。</w:t>
      </w:r>
    </w:p>
    <w:p w14:paraId="24B878E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（5）</w:t>
      </w:r>
      <w:r>
        <w:rPr>
          <w:rFonts w:hint="eastAsia" w:ascii="宋体" w:hAnsi="宋体" w:eastAsia="宋体" w:cs="宋体"/>
          <w:snapToGrid/>
          <w:kern w:val="2"/>
          <w:szCs w:val="24"/>
          <w:highlight w:val="none"/>
          <w:lang w:val="en-US" w:eastAsia="zh-CN"/>
        </w:rPr>
        <w:t>投标人针对本项目</w:t>
      </w:r>
      <w:r>
        <w:rPr>
          <w:rFonts w:hint="eastAsia" w:ascii="宋体" w:hAnsi="宋体" w:eastAsia="宋体" w:cs="宋体"/>
          <w:snapToGrid/>
          <w:color w:val="auto"/>
          <w:kern w:val="2"/>
          <w:sz w:val="21"/>
          <w:szCs w:val="21"/>
          <w:highlight w:val="none"/>
          <w:lang w:val="en-US" w:eastAsia="zh-CN"/>
        </w:rPr>
        <w:t>，编制应急预案，包含关键环节、关键节点应对措施、安全措施、人员配备应急措施、其他保障手段及预防措施。</w:t>
      </w:r>
    </w:p>
    <w:p w14:paraId="009D1F7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outlineLvl w:val="9"/>
        <w:rPr>
          <w:rFonts w:hint="default" w:ascii="宋体" w:hAnsi="宋体" w:eastAsia="宋体" w:cs="宋体"/>
          <w:snapToGrid/>
          <w:color w:val="auto"/>
          <w:kern w:val="0"/>
          <w:sz w:val="21"/>
          <w:szCs w:val="21"/>
          <w:highlight w:val="none"/>
          <w:lang w:val="en-US" w:eastAsia="zh-CN" w:bidi="ar"/>
        </w:rPr>
      </w:pPr>
      <w:r>
        <w:rPr>
          <w:rFonts w:hint="eastAsia" w:ascii="宋体" w:hAnsi="宋体" w:eastAsia="宋体" w:cs="宋体"/>
          <w:snapToGrid/>
          <w:color w:val="auto"/>
          <w:kern w:val="0"/>
          <w:sz w:val="21"/>
          <w:szCs w:val="21"/>
          <w:highlight w:val="none"/>
          <w:lang w:val="en-US" w:eastAsia="zh-CN" w:bidi="ar"/>
        </w:rPr>
        <w:t>（6）</w:t>
      </w:r>
      <w:r>
        <w:rPr>
          <w:rFonts w:hint="eastAsia" w:ascii="宋体" w:hAnsi="宋体" w:eastAsia="宋体" w:cs="宋体"/>
          <w:snapToGrid/>
          <w:kern w:val="2"/>
          <w:szCs w:val="24"/>
          <w:highlight w:val="none"/>
          <w:lang w:val="en-US" w:eastAsia="zh-CN"/>
        </w:rPr>
        <w:t>投标人针对本项目</w:t>
      </w:r>
      <w:r>
        <w:rPr>
          <w:rFonts w:hint="eastAsia" w:ascii="宋体" w:hAnsi="宋体" w:eastAsia="宋体" w:cs="宋体"/>
          <w:snapToGrid/>
          <w:color w:val="auto"/>
          <w:kern w:val="2"/>
          <w:sz w:val="21"/>
          <w:szCs w:val="21"/>
          <w:highlight w:val="none"/>
          <w:lang w:val="en-US" w:eastAsia="zh-CN"/>
        </w:rPr>
        <w:t>，编制</w:t>
      </w:r>
      <w:r>
        <w:rPr>
          <w:rFonts w:hint="eastAsia" w:ascii="宋体" w:hAnsi="宋体" w:eastAsia="宋体" w:cs="宋体"/>
          <w:snapToGrid/>
          <w:kern w:val="2"/>
          <w:szCs w:val="24"/>
          <w:highlight w:val="none"/>
          <w:lang w:val="en-US" w:eastAsia="zh-CN"/>
        </w:rPr>
        <w:t>服务响应机制及后续服务内容</w:t>
      </w:r>
      <w:r>
        <w:rPr>
          <w:rFonts w:hint="eastAsia" w:ascii="宋体" w:hAnsi="宋体" w:eastAsia="宋体" w:cs="宋体"/>
          <w:snapToGrid/>
          <w:color w:val="auto"/>
          <w:kern w:val="2"/>
          <w:sz w:val="21"/>
          <w:szCs w:val="21"/>
          <w:highlight w:val="none"/>
          <w:lang w:val="en-US" w:eastAsia="zh-CN"/>
        </w:rPr>
        <w:t>，包含服务响应机制、后续服务内容、跟踪服务、信息反馈渠道、处理机制。</w:t>
      </w:r>
    </w:p>
    <w:p w14:paraId="1A861EA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outlineLvl w:val="9"/>
        <w:rPr>
          <w:rFonts w:hint="default" w:ascii="宋体" w:hAnsi="宋体" w:eastAsia="宋体" w:cs="宋体"/>
          <w:snapToGrid/>
          <w:kern w:val="2"/>
          <w:szCs w:val="24"/>
          <w:highlight w:val="none"/>
          <w:lang w:val="en-US" w:eastAsia="zh-CN"/>
        </w:rPr>
      </w:pPr>
      <w:r>
        <w:rPr>
          <w:rFonts w:hint="eastAsia" w:ascii="宋体" w:hAnsi="宋体" w:eastAsia="宋体" w:cs="宋体"/>
          <w:snapToGrid/>
          <w:kern w:val="2"/>
          <w:szCs w:val="24"/>
          <w:highlight w:val="none"/>
          <w:lang w:val="en-US" w:eastAsia="zh-CN"/>
        </w:rPr>
        <w:t>（7）针对本项目，</w:t>
      </w:r>
      <w:r>
        <w:rPr>
          <w:rFonts w:hint="eastAsia" w:ascii="宋体" w:hAnsi="宋体" w:eastAsia="宋体" w:cs="宋体"/>
          <w:b w:val="0"/>
          <w:bCs w:val="0"/>
          <w:snapToGrid/>
          <w:color w:val="auto"/>
          <w:kern w:val="2"/>
          <w:sz w:val="21"/>
          <w:szCs w:val="21"/>
          <w:highlight w:val="none"/>
          <w:lang w:val="en-US" w:eastAsia="zh-CN" w:bidi="ar-SA"/>
        </w:rPr>
        <w:t>投标人</w:t>
      </w:r>
      <w:r>
        <w:rPr>
          <w:rFonts w:hint="eastAsia" w:ascii="宋体" w:hAnsi="宋体" w:eastAsia="宋体" w:cs="宋体"/>
          <w:snapToGrid/>
          <w:color w:val="auto"/>
          <w:kern w:val="2"/>
          <w:sz w:val="21"/>
          <w:szCs w:val="21"/>
          <w:highlight w:val="none"/>
          <w:lang w:val="en-US" w:eastAsia="zh-CN" w:bidi="ar-SA"/>
        </w:rPr>
        <w:t>需</w:t>
      </w:r>
      <w:r>
        <w:rPr>
          <w:rFonts w:hint="eastAsia" w:ascii="宋体" w:hAnsi="宋体" w:eastAsia="宋体" w:cs="宋体"/>
          <w:b w:val="0"/>
          <w:bCs w:val="0"/>
          <w:snapToGrid/>
          <w:color w:val="auto"/>
          <w:kern w:val="2"/>
          <w:sz w:val="21"/>
          <w:szCs w:val="21"/>
          <w:highlight w:val="none"/>
          <w:lang w:val="en-US" w:eastAsia="zh-CN" w:bidi="ar-SA"/>
        </w:rPr>
        <w:t>具备专业的人员服务团队。</w:t>
      </w:r>
    </w:p>
    <w:p w14:paraId="0A43993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kern w:val="2"/>
          <w:szCs w:val="24"/>
          <w:highlight w:val="none"/>
          <w:lang w:val="en-US" w:eastAsia="zh-CN"/>
        </w:rPr>
        <w:t>（8）投标人针对本项目</w:t>
      </w:r>
      <w:r>
        <w:rPr>
          <w:rFonts w:hint="eastAsia" w:ascii="宋体" w:hAnsi="宋体" w:eastAsia="宋体" w:cs="宋体"/>
          <w:snapToGrid/>
          <w:color w:val="auto"/>
          <w:kern w:val="2"/>
          <w:sz w:val="21"/>
          <w:szCs w:val="21"/>
          <w:highlight w:val="none"/>
          <w:lang w:val="en-US" w:eastAsia="zh-CN"/>
        </w:rPr>
        <w:t>，编制</w:t>
      </w:r>
      <w:r>
        <w:rPr>
          <w:rFonts w:hint="eastAsia" w:ascii="宋体" w:hAnsi="宋体" w:eastAsia="宋体" w:cs="宋体"/>
          <w:snapToGrid/>
          <w:kern w:val="2"/>
          <w:szCs w:val="24"/>
          <w:highlight w:val="none"/>
          <w:lang w:val="en-US" w:eastAsia="zh-CN"/>
        </w:rPr>
        <w:t>培训计划</w:t>
      </w:r>
      <w:r>
        <w:rPr>
          <w:rFonts w:hint="eastAsia" w:ascii="宋体" w:hAnsi="宋体" w:eastAsia="宋体" w:cs="宋体"/>
          <w:snapToGrid/>
          <w:color w:val="auto"/>
          <w:kern w:val="2"/>
          <w:sz w:val="21"/>
          <w:szCs w:val="21"/>
          <w:highlight w:val="none"/>
          <w:lang w:val="en-US" w:eastAsia="zh-CN"/>
        </w:rPr>
        <w:t>，包含培训时间计划安排、培训内容、培训方式、培训效果评估机制。</w:t>
      </w:r>
    </w:p>
    <w:p w14:paraId="7452415F">
      <w:r>
        <w:rPr>
          <w:rFonts w:hint="eastAsia" w:ascii="宋体" w:hAnsi="宋体" w:eastAsia="宋体" w:cs="宋体"/>
          <w:snapToGrid/>
          <w:kern w:val="2"/>
          <w:szCs w:val="24"/>
          <w:highlight w:val="none"/>
          <w:lang w:val="en-US" w:eastAsia="zh-CN"/>
        </w:rPr>
        <w:t>（9）投标人可结</w:t>
      </w:r>
      <w:r>
        <w:rPr>
          <w:rFonts w:hint="eastAsia" w:ascii="宋体" w:hAnsi="宋体" w:eastAsia="宋体" w:cs="宋体"/>
          <w:snapToGrid/>
          <w:color w:val="auto"/>
          <w:kern w:val="2"/>
          <w:sz w:val="21"/>
          <w:szCs w:val="21"/>
          <w:highlight w:val="none"/>
          <w:lang w:val="en-US" w:eastAsia="zh-CN"/>
        </w:rPr>
        <w:t>合本项目的实际情况提出有利于采购人的其他服务与承诺，包含不限于</w:t>
      </w:r>
      <w:r>
        <w:rPr>
          <w:rFonts w:hint="eastAsia" w:ascii="宋体" w:hAnsi="宋体" w:eastAsia="宋体" w:cs="宋体"/>
          <w:snapToGrid/>
          <w:color w:val="auto"/>
          <w:kern w:val="0"/>
          <w:sz w:val="21"/>
          <w:szCs w:val="21"/>
          <w:highlight w:val="none"/>
          <w:lang w:val="en-US" w:eastAsia="zh-CN" w:bidi="ar-SA"/>
        </w:rPr>
        <w:t>服务承诺、响应承诺。</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B616C7"/>
    <w:rsid w:val="03A73344"/>
    <w:rsid w:val="06314D1E"/>
    <w:rsid w:val="07F4484F"/>
    <w:rsid w:val="0ADE5E78"/>
    <w:rsid w:val="16397FED"/>
    <w:rsid w:val="318D5B45"/>
    <w:rsid w:val="3E355072"/>
    <w:rsid w:val="3E831D63"/>
    <w:rsid w:val="3FC670AB"/>
    <w:rsid w:val="4A3411EA"/>
    <w:rsid w:val="4B39524B"/>
    <w:rsid w:val="4ED47BEB"/>
    <w:rsid w:val="4FB616C7"/>
    <w:rsid w:val="56AF579F"/>
    <w:rsid w:val="5BB11EDB"/>
    <w:rsid w:val="65381A47"/>
    <w:rsid w:val="74390E42"/>
    <w:rsid w:val="796E28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宋体" w:cs="Arial"/>
      <w:snapToGrid w:val="0"/>
      <w:color w:val="000000"/>
      <w:kern w:val="0"/>
      <w:sz w:val="21"/>
      <w:szCs w:val="21"/>
      <w:lang w:val="en-US" w:eastAsia="en-US" w:bidi="ar-SA"/>
    </w:rPr>
  </w:style>
  <w:style w:type="paragraph" w:styleId="2">
    <w:name w:val="heading 1"/>
    <w:basedOn w:val="1"/>
    <w:next w:val="1"/>
    <w:qFormat/>
    <w:uiPriority w:val="0"/>
    <w:pPr>
      <w:keepNext/>
      <w:keepLines/>
      <w:autoSpaceDE w:val="0"/>
      <w:autoSpaceDN w:val="0"/>
      <w:spacing w:before="340" w:beforeLines="0" w:beforeAutospacing="0" w:after="330" w:afterLines="0" w:afterAutospacing="0" w:line="240" w:lineRule="auto"/>
      <w:jc w:val="center"/>
      <w:outlineLvl w:val="0"/>
    </w:pPr>
    <w:rPr>
      <w:rFonts w:eastAsia="宋体" w:cs="Times New Roman" w:asciiTheme="minorAscii" w:hAnsiTheme="minorAscii"/>
      <w:b/>
      <w:kern w:val="44"/>
      <w:sz w:val="44"/>
      <w:szCs w:val="22"/>
    </w:rPr>
  </w:style>
  <w:style w:type="paragraph" w:styleId="3">
    <w:name w:val="heading 2"/>
    <w:basedOn w:val="1"/>
    <w:next w:val="1"/>
    <w:link w:val="9"/>
    <w:semiHidden/>
    <w:unhideWhenUsed/>
    <w:qFormat/>
    <w:uiPriority w:val="0"/>
    <w:pPr>
      <w:keepNext/>
      <w:keepLines/>
      <w:spacing w:line="360" w:lineRule="auto"/>
      <w:jc w:val="center"/>
      <w:outlineLvl w:val="1"/>
    </w:pPr>
    <w:rPr>
      <w:rFonts w:ascii="宋体" w:hAnsi="宋体" w:eastAsia="宋体" w:cs="宋体"/>
      <w:b/>
      <w:bCs/>
      <w:sz w:val="32"/>
      <w:szCs w:val="24"/>
      <w:highlight w:val="none"/>
      <w:shd w:val="clear" w:color="auto" w:fill="auto"/>
      <w:lang w:bidi="en-US"/>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jc w:val="center"/>
      <w:outlineLvl w:val="2"/>
    </w:pPr>
    <w:rPr>
      <w:rFonts w:ascii="Arial" w:hAnsi="Arial" w:eastAsia="宋体"/>
      <w:b/>
      <w:sz w:val="28"/>
    </w:rPr>
  </w:style>
  <w:style w:type="paragraph" w:styleId="5">
    <w:name w:val="heading 4"/>
    <w:basedOn w:val="1"/>
    <w:next w:val="1"/>
    <w:semiHidden/>
    <w:unhideWhenUsed/>
    <w:qFormat/>
    <w:uiPriority w:val="0"/>
    <w:pPr>
      <w:keepNext/>
      <w:keepLines/>
      <w:spacing w:before="280" w:beforeLines="0" w:beforeAutospacing="0" w:after="290" w:afterLines="0" w:afterAutospacing="0" w:line="372" w:lineRule="auto"/>
      <w:jc w:val="center"/>
      <w:outlineLvl w:val="3"/>
    </w:pPr>
    <w:rPr>
      <w:rFonts w:ascii="Arial" w:hAnsi="Arial" w:eastAsia="宋体" w:cs="Arial"/>
      <w:b/>
      <w:snapToGrid w:val="0"/>
      <w:sz w:val="28"/>
      <w:szCs w:val="21"/>
      <w:lang w:bidi="ar-SA"/>
    </w:rPr>
  </w:style>
  <w:style w:type="paragraph" w:styleId="6">
    <w:name w:val="heading 6"/>
    <w:basedOn w:val="1"/>
    <w:next w:val="1"/>
    <w:semiHidden/>
    <w:unhideWhenUsed/>
    <w:qFormat/>
    <w:uiPriority w:val="0"/>
    <w:pPr>
      <w:keepNext/>
      <w:keepLines/>
      <w:spacing w:before="240" w:beforeLines="0" w:beforeAutospacing="0" w:after="64" w:afterLines="0" w:afterAutospacing="0" w:line="317" w:lineRule="auto"/>
      <w:jc w:val="center"/>
      <w:outlineLvl w:val="5"/>
    </w:pPr>
    <w:rPr>
      <w:rFonts w:ascii="Arial" w:hAnsi="Arial" w:eastAsia="宋体"/>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character" w:customStyle="1" w:styleId="9">
    <w:name w:val="标题 2 Char"/>
    <w:link w:val="3"/>
    <w:qFormat/>
    <w:uiPriority w:val="0"/>
    <w:rPr>
      <w:rFonts w:ascii="宋体" w:hAnsi="宋体" w:eastAsia="宋体" w:cs="宋体"/>
      <w:b/>
      <w:bCs/>
      <w:kern w:val="2"/>
      <w:sz w:val="32"/>
      <w:szCs w:val="24"/>
      <w:highlight w:val="none"/>
      <w:shd w:val="clear" w:color="auto" w:fill="auto"/>
      <w:lang w:val="en-US" w:eastAsia="zh-CN" w:bidi="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2026-09-30T09:25:00Z</dcterms:created>
  <dc:creator>Lenovo</dc:creator>
  <cp:lastModifiedBy>Lenovo</cp:lastModifiedBy>
  <dcterms:modified xsi:type="dcterms:W3CDTF">2026-09-30T09:25:25Z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40D11DA9AE2A4703A18CE4108D457C1D_11</vt:lpwstr>
  </property>
  <property fmtid="{D5CDD505-2E9C-101B-9397-08002B2CF9AE}" pid="4" name="KSOTemplateDocerSaveRecord">
    <vt:lpwstr>eyJoZGlkIjoiZGJmM2RmMmMyYjEwOWY0Mjc0ODI1NGZlNmNhMTU0OTciLCJ1c2VySWQiOiIyMzY3NTM3MjIifQ==</vt:lpwstr>
  </property>
</Properties>
</file>