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80" w:lineRule="exact"/>
        <w:jc w:val="center"/>
        <w:rPr>
          <w:rFonts w:hint="eastAsia" w:ascii="方正小标宋_GBK" w:hAnsi="黑体" w:eastAsia="方正小标宋_GBK"/>
          <w:color w:val="auto"/>
          <w:sz w:val="44"/>
          <w:highlight w:val="none"/>
          <w:lang w:eastAsia="zh-CN"/>
        </w:rPr>
      </w:pPr>
      <w:bookmarkStart w:id="0" w:name="redhead"/>
      <w:r>
        <w:rPr>
          <w:rFonts w:ascii="方正小标宋_GBK" w:hAnsi="黑体" w:eastAsia="方正小标宋_GBK"/>
          <w:color w:val="auto"/>
          <w:sz w:val="44"/>
          <w:highlight w:val="none"/>
        </w:rPr>
        <w:t>重庆银行</w:t>
      </w:r>
      <w:r>
        <w:rPr>
          <w:rFonts w:hint="eastAsia" w:ascii="方正小标宋_GBK" w:hAnsi="黑体" w:eastAsia="方正小标宋_GBK"/>
          <w:color w:val="auto"/>
          <w:sz w:val="44"/>
          <w:highlight w:val="none"/>
          <w:lang w:val="en-US" w:eastAsia="zh-CN"/>
        </w:rPr>
        <w:t>理财产品外部审计</w:t>
      </w:r>
      <w:r>
        <w:rPr>
          <w:rFonts w:ascii="方正小标宋_GBK" w:hAnsi="黑体" w:eastAsia="方正小标宋_GBK"/>
          <w:color w:val="auto"/>
          <w:sz w:val="44"/>
          <w:highlight w:val="none"/>
        </w:rPr>
        <w:t>项目</w:t>
      </w:r>
      <w:r>
        <w:rPr>
          <w:rFonts w:hint="eastAsia" w:ascii="方正小标宋_GBK" w:hAnsi="黑体" w:eastAsia="方正小标宋_GBK"/>
          <w:color w:val="auto"/>
          <w:sz w:val="44"/>
          <w:highlight w:val="none"/>
          <w:lang w:eastAsia="zh-CN"/>
        </w:rPr>
        <w:t>（</w:t>
      </w:r>
      <w:r>
        <w:rPr>
          <w:rFonts w:hint="eastAsia" w:ascii="方正小标宋_GBK" w:hAnsi="黑体" w:eastAsia="方正小标宋_GBK"/>
          <w:color w:val="auto"/>
          <w:sz w:val="44"/>
          <w:highlight w:val="none"/>
          <w:lang w:val="en-US" w:eastAsia="zh-CN"/>
        </w:rPr>
        <w:t>2027年</w:t>
      </w:r>
      <w:r>
        <w:rPr>
          <w:rFonts w:hint="eastAsia" w:ascii="方正小标宋_GBK" w:hAnsi="黑体" w:eastAsia="方正小标宋_GBK"/>
          <w:color w:val="auto"/>
          <w:sz w:val="44"/>
          <w:highlight w:val="none"/>
          <w:lang w:eastAsia="zh-CN"/>
        </w:rPr>
        <w:t>）</w:t>
      </w:r>
    </w:p>
    <w:p>
      <w:pPr>
        <w:widowControl/>
        <w:spacing w:line="580" w:lineRule="exact"/>
        <w:jc w:val="center"/>
        <w:rPr>
          <w:rFonts w:ascii="方正仿宋_GBK" w:eastAsia="方正仿宋_GBK"/>
          <w:color w:val="auto"/>
          <w:sz w:val="32"/>
          <w:highlight w:val="none"/>
        </w:rPr>
      </w:pPr>
      <w:r>
        <w:rPr>
          <w:rFonts w:ascii="方正小标宋_GBK" w:hAnsi="黑体" w:eastAsia="方正小标宋_GBK"/>
          <w:color w:val="auto"/>
          <w:sz w:val="44"/>
          <w:highlight w:val="none"/>
        </w:rPr>
        <w:t>分散采购文件</w:t>
      </w:r>
    </w:p>
    <w:p>
      <w:pPr>
        <w:widowControl/>
        <w:jc w:val="left"/>
        <w:rPr>
          <w:rFonts w:ascii="方正仿宋_GBK" w:eastAsia="方正仿宋_GBK"/>
          <w:color w:val="auto"/>
          <w:sz w:val="32"/>
          <w:highlight w:val="none"/>
        </w:rPr>
      </w:pPr>
    </w:p>
    <w:p>
      <w:pPr>
        <w:widowControl/>
        <w:spacing w:line="520" w:lineRule="exact"/>
        <w:ind w:firstLine="672"/>
        <w:jc w:val="left"/>
        <w:rPr>
          <w:rFonts w:ascii="方正仿宋_GBK" w:hAnsi="仿宋_GB2312" w:eastAsia="方正仿宋_GBK"/>
          <w:color w:val="auto"/>
          <w:sz w:val="32"/>
          <w:highlight w:val="none"/>
        </w:rPr>
      </w:pPr>
      <w:r>
        <w:rPr>
          <w:rFonts w:ascii="方正仿宋_GBK" w:hAnsi="仿宋_GB2312" w:eastAsia="方正仿宋_GBK"/>
          <w:color w:val="auto"/>
          <w:sz w:val="32"/>
          <w:highlight w:val="none"/>
        </w:rPr>
        <w:t>现邀请贵公司就“</w:t>
      </w:r>
      <w:r>
        <w:rPr>
          <w:rFonts w:hint="eastAsia" w:ascii="方正仿宋_GBK" w:hAnsi="仿宋_GB2312" w:eastAsia="方正仿宋_GBK"/>
          <w:color w:val="auto"/>
          <w:sz w:val="32"/>
          <w:highlight w:val="none"/>
          <w:lang w:val="en-US" w:eastAsia="zh-CN"/>
        </w:rPr>
        <w:t>重庆银行理财产品外部审计项目（2027年）</w:t>
      </w:r>
      <w:r>
        <w:rPr>
          <w:rFonts w:ascii="方正仿宋_GBK" w:hAnsi="仿宋_GB2312" w:eastAsia="方正仿宋_GBK"/>
          <w:color w:val="auto"/>
          <w:sz w:val="32"/>
          <w:highlight w:val="none"/>
        </w:rPr>
        <w:t>”采购项目进行报价，现将相关事项通知如下：</w:t>
      </w:r>
    </w:p>
    <w:p>
      <w:pPr>
        <w:widowControl/>
        <w:spacing w:line="520" w:lineRule="exact"/>
        <w:ind w:firstLine="672"/>
        <w:jc w:val="left"/>
        <w:rPr>
          <w:rFonts w:ascii="方正仿宋_GBK" w:hAnsi="仿宋_GB2312" w:eastAsia="方正仿宋_GBK"/>
          <w:b/>
          <w:bCs/>
          <w:color w:val="auto"/>
          <w:sz w:val="32"/>
          <w:highlight w:val="none"/>
        </w:rPr>
      </w:pPr>
      <w:r>
        <w:rPr>
          <w:rFonts w:ascii="方正仿宋_GBK" w:hAnsi="仿宋_GB2312" w:eastAsia="方正仿宋_GBK"/>
          <w:color w:val="auto"/>
          <w:sz w:val="32"/>
          <w:highlight w:val="none"/>
        </w:rPr>
        <w:t>一、</w:t>
      </w:r>
      <w:r>
        <w:rPr>
          <w:rFonts w:hint="eastAsia" w:ascii="方正仿宋_GBK" w:hAnsi="仿宋_GB2312" w:eastAsia="方正仿宋_GBK"/>
          <w:color w:val="auto"/>
          <w:sz w:val="32"/>
          <w:highlight w:val="none"/>
          <w:lang w:val="en-US" w:eastAsia="zh-CN"/>
        </w:rPr>
        <w:t>本项目审计费用预计为48.86万元（</w:t>
      </w:r>
      <w:bookmarkStart w:id="1" w:name="OLE_LINK5"/>
      <w:r>
        <w:rPr>
          <w:rFonts w:hint="eastAsia" w:ascii="方正仿宋_GBK" w:hAnsi="仿宋_GB2312" w:eastAsia="方正仿宋_GBK"/>
          <w:b/>
          <w:bCs/>
          <w:color w:val="auto"/>
          <w:sz w:val="32"/>
          <w:highlight w:val="none"/>
          <w:lang w:val="en-US" w:eastAsia="zh-CN"/>
        </w:rPr>
        <w:t>根据实际审计数量和合同单价据实结算，但合同总价不得超过50万元（不含）</w:t>
      </w:r>
      <w:bookmarkEnd w:id="1"/>
      <w:r>
        <w:rPr>
          <w:rFonts w:hint="eastAsia" w:ascii="方正仿宋_GBK" w:hAnsi="仿宋_GB2312" w:eastAsia="方正仿宋_GBK"/>
          <w:color w:val="auto"/>
          <w:sz w:val="32"/>
          <w:highlight w:val="none"/>
          <w:lang w:val="en-US" w:eastAsia="zh-CN"/>
        </w:rPr>
        <w:t>）。</w:t>
      </w:r>
      <w:bookmarkStart w:id="2" w:name="OLE_LINK1"/>
      <w:r>
        <w:rPr>
          <w:rFonts w:hint="eastAsia" w:ascii="方正仿宋_GBK" w:hAnsi="仿宋_GB2312" w:eastAsia="方正仿宋_GBK"/>
          <w:color w:val="auto"/>
          <w:sz w:val="32"/>
          <w:highlight w:val="none"/>
        </w:rPr>
        <w:t>报价为完成所要求服务的整体包干价，应包含完成项目所需的人工费、交通费、办公设施费、第三方软件费、税费等所有费用，须提供增值税专票</w:t>
      </w:r>
      <w:bookmarkEnd w:id="2"/>
      <w:r>
        <w:rPr>
          <w:rFonts w:ascii="方正仿宋_GBK" w:hAnsi="Times New Roman" w:eastAsia="方正仿宋_GBK"/>
          <w:color w:val="auto"/>
          <w:sz w:val="32"/>
          <w:highlight w:val="none"/>
        </w:rPr>
        <w:t>。</w:t>
      </w:r>
    </w:p>
    <w:p>
      <w:pPr>
        <w:widowControl/>
        <w:spacing w:line="520" w:lineRule="exact"/>
        <w:ind w:firstLine="672"/>
        <w:jc w:val="left"/>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二、受邀请对项目报价，两次不参与项目报价的，我部将取消其供应商资格。</w:t>
      </w:r>
    </w:p>
    <w:p>
      <w:pPr>
        <w:widowControl/>
        <w:spacing w:line="520" w:lineRule="exact"/>
        <w:ind w:firstLine="672"/>
        <w:jc w:val="left"/>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三、</w:t>
      </w:r>
      <w:r>
        <w:rPr>
          <w:rFonts w:hint="eastAsia" w:ascii="方正仿宋_GBK" w:hAnsi="仿宋_GB2312" w:eastAsia="方正仿宋_GBK"/>
          <w:color w:val="auto"/>
          <w:sz w:val="32"/>
          <w:highlight w:val="none"/>
        </w:rPr>
        <w:t>请于</w:t>
      </w:r>
      <w:r>
        <w:rPr>
          <w:rFonts w:hint="eastAsia" w:ascii="方正仿宋_GBK" w:hAnsi="仿宋_GB2312" w:eastAsia="方正仿宋_GBK"/>
          <w:b/>
          <w:bCs/>
          <w:color w:val="FF0000"/>
          <w:sz w:val="32"/>
          <w:highlight w:val="none"/>
        </w:rPr>
        <w:t>202</w:t>
      </w:r>
      <w:r>
        <w:rPr>
          <w:rFonts w:hint="eastAsia" w:ascii="方正仿宋_GBK" w:hAnsi="仿宋_GB2312" w:eastAsia="方正仿宋_GBK"/>
          <w:b/>
          <w:bCs/>
          <w:color w:val="FF0000"/>
          <w:sz w:val="32"/>
          <w:highlight w:val="none"/>
          <w:lang w:val="en-US" w:eastAsia="zh-CN"/>
        </w:rPr>
        <w:t>6</w:t>
      </w:r>
      <w:r>
        <w:rPr>
          <w:rFonts w:hint="eastAsia" w:ascii="方正仿宋_GBK" w:hAnsi="仿宋_GB2312" w:eastAsia="方正仿宋_GBK"/>
          <w:b/>
          <w:bCs/>
          <w:color w:val="FF0000"/>
          <w:sz w:val="32"/>
          <w:highlight w:val="none"/>
        </w:rPr>
        <w:t>年</w:t>
      </w:r>
      <w:r>
        <w:rPr>
          <w:rFonts w:hint="eastAsia" w:ascii="方正仿宋_GBK" w:hAnsi="仿宋_GB2312" w:eastAsia="方正仿宋_GBK"/>
          <w:b/>
          <w:bCs/>
          <w:color w:val="FF0000"/>
          <w:sz w:val="32"/>
          <w:highlight w:val="none"/>
          <w:lang w:val="en-US" w:eastAsia="zh-CN"/>
        </w:rPr>
        <w:t>10</w:t>
      </w:r>
      <w:r>
        <w:rPr>
          <w:rFonts w:hint="eastAsia" w:ascii="方正仿宋_GBK" w:hAnsi="仿宋_GB2312" w:eastAsia="方正仿宋_GBK"/>
          <w:b/>
          <w:bCs/>
          <w:color w:val="FF0000"/>
          <w:sz w:val="32"/>
          <w:highlight w:val="none"/>
        </w:rPr>
        <w:t>月</w:t>
      </w:r>
      <w:r>
        <w:rPr>
          <w:rFonts w:hint="eastAsia" w:ascii="方正仿宋_GBK" w:hAnsi="仿宋_GB2312" w:eastAsia="方正仿宋_GBK"/>
          <w:b/>
          <w:bCs/>
          <w:color w:val="FF0000"/>
          <w:sz w:val="32"/>
          <w:highlight w:val="none"/>
          <w:lang w:val="en-US" w:eastAsia="zh"/>
        </w:rPr>
        <w:t>16</w:t>
      </w:r>
      <w:r>
        <w:rPr>
          <w:rFonts w:hint="eastAsia" w:ascii="方正仿宋_GBK" w:hAnsi="仿宋_GB2312" w:eastAsia="方正仿宋_GBK"/>
          <w:b/>
          <w:bCs/>
          <w:color w:val="FF0000"/>
          <w:sz w:val="32"/>
          <w:highlight w:val="none"/>
        </w:rPr>
        <w:t>日</w:t>
      </w:r>
      <w:r>
        <w:rPr>
          <w:rFonts w:hint="eastAsia" w:ascii="方正仿宋_GBK" w:hAnsi="仿宋_GB2312" w:eastAsia="方正仿宋_GBK"/>
          <w:b/>
          <w:bCs/>
          <w:color w:val="FF0000"/>
          <w:sz w:val="32"/>
          <w:highlight w:val="none"/>
          <w:lang w:val="en-US" w:eastAsia="zh-CN"/>
        </w:rPr>
        <w:t>14</w:t>
      </w:r>
      <w:r>
        <w:rPr>
          <w:rFonts w:hint="eastAsia" w:ascii="方正仿宋_GBK" w:hAnsi="仿宋_GB2312" w:eastAsia="方正仿宋_GBK"/>
          <w:b/>
          <w:bCs/>
          <w:color w:val="FF0000"/>
          <w:sz w:val="32"/>
          <w:highlight w:val="none"/>
        </w:rPr>
        <w:t>:</w:t>
      </w:r>
      <w:r>
        <w:rPr>
          <w:rFonts w:hint="eastAsia" w:ascii="方正仿宋_GBK" w:hAnsi="仿宋_GB2312" w:eastAsia="方正仿宋_GBK"/>
          <w:b/>
          <w:bCs/>
          <w:color w:val="FF0000"/>
          <w:sz w:val="32"/>
          <w:highlight w:val="none"/>
          <w:lang w:val="en-US" w:eastAsia="zh-CN"/>
        </w:rPr>
        <w:t>00</w:t>
      </w:r>
      <w:r>
        <w:rPr>
          <w:rFonts w:hint="eastAsia" w:ascii="方正仿宋_GBK" w:hAnsi="仿宋_GB2312" w:eastAsia="方正仿宋_GBK"/>
          <w:color w:val="auto"/>
          <w:sz w:val="32"/>
          <w:highlight w:val="none"/>
        </w:rPr>
        <w:t>前将</w:t>
      </w:r>
      <w:r>
        <w:rPr>
          <w:rFonts w:hint="eastAsia" w:ascii="方正仿宋_GBK" w:hAnsi="仿宋_GB2312" w:eastAsia="方正仿宋_GBK"/>
          <w:color w:val="auto"/>
          <w:sz w:val="32"/>
          <w:highlight w:val="none"/>
          <w:lang w:val="en-US" w:eastAsia="zh-CN"/>
        </w:rPr>
        <w:t>以下材料的电子版（盖章扫描后存入U盘）及纸质版（1份正本、1份副本）一同</w:t>
      </w:r>
      <w:r>
        <w:rPr>
          <w:rFonts w:hint="eastAsia" w:ascii="方正仿宋_GBK" w:hAnsi="仿宋_GB2312" w:eastAsia="方正仿宋_GBK"/>
          <w:color w:val="auto"/>
          <w:sz w:val="32"/>
          <w:highlight w:val="none"/>
        </w:rPr>
        <w:t>密封</w:t>
      </w:r>
      <w:r>
        <w:rPr>
          <w:rFonts w:hint="eastAsia" w:ascii="方正仿宋_GBK" w:hAnsi="仿宋_GB2312" w:eastAsia="方正仿宋_GBK"/>
          <w:color w:val="auto"/>
          <w:sz w:val="32"/>
          <w:highlight w:val="none"/>
          <w:lang w:val="en-US" w:eastAsia="zh-CN"/>
        </w:rPr>
        <w:t>送达“</w:t>
      </w:r>
      <w:r>
        <w:rPr>
          <w:rFonts w:hint="eastAsia" w:ascii="方正仿宋_GBK" w:hAnsi="仿宋_GB2312" w:eastAsia="方正仿宋_GBK"/>
          <w:color w:val="auto"/>
          <w:sz w:val="32"/>
          <w:highlight w:val="none"/>
        </w:rPr>
        <w:t>重庆银行</w:t>
      </w:r>
      <w:r>
        <w:rPr>
          <w:rFonts w:hint="eastAsia" w:ascii="方正仿宋_GBK" w:hAnsi="仿宋_GB2312" w:eastAsia="方正仿宋_GBK"/>
          <w:color w:val="auto"/>
          <w:sz w:val="32"/>
          <w:highlight w:val="none"/>
          <w:lang w:val="en-US" w:eastAsia="zh-CN"/>
        </w:rPr>
        <w:t>17</w:t>
      </w:r>
      <w:r>
        <w:rPr>
          <w:rFonts w:hint="eastAsia" w:ascii="方正仿宋_GBK" w:hAnsi="仿宋_GB2312" w:eastAsia="方正仿宋_GBK"/>
          <w:color w:val="auto"/>
          <w:sz w:val="32"/>
          <w:highlight w:val="none"/>
        </w:rPr>
        <w:t>楼</w:t>
      </w:r>
      <w:r>
        <w:rPr>
          <w:rFonts w:hint="eastAsia" w:ascii="方正仿宋_GBK" w:hAnsi="仿宋_GB2312" w:eastAsia="方正仿宋_GBK"/>
          <w:color w:val="auto"/>
          <w:sz w:val="32"/>
          <w:highlight w:val="none"/>
          <w:lang w:val="en-US" w:eastAsia="zh-CN"/>
        </w:rPr>
        <w:t>资产管理</w:t>
      </w:r>
      <w:r>
        <w:rPr>
          <w:rFonts w:hint="eastAsia" w:ascii="方正仿宋_GBK" w:hAnsi="仿宋_GB2312" w:eastAsia="方正仿宋_GBK"/>
          <w:color w:val="auto"/>
          <w:sz w:val="32"/>
          <w:highlight w:val="none"/>
        </w:rPr>
        <w:t>部（重庆市江北区永平门街6号）</w:t>
      </w:r>
      <w:r>
        <w:rPr>
          <w:rFonts w:hint="eastAsia" w:ascii="方正仿宋_GBK" w:hAnsi="仿宋_GB2312" w:eastAsia="方正仿宋_GBK"/>
          <w:color w:val="auto"/>
          <w:sz w:val="32"/>
          <w:highlight w:val="none"/>
          <w:lang w:eastAsia="zh-CN"/>
        </w:rPr>
        <w:t>”：</w:t>
      </w:r>
      <w:r>
        <w:rPr>
          <w:rFonts w:hint="eastAsia" w:ascii="方正仿宋_GBK" w:hAnsi="仿宋_GB2312" w:eastAsia="方正仿宋_GBK"/>
          <w:color w:val="auto"/>
          <w:sz w:val="32"/>
          <w:highlight w:val="none"/>
        </w:rPr>
        <w:t>报价资料、公司资料（包括营业执照以及我行要求的其他相关资质证书复印件</w:t>
      </w:r>
      <w:r>
        <w:rPr>
          <w:rFonts w:hint="eastAsia" w:ascii="方正仿宋_GBK" w:hAnsi="仿宋_GB2312" w:eastAsia="方正仿宋_GBK"/>
          <w:color w:val="auto"/>
          <w:sz w:val="32"/>
          <w:highlight w:val="none"/>
          <w:lang w:eastAsia="zh-CN"/>
        </w:rPr>
        <w:t>、</w:t>
      </w:r>
      <w:r>
        <w:rPr>
          <w:rFonts w:hint="eastAsia" w:ascii="方正仿宋_GBK" w:hAnsi="仿宋_GB2312" w:eastAsia="方正仿宋_GBK"/>
          <w:color w:val="auto"/>
          <w:sz w:val="32"/>
          <w:highlight w:val="none"/>
          <w:lang w:val="en-US" w:eastAsia="zh-CN"/>
        </w:rPr>
        <w:t>承诺函及其他相关资料等</w:t>
      </w:r>
      <w:r>
        <w:rPr>
          <w:rFonts w:hint="eastAsia" w:ascii="方正仿宋_GBK" w:hAnsi="仿宋_GB2312" w:eastAsia="方正仿宋_GBK"/>
          <w:color w:val="auto"/>
          <w:sz w:val="32"/>
          <w:highlight w:val="none"/>
        </w:rPr>
        <w:t>）以及法人授权委托书（附授权人和被授权人的身份证复印件）</w:t>
      </w:r>
      <w:r>
        <w:rPr>
          <w:rFonts w:hint="eastAsia" w:ascii="方正仿宋_GBK" w:hAnsi="仿宋_GB2312" w:eastAsia="方正仿宋_GBK"/>
          <w:color w:val="auto"/>
          <w:sz w:val="32"/>
          <w:highlight w:val="none"/>
          <w:lang w:eastAsia="zh-CN"/>
        </w:rPr>
        <w:t>。</w:t>
      </w:r>
    </w:p>
    <w:p>
      <w:pPr>
        <w:widowControl/>
        <w:spacing w:line="520" w:lineRule="exact"/>
        <w:ind w:firstLine="672"/>
        <w:jc w:val="left"/>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四、具体采购内容及要求：</w:t>
      </w:r>
    </w:p>
    <w:p>
      <w:pPr>
        <w:widowControl/>
        <w:spacing w:line="520" w:lineRule="exact"/>
        <w:ind w:firstLine="672"/>
        <w:jc w:val="left"/>
        <w:rPr>
          <w:rFonts w:hint="eastAsia" w:ascii="方正仿宋_GBK" w:hAnsi="仿宋_GB2312" w:eastAsia="方正仿宋_GBK"/>
          <w:color w:val="auto"/>
          <w:sz w:val="32"/>
          <w:highlight w:val="none"/>
        </w:rPr>
      </w:pPr>
      <w:r>
        <w:rPr>
          <w:rFonts w:hint="eastAsia" w:ascii="方正仿宋_GBK" w:hAnsi="仿宋_GB2312" w:eastAsia="方正仿宋_GBK"/>
          <w:color w:val="auto"/>
          <w:sz w:val="32"/>
          <w:highlight w:val="none"/>
          <w:lang w:val="en-US" w:eastAsia="zh-CN"/>
        </w:rPr>
        <w:t>拟采购的审计服务对象为我行发行的需审计的公募理财产品，审计内容包括单只理财产品的年度审计与清算审计。需审计的公募理财产品指我行发行并管理的截至2026年12月31日存续的以及2027年1月1日至2027年12月31日期间到期的公募理财产品，</w:t>
      </w:r>
      <w:r>
        <w:rPr>
          <w:rFonts w:hint="eastAsia" w:ascii="方正仿宋_GBK" w:hAnsi="仿宋_GB2312" w:eastAsia="方正仿宋_GBK"/>
          <w:color w:val="auto"/>
          <w:sz w:val="32"/>
          <w:highlight w:val="none"/>
        </w:rPr>
        <w:t>预计需要审计的开放式理财产品为73期、封闭式理财产品为65期</w:t>
      </w:r>
      <w:r>
        <w:rPr>
          <w:rFonts w:hint="eastAsia" w:ascii="方正仿宋_GBK" w:hAnsi="仿宋_GB2312" w:eastAsia="方正仿宋_GBK"/>
          <w:color w:val="auto"/>
          <w:sz w:val="32"/>
          <w:highlight w:val="none"/>
          <w:lang w:val="en-US" w:eastAsia="zh-CN"/>
        </w:rPr>
        <w:t>。具体要求详见邀请函文件。</w:t>
      </w:r>
    </w:p>
    <w:p>
      <w:pPr>
        <w:widowControl/>
        <w:jc w:val="left"/>
        <w:rPr>
          <w:rFonts w:ascii="方正仿宋_GBK" w:hAnsi="Times New Roman" w:eastAsia="方正仿宋_GBK"/>
          <w:color w:val="auto"/>
          <w:sz w:val="32"/>
          <w:highlight w:val="none"/>
        </w:rPr>
      </w:pPr>
    </w:p>
    <w:p>
      <w:pPr>
        <w:widowControl/>
        <w:jc w:val="right"/>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重庆银行</w:t>
      </w:r>
      <w:r>
        <w:rPr>
          <w:rFonts w:hint="eastAsia" w:ascii="方正仿宋_GBK" w:hAnsi="Times New Roman" w:eastAsia="方正仿宋_GBK"/>
          <w:color w:val="auto"/>
          <w:sz w:val="32"/>
          <w:highlight w:val="none"/>
          <w:lang w:val="en-US" w:eastAsia="zh-CN"/>
        </w:rPr>
        <w:t>资产管理</w:t>
      </w:r>
      <w:r>
        <w:rPr>
          <w:rFonts w:ascii="方正仿宋_GBK" w:hAnsi="Times New Roman" w:eastAsia="方正仿宋_GBK"/>
          <w:color w:val="auto"/>
          <w:sz w:val="32"/>
          <w:highlight w:val="none"/>
        </w:rPr>
        <w:t>部</w:t>
      </w:r>
    </w:p>
    <w:p>
      <w:pPr>
        <w:widowControl/>
        <w:spacing w:line="440" w:lineRule="exact"/>
        <w:jc w:val="left"/>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 xml:space="preserve">                </w:t>
      </w:r>
      <w:r>
        <w:rPr>
          <w:rFonts w:hint="eastAsia" w:ascii="方正仿宋_GBK" w:hAnsi="Times New Roman" w:eastAsia="方正仿宋_GBK"/>
          <w:color w:val="auto"/>
          <w:sz w:val="32"/>
          <w:highlight w:val="none"/>
          <w:lang w:val="en-US" w:eastAsia="zh-CN"/>
        </w:rPr>
        <w:t xml:space="preserve">                           </w:t>
      </w:r>
      <w:r>
        <w:rPr>
          <w:rFonts w:ascii="方正仿宋_GBK" w:hAnsi="Times New Roman" w:eastAsia="方正仿宋_GBK"/>
          <w:color w:val="auto"/>
          <w:sz w:val="32"/>
          <w:highlight w:val="none"/>
        </w:rPr>
        <w:t xml:space="preserve"> </w:t>
      </w:r>
      <w:r>
        <w:rPr>
          <w:rFonts w:hint="eastAsia" w:ascii="方正仿宋_GBK" w:hAnsi="Times New Roman" w:eastAsia="方正仿宋_GBK"/>
          <w:color w:val="auto"/>
          <w:sz w:val="32"/>
          <w:highlight w:val="none"/>
          <w:lang w:val="en-US" w:eastAsia="zh-CN"/>
        </w:rPr>
        <w:t>2026</w:t>
      </w:r>
      <w:r>
        <w:rPr>
          <w:rFonts w:ascii="方正仿宋_GBK" w:hAnsi="Times New Roman" w:eastAsia="方正仿宋_GBK"/>
          <w:color w:val="auto"/>
          <w:sz w:val="32"/>
          <w:highlight w:val="none"/>
        </w:rPr>
        <w:t>年</w:t>
      </w:r>
      <w:r>
        <w:rPr>
          <w:rFonts w:hint="eastAsia" w:ascii="方正仿宋_GBK" w:hAnsi="Times New Roman" w:eastAsia="方正仿宋_GBK"/>
          <w:color w:val="auto"/>
          <w:sz w:val="32"/>
          <w:highlight w:val="none"/>
          <w:lang w:val="en-US" w:eastAsia="zh-CN"/>
        </w:rPr>
        <w:t>9</w:t>
      </w:r>
      <w:r>
        <w:rPr>
          <w:rFonts w:ascii="方正仿宋_GBK" w:hAnsi="Times New Roman" w:eastAsia="方正仿宋_GBK"/>
          <w:color w:val="auto"/>
          <w:sz w:val="32"/>
          <w:highlight w:val="none"/>
        </w:rPr>
        <w:t>月</w:t>
      </w:r>
      <w:r>
        <w:rPr>
          <w:rFonts w:hint="eastAsia" w:ascii="方正仿宋_GBK" w:hAnsi="Times New Roman" w:eastAsia="方正仿宋_GBK"/>
          <w:color w:val="auto"/>
          <w:sz w:val="32"/>
          <w:highlight w:val="none"/>
          <w:lang w:val="en-US" w:eastAsia="zh-CN"/>
        </w:rPr>
        <w:t>28</w:t>
      </w:r>
      <w:r>
        <w:rPr>
          <w:rFonts w:ascii="方正仿宋_GBK" w:hAnsi="Times New Roman" w:eastAsia="方正仿宋_GBK"/>
          <w:color w:val="auto"/>
          <w:sz w:val="32"/>
          <w:highlight w:val="none"/>
        </w:rPr>
        <w:t>日</w:t>
      </w:r>
    </w:p>
    <w:p>
      <w:pPr>
        <w:widowControl/>
        <w:jc w:val="left"/>
        <w:rPr>
          <w:rFonts w:ascii="方正小标宋_GBK" w:hAnsi="Times New Roman" w:eastAsia="方正小标宋_GBK"/>
          <w:color w:val="auto"/>
          <w:sz w:val="44"/>
          <w:highlight w:val="none"/>
        </w:rPr>
      </w:pPr>
      <w:r>
        <w:rPr>
          <w:rFonts w:ascii="方正小标宋_GBK" w:hAnsi="Times New Roman" w:eastAsia="方正小标宋_GBK"/>
          <w:color w:val="auto"/>
          <w:sz w:val="44"/>
          <w:highlight w:val="none"/>
        </w:rPr>
        <w:br w:type="page"/>
      </w:r>
    </w:p>
    <w:p>
      <w:pPr>
        <w:pStyle w:val="6"/>
        <w:ind w:left="0" w:leftChars="0" w:firstLine="0" w:firstLineChars="0"/>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附件</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 xml:space="preserve">邀请函文件 </w:t>
      </w:r>
    </w:p>
    <w:p>
      <w:pPr>
        <w:widowControl/>
        <w:jc w:val="center"/>
        <w:rPr>
          <w:rFonts w:hint="eastAsia"/>
          <w:b/>
          <w:bCs/>
          <w:color w:val="000000"/>
          <w:sz w:val="36"/>
          <w:szCs w:val="36"/>
        </w:rPr>
      </w:pPr>
      <w:bookmarkStart w:id="3" w:name="_Toc92982574"/>
      <w:bookmarkStart w:id="4" w:name="_Toc31661"/>
      <w:r>
        <w:rPr>
          <w:rFonts w:hint="eastAsia"/>
          <w:b/>
          <w:bCs/>
          <w:color w:val="000000"/>
          <w:sz w:val="32"/>
          <w:szCs w:val="32"/>
        </w:rPr>
        <w:t>第一部分</w:t>
      </w:r>
      <w:r>
        <w:rPr>
          <w:b/>
          <w:bCs/>
          <w:color w:val="000000"/>
          <w:sz w:val="32"/>
          <w:szCs w:val="32"/>
        </w:rPr>
        <w:t xml:space="preserve">   </w:t>
      </w:r>
      <w:r>
        <w:rPr>
          <w:rFonts w:hint="eastAsia"/>
          <w:b/>
          <w:bCs/>
          <w:color w:val="000000"/>
          <w:sz w:val="32"/>
          <w:szCs w:val="32"/>
        </w:rPr>
        <w:t>公开竞争性磋商公告</w:t>
      </w:r>
      <w:bookmarkEnd w:id="3"/>
      <w:bookmarkEnd w:id="4"/>
    </w:p>
    <w:p>
      <w:pPr>
        <w:pStyle w:val="6"/>
        <w:keepNext w:val="0"/>
        <w:keepLines w:val="0"/>
        <w:pageBreakBefore w:val="0"/>
        <w:widowControl w:val="0"/>
        <w:numPr>
          <w:ilvl w:val="0"/>
          <w:numId w:val="1"/>
        </w:numPr>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项目名称</w:t>
      </w:r>
    </w:p>
    <w:p>
      <w:pPr>
        <w:spacing w:line="600" w:lineRule="exact"/>
        <w:ind w:firstLine="560" w:firstLineChars="200"/>
        <w:rPr>
          <w:rFonts w:hint="eastAsia" w:ascii="方正仿宋_GBK" w:hAnsi="仿宋_GB2312" w:eastAsia="方正仿宋_GBK"/>
          <w:color w:val="auto"/>
          <w:sz w:val="28"/>
          <w:szCs w:val="28"/>
          <w:highlight w:val="none"/>
          <w:lang w:val="en-US" w:eastAsia="zh-CN"/>
        </w:rPr>
      </w:pPr>
      <w:bookmarkStart w:id="5" w:name="OLE_LINK2"/>
      <w:r>
        <w:rPr>
          <w:rFonts w:hint="eastAsia" w:ascii="方正仿宋_GBK" w:hAnsi="仿宋_GB2312" w:eastAsia="方正仿宋_GBK"/>
          <w:color w:val="auto"/>
          <w:sz w:val="28"/>
          <w:szCs w:val="28"/>
          <w:highlight w:val="none"/>
          <w:lang w:val="en-US" w:eastAsia="zh-CN"/>
        </w:rPr>
        <w:t>重庆银行理财产品外部审计项目（2027年）</w:t>
      </w:r>
    </w:p>
    <w:bookmarkEnd w:id="5"/>
    <w:p>
      <w:pPr>
        <w:spacing w:line="600" w:lineRule="exact"/>
        <w:ind w:firstLine="562" w:firstLineChars="200"/>
        <w:rPr>
          <w:rFonts w:hint="eastAsia" w:ascii="方正仿宋_GBK" w:hAnsi="方正仿宋_GBK" w:eastAsia="方正仿宋_GBK" w:cs="方正仿宋_GBK"/>
          <w:b/>
          <w:bCs/>
          <w:sz w:val="28"/>
          <w:szCs w:val="28"/>
          <w:highlight w:val="none"/>
          <w:lang w:eastAsia="zh-CN"/>
        </w:rPr>
      </w:pPr>
      <w:r>
        <w:rPr>
          <w:rFonts w:hint="eastAsia" w:ascii="方正仿宋_GBK" w:hAnsi="方正仿宋_GBK" w:eastAsia="方正仿宋_GBK" w:cs="方正仿宋_GBK"/>
          <w:b/>
          <w:bCs/>
          <w:sz w:val="28"/>
          <w:szCs w:val="28"/>
          <w:lang w:val="en-US" w:eastAsia="zh-CN"/>
        </w:rPr>
        <w:t>二、</w:t>
      </w:r>
      <w:r>
        <w:rPr>
          <w:rFonts w:hint="eastAsia" w:ascii="方正仿宋_GBK" w:hAnsi="方正仿宋_GBK" w:eastAsia="方正仿宋_GBK" w:cs="方正仿宋_GBK"/>
          <w:b/>
          <w:bCs/>
          <w:sz w:val="28"/>
          <w:szCs w:val="28"/>
        </w:rPr>
        <w:t>服务内容</w:t>
      </w:r>
    </w:p>
    <w:p>
      <w:pPr>
        <w:spacing w:line="600" w:lineRule="exact"/>
        <w:ind w:firstLine="560" w:firstLineChars="200"/>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审计服务对象为我行发行的需审计的公募理财产品，审计内容包括单只理财产品的年度审计（须在2027年4月20日前完成）与清算审计，主要审计单只理财产品财务报告，审计过程包含风险控制、系统操作、对手询证、估值评价、资产收益确认评估、财务数据审计等环节，发表审计意见，出具审计报告。</w:t>
      </w:r>
    </w:p>
    <w:p>
      <w:pPr>
        <w:spacing w:line="600" w:lineRule="exact"/>
        <w:ind w:firstLine="562" w:firstLineChars="200"/>
        <w:rPr>
          <w:rFonts w:ascii="方正仿宋_GBK" w:hAnsi="方正仿宋_GBK" w:eastAsia="方正仿宋_GBK" w:cs="方正仿宋_GBK"/>
          <w:b/>
          <w:bCs/>
          <w:sz w:val="28"/>
          <w:szCs w:val="28"/>
          <w:highlight w:val="none"/>
        </w:rPr>
      </w:pPr>
      <w:r>
        <w:rPr>
          <w:rFonts w:hint="eastAsia" w:ascii="方正仿宋_GBK" w:hAnsi="方正仿宋_GBK" w:eastAsia="方正仿宋_GBK" w:cs="方正仿宋_GBK"/>
          <w:b/>
          <w:bCs/>
          <w:sz w:val="28"/>
          <w:szCs w:val="28"/>
          <w:highlight w:val="none"/>
          <w:lang w:val="en-US" w:eastAsia="zh-CN"/>
        </w:rPr>
        <w:t>三、</w:t>
      </w:r>
      <w:r>
        <w:rPr>
          <w:rFonts w:ascii="方正仿宋_GBK" w:hAnsi="方正仿宋_GBK" w:eastAsia="方正仿宋_GBK" w:cs="方正仿宋_GBK"/>
          <w:b/>
          <w:bCs/>
          <w:sz w:val="28"/>
          <w:szCs w:val="28"/>
          <w:highlight w:val="none"/>
        </w:rPr>
        <w:t>服务期限</w:t>
      </w:r>
    </w:p>
    <w:p>
      <w:pPr>
        <w:pStyle w:val="6"/>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本项目采购的外部审计服务时间为一年，自双方签订的审计服务合同所约定的服务起始之日起计算，至合同约定的全部审计服务内容履行完毕之日止。</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 xml:space="preserve">    四、</w:t>
      </w:r>
      <w:r>
        <w:rPr>
          <w:rFonts w:hint="eastAsia" w:ascii="方正仿宋_GBK" w:hAnsi="方正仿宋_GBK" w:eastAsia="方正仿宋_GBK" w:cs="方正仿宋_GBK"/>
          <w:b/>
          <w:bCs/>
          <w:sz w:val="28"/>
          <w:szCs w:val="28"/>
        </w:rPr>
        <w:t>服务地点</w:t>
      </w:r>
    </w:p>
    <w:p>
      <w:pPr>
        <w:pStyle w:val="6"/>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重庆银行</w:t>
      </w:r>
      <w:r>
        <w:rPr>
          <w:rFonts w:hint="eastAsia" w:ascii="方正仿宋_GBK" w:hAnsi="方正仿宋_GBK" w:eastAsia="方正仿宋_GBK" w:cs="方正仿宋_GBK"/>
          <w:sz w:val="28"/>
          <w:szCs w:val="28"/>
          <w:lang w:eastAsia="zh-CN"/>
        </w:rPr>
        <w:t>。</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 xml:space="preserve">    五、</w:t>
      </w:r>
      <w:r>
        <w:rPr>
          <w:rFonts w:hint="eastAsia" w:ascii="方正仿宋_GBK" w:hAnsi="方正仿宋_GBK" w:eastAsia="方正仿宋_GBK" w:cs="方正仿宋_GBK"/>
          <w:b/>
          <w:bCs/>
          <w:sz w:val="28"/>
          <w:szCs w:val="28"/>
        </w:rPr>
        <w:t>履约保证金</w:t>
      </w:r>
    </w:p>
    <w:p>
      <w:pPr>
        <w:pStyle w:val="6"/>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不收取。</w:t>
      </w:r>
    </w:p>
    <w:p>
      <w:pPr>
        <w:numPr>
          <w:ilvl w:val="0"/>
          <w:numId w:val="2"/>
        </w:numPr>
        <w:adjustRightInd w:val="0"/>
        <w:snapToGrid w:val="0"/>
        <w:spacing w:line="580" w:lineRule="exact"/>
        <w:ind w:firstLine="550" w:firstLineChars="196"/>
        <w:rPr>
          <w:rFonts w:hint="eastAsia" w:ascii="方正仿宋_GBK" w:hAnsi="方正仿宋_GBK" w:eastAsia="方正仿宋_GBK" w:cs="方正仿宋_GBK"/>
          <w:b/>
          <w:bCs/>
          <w:kern w:val="2"/>
          <w:sz w:val="28"/>
          <w:szCs w:val="28"/>
          <w:lang w:val="en-US" w:eastAsia="zh-CN" w:bidi="ar-SA"/>
        </w:rPr>
      </w:pPr>
      <w:r>
        <w:rPr>
          <w:rFonts w:hint="eastAsia" w:ascii="方正仿宋_GBK" w:hAnsi="方正仿宋_GBK" w:eastAsia="方正仿宋_GBK" w:cs="方正仿宋_GBK"/>
          <w:b/>
          <w:bCs/>
          <w:kern w:val="2"/>
          <w:sz w:val="28"/>
          <w:szCs w:val="28"/>
          <w:lang w:val="en-US" w:eastAsia="zh-CN" w:bidi="ar-SA"/>
        </w:rPr>
        <w:t>获取磋商文件方式</w:t>
      </w:r>
    </w:p>
    <w:p>
      <w:pPr>
        <w:numPr>
          <w:ilvl w:val="0"/>
          <w:numId w:val="0"/>
        </w:numPr>
        <w:adjustRightInd w:val="0"/>
        <w:snapToGrid w:val="0"/>
        <w:spacing w:line="580" w:lineRule="exact"/>
        <w:rPr>
          <w:rFonts w:hint="eastAsia" w:ascii="方正仿宋_GBK" w:hAnsi="宋体" w:eastAsia="方正仿宋_GBK"/>
          <w:b/>
          <w:color w:val="000000"/>
          <w:sz w:val="28"/>
          <w:szCs w:val="28"/>
        </w:rPr>
      </w:pPr>
      <w:r>
        <w:rPr>
          <w:rFonts w:hint="eastAsia" w:ascii="方正仿宋_GBK" w:hAnsi="宋体" w:eastAsia="方正仿宋_GBK"/>
          <w:b/>
          <w:color w:val="000000"/>
          <w:sz w:val="28"/>
          <w:szCs w:val="28"/>
          <w:lang w:val="en-US" w:eastAsia="zh-CN"/>
        </w:rPr>
        <w:t xml:space="preserve">    </w:t>
      </w:r>
      <w:r>
        <w:rPr>
          <w:rFonts w:hint="eastAsia" w:ascii="方正仿宋_GBK" w:hAnsi="方正仿宋_GBK" w:eastAsia="方正仿宋_GBK" w:cs="方正仿宋_GBK"/>
          <w:kern w:val="2"/>
          <w:sz w:val="28"/>
          <w:szCs w:val="28"/>
          <w:lang w:val="en-US" w:eastAsia="zh-CN" w:bidi="ar-SA"/>
        </w:rPr>
        <w:t>在重庆银行官网（http://www.cqcbank.com/）获取采购文件。</w:t>
      </w:r>
    </w:p>
    <w:p>
      <w:pPr>
        <w:numPr>
          <w:ilvl w:val="0"/>
          <w:numId w:val="2"/>
        </w:numPr>
        <w:adjustRightInd w:val="0"/>
        <w:snapToGrid w:val="0"/>
        <w:spacing w:line="580" w:lineRule="exact"/>
        <w:ind w:firstLine="550" w:firstLineChars="196"/>
        <w:rPr>
          <w:rFonts w:hint="eastAsia" w:ascii="方正仿宋_GBK" w:hAnsi="方正仿宋_GBK" w:eastAsia="方正仿宋_GBK" w:cs="方正仿宋_GBK"/>
          <w:b/>
          <w:bCs/>
          <w:kern w:val="2"/>
          <w:sz w:val="28"/>
          <w:szCs w:val="28"/>
          <w:lang w:val="en-US" w:eastAsia="zh-CN" w:bidi="ar-SA"/>
        </w:rPr>
      </w:pPr>
      <w:r>
        <w:rPr>
          <w:rFonts w:hint="eastAsia" w:ascii="方正仿宋_GBK" w:hAnsi="方正仿宋_GBK" w:eastAsia="方正仿宋_GBK" w:cs="方正仿宋_GBK"/>
          <w:b/>
          <w:bCs/>
          <w:kern w:val="2"/>
          <w:sz w:val="28"/>
          <w:szCs w:val="28"/>
          <w:lang w:val="en-US" w:eastAsia="zh-CN" w:bidi="ar-SA"/>
        </w:rPr>
        <w:t>响应文件提交信息</w:t>
      </w:r>
    </w:p>
    <w:p>
      <w:pPr>
        <w:adjustRightInd w:val="0"/>
        <w:snapToGrid w:val="0"/>
        <w:spacing w:line="300" w:lineRule="auto"/>
        <w:ind w:firstLine="548" w:firstLineChars="196"/>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参与磋商单位须于2026年10 月</w:t>
      </w:r>
      <w:r>
        <w:rPr>
          <w:rFonts w:hint="eastAsia" w:ascii="方正仿宋_GBK" w:hAnsi="方正仿宋_GBK" w:eastAsia="方正仿宋_GBK" w:cs="方正仿宋_GBK"/>
          <w:kern w:val="2"/>
          <w:sz w:val="28"/>
          <w:szCs w:val="28"/>
          <w:lang w:val="en-US" w:eastAsia="zh" w:bidi="ar-SA"/>
        </w:rPr>
        <w:t>16</w:t>
      </w:r>
      <w:r>
        <w:rPr>
          <w:rFonts w:hint="eastAsia" w:ascii="方正仿宋_GBK" w:hAnsi="方正仿宋_GBK" w:eastAsia="方正仿宋_GBK" w:cs="方正仿宋_GBK"/>
          <w:kern w:val="2"/>
          <w:sz w:val="28"/>
          <w:szCs w:val="28"/>
          <w:lang w:val="en-US" w:eastAsia="zh-CN" w:bidi="ar-SA"/>
        </w:rPr>
        <w:t>日14 : 00时（北京时间）前递交竞争性磋商响应文件。</w:t>
      </w:r>
    </w:p>
    <w:p>
      <w:pPr>
        <w:spacing w:line="600" w:lineRule="exact"/>
        <w:ind w:firstLine="560" w:firstLineChars="200"/>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磋商文件递交地点：重庆市江北区江北城街道永平门街6号重庆银行17楼资产管理部</w:t>
      </w:r>
    </w:p>
    <w:p>
      <w:pPr>
        <w:spacing w:line="600" w:lineRule="exact"/>
        <w:ind w:firstLine="560" w:firstLineChars="200"/>
        <w:rPr>
          <w:rFonts w:hint="eastAsia" w:ascii="方正仿宋_GBK" w:hAnsi="宋体" w:eastAsia="方正仿宋_GBK"/>
          <w:color w:val="000000"/>
          <w:sz w:val="28"/>
          <w:szCs w:val="28"/>
        </w:rPr>
      </w:pPr>
      <w:r>
        <w:rPr>
          <w:rFonts w:hint="eastAsia" w:ascii="方正仿宋_GBK" w:hAnsi="方正仿宋_GBK" w:eastAsia="方正仿宋_GBK" w:cs="方正仿宋_GBK"/>
          <w:sz w:val="28"/>
          <w:szCs w:val="28"/>
          <w:highlight w:val="none"/>
          <w:lang w:val="en-US" w:eastAsia="zh-CN"/>
        </w:rPr>
        <w:t>磋商开始时间：2026年10月</w:t>
      </w:r>
      <w:r>
        <w:rPr>
          <w:rFonts w:hint="eastAsia" w:ascii="方正仿宋_GBK" w:hAnsi="方正仿宋_GBK" w:eastAsia="方正仿宋_GBK" w:cs="方正仿宋_GBK"/>
          <w:sz w:val="28"/>
          <w:szCs w:val="28"/>
          <w:highlight w:val="none"/>
          <w:lang w:val="en-US" w:eastAsia="zh"/>
        </w:rPr>
        <w:t>16</w:t>
      </w:r>
      <w:r>
        <w:rPr>
          <w:rFonts w:hint="eastAsia" w:ascii="方正仿宋_GBK" w:hAnsi="方正仿宋_GBK" w:eastAsia="方正仿宋_GBK" w:cs="方正仿宋_GBK"/>
          <w:sz w:val="28"/>
          <w:szCs w:val="28"/>
          <w:highlight w:val="none"/>
          <w:lang w:val="en-US" w:eastAsia="zh-CN"/>
        </w:rPr>
        <w:t>日14 : 30 时（北京时间）。竞争性磋商响应文件正本一份，副本一份，U盘一份。请供应商在密封的响应文件的封面醒目位置留下联系人的姓名、手机号码及邮箱号。</w:t>
      </w:r>
    </w:p>
    <w:p>
      <w:pPr>
        <w:spacing w:line="600" w:lineRule="exact"/>
        <w:ind w:firstLine="562" w:firstLineChars="200"/>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八、联系事项</w:t>
      </w:r>
    </w:p>
    <w:p>
      <w:pPr>
        <w:spacing w:line="600" w:lineRule="exact"/>
        <w:ind w:firstLine="560" w:firstLineChars="200"/>
        <w:rPr>
          <w:rFonts w:hint="eastAsia" w:ascii="方正仿宋_GBK" w:hAnsi="方正仿宋_GBK" w:eastAsia="方正仿宋_GBK" w:cs="方正仿宋_GBK"/>
          <w:b w:val="0"/>
          <w:bCs w:val="0"/>
          <w:sz w:val="28"/>
          <w:szCs w:val="28"/>
          <w:highlight w:val="none"/>
          <w:lang w:val="en-US" w:eastAsia="zh-CN"/>
        </w:rPr>
      </w:pPr>
      <w:r>
        <w:rPr>
          <w:rFonts w:hint="eastAsia" w:ascii="方正仿宋_GBK" w:hAnsi="方正仿宋_GBK" w:eastAsia="方正仿宋_GBK" w:cs="方正仿宋_GBK"/>
          <w:b w:val="0"/>
          <w:bCs w:val="0"/>
          <w:sz w:val="28"/>
          <w:szCs w:val="28"/>
          <w:highlight w:val="none"/>
          <w:lang w:val="en-US" w:eastAsia="zh-CN"/>
        </w:rPr>
        <w:t>采购人：重庆银行股份有限公司</w:t>
      </w:r>
    </w:p>
    <w:p>
      <w:pPr>
        <w:spacing w:line="600" w:lineRule="exact"/>
        <w:ind w:firstLine="560" w:firstLineChars="200"/>
        <w:rPr>
          <w:rFonts w:hint="eastAsia" w:ascii="方正仿宋_GBK" w:hAnsi="方正仿宋_GBK" w:eastAsia="方正仿宋_GBK" w:cs="方正仿宋_GBK"/>
          <w:b w:val="0"/>
          <w:bCs w:val="0"/>
          <w:sz w:val="28"/>
          <w:szCs w:val="28"/>
          <w:highlight w:val="none"/>
          <w:lang w:val="en-US" w:eastAsia="zh-CN"/>
        </w:rPr>
      </w:pPr>
      <w:r>
        <w:rPr>
          <w:rFonts w:hint="eastAsia" w:ascii="方正仿宋_GBK" w:hAnsi="方正仿宋_GBK" w:eastAsia="方正仿宋_GBK" w:cs="方正仿宋_GBK"/>
          <w:b w:val="0"/>
          <w:bCs w:val="0"/>
          <w:sz w:val="28"/>
          <w:szCs w:val="28"/>
          <w:highlight w:val="none"/>
          <w:lang w:val="en-US" w:eastAsia="zh-CN"/>
        </w:rPr>
        <w:t>联系人：李老师</w:t>
      </w:r>
    </w:p>
    <w:p>
      <w:pPr>
        <w:spacing w:line="600" w:lineRule="exact"/>
        <w:ind w:firstLine="560" w:firstLineChars="200"/>
        <w:rPr>
          <w:rFonts w:hint="eastAsia" w:ascii="方正仿宋_GBK" w:hAnsi="方正仿宋_GBK" w:eastAsia="方正仿宋_GBK" w:cs="方正仿宋_GBK"/>
          <w:b w:val="0"/>
          <w:bCs w:val="0"/>
          <w:sz w:val="28"/>
          <w:szCs w:val="28"/>
          <w:highlight w:val="none"/>
          <w:lang w:val="en-US" w:eastAsia="zh-CN"/>
        </w:rPr>
      </w:pPr>
      <w:r>
        <w:rPr>
          <w:rFonts w:hint="eastAsia" w:ascii="方正仿宋_GBK" w:hAnsi="方正仿宋_GBK" w:eastAsia="方正仿宋_GBK" w:cs="方正仿宋_GBK"/>
          <w:b w:val="0"/>
          <w:bCs w:val="0"/>
          <w:sz w:val="28"/>
          <w:szCs w:val="28"/>
          <w:highlight w:val="none"/>
          <w:lang w:val="en-US" w:eastAsia="zh-CN"/>
        </w:rPr>
        <w:t>电  话：023-63367170</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rPr>
          <w:rFonts w:hint="eastAsia" w:ascii="方正仿宋_GBK" w:hAnsi="方正仿宋_GBK" w:eastAsia="方正仿宋_GBK" w:cs="方正仿宋_GBK"/>
          <w:b/>
          <w:bCs/>
          <w:color w:val="FF0000"/>
          <w:sz w:val="28"/>
          <w:szCs w:val="28"/>
          <w:lang w:eastAsia="zh-CN"/>
        </w:rPr>
      </w:pPr>
    </w:p>
    <w:p>
      <w:pPr>
        <w:widowControl/>
        <w:jc w:val="center"/>
        <w:rPr>
          <w:rFonts w:hint="eastAsia"/>
          <w:b/>
          <w:bCs/>
          <w:color w:val="000000"/>
          <w:sz w:val="32"/>
          <w:szCs w:val="32"/>
        </w:rPr>
      </w:pPr>
      <w:bookmarkStart w:id="6" w:name="_Toc92982575"/>
      <w:bookmarkStart w:id="7" w:name="_Toc29712"/>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pStyle w:val="2"/>
        <w:rPr>
          <w:rFonts w:hint="eastAsia"/>
          <w:b/>
          <w:bCs/>
          <w:color w:val="000000"/>
          <w:sz w:val="32"/>
          <w:szCs w:val="32"/>
        </w:rPr>
      </w:pPr>
    </w:p>
    <w:p>
      <w:pPr>
        <w:rPr>
          <w:rFonts w:hint="eastAsia"/>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2"/>
          <w:szCs w:val="32"/>
        </w:rPr>
      </w:pPr>
    </w:p>
    <w:p>
      <w:pPr>
        <w:widowControl/>
        <w:jc w:val="center"/>
        <w:rPr>
          <w:rFonts w:hint="eastAsia"/>
          <w:b/>
          <w:bCs/>
          <w:color w:val="000000"/>
          <w:sz w:val="36"/>
          <w:szCs w:val="36"/>
        </w:rPr>
      </w:pPr>
      <w:r>
        <w:rPr>
          <w:rFonts w:hint="eastAsia"/>
          <w:b/>
          <w:bCs/>
          <w:color w:val="000000"/>
          <w:sz w:val="32"/>
          <w:szCs w:val="32"/>
        </w:rPr>
        <w:t>第二部分   磋商须知</w:t>
      </w:r>
      <w:bookmarkEnd w:id="6"/>
      <w:bookmarkEnd w:id="7"/>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项目名称</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u w:val="single"/>
        </w:rPr>
      </w:pPr>
      <w:r>
        <w:rPr>
          <w:rFonts w:hint="eastAsia" w:ascii="方正仿宋_GBK" w:hAnsi="宋体" w:eastAsia="方正仿宋_GBK"/>
          <w:sz w:val="28"/>
          <w:szCs w:val="28"/>
        </w:rPr>
        <w:t>本次竞争性磋商项目</w:t>
      </w:r>
      <w:r>
        <w:rPr>
          <w:rFonts w:hint="eastAsia" w:ascii="方正仿宋_GBK" w:hAnsi="宋体" w:eastAsia="方正仿宋_GBK"/>
          <w:sz w:val="28"/>
          <w:szCs w:val="28"/>
          <w:lang w:val="en-US" w:eastAsia="zh-CN"/>
        </w:rPr>
        <w:t>为</w:t>
      </w:r>
      <w:r>
        <w:rPr>
          <w:rFonts w:hint="eastAsia" w:ascii="方正仿宋_GBK" w:hAnsi="宋体" w:eastAsia="方正仿宋_GBK"/>
          <w:sz w:val="28"/>
          <w:szCs w:val="28"/>
        </w:rPr>
        <w:t>重庆银行理财产品外部审计项目（2027年）</w:t>
      </w:r>
      <w:r>
        <w:rPr>
          <w:rFonts w:hint="eastAsia" w:ascii="方正仿宋_GBK" w:hAnsi="宋体" w:eastAsia="方正仿宋_GBK"/>
          <w:sz w:val="28"/>
          <w:szCs w:val="28"/>
          <w:lang w:eastAsia="zh-CN"/>
        </w:rPr>
        <w:t>。</w:t>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采购范围及服务内容</w:t>
      </w:r>
    </w:p>
    <w:p>
      <w:pPr>
        <w:keepNext w:val="0"/>
        <w:keepLines w:val="0"/>
        <w:pageBreakBefore w:val="0"/>
        <w:widowControl w:val="0"/>
        <w:numPr>
          <w:ilvl w:val="0"/>
          <w:numId w:val="4"/>
        </w:numPr>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服务内容：详见第一部分《</w:t>
      </w:r>
      <w:r>
        <w:rPr>
          <w:rFonts w:hint="eastAsia" w:ascii="方正仿宋_GBK" w:hAnsi="宋体" w:eastAsia="方正仿宋_GBK"/>
          <w:sz w:val="28"/>
          <w:szCs w:val="28"/>
          <w:lang w:val="en-US" w:eastAsia="zh-CN"/>
        </w:rPr>
        <w:t>公开</w:t>
      </w:r>
      <w:r>
        <w:rPr>
          <w:rFonts w:hint="eastAsia" w:ascii="方正仿宋_GBK" w:hAnsi="宋体" w:eastAsia="方正仿宋_GBK"/>
          <w:sz w:val="28"/>
          <w:szCs w:val="28"/>
        </w:rPr>
        <w:t>竞争性磋商公告》</w:t>
      </w:r>
    </w:p>
    <w:p>
      <w:pPr>
        <w:keepNext w:val="0"/>
        <w:keepLines w:val="0"/>
        <w:pageBreakBefore w:val="0"/>
        <w:widowControl w:val="0"/>
        <w:numPr>
          <w:ilvl w:val="0"/>
          <w:numId w:val="4"/>
        </w:numPr>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服务</w:t>
      </w:r>
      <w:r>
        <w:rPr>
          <w:rFonts w:hint="eastAsia" w:ascii="方正仿宋_GBK" w:hAnsi="宋体" w:eastAsia="方正仿宋_GBK"/>
          <w:sz w:val="28"/>
          <w:szCs w:val="28"/>
          <w:lang w:val="en-US" w:eastAsia="zh-CN"/>
        </w:rPr>
        <w:t>期限</w:t>
      </w:r>
      <w:r>
        <w:rPr>
          <w:rFonts w:hint="eastAsia" w:ascii="方正仿宋_GBK" w:hAnsi="宋体" w:eastAsia="方正仿宋_GBK"/>
          <w:sz w:val="28"/>
          <w:szCs w:val="28"/>
        </w:rPr>
        <w:t>：详见第一部分《</w:t>
      </w:r>
      <w:r>
        <w:rPr>
          <w:rFonts w:hint="eastAsia" w:ascii="方正仿宋_GBK" w:hAnsi="宋体" w:eastAsia="方正仿宋_GBK"/>
          <w:sz w:val="28"/>
          <w:szCs w:val="28"/>
          <w:lang w:val="en-US" w:eastAsia="zh-CN"/>
        </w:rPr>
        <w:t>公开</w:t>
      </w:r>
      <w:r>
        <w:rPr>
          <w:rFonts w:hint="eastAsia" w:ascii="方正仿宋_GBK" w:hAnsi="宋体" w:eastAsia="方正仿宋_GBK"/>
          <w:sz w:val="28"/>
          <w:szCs w:val="28"/>
        </w:rPr>
        <w:t>竞争性磋商公告》</w:t>
      </w:r>
    </w:p>
    <w:p>
      <w:pPr>
        <w:keepNext w:val="0"/>
        <w:keepLines w:val="0"/>
        <w:pageBreakBefore w:val="0"/>
        <w:widowControl w:val="0"/>
        <w:numPr>
          <w:ilvl w:val="0"/>
          <w:numId w:val="4"/>
        </w:numPr>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服务地点：详见第一部分《</w:t>
      </w:r>
      <w:r>
        <w:rPr>
          <w:rFonts w:hint="eastAsia" w:ascii="方正仿宋_GBK" w:hAnsi="宋体" w:eastAsia="方正仿宋_GBK"/>
          <w:sz w:val="28"/>
          <w:szCs w:val="28"/>
          <w:lang w:val="en-US" w:eastAsia="zh-CN"/>
        </w:rPr>
        <w:t>公开</w:t>
      </w:r>
      <w:r>
        <w:rPr>
          <w:rFonts w:hint="eastAsia" w:ascii="方正仿宋_GBK" w:hAnsi="宋体" w:eastAsia="方正仿宋_GBK"/>
          <w:sz w:val="28"/>
          <w:szCs w:val="28"/>
        </w:rPr>
        <w:t>竞争性磋商公告》</w:t>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lang w:val="en-US" w:eastAsia="zh-CN"/>
        </w:rPr>
      </w:pPr>
      <w:r>
        <w:rPr>
          <w:rFonts w:hint="eastAsia" w:ascii="方正仿宋_GBK" w:hAnsi="宋体" w:eastAsia="方正仿宋_GBK"/>
          <w:b/>
          <w:color w:val="000000"/>
          <w:sz w:val="28"/>
          <w:szCs w:val="28"/>
        </w:rPr>
        <w:t>公开竞争性磋商供应商的</w:t>
      </w:r>
      <w:r>
        <w:rPr>
          <w:rFonts w:hint="eastAsia" w:ascii="方正仿宋_GBK" w:hAnsi="宋体" w:eastAsia="方正仿宋_GBK"/>
          <w:b/>
          <w:color w:val="000000"/>
          <w:sz w:val="28"/>
          <w:szCs w:val="28"/>
          <w:lang w:val="en-US" w:eastAsia="zh-CN"/>
        </w:rPr>
        <w:t>资格</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1、在中国境内依法注册成立3年及以上，具有依法取得的《营业执照》和会计师事务所执业证书（提供营业执照、会计师事务所执业证书复印件并加盖公章）。</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2、供应商需承诺（提供承诺书，格式自拟并加盖公章）：</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（1）具有固定的工作场所，组织机构健全，内部管理和控制制度完善且执行有效；</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（2）能够保守重庆银行商业秘密，维护国家金融信息安全；</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（3）未被“信用中国”网站列入失信被执行人和重大税收违法失信主体；</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（4）</w:t>
      </w:r>
      <w:r>
        <w:rPr>
          <w:rFonts w:hint="eastAsia" w:ascii="方正仿宋_GBK" w:hAnsi="宋体" w:eastAsia="方正仿宋_GBK"/>
          <w:color w:val="auto"/>
          <w:sz w:val="28"/>
          <w:szCs w:val="28"/>
          <w:lang w:val="en-US" w:eastAsia="zh-CN"/>
        </w:rPr>
        <w:t>近3年内有连续从事金融企业审计相关经验</w:t>
      </w:r>
      <w:r>
        <w:rPr>
          <w:rFonts w:hint="eastAsia" w:ascii="方正仿宋_GBK" w:hAnsi="宋体" w:eastAsia="方正仿宋_GBK"/>
          <w:sz w:val="28"/>
          <w:szCs w:val="28"/>
          <w:lang w:val="en-US" w:eastAsia="zh-CN"/>
        </w:rPr>
        <w:t>。</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sz w:val="28"/>
          <w:szCs w:val="28"/>
          <w:lang w:val="en-US" w:eastAsia="zh-CN"/>
        </w:rPr>
        <w:t>3、</w:t>
      </w:r>
      <w:r>
        <w:rPr>
          <w:rFonts w:hint="eastAsia" w:ascii="方正仿宋_GBK" w:hAnsi="宋体" w:eastAsia="方正仿宋_GBK"/>
          <w:color w:val="auto"/>
          <w:sz w:val="28"/>
          <w:szCs w:val="28"/>
          <w:lang w:val="en-US" w:eastAsia="zh-CN"/>
        </w:rPr>
        <w:t>供应商存在下列情形之一的，不得参与本次项目磋商（提供近36个月职业记录，可为</w:t>
      </w:r>
      <w:r>
        <w:rPr>
          <w:rFonts w:hint="eastAsia" w:ascii="方正仿宋_GBK" w:hAnsi="宋体" w:eastAsia="方正仿宋_GBK"/>
          <w:color w:val="auto"/>
          <w:sz w:val="28"/>
          <w:szCs w:val="28"/>
        </w:rPr>
        <w:t>中注协行业管理信息系统（中国注册会计师行业管理信息系统——公众查询版 (cicpa.org.cn)）中公开公布的处罚/惩戒信息截图并加盖公章</w:t>
      </w:r>
      <w:r>
        <w:rPr>
          <w:rFonts w:hint="eastAsia" w:ascii="方正仿宋_GBK" w:hAnsi="宋体" w:eastAsia="方正仿宋_GBK"/>
          <w:color w:val="auto"/>
          <w:sz w:val="28"/>
          <w:szCs w:val="28"/>
          <w:lang w:val="en-US" w:eastAsia="zh-CN"/>
        </w:rPr>
        <w:t>）：</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（1）受到吊销执业许可、撤销事务所等行政处罚的；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（2）因承接国有金融企业审计业务，受到省级以上（含省级，下同）财政部门和证券监管部门暂停全部业务或者证券服务业务等行政处罚，且恢复业务资质未满24个月的；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（3）因承接国有金融企业审计业务，近24个月受到省级以上财政部门和证券监管部门警告、罚款、没收违法所得等行政处罚合计两次及以上的；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（4）因承接国有金融企业之外的其他企业审计业务，受到省级以上财政部门和证券监管部门暂停全部业务或者证券服务业务等行政处罚，且尚未恢复业务资质的；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（5）近24个月受到省级以上财政部门和证券监管部门警告、罚款、没收违法所得等行政处罚合计五次及以上的；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（6）近24个月内受到省级以上财政部门警告、罚款、没收违法所得等行政处罚两次及以上的；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7）近36个月内负责审计的国有金融企业存在重大资产损失、重大财务造假行为，以及国有金融企业或其负责人存在重大违法违规行为，会计师事务所已发现但按未按照《中国注册会计师审计准则》《中国注册会计师职业道德守则》和《中国注册会计师独立性准则》等规定履行关注、识别、评价等审计程序，或未按上述规定履行向国有金融企业审计委员会、董事会，或股东、同级财政部门、金融监管部门报告义务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（8）存在危害国家安全、违反信息安全法律法规、监管要求和业务约定书保密条款，或失密泄密窃密等行为的；</w:t>
      </w:r>
    </w:p>
    <w:p>
      <w:pPr>
        <w:pStyle w:val="2"/>
        <w:spacing w:beforeLines="0" w:afterLines="0" w:line="300" w:lineRule="auto"/>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（9）涉嫌财务造假等重大违法违规行被立案调查，财政部明确不适合承接国有金融企业审计业务后未满36个月的。</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color w:val="auto"/>
          <w:sz w:val="28"/>
          <w:szCs w:val="28"/>
          <w:lang w:val="en-US" w:eastAsia="zh-CN"/>
        </w:rPr>
        <w:t>4、</w:t>
      </w:r>
      <w:r>
        <w:rPr>
          <w:rFonts w:hint="eastAsia" w:ascii="方正仿宋_GBK" w:hAnsi="宋体" w:eastAsia="方正仿宋_GBK" w:cs="Calibri"/>
          <w:color w:val="auto"/>
          <w:sz w:val="28"/>
          <w:szCs w:val="28"/>
        </w:rPr>
        <w:t>不接受联合体投标</w:t>
      </w:r>
      <w:r>
        <w:rPr>
          <w:rFonts w:hint="eastAsia" w:ascii="方正仿宋_GBK" w:hAnsi="宋体" w:eastAsia="方正仿宋_GBK" w:cs="Calibri"/>
          <w:color w:val="auto"/>
          <w:sz w:val="28"/>
          <w:szCs w:val="28"/>
          <w:lang w:eastAsia="zh-CN"/>
        </w:rPr>
        <w:t>。</w:t>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竞争性磋商的响应文件</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磋商供应商应当按照以下要求编制竞争性磋商响应文件，并对磋商文件提出的要求和条件作出实质性响应。</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1、响应文件组成</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响应文件由以下部分和供应商所作的一切有效补充、修改和承诺等文件组成，供应商应按照本文件第五部分“响应文件格式”规定的目录顺序组织编写和装订。</w:t>
      </w:r>
    </w:p>
    <w:p>
      <w:pPr>
        <w:keepNext w:val="0"/>
        <w:keepLines w:val="0"/>
        <w:pageBreakBefore w:val="0"/>
        <w:widowControl w:val="0"/>
        <w:numPr>
          <w:ilvl w:val="1"/>
          <w:numId w:val="5"/>
        </w:numPr>
        <w:kinsoku/>
        <w:wordWrap/>
        <w:overflowPunct/>
        <w:topLinePunct w:val="0"/>
        <w:autoSpaceDE/>
        <w:autoSpaceDN/>
        <w:bidi w:val="0"/>
        <w:adjustRightInd/>
        <w:snapToGrid/>
        <w:spacing w:line="300" w:lineRule="auto"/>
        <w:ind w:right="0" w:rightChars="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响应函</w:t>
      </w:r>
    </w:p>
    <w:p>
      <w:pPr>
        <w:keepNext w:val="0"/>
        <w:keepLines w:val="0"/>
        <w:pageBreakBefore w:val="0"/>
        <w:widowControl w:val="0"/>
        <w:numPr>
          <w:ilvl w:val="1"/>
          <w:numId w:val="5"/>
        </w:numPr>
        <w:kinsoku/>
        <w:wordWrap/>
        <w:overflowPunct/>
        <w:topLinePunct w:val="0"/>
        <w:autoSpaceDE/>
        <w:autoSpaceDN/>
        <w:bidi w:val="0"/>
        <w:adjustRightInd/>
        <w:snapToGrid/>
        <w:spacing w:line="300" w:lineRule="auto"/>
        <w:ind w:right="0" w:rightChars="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报价明细表</w:t>
      </w:r>
    </w:p>
    <w:p>
      <w:pPr>
        <w:keepNext w:val="0"/>
        <w:keepLines w:val="0"/>
        <w:pageBreakBefore w:val="0"/>
        <w:widowControl w:val="0"/>
        <w:numPr>
          <w:ilvl w:val="1"/>
          <w:numId w:val="5"/>
        </w:numPr>
        <w:kinsoku/>
        <w:wordWrap/>
        <w:overflowPunct/>
        <w:topLinePunct w:val="0"/>
        <w:autoSpaceDE/>
        <w:autoSpaceDN/>
        <w:bidi w:val="0"/>
        <w:adjustRightInd/>
        <w:snapToGrid/>
        <w:spacing w:line="300" w:lineRule="auto"/>
        <w:ind w:right="0" w:rightChars="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营业执照复印件（加盖鲜章）</w:t>
      </w:r>
    </w:p>
    <w:p>
      <w:pPr>
        <w:keepNext w:val="0"/>
        <w:keepLines w:val="0"/>
        <w:pageBreakBefore w:val="0"/>
        <w:widowControl w:val="0"/>
        <w:numPr>
          <w:ilvl w:val="1"/>
          <w:numId w:val="5"/>
        </w:numPr>
        <w:kinsoku/>
        <w:wordWrap/>
        <w:overflowPunct/>
        <w:topLinePunct w:val="0"/>
        <w:autoSpaceDE/>
        <w:autoSpaceDN/>
        <w:bidi w:val="0"/>
        <w:adjustRightInd/>
        <w:snapToGrid/>
        <w:spacing w:line="300" w:lineRule="auto"/>
        <w:ind w:right="0" w:rightChars="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法定代表人授权委托书（原件）</w:t>
      </w:r>
    </w:p>
    <w:p>
      <w:pPr>
        <w:keepNext w:val="0"/>
        <w:keepLines w:val="0"/>
        <w:pageBreakBefore w:val="0"/>
        <w:widowControl w:val="0"/>
        <w:numPr>
          <w:ilvl w:val="1"/>
          <w:numId w:val="5"/>
        </w:numPr>
        <w:kinsoku/>
        <w:wordWrap/>
        <w:overflowPunct/>
        <w:topLinePunct w:val="0"/>
        <w:autoSpaceDE/>
        <w:autoSpaceDN/>
        <w:bidi w:val="0"/>
        <w:adjustRightInd/>
        <w:snapToGrid/>
        <w:spacing w:line="300" w:lineRule="auto"/>
        <w:ind w:right="0" w:rightChars="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供应商的其他资料或承诺（如果有）</w:t>
      </w:r>
    </w:p>
    <w:p>
      <w:pPr>
        <w:keepNext w:val="0"/>
        <w:keepLines w:val="0"/>
        <w:pageBreakBefore w:val="0"/>
        <w:widowControl w:val="0"/>
        <w:numPr>
          <w:ilvl w:val="1"/>
          <w:numId w:val="5"/>
        </w:numPr>
        <w:kinsoku/>
        <w:wordWrap/>
        <w:overflowPunct/>
        <w:topLinePunct w:val="0"/>
        <w:autoSpaceDE/>
        <w:autoSpaceDN/>
        <w:bidi w:val="0"/>
        <w:adjustRightInd/>
        <w:snapToGrid/>
        <w:spacing w:line="300" w:lineRule="auto"/>
        <w:ind w:right="0" w:rightChars="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电子文档（包含盖章后的全套响应文件扫描件U盘1份</w:t>
      </w:r>
      <w:r>
        <w:rPr>
          <w:rFonts w:hint="eastAsia" w:ascii="方正仿宋_GBK" w:hAnsi="宋体" w:eastAsia="方正仿宋_GBK"/>
          <w:sz w:val="28"/>
          <w:szCs w:val="28"/>
          <w:lang w:eastAsia="zh-CN"/>
        </w:rPr>
        <w:t>，</w:t>
      </w:r>
      <w:r>
        <w:rPr>
          <w:rFonts w:hint="eastAsia" w:ascii="方正仿宋_GBK" w:hAnsi="宋体" w:eastAsia="方正仿宋_GBK"/>
          <w:sz w:val="28"/>
          <w:szCs w:val="28"/>
        </w:rPr>
        <w:t>采用U盘作为载体，格式为PDF或JPG，电子版文件仅作存档使用，不作为评审依据；电子版响应文件应与纸质版响应文件一致，当电子介质的响应文件与纸质响应文件不一致时，以纸质响应文件为准）</w:t>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竞争性磋商响应文件的数量、签署及装订要求</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62" w:firstLineChars="200"/>
        <w:jc w:val="both"/>
        <w:textAlignment w:val="auto"/>
        <w:outlineLvl w:val="9"/>
        <w:rPr>
          <w:rFonts w:hint="eastAsia" w:ascii="方正仿宋_GBK" w:hAnsi="宋体" w:eastAsia="方正仿宋_GBK"/>
          <w:sz w:val="28"/>
          <w:szCs w:val="28"/>
        </w:rPr>
      </w:pPr>
      <w:r>
        <w:rPr>
          <w:rFonts w:hint="eastAsia" w:ascii="方正仿宋_GBK" w:hAnsi="宋体" w:eastAsia="方正仿宋_GBK"/>
          <w:b/>
          <w:sz w:val="28"/>
          <w:szCs w:val="28"/>
        </w:rPr>
        <w:t>响应文件</w:t>
      </w:r>
      <w:r>
        <w:rPr>
          <w:rFonts w:hint="eastAsia" w:ascii="方正仿宋_GBK" w:hAnsi="宋体" w:eastAsia="方正仿宋_GBK"/>
          <w:sz w:val="28"/>
          <w:szCs w:val="28"/>
        </w:rPr>
        <w:t>正本一份，副本一份</w:t>
      </w:r>
      <w:r>
        <w:rPr>
          <w:rFonts w:hint="eastAsia" w:ascii="方正仿宋_GBK" w:hAnsi="宋体" w:eastAsia="方正仿宋_GBK"/>
          <w:b/>
          <w:sz w:val="28"/>
          <w:szCs w:val="28"/>
        </w:rPr>
        <w:t>。</w:t>
      </w:r>
      <w:r>
        <w:rPr>
          <w:rFonts w:hint="eastAsia" w:ascii="方正仿宋_GBK" w:hAnsi="宋体" w:eastAsia="方正仿宋_GBK"/>
          <w:sz w:val="28"/>
          <w:szCs w:val="28"/>
        </w:rPr>
        <w:t>正本与副本不一致时，以正本为准。响应文件应装订成册，并编制页码，不得采用活页装订。响应文件应密封。响应文件袋上应注明项目名称、供应商名称、“响应文件”等字样。</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60" w:firstLineChars="20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供应商应保证响应文件中的相关证明资料清晰可辨，否则由此引起的后果由供应商自负。</w:t>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报价及费用结算</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lang w:val="en-US" w:eastAsia="zh-CN"/>
        </w:rPr>
        <w:t>1、</w:t>
      </w:r>
      <w:r>
        <w:rPr>
          <w:rFonts w:hint="eastAsia" w:ascii="方正仿宋_GBK" w:hAnsi="宋体" w:eastAsia="方正仿宋_GBK"/>
          <w:sz w:val="28"/>
          <w:szCs w:val="28"/>
        </w:rPr>
        <w:t>报价及费用结算币种：人民币</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lang w:val="en-US" w:eastAsia="zh-CN"/>
        </w:rPr>
        <w:t>2、</w:t>
      </w:r>
      <w:r>
        <w:rPr>
          <w:rFonts w:hint="eastAsia" w:ascii="方正仿宋_GBK" w:hAnsi="宋体" w:eastAsia="方正仿宋_GBK"/>
          <w:sz w:val="28"/>
          <w:szCs w:val="28"/>
        </w:rPr>
        <w:t>供应商应严格按照“响应文件格式”中的格式填写报价。</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供应商所填报的价格应是</w:t>
      </w:r>
      <w:r>
        <w:rPr>
          <w:rFonts w:hint="eastAsia" w:ascii="方正仿宋_GBK" w:hAnsi="宋体" w:eastAsia="方正仿宋_GBK"/>
          <w:sz w:val="28"/>
          <w:szCs w:val="28"/>
        </w:rPr>
        <w:fldChar w:fldCharType="begin"/>
      </w:r>
      <w:r>
        <w:rPr>
          <w:rFonts w:hint="eastAsia" w:ascii="方正仿宋_GBK" w:hAnsi="宋体" w:eastAsia="方正仿宋_GBK"/>
          <w:sz w:val="28"/>
          <w:szCs w:val="28"/>
        </w:rPr>
        <w:instrText xml:space="preserve"> LINK Word.Document.12 C:\\Users\\重庆银行\\Documents\\2021年招标项目\\CQBF21304重庆银行理财产品外部审计项目（2022年）\\招标采购表格2021公开竞争性磋商（服务）--无保证金---视频开标，需挂重咨官网\\采购招标表格\\基础信息单一服务-word版.docx OLE_LINK18 \a \t  \* MERGEFORMAT </w:instrText>
      </w:r>
      <w:bookmarkStart w:id="8" w:name="_1672138473"/>
      <w:bookmarkEnd w:id="8"/>
      <w:bookmarkStart w:id="9" w:name="_1646207451"/>
      <w:bookmarkEnd w:id="9"/>
      <w:bookmarkStart w:id="10" w:name="_1557836519"/>
      <w:bookmarkEnd w:id="10"/>
      <w:bookmarkStart w:id="11" w:name="_1531227954"/>
      <w:bookmarkEnd w:id="11"/>
      <w:bookmarkStart w:id="12" w:name="_1596375768"/>
      <w:bookmarkEnd w:id="12"/>
      <w:bookmarkStart w:id="13" w:name="_1531732196"/>
      <w:bookmarkEnd w:id="13"/>
      <w:bookmarkStart w:id="14" w:name="_1698647808"/>
      <w:bookmarkEnd w:id="14"/>
      <w:bookmarkStart w:id="15" w:name="_1531916847"/>
      <w:bookmarkEnd w:id="15"/>
      <w:bookmarkStart w:id="16" w:name="_1610627963"/>
      <w:bookmarkEnd w:id="16"/>
      <w:bookmarkStart w:id="17" w:name="_1596371723"/>
      <w:bookmarkEnd w:id="17"/>
      <w:bookmarkStart w:id="18" w:name="_1616585667"/>
      <w:bookmarkEnd w:id="18"/>
      <w:bookmarkStart w:id="19" w:name="_1610630943"/>
      <w:bookmarkEnd w:id="19"/>
      <w:bookmarkStart w:id="20" w:name="_1604322734"/>
      <w:bookmarkEnd w:id="20"/>
      <w:r>
        <w:rPr>
          <w:rFonts w:hint="eastAsia" w:ascii="方正仿宋_GBK" w:hAnsi="宋体" w:eastAsia="方正仿宋_GBK"/>
          <w:sz w:val="28"/>
          <w:szCs w:val="28"/>
        </w:rPr>
        <w:fldChar w:fldCharType="separate"/>
      </w:r>
      <w:r>
        <w:rPr>
          <w:rFonts w:hint="eastAsia" w:ascii="方正仿宋_GBK" w:hAnsi="宋体" w:eastAsia="方正仿宋_GBK"/>
          <w:sz w:val="28"/>
          <w:szCs w:val="28"/>
        </w:rPr>
        <w:t>为完成所要求服务的整体包干价，应包含完成项目所需的人工费、交通费、办公设施费、第三方软件费、税费等所有费用，须提供增值税专票。</w:t>
      </w:r>
      <w:r>
        <w:rPr>
          <w:rFonts w:hint="eastAsia" w:ascii="方正仿宋_GBK" w:hAnsi="宋体" w:eastAsia="方正仿宋_GBK"/>
          <w:sz w:val="28"/>
          <w:szCs w:val="28"/>
        </w:rPr>
        <w:fldChar w:fldCharType="end"/>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rPr>
          <w:rFonts w:hint="eastAsia" w:ascii="方正仿宋_GBK" w:hAnsi="宋体" w:eastAsia="方正仿宋_GBK"/>
          <w:sz w:val="28"/>
          <w:szCs w:val="28"/>
        </w:rPr>
      </w:pPr>
      <w:r>
        <w:rPr>
          <w:rFonts w:hint="eastAsia" w:ascii="方正仿宋_GBK" w:hAnsi="宋体" w:eastAsia="方正仿宋_GBK"/>
          <w:sz w:val="28"/>
          <w:szCs w:val="28"/>
          <w:lang w:val="en-US" w:eastAsia="zh-CN"/>
        </w:rPr>
        <w:t>3、</w:t>
      </w:r>
      <w:r>
        <w:rPr>
          <w:rFonts w:hint="eastAsia" w:ascii="方正仿宋_GBK" w:hAnsi="宋体" w:eastAsia="方正仿宋_GBK"/>
          <w:sz w:val="28"/>
          <w:szCs w:val="28"/>
        </w:rPr>
        <w:t>费用支付：</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rPr>
          <w:rFonts w:hint="eastAsia" w:ascii="方正仿宋_GBK" w:hAnsi="宋体" w:eastAsia="方正仿宋_GBK"/>
          <w:sz w:val="28"/>
          <w:szCs w:val="28"/>
        </w:rPr>
      </w:pPr>
      <w:r>
        <w:rPr>
          <w:rFonts w:hint="eastAsia" w:ascii="方正仿宋_GBK" w:hAnsi="宋体" w:eastAsia="方正仿宋_GBK"/>
          <w:sz w:val="28"/>
          <w:szCs w:val="28"/>
        </w:rPr>
        <w:fldChar w:fldCharType="begin"/>
      </w:r>
      <w:r>
        <w:rPr>
          <w:rFonts w:hint="eastAsia" w:ascii="方正仿宋_GBK" w:hAnsi="宋体" w:eastAsia="方正仿宋_GBK"/>
          <w:sz w:val="28"/>
          <w:szCs w:val="28"/>
        </w:rPr>
        <w:instrText xml:space="preserve"> LINK Word.Document.12 C:\\Users\\重庆银行\\Documents\\2021年招标项目\\CQBF21304重庆银行理财产品外部审计项目（2022年）\\招标采购表格2021公开竞争性磋商（服务）--无保证金---视频开标，需挂重咨官网\\采购招标表格\\基础信息单一服务-word版.docx OLE_LINK16 \a \r  \* MERGEFORMAT </w:instrText>
      </w:r>
      <w:bookmarkStart w:id="21" w:name="_1604322736"/>
      <w:bookmarkEnd w:id="21"/>
      <w:bookmarkStart w:id="22" w:name="_1531916849"/>
      <w:bookmarkEnd w:id="22"/>
      <w:bookmarkStart w:id="23" w:name="_1531732198"/>
      <w:bookmarkEnd w:id="23"/>
      <w:bookmarkStart w:id="24" w:name="_1596371725"/>
      <w:bookmarkEnd w:id="24"/>
      <w:bookmarkStart w:id="25" w:name="_1610627964"/>
      <w:bookmarkEnd w:id="25"/>
      <w:bookmarkStart w:id="26" w:name="_1596375770"/>
      <w:bookmarkEnd w:id="26"/>
      <w:bookmarkStart w:id="27" w:name="_1672138475"/>
      <w:bookmarkEnd w:id="27"/>
      <w:bookmarkStart w:id="28" w:name="_1531227883"/>
      <w:bookmarkEnd w:id="28"/>
      <w:bookmarkStart w:id="29" w:name="_1698647810"/>
      <w:bookmarkEnd w:id="29"/>
      <w:bookmarkStart w:id="30" w:name="_1557836521"/>
      <w:bookmarkEnd w:id="30"/>
      <w:bookmarkStart w:id="31" w:name="_1646207453"/>
      <w:bookmarkEnd w:id="31"/>
      <w:bookmarkStart w:id="32" w:name="_1616585669"/>
      <w:bookmarkEnd w:id="32"/>
      <w:bookmarkStart w:id="33" w:name="_1610630945"/>
      <w:bookmarkEnd w:id="33"/>
      <w:r>
        <w:rPr>
          <w:rFonts w:hint="eastAsia" w:ascii="方正仿宋_GBK" w:hAnsi="宋体" w:eastAsia="方正仿宋_GBK"/>
          <w:sz w:val="28"/>
          <w:szCs w:val="28"/>
        </w:rPr>
        <w:fldChar w:fldCharType="separate"/>
      </w:r>
      <w:bookmarkStart w:id="34" w:name="OLE_LINK16"/>
      <w:r>
        <w:rPr>
          <w:rFonts w:hint="eastAsia" w:ascii="方正仿宋_GBK" w:hAnsi="宋体" w:eastAsia="方正仿宋_GBK"/>
          <w:sz w:val="28"/>
          <w:szCs w:val="28"/>
        </w:rPr>
        <w:t>以转账方式定期支付。服务费用原则上自服务合同约定的审计服务起始时间起每半年支付一次，按当期已提交正式审计报告数量与合同约定价格计算。</w:t>
      </w:r>
      <w:bookmarkEnd w:id="34"/>
      <w:r>
        <w:rPr>
          <w:rFonts w:hint="eastAsia" w:ascii="方正仿宋_GBK" w:hAnsi="宋体" w:eastAsia="方正仿宋_GBK"/>
          <w:sz w:val="28"/>
          <w:szCs w:val="28"/>
        </w:rPr>
        <w:fldChar w:fldCharType="end"/>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采购响应保证金及费用</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1、响应保证金：本次磋商供应商无需缴纳采购响应保证金。</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b/>
          <w:sz w:val="28"/>
          <w:szCs w:val="28"/>
        </w:rPr>
      </w:pPr>
      <w:r>
        <w:rPr>
          <w:rFonts w:hint="eastAsia" w:ascii="方正仿宋_GBK" w:hAnsi="宋体" w:eastAsia="方正仿宋_GBK"/>
          <w:sz w:val="28"/>
          <w:szCs w:val="28"/>
          <w:lang w:val="en-US" w:eastAsia="zh-CN"/>
        </w:rPr>
        <w:t>2、磋商费用：无论供应商在磋商过程中的做法和结果如何，供应商须自行承担所有与本次采购相关的全部费用。</w:t>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递交竞争性磋商响应文件的时间及地点</w:t>
      </w:r>
    </w:p>
    <w:p>
      <w:pPr>
        <w:pStyle w:val="35"/>
        <w:keepNext w:val="0"/>
        <w:keepLines w:val="0"/>
        <w:pageBreakBefore w:val="0"/>
        <w:widowControl w:val="0"/>
        <w:kinsoku/>
        <w:wordWrap/>
        <w:overflowPunct/>
        <w:topLinePunct w:val="0"/>
        <w:autoSpaceDE/>
        <w:autoSpaceDN/>
        <w:bidi w:val="0"/>
        <w:adjustRightInd/>
        <w:snapToGrid/>
        <w:spacing w:line="300" w:lineRule="auto"/>
        <w:ind w:left="570" w:right="0" w:rightChars="0" w:firstLine="0" w:firstLineChars="0"/>
        <w:jc w:val="both"/>
        <w:textAlignment w:val="auto"/>
        <w:outlineLvl w:val="9"/>
        <w:rPr>
          <w:rFonts w:hint="eastAsia" w:ascii="方正仿宋_GBK" w:hAnsi="宋体" w:eastAsia="方正仿宋_GBK"/>
          <w:sz w:val="28"/>
          <w:szCs w:val="28"/>
        </w:rPr>
      </w:pPr>
      <w:r>
        <w:rPr>
          <w:rFonts w:hint="eastAsia" w:ascii="方正仿宋_GBK" w:hAnsi="宋体" w:eastAsia="方正仿宋_GBK"/>
          <w:sz w:val="28"/>
          <w:szCs w:val="28"/>
        </w:rPr>
        <w:t>详见本文件第一部分。</w:t>
      </w:r>
    </w:p>
    <w:p>
      <w:pPr>
        <w:keepNext w:val="0"/>
        <w:keepLines w:val="0"/>
        <w:pageBreakBefore w:val="0"/>
        <w:widowControl w:val="0"/>
        <w:numPr>
          <w:ilvl w:val="0"/>
          <w:numId w:val="3"/>
        </w:numPr>
        <w:tabs>
          <w:tab w:val="left" w:pos="540"/>
          <w:tab w:val="left" w:pos="720"/>
        </w:tabs>
        <w:kinsoku/>
        <w:wordWrap/>
        <w:overflowPunct/>
        <w:topLinePunct w:val="0"/>
        <w:autoSpaceDE/>
        <w:autoSpaceDN/>
        <w:bidi w:val="0"/>
        <w:adjustRightInd/>
        <w:snapToGrid/>
        <w:spacing w:line="300" w:lineRule="auto"/>
        <w:ind w:right="0" w:rightChars="0" w:hanging="60"/>
        <w:jc w:val="both"/>
        <w:textAlignment w:val="auto"/>
        <w:outlineLvl w:val="9"/>
        <w:rPr>
          <w:rFonts w:hint="eastAsia" w:ascii="方正仿宋_GBK" w:hAnsi="宋体" w:eastAsia="方正仿宋_GBK"/>
          <w:b/>
          <w:sz w:val="28"/>
          <w:szCs w:val="28"/>
        </w:rPr>
      </w:pPr>
      <w:r>
        <w:rPr>
          <w:rFonts w:hint="eastAsia" w:ascii="方正仿宋_GBK" w:hAnsi="宋体" w:eastAsia="方正仿宋_GBK"/>
          <w:b/>
          <w:sz w:val="28"/>
          <w:szCs w:val="28"/>
        </w:rPr>
        <w:t>公开竞争性磋商磋商及评审</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1、初步评审</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 核验参加磋商的供应商的法定代表人或负责人或委托代理人本人身份证（原件），核验被授权代理人的授权委托书（原件），以确认其身份合法有效；</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（2）核验供应商的资格（按本文件第二部分《磋商须知》第三条）、磋商响应文件的签署、磋商响应文件的完整性。磋商响应文件有下列情况之一，其响应文件无效:</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a) 供应商提供的货物或服务不满足采购文件实质性要求的;</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b) 没有按时足额提交采购响应保证金或未从供应商银行账户提交采购响应保证金的（采购文件没有要求提交采购响应保证金的除外）；</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c) 未按照采购文件规定提供资格证明材料的；</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d) 报价高于项目限价或预算的；</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e) 其他不符合法律、规章、规范性文件和采购文件规定的。</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 核验供应商提供的相应的服务是否满足磋商文件明确的服务要求。</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2、磋商</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 磋商小组全体成员与供应商就服务内容、服务质量保证、实施进度、拟派人员情况、价格情况及合同条款等进行磋商。</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（2）磋商小组对供应商磋商响应文件中含义不明确、同类问题表述不一致或有明显文字和计算错误的可以要求供应商以书面形式加以澄清、说明或纠正，并要求其授权代表签字确认。</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采购人保留在正式的磋商中修改部分磋商条件的权利。公开竞争性磋商文件如有实质性变动的，须经磋商小组半数以上成员同意并签字确认后，由磋商小组以书面形式通知参加磋商的供应商，并要求其授权代表签字确认（如不签字确认即被认为拒绝修改并放弃磋商）。</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3、最终报价</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供应商应根据采购文件、补遗书（若有）及相关书面通知</w:t>
      </w:r>
      <w:r>
        <w:rPr>
          <w:rFonts w:hint="eastAsia" w:ascii="方正仿宋_GBK" w:hAnsi="宋体" w:eastAsia="方正仿宋_GBK"/>
          <w:sz w:val="28"/>
          <w:szCs w:val="28"/>
        </w:rPr>
        <w:t>与磋商小组磋商后</w:t>
      </w:r>
      <w:r>
        <w:rPr>
          <w:rFonts w:hint="eastAsia" w:ascii="方正仿宋_GBK" w:hAnsi="宋体" w:eastAsia="方正仿宋_GBK"/>
          <w:sz w:val="28"/>
          <w:szCs w:val="28"/>
          <w:lang w:val="en-US" w:eastAsia="zh-CN"/>
        </w:rPr>
        <w:t>，书面报出最终服务承诺和最终报价，供应商在磋商时作出的所有书面承诺及报价须由其法定代表人或负责人或授权代理人签字确认。原则上最终报价不能更改。在规定时间内未提交最终报价的供应商视为放弃最终报价，以其前一次报价为准。</w:t>
      </w:r>
      <w:r>
        <w:rPr>
          <w:rFonts w:hint="eastAsia" w:ascii="方正仿宋_GBK" w:hAnsi="宋体" w:eastAsia="方正仿宋_GBK"/>
          <w:b/>
          <w:bCs/>
          <w:sz w:val="28"/>
          <w:szCs w:val="28"/>
          <w:lang w:val="en-US" w:eastAsia="zh-CN"/>
        </w:rPr>
        <w:t>在磋商实质性内容不变的情况下，最终报价不能高于第一次报价，否则其报价将作为无效报价处理。</w:t>
      </w:r>
      <w:r>
        <w:rPr>
          <w:rFonts w:hint="eastAsia" w:ascii="方正仿宋_GBK" w:hAnsi="宋体" w:eastAsia="方正仿宋_GBK"/>
          <w:sz w:val="28"/>
          <w:szCs w:val="28"/>
          <w:lang w:val="en-US" w:eastAsia="zh-CN"/>
        </w:rPr>
        <w:t>所有供应商最终报价均高于采购限价/预算价，导致采购人不能支付时，本次采购失败。</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4、详细评审</w:t>
      </w:r>
    </w:p>
    <w:p>
      <w:pPr>
        <w:keepNext w:val="0"/>
        <w:keepLines w:val="0"/>
        <w:pageBreakBefore w:val="0"/>
        <w:widowControl w:val="0"/>
        <w:kinsoku/>
        <w:wordWrap/>
        <w:overflowPunct/>
        <w:topLinePunct w:val="0"/>
        <w:autoSpaceDE/>
        <w:autoSpaceDN/>
        <w:bidi w:val="0"/>
        <w:adjustRightInd/>
        <w:snapToGrid/>
        <w:spacing w:line="300" w:lineRule="auto"/>
        <w:ind w:right="0" w:rightChars="0" w:firstLine="537" w:firstLineChars="192"/>
        <w:jc w:val="both"/>
        <w:textAlignment w:val="auto"/>
        <w:outlineLvl w:val="9"/>
        <w:rPr>
          <w:rFonts w:hint="eastAsia"/>
        </w:rPr>
      </w:pPr>
      <w:r>
        <w:rPr>
          <w:rFonts w:hint="eastAsia" w:ascii="方正仿宋_GBK" w:hAnsi="宋体" w:eastAsia="方正仿宋_GBK"/>
          <w:sz w:val="28"/>
          <w:szCs w:val="28"/>
          <w:lang w:val="en-US" w:eastAsia="zh-CN"/>
        </w:rPr>
        <w:t>本项目采用综合评分法评审。</w:t>
      </w:r>
      <w:r>
        <w:rPr>
          <w:rFonts w:hint="eastAsia" w:ascii="方正仿宋_GBK" w:hAnsi="宋体" w:eastAsia="方正仿宋_GBK"/>
          <w:sz w:val="28"/>
          <w:szCs w:val="28"/>
        </w:rPr>
        <w:t>磋商小组</w:t>
      </w:r>
      <w:r>
        <w:rPr>
          <w:rFonts w:hint="eastAsia" w:ascii="方正仿宋_GBK" w:hAnsi="宋体" w:eastAsia="方正仿宋_GBK"/>
          <w:sz w:val="28"/>
          <w:szCs w:val="28"/>
          <w:lang w:val="en-US" w:eastAsia="zh-CN"/>
        </w:rPr>
        <w:t>对满足采购文件实质性要求的响应文件，按照规定的评分标准进行打分，并按各响应人总得分由高到低顺序推荐成交候选人。综合评分相等时，以报价低的优先；报价相等时，由评审委员会投票表决确定成交候选人排位顺序。该项目总分100分，其中价格部分18分，商务部分50分、技术部分32分。</w:t>
      </w:r>
    </w:p>
    <w:tbl>
      <w:tblPr>
        <w:tblStyle w:val="12"/>
        <w:tblW w:w="10080" w:type="dxa"/>
        <w:tblInd w:w="-10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2"/>
        <w:gridCol w:w="874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0080" w:type="dxa"/>
            <w:gridSpan w:val="2"/>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b/>
                <w:bCs/>
                <w:sz w:val="24"/>
              </w:rPr>
              <w:t>价格部分（</w:t>
            </w:r>
            <w:r>
              <w:rPr>
                <w:rFonts w:hint="eastAsia" w:ascii="方正仿宋_GBK" w:hAnsi="方正仿宋_GBK" w:eastAsia="方正仿宋_GBK" w:cs="方正仿宋_GBK"/>
                <w:b/>
                <w:bCs/>
                <w:sz w:val="24"/>
                <w:lang w:val="en-US" w:eastAsia="zh-CN"/>
              </w:rPr>
              <w:t>18</w:t>
            </w:r>
            <w:r>
              <w:rPr>
                <w:rFonts w:hint="eastAsia" w:ascii="方正仿宋_GBK" w:hAnsi="方正仿宋_GBK" w:eastAsia="方正仿宋_GBK" w:cs="方正仿宋_GBK"/>
                <w:b/>
                <w:bCs/>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32"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w:t>
            </w:r>
            <w:r>
              <w:rPr>
                <w:rFonts w:hint="eastAsia" w:ascii="方正仿宋_GBK" w:hAnsi="方正仿宋_GBK" w:eastAsia="方正仿宋_GBK" w:cs="方正仿宋_GBK"/>
                <w:sz w:val="24"/>
                <w:lang w:val="en-US" w:eastAsia="zh-CN"/>
              </w:rPr>
              <w:t>18</w:t>
            </w:r>
            <w:r>
              <w:rPr>
                <w:rFonts w:hint="eastAsia" w:ascii="方正仿宋_GBK" w:hAnsi="方正仿宋_GBK" w:eastAsia="方正仿宋_GBK" w:cs="方正仿宋_GBK"/>
                <w:sz w:val="24"/>
              </w:rPr>
              <w:t>分）</w:t>
            </w:r>
          </w:p>
        </w:tc>
        <w:tc>
          <w:tcPr>
            <w:tcW w:w="8748" w:type="dxa"/>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价格（18%）</w:t>
            </w: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一、</w:t>
            </w:r>
            <w:r>
              <w:rPr>
                <w:rFonts w:hint="eastAsia" w:ascii="方正仿宋_GBK" w:hAnsi="方正仿宋_GBK" w:eastAsia="方正仿宋_GBK" w:cs="方正仿宋_GBK"/>
                <w:sz w:val="24"/>
              </w:rPr>
              <w:t>审计服务报价-</w:t>
            </w:r>
            <w:r>
              <w:rPr>
                <w:rFonts w:hint="eastAsia" w:ascii="方正仿宋_GBK" w:hAnsi="方正仿宋_GBK" w:eastAsia="方正仿宋_GBK" w:cs="方正仿宋_GBK"/>
                <w:sz w:val="24"/>
                <w:lang w:val="en-US" w:eastAsia="zh-CN"/>
              </w:rPr>
              <w:t>开放式</w:t>
            </w:r>
            <w:r>
              <w:rPr>
                <w:rFonts w:hint="eastAsia" w:ascii="方正仿宋_GBK" w:hAnsi="方正仿宋_GBK" w:eastAsia="方正仿宋_GBK" w:cs="方正仿宋_GBK"/>
                <w:sz w:val="24"/>
              </w:rPr>
              <w:t>理财产品审计服务报价（</w:t>
            </w:r>
            <w:r>
              <w:rPr>
                <w:rFonts w:hint="eastAsia" w:ascii="方正仿宋_GBK" w:hAnsi="方正仿宋_GBK" w:eastAsia="方正仿宋_GBK" w:cs="方正仿宋_GBK"/>
                <w:sz w:val="24"/>
                <w:lang w:val="en-US" w:eastAsia="zh-CN"/>
              </w:rPr>
              <w:t>9</w:t>
            </w:r>
            <w:r>
              <w:rPr>
                <w:rFonts w:hint="eastAsia" w:ascii="方正仿宋_GBK" w:hAnsi="方正仿宋_GBK" w:eastAsia="方正仿宋_GBK" w:cs="方正仿宋_GBK"/>
                <w:sz w:val="24"/>
              </w:rPr>
              <w:t>分）</w:t>
            </w: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报价为单期开放式理财产品单次审计服务费用（单位：元/次·期）。</w:t>
            </w: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lang w:eastAsia="zh-CN"/>
              </w:rPr>
            </w:pPr>
            <w:r>
              <w:rPr>
                <w:rFonts w:hint="eastAsia" w:ascii="方正仿宋_GBK" w:hAnsi="方正仿宋_GBK" w:eastAsia="方正仿宋_GBK" w:cs="方正仿宋_GBK"/>
                <w:sz w:val="24"/>
              </w:rPr>
              <w:t>采用低价优先法：</w:t>
            </w:r>
            <w:r>
              <w:rPr>
                <w:rFonts w:hint="eastAsia" w:ascii="方正仿宋_GBK" w:hAnsi="方正仿宋_GBK" w:eastAsia="方正仿宋_GBK" w:cs="方正仿宋_GBK"/>
                <w:sz w:val="24"/>
                <w:lang w:val="en-US" w:eastAsia="zh-CN"/>
              </w:rPr>
              <w:t>满足磋商文件要求且磋商报价最低的</w:t>
            </w:r>
            <w:r>
              <w:rPr>
                <w:rFonts w:hint="eastAsia" w:ascii="方正仿宋_GBK" w:hAnsi="方正仿宋_GBK" w:eastAsia="方正仿宋_GBK" w:cs="方正仿宋_GBK"/>
                <w:sz w:val="24"/>
              </w:rPr>
              <w:t>为评审基准价，其价格分为满分</w:t>
            </w:r>
            <w:r>
              <w:rPr>
                <w:rFonts w:hint="eastAsia" w:ascii="方正仿宋_GBK" w:hAnsi="方正仿宋_GBK" w:eastAsia="方正仿宋_GBK" w:cs="方正仿宋_GBK"/>
                <w:sz w:val="24"/>
                <w:lang w:eastAsia="zh-CN"/>
              </w:rPr>
              <w:t>。</w:t>
            </w: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投标报价得分=（评审基准价/投标报价）*报价项目分值</w:t>
            </w:r>
            <w:r>
              <w:rPr>
                <w:rFonts w:hint="eastAsia" w:ascii="方正仿宋_GBK" w:hAnsi="方正仿宋_GBK" w:eastAsia="方正仿宋_GBK" w:cs="方正仿宋_GBK"/>
                <w:sz w:val="24"/>
                <w:lang w:eastAsia="zh-CN"/>
              </w:rPr>
              <w:t>。计算结果保留小数点后两位，第三位四舍五入。</w:t>
            </w:r>
          </w:p>
          <w:p>
            <w:pPr>
              <w:pStyle w:val="2"/>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（备注：为避免在审计招标过程中低价竞争、恶意压标压价，影响金融审计质量，报价明显（50%及以上）低于有效报价平均值的投标人必须进行解释说明。）</w:t>
            </w:r>
          </w:p>
          <w:p>
            <w:pPr>
              <w:keepNext w:val="0"/>
              <w:keepLines w:val="0"/>
              <w:suppressLineNumbers w:val="0"/>
              <w:spacing w:before="0" w:beforeAutospacing="0" w:after="0" w:afterAutospacing="0"/>
              <w:ind w:left="0" w:right="0"/>
              <w:rPr>
                <w:rFonts w:hint="eastAsia"/>
              </w:rPr>
            </w:pP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二、</w:t>
            </w:r>
            <w:r>
              <w:rPr>
                <w:rFonts w:hint="eastAsia" w:ascii="方正仿宋_GBK" w:hAnsi="方正仿宋_GBK" w:eastAsia="方正仿宋_GBK" w:cs="方正仿宋_GBK"/>
                <w:sz w:val="24"/>
              </w:rPr>
              <w:t>审计服务报价-</w:t>
            </w:r>
            <w:r>
              <w:rPr>
                <w:rFonts w:hint="eastAsia" w:ascii="方正仿宋_GBK" w:hAnsi="方正仿宋_GBK" w:eastAsia="方正仿宋_GBK" w:cs="方正仿宋_GBK"/>
                <w:sz w:val="24"/>
                <w:lang w:val="en-US" w:eastAsia="zh-CN"/>
              </w:rPr>
              <w:t>封闭式</w:t>
            </w:r>
            <w:r>
              <w:rPr>
                <w:rFonts w:hint="eastAsia" w:ascii="方正仿宋_GBK" w:hAnsi="方正仿宋_GBK" w:eastAsia="方正仿宋_GBK" w:cs="方正仿宋_GBK"/>
                <w:sz w:val="24"/>
              </w:rPr>
              <w:t>理财产品审计服务报价（</w:t>
            </w:r>
            <w:r>
              <w:rPr>
                <w:rFonts w:hint="eastAsia" w:ascii="方正仿宋_GBK" w:hAnsi="方正仿宋_GBK" w:eastAsia="方正仿宋_GBK" w:cs="方正仿宋_GBK"/>
                <w:sz w:val="24"/>
                <w:lang w:val="en-US" w:eastAsia="zh-CN"/>
              </w:rPr>
              <w:t>9</w:t>
            </w:r>
            <w:r>
              <w:rPr>
                <w:rFonts w:hint="eastAsia" w:ascii="方正仿宋_GBK" w:hAnsi="方正仿宋_GBK" w:eastAsia="方正仿宋_GBK" w:cs="方正仿宋_GBK"/>
                <w:sz w:val="24"/>
              </w:rPr>
              <w:t>分）</w:t>
            </w: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报价为单期</w:t>
            </w:r>
            <w:r>
              <w:rPr>
                <w:rFonts w:hint="eastAsia" w:ascii="方正仿宋_GBK" w:hAnsi="方正仿宋_GBK" w:eastAsia="方正仿宋_GBK" w:cs="方正仿宋_GBK"/>
                <w:sz w:val="24"/>
                <w:lang w:val="en-US" w:eastAsia="zh-CN"/>
              </w:rPr>
              <w:t>封闭</w:t>
            </w:r>
            <w:r>
              <w:rPr>
                <w:rFonts w:hint="eastAsia" w:ascii="方正仿宋_GBK" w:hAnsi="方正仿宋_GBK" w:eastAsia="方正仿宋_GBK" w:cs="方正仿宋_GBK"/>
                <w:sz w:val="24"/>
              </w:rPr>
              <w:t>式理财产品单次审计服务费用（单位：元/次·期）。</w:t>
            </w: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lang w:eastAsia="zh-CN"/>
              </w:rPr>
            </w:pPr>
            <w:r>
              <w:rPr>
                <w:rFonts w:hint="eastAsia" w:ascii="方正仿宋_GBK" w:hAnsi="方正仿宋_GBK" w:eastAsia="方正仿宋_GBK" w:cs="方正仿宋_GBK"/>
                <w:sz w:val="24"/>
              </w:rPr>
              <w:t>采用低价优先法：</w:t>
            </w:r>
            <w:r>
              <w:rPr>
                <w:rFonts w:hint="eastAsia" w:ascii="方正仿宋_GBK" w:hAnsi="方正仿宋_GBK" w:eastAsia="方正仿宋_GBK" w:cs="方正仿宋_GBK"/>
                <w:sz w:val="24"/>
                <w:lang w:val="en-US" w:eastAsia="zh-CN"/>
              </w:rPr>
              <w:t>满足磋商文件要求且磋商报价最低的</w:t>
            </w:r>
            <w:r>
              <w:rPr>
                <w:rFonts w:hint="eastAsia" w:ascii="方正仿宋_GBK" w:hAnsi="方正仿宋_GBK" w:eastAsia="方正仿宋_GBK" w:cs="方正仿宋_GBK"/>
                <w:sz w:val="24"/>
              </w:rPr>
              <w:t>为评审基准价，其价格分为满分</w:t>
            </w:r>
            <w:r>
              <w:rPr>
                <w:rFonts w:hint="eastAsia" w:ascii="方正仿宋_GBK" w:hAnsi="方正仿宋_GBK" w:eastAsia="方正仿宋_GBK" w:cs="方正仿宋_GBK"/>
                <w:sz w:val="24"/>
                <w:lang w:eastAsia="zh-CN"/>
              </w:rPr>
              <w:t>。</w:t>
            </w:r>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投标报价得分=（评审基准价/投标报价）*报价项目分值</w:t>
            </w:r>
            <w:r>
              <w:rPr>
                <w:rFonts w:hint="eastAsia" w:ascii="方正仿宋_GBK" w:hAnsi="方正仿宋_GBK" w:eastAsia="方正仿宋_GBK" w:cs="方正仿宋_GBK"/>
                <w:sz w:val="24"/>
                <w:lang w:eastAsia="zh-CN"/>
              </w:rPr>
              <w:t>。</w:t>
            </w:r>
            <w:bookmarkStart w:id="35" w:name="OLE_LINK3"/>
            <w:r>
              <w:rPr>
                <w:rFonts w:hint="eastAsia" w:ascii="方正仿宋_GBK" w:hAnsi="方正仿宋_GBK" w:eastAsia="方正仿宋_GBK" w:cs="方正仿宋_GBK"/>
                <w:sz w:val="24"/>
                <w:lang w:eastAsia="zh-CN"/>
              </w:rPr>
              <w:t>计算结果保留小数点后两位，第三位四舍五入。</w:t>
            </w:r>
            <w:bookmarkEnd w:id="35"/>
          </w:p>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（备注：为避免在审计招标过程中低价竞争、恶意压标压价，影响金融审计质量，报价明显（50%及以上）低于有效报价平均值的投标人必须进行解释说明。）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1" w:hRule="atLeast"/>
        </w:trPr>
        <w:tc>
          <w:tcPr>
            <w:tcW w:w="10080" w:type="dxa"/>
            <w:gridSpan w:val="2"/>
            <w:tcBorders>
              <w:bottom w:val="single" w:color="auto" w:sz="4" w:space="0"/>
            </w:tcBorders>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highlight w:val="cyan"/>
              </w:rPr>
            </w:pPr>
            <w:r>
              <w:rPr>
                <w:rFonts w:hint="eastAsia" w:ascii="方正仿宋_GBK" w:hAnsi="方正仿宋_GBK" w:eastAsia="方正仿宋_GBK" w:cs="方正仿宋_GBK"/>
                <w:b/>
                <w:sz w:val="24"/>
              </w:rPr>
              <w:t>商务部分（</w:t>
            </w:r>
            <w:r>
              <w:rPr>
                <w:rFonts w:hint="eastAsia" w:ascii="方正仿宋_GBK" w:hAnsi="方正仿宋_GBK" w:eastAsia="方正仿宋_GBK" w:cs="方正仿宋_GBK"/>
                <w:b/>
                <w:sz w:val="24"/>
                <w:lang w:val="en-US" w:eastAsia="zh-CN"/>
              </w:rPr>
              <w:t>50</w:t>
            </w:r>
            <w:r>
              <w:rPr>
                <w:rFonts w:hint="eastAsia" w:ascii="方正仿宋_GBK" w:hAnsi="方正仿宋_GBK" w:eastAsia="方正仿宋_GBK" w:cs="方正仿宋_GBK"/>
                <w:b/>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1" w:hRule="atLeast"/>
        </w:trPr>
        <w:tc>
          <w:tcPr>
            <w:tcW w:w="1332" w:type="dxa"/>
            <w:tcBorders>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w:t>
            </w:r>
            <w:r>
              <w:rPr>
                <w:rFonts w:hint="eastAsia" w:ascii="方正仿宋_GBK" w:hAnsi="方正仿宋_GBK" w:eastAsia="方正仿宋_GBK" w:cs="方正仿宋_GBK"/>
                <w:sz w:val="24"/>
                <w:lang w:val="en-US" w:eastAsia="zh-CN"/>
              </w:rPr>
              <w:t>50</w:t>
            </w:r>
            <w:r>
              <w:rPr>
                <w:rFonts w:hint="eastAsia" w:ascii="方正仿宋_GBK" w:hAnsi="方正仿宋_GBK" w:eastAsia="方正仿宋_GBK" w:cs="方正仿宋_GBK"/>
                <w:sz w:val="24"/>
              </w:rPr>
              <w:t>分）</w:t>
            </w:r>
          </w:p>
        </w:tc>
        <w:tc>
          <w:tcPr>
            <w:tcW w:w="8748" w:type="dxa"/>
            <w:tcBorders>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商务（5</w:t>
            </w:r>
            <w:r>
              <w:rPr>
                <w:rFonts w:hint="eastAsia" w:ascii="方正仿宋_GBK" w:hAnsi="方正仿宋_GBK" w:eastAsia="方正仿宋_GBK" w:cs="方正仿宋_GBK"/>
                <w:sz w:val="24"/>
                <w:lang w:val="en-US" w:eastAsia="zh-CN"/>
              </w:rPr>
              <w:t>0</w:t>
            </w:r>
            <w:r>
              <w:rPr>
                <w:rFonts w:hint="eastAsia" w:ascii="方正仿宋_GBK" w:hAnsi="方正仿宋_GBK" w:eastAsia="方正仿宋_GBK" w:cs="方正仿宋_GBK"/>
                <w:sz w:val="24"/>
              </w:rPr>
              <w:t>%）</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一、职业记录和质量水平（16分）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1、职业记录（8分）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color w:val="auto"/>
                <w:sz w:val="24"/>
                <w:szCs w:val="22"/>
              </w:rPr>
            </w:pPr>
            <w:r>
              <w:rPr>
                <w:rFonts w:hint="eastAsia" w:ascii="方正仿宋_GBK" w:hAnsi="方正仿宋_GBK" w:eastAsia="方正仿宋_GBK" w:cs="方正仿宋_GBK"/>
                <w:color w:val="auto"/>
                <w:sz w:val="24"/>
                <w:szCs w:val="22"/>
              </w:rPr>
              <w:t>执行法律法规和相关政策的情况，遵守职业道德规范，近</w:t>
            </w:r>
            <w:r>
              <w:rPr>
                <w:rFonts w:hint="eastAsia" w:ascii="方正仿宋_GBK" w:hAnsi="方正仿宋_GBK" w:eastAsia="方正仿宋_GBK" w:cs="方正仿宋_GBK"/>
                <w:color w:val="auto"/>
                <w:sz w:val="24"/>
                <w:szCs w:val="22"/>
                <w:lang w:val="en-US" w:eastAsia="zh-CN"/>
              </w:rPr>
              <w:t>24个月</w:t>
            </w:r>
            <w:r>
              <w:rPr>
                <w:rFonts w:hint="eastAsia" w:ascii="方正仿宋_GBK" w:hAnsi="方正仿宋_GBK" w:eastAsia="方正仿宋_GBK" w:cs="方正仿宋_GBK"/>
                <w:color w:val="auto"/>
                <w:sz w:val="24"/>
                <w:szCs w:val="22"/>
              </w:rPr>
              <w:t>受到的惩罚情况。</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color w:val="auto"/>
                <w:sz w:val="24"/>
                <w:szCs w:val="22"/>
              </w:rPr>
            </w:pPr>
            <w:r>
              <w:rPr>
                <w:rFonts w:hint="eastAsia" w:ascii="方正仿宋_GBK" w:hAnsi="方正仿宋_GBK" w:eastAsia="方正仿宋_GBK" w:cs="方正仿宋_GBK"/>
                <w:color w:val="auto"/>
                <w:sz w:val="24"/>
                <w:szCs w:val="22"/>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color w:val="auto"/>
                <w:sz w:val="24"/>
                <w:szCs w:val="22"/>
              </w:rPr>
            </w:pPr>
            <w:r>
              <w:rPr>
                <w:rFonts w:hint="eastAsia" w:ascii="方正仿宋_GBK" w:hAnsi="方正仿宋_GBK" w:eastAsia="方正仿宋_GBK" w:cs="方正仿宋_GBK"/>
                <w:color w:val="auto"/>
                <w:sz w:val="24"/>
                <w:szCs w:val="22"/>
              </w:rPr>
              <w:t>近</w:t>
            </w:r>
            <w:r>
              <w:rPr>
                <w:rFonts w:hint="eastAsia" w:ascii="方正仿宋_GBK" w:hAnsi="方正仿宋_GBK" w:eastAsia="方正仿宋_GBK" w:cs="方正仿宋_GBK"/>
                <w:color w:val="auto"/>
                <w:sz w:val="24"/>
                <w:szCs w:val="22"/>
                <w:lang w:val="en-US" w:eastAsia="zh-CN"/>
              </w:rPr>
              <w:t>24个月内没有受到省级以上财政部门和证券监督部门警告、罚款、没收违法所得等行政处罚合计2次及以上的</w:t>
            </w:r>
            <w:r>
              <w:rPr>
                <w:rFonts w:hint="eastAsia" w:ascii="方正仿宋_GBK" w:hAnsi="方正仿宋_GBK" w:eastAsia="方正仿宋_GBK" w:cs="方正仿宋_GBK"/>
                <w:color w:val="auto"/>
                <w:sz w:val="24"/>
                <w:szCs w:val="22"/>
              </w:rPr>
              <w:t>，得4分；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color w:val="auto"/>
                <w:sz w:val="24"/>
                <w:szCs w:val="22"/>
              </w:rPr>
            </w:pPr>
            <w:r>
              <w:rPr>
                <w:rFonts w:hint="eastAsia" w:ascii="方正仿宋_GBK" w:hAnsi="方正仿宋_GBK" w:eastAsia="方正仿宋_GBK" w:cs="方正仿宋_GBK"/>
                <w:color w:val="auto"/>
                <w:sz w:val="24"/>
                <w:szCs w:val="22"/>
              </w:rPr>
              <w:t>近</w:t>
            </w:r>
            <w:r>
              <w:rPr>
                <w:rFonts w:hint="eastAsia" w:ascii="方正仿宋_GBK" w:hAnsi="方正仿宋_GBK" w:eastAsia="方正仿宋_GBK" w:cs="方正仿宋_GBK"/>
                <w:color w:val="auto"/>
                <w:sz w:val="24"/>
                <w:szCs w:val="22"/>
                <w:lang w:val="en-US" w:eastAsia="zh-CN"/>
              </w:rPr>
              <w:t>24个月内没有受到省级以上财政部门警告、罚款、没收违法所得等行政处罚的</w:t>
            </w:r>
            <w:r>
              <w:rPr>
                <w:rFonts w:hint="eastAsia" w:ascii="方正仿宋_GBK" w:hAnsi="方正仿宋_GBK" w:eastAsia="方正仿宋_GBK" w:cs="方正仿宋_GBK"/>
                <w:color w:val="auto"/>
                <w:sz w:val="24"/>
                <w:szCs w:val="22"/>
              </w:rPr>
              <w:t>，得4分。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上述两项评分合并计算“1、职业记录”得分。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（提供中注协公布的上述年度信息数据材料并加盖公章，或提供中注协行业管理信息系统（中国注册会计师行业管理信息系统——公众查询版 (cicpa.org.cn)）中公开公布的处罚/惩戒信息截图并加盖公章。）</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2、人员素质（8分）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注册会计师情况：人数、执业经验。</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注册会计师人数少于</w:t>
            </w:r>
            <w:r>
              <w:rPr>
                <w:rFonts w:hint="eastAsia" w:ascii="方正仿宋_GBK" w:hAnsi="方正仿宋_GBK" w:eastAsia="方正仿宋_GBK" w:cs="方正仿宋_GBK"/>
                <w:sz w:val="24"/>
                <w:lang w:val="en-US" w:eastAsia="zh-CN"/>
              </w:rPr>
              <w:t>2</w:t>
            </w:r>
            <w:r>
              <w:rPr>
                <w:rFonts w:hint="eastAsia" w:ascii="方正仿宋_GBK" w:hAnsi="方正仿宋_GBK" w:eastAsia="方正仿宋_GBK" w:cs="方正仿宋_GBK"/>
                <w:sz w:val="24"/>
              </w:rPr>
              <w:t>00人的该项不得分。注册会计师人数达到</w:t>
            </w:r>
            <w:r>
              <w:rPr>
                <w:rFonts w:hint="eastAsia" w:ascii="方正仿宋_GBK" w:hAnsi="方正仿宋_GBK" w:eastAsia="方正仿宋_GBK" w:cs="方正仿宋_GBK"/>
                <w:sz w:val="24"/>
                <w:lang w:val="en-US" w:eastAsia="zh-CN"/>
              </w:rPr>
              <w:t>2</w:t>
            </w:r>
            <w:r>
              <w:rPr>
                <w:rFonts w:hint="eastAsia" w:ascii="方正仿宋_GBK" w:hAnsi="方正仿宋_GBK" w:eastAsia="方正仿宋_GBK" w:cs="方正仿宋_GBK"/>
                <w:sz w:val="24"/>
              </w:rPr>
              <w:t>00人的该项得8分。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（注册会计师人数需提供中注协公布的信息数据材料并加盖公章，或提供中注协行业管理信息系统（中国注册会计师行业管理信息系统——公众查询版 (cicpa.org.cn)）中公开公布的注册会计师人数截图并加盖公章。）</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二</w:t>
            </w:r>
            <w:r>
              <w:rPr>
                <w:rFonts w:hint="eastAsia" w:ascii="方正仿宋_GBK" w:hAnsi="方正仿宋_GBK" w:eastAsia="方正仿宋_GBK" w:cs="方正仿宋_GBK"/>
                <w:sz w:val="24"/>
              </w:rPr>
              <w:t>、相关工作经验（12分）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1、行业业务经验（6分）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从事金融企业审计服务的相关情况：审计对象、服务单位、审计内容、审计成果等。</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近三年从事过</w:t>
            </w:r>
            <w:r>
              <w:rPr>
                <w:rFonts w:hint="eastAsia" w:ascii="方正仿宋_GBK" w:hAnsi="方正仿宋_GBK" w:eastAsia="方正仿宋_GBK" w:cs="方正仿宋_GBK"/>
                <w:sz w:val="24"/>
                <w:lang w:val="en-US" w:eastAsia="zh-CN"/>
              </w:rPr>
              <w:t>10</w:t>
            </w:r>
            <w:r>
              <w:rPr>
                <w:rFonts w:hint="eastAsia" w:ascii="方正仿宋_GBK" w:hAnsi="方正仿宋_GBK" w:eastAsia="方正仿宋_GBK" w:cs="方正仿宋_GBK"/>
                <w:sz w:val="24"/>
              </w:rPr>
              <w:t>000亿元规模以上金融企业年度财务报表审计、理财业务审计、资管产品审计项目，每一项计1.5分，满分6分。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（不同年份为同一审计对象从事的同一类型审计项目视为一项。提供审计报告封面页、审计意见页及签字页复印件并加盖公章，同时提供审计合同约定的审计服务期限内该金融</w:t>
            </w:r>
            <w:r>
              <w:rPr>
                <w:rFonts w:hint="eastAsia" w:ascii="方正仿宋_GBK" w:hAnsi="方正仿宋_GBK" w:eastAsia="方正仿宋_GBK" w:cs="方正仿宋_GBK"/>
                <w:sz w:val="24"/>
                <w:lang w:val="en-US" w:eastAsia="zh-CN"/>
              </w:rPr>
              <w:t>企业</w:t>
            </w:r>
            <w:r>
              <w:rPr>
                <w:rFonts w:hint="eastAsia" w:ascii="方正仿宋_GBK" w:hAnsi="方正仿宋_GBK" w:eastAsia="方正仿宋_GBK" w:cs="方正仿宋_GBK"/>
                <w:sz w:val="24"/>
              </w:rPr>
              <w:t>对应的企业资产总额数据，可为年报数据。）</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2、专业业务经验（6分）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独立从事资管产品审计业务相关情况：审计产品类型、服务单位、审计内容、审计成果等。</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近三年从事过资管产品审计项目，每提供一个审计项目加2分，满分6分。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（对同一管理人发行的资管产品的审计视为一个审计项目。提供资管产品审计报告封面页、审计意见页及签字页复印件并加盖公章。）</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三</w:t>
            </w:r>
            <w:r>
              <w:rPr>
                <w:rFonts w:hint="eastAsia" w:ascii="方正仿宋_GBK" w:hAnsi="方正仿宋_GBK" w:eastAsia="方正仿宋_GBK" w:cs="方正仿宋_GBK"/>
                <w:sz w:val="24"/>
              </w:rPr>
              <w:t>、响应程度（10分）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1、清算审计报告完成期限（4分）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审计资料齐全情况下，完成清算审计，出具符合要求的清算审计报告的期限。</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（1）4分：30个工作日以内出具审计报告；</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（2）2.5分：35个工作日以内出具审计报告；</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（3）1分：40个工作日以内出具审计报告；</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（4）0分：超过40个工作日出具审计报告</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（在投标文件进行说明和承诺，格式自拟并加盖公章。）</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2、年度审计报告完成期限（6分）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出具符合要求的年度审计报告的期限。</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szCs w:val="22"/>
              </w:rPr>
            </w:pPr>
            <w:r>
              <w:rPr>
                <w:rFonts w:hint="eastAsia" w:ascii="方正仿宋_GBK" w:hAnsi="方正仿宋_GBK" w:eastAsia="方正仿宋_GBK" w:cs="方正仿宋_GBK"/>
                <w:sz w:val="24"/>
                <w:szCs w:val="22"/>
              </w:rPr>
              <w:t>（1）6分：</w:t>
            </w:r>
            <w:r>
              <w:rPr>
                <w:rFonts w:hint="eastAsia" w:ascii="方正仿宋_GBK" w:hAnsi="方正仿宋_GBK" w:eastAsia="方正仿宋_GBK" w:cs="方正仿宋_GBK"/>
                <w:sz w:val="24"/>
                <w:szCs w:val="22"/>
                <w:lang w:val="en-US" w:eastAsia="zh-CN"/>
              </w:rPr>
              <w:t>在2027年4月20日前，</w:t>
            </w:r>
            <w:r>
              <w:rPr>
                <w:rFonts w:hint="eastAsia" w:ascii="方正仿宋_GBK" w:hAnsi="方正仿宋_GBK" w:eastAsia="方正仿宋_GBK" w:cs="方正仿宋_GBK"/>
                <w:sz w:val="24"/>
                <w:szCs w:val="22"/>
              </w:rPr>
              <w:t>出具</w:t>
            </w:r>
            <w:r>
              <w:rPr>
                <w:rFonts w:hint="eastAsia" w:ascii="方正仿宋_GBK" w:hAnsi="方正仿宋_GBK" w:eastAsia="方正仿宋_GBK" w:cs="方正仿宋_GBK"/>
                <w:sz w:val="24"/>
                <w:szCs w:val="22"/>
                <w:lang w:val="en-US" w:eastAsia="zh-CN"/>
              </w:rPr>
              <w:t>正式</w:t>
            </w:r>
            <w:r>
              <w:rPr>
                <w:rFonts w:hint="eastAsia" w:ascii="方正仿宋_GBK" w:hAnsi="方正仿宋_GBK" w:eastAsia="方正仿宋_GBK" w:cs="方正仿宋_GBK"/>
                <w:sz w:val="24"/>
                <w:szCs w:val="22"/>
              </w:rPr>
              <w:t>审计报告；</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szCs w:val="22"/>
              </w:rPr>
            </w:pPr>
            <w:r>
              <w:rPr>
                <w:rFonts w:hint="eastAsia" w:ascii="方正仿宋_GBK" w:hAnsi="方正仿宋_GBK" w:eastAsia="方正仿宋_GBK" w:cs="方正仿宋_GBK"/>
                <w:sz w:val="24"/>
                <w:szCs w:val="22"/>
              </w:rPr>
              <w:t>（</w:t>
            </w:r>
            <w:r>
              <w:rPr>
                <w:rFonts w:hint="eastAsia" w:ascii="方正仿宋_GBK" w:hAnsi="方正仿宋_GBK" w:eastAsia="方正仿宋_GBK" w:cs="方正仿宋_GBK"/>
                <w:sz w:val="24"/>
                <w:szCs w:val="22"/>
                <w:lang w:val="en-US" w:eastAsia="zh-CN"/>
              </w:rPr>
              <w:t>2</w:t>
            </w:r>
            <w:r>
              <w:rPr>
                <w:rFonts w:hint="eastAsia" w:ascii="方正仿宋_GBK" w:hAnsi="方正仿宋_GBK" w:eastAsia="方正仿宋_GBK" w:cs="方正仿宋_GBK"/>
                <w:sz w:val="24"/>
                <w:szCs w:val="22"/>
              </w:rPr>
              <w:t>）0分：</w:t>
            </w:r>
            <w:r>
              <w:rPr>
                <w:rFonts w:hint="eastAsia" w:ascii="方正仿宋_GBK" w:hAnsi="方正仿宋_GBK" w:eastAsia="方正仿宋_GBK" w:cs="方正仿宋_GBK"/>
                <w:sz w:val="24"/>
                <w:szCs w:val="22"/>
                <w:lang w:val="en-US" w:eastAsia="zh-CN"/>
              </w:rPr>
              <w:t>无法在2027年4月20日前出具正式审计报告</w:t>
            </w:r>
            <w:r>
              <w:rPr>
                <w:rFonts w:hint="eastAsia" w:ascii="方正仿宋_GBK" w:hAnsi="方正仿宋_GBK" w:eastAsia="方正仿宋_GBK" w:cs="方正仿宋_GBK"/>
                <w:sz w:val="24"/>
                <w:szCs w:val="22"/>
              </w:rPr>
              <w:t>。</w:t>
            </w:r>
          </w:p>
          <w:p>
            <w:pPr>
              <w:pStyle w:val="2"/>
              <w:keepNext w:val="0"/>
              <w:keepLines w:val="0"/>
              <w:suppressLineNumbers w:val="0"/>
              <w:spacing w:before="0" w:beforeAutospacing="0" w:after="0" w:afterAutospacing="0"/>
              <w:ind w:left="0" w:right="0"/>
              <w:rPr>
                <w:rFonts w:hint="eastAsia"/>
              </w:rPr>
            </w:pPr>
            <w:r>
              <w:rPr>
                <w:rFonts w:hint="eastAsia" w:ascii="方正仿宋_GBK" w:hAnsi="方正仿宋_GBK" w:eastAsia="方正仿宋_GBK" w:cs="方正仿宋_GBK"/>
                <w:sz w:val="24"/>
              </w:rPr>
              <w:t>（在投标文件进行说明和承诺，格式自拟并加盖公章。）</w:t>
            </w:r>
          </w:p>
          <w:p>
            <w:pPr>
              <w:pStyle w:val="2"/>
              <w:keepNext w:val="0"/>
              <w:keepLines w:val="0"/>
              <w:suppressLineNumbers w:val="0"/>
              <w:spacing w:before="0" w:beforeAutospacing="0" w:after="0" w:afterAutospacing="0"/>
              <w:ind w:left="0" w:right="0"/>
              <w:rPr>
                <w:rFonts w:hint="eastAsia"/>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四、增值服务（12分）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1、理财业务审计服务（6分）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提供理财业务审计服务。为我行理财业务提供审计服务，并出具审计报告或管理建议书。</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免费提供的得6分，不免费提供的得0分。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（投标人不能进行具体金额的报价，仅需说明是否免费提供该项服务。在投标文件进行说明和承诺，格式自拟并加盖公章。）</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2、估值机构数据质量评估服务（6分）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提供估值机构数据质量的评估服务。对我行指定的第三方估值机构（不多于5家）的数据质量进行评估，并出具评估报告。</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免费提供的得6分，不免费提供的得0分。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highlight w:val="cyan"/>
              </w:rPr>
            </w:pPr>
            <w:r>
              <w:rPr>
                <w:rFonts w:hint="eastAsia" w:ascii="方正仿宋_GBK" w:hAnsi="方正仿宋_GBK" w:eastAsia="方正仿宋_GBK" w:cs="方正仿宋_GBK"/>
                <w:sz w:val="24"/>
              </w:rPr>
              <w:t>（投标人不能进行具体金额的报价，仅需说明是否免费提供该项服务。在投标文件进行说明和承诺，格式自拟并加盖公章。）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1" w:hRule="atLeast"/>
        </w:trPr>
        <w:tc>
          <w:tcPr>
            <w:tcW w:w="10080" w:type="dxa"/>
            <w:gridSpan w:val="2"/>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b/>
                <w:sz w:val="24"/>
              </w:rPr>
              <w:t>技术部分（</w:t>
            </w:r>
            <w:r>
              <w:rPr>
                <w:rFonts w:hint="eastAsia" w:ascii="方正仿宋_GBK" w:hAnsi="方正仿宋_GBK" w:eastAsia="方正仿宋_GBK" w:cs="方正仿宋_GBK"/>
                <w:b/>
                <w:sz w:val="24"/>
                <w:lang w:val="en-US" w:eastAsia="zh-CN"/>
              </w:rPr>
              <w:t>32</w:t>
            </w:r>
            <w:r>
              <w:rPr>
                <w:rFonts w:hint="eastAsia" w:ascii="方正仿宋_GBK" w:hAnsi="方正仿宋_GBK" w:eastAsia="方正仿宋_GBK" w:cs="方正仿宋_GBK"/>
                <w:b/>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1" w:hRule="atLeast"/>
        </w:trPr>
        <w:tc>
          <w:tcPr>
            <w:tcW w:w="1332" w:type="dxa"/>
            <w:tcBorders>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w:t>
            </w:r>
            <w:r>
              <w:rPr>
                <w:rFonts w:hint="eastAsia" w:ascii="方正仿宋_GBK" w:hAnsi="方正仿宋_GBK" w:eastAsia="方正仿宋_GBK" w:cs="方正仿宋_GBK"/>
                <w:sz w:val="24"/>
                <w:lang w:val="en-US" w:eastAsia="zh-CN"/>
              </w:rPr>
              <w:t>32</w:t>
            </w:r>
            <w:r>
              <w:rPr>
                <w:rFonts w:hint="eastAsia" w:ascii="方正仿宋_GBK" w:hAnsi="方正仿宋_GBK" w:eastAsia="方正仿宋_GBK" w:cs="方正仿宋_GBK"/>
                <w:sz w:val="24"/>
              </w:rPr>
              <w:t>分）</w:t>
            </w:r>
          </w:p>
        </w:tc>
        <w:tc>
          <w:tcPr>
            <w:tcW w:w="8748" w:type="dxa"/>
            <w:tcBorders>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技术（3</w:t>
            </w:r>
            <w:r>
              <w:rPr>
                <w:rFonts w:hint="eastAsia" w:ascii="方正仿宋_GBK" w:hAnsi="方正仿宋_GBK" w:eastAsia="方正仿宋_GBK" w:cs="方正仿宋_GBK"/>
                <w:sz w:val="24"/>
                <w:lang w:val="en-US" w:eastAsia="zh-CN"/>
              </w:rPr>
              <w:t>2</w:t>
            </w:r>
            <w:r>
              <w:rPr>
                <w:rFonts w:hint="eastAsia" w:ascii="方正仿宋_GBK" w:hAnsi="方正仿宋_GBK" w:eastAsia="方正仿宋_GBK" w:cs="方正仿宋_GBK"/>
                <w:sz w:val="24"/>
              </w:rPr>
              <w:t>%）</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一、审计服务方案-服务方案（20分）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提供详尽的工作方案：包括审计内容、审计重点、审计程序、质量控制安排、审计进度安排、审计报告出具等内容。</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14-20分：审计内容与理财产品具体业务结合紧密，包含系统控制、操作风险控制、询证、财务数据、估值评估、收益确认等审计内容，审计重点及审计程序具体明确，质量控制人员及保障措施清晰有效，具有明确的工作时间进度安排及保障审计报告出具的措施内容，整体工作方案思路清晰合理、重点突出、针对性强、考虑全面；</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7-14分：审计内容与理财产品具体业务基本吻合，包含系统控制、操作风险控制、询证、财务数据、估值评估、收益确认等审计内容，但审计重点及审计程序不够具体明确，质量控制人员及保障措施基本清楚，没有明确的工作时间进度安排及保障审计报告出具的措施内容，整体工作方案思路一般、重点基本清楚但缺乏针对性、总体考虑欠全面；</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3）1-7分：审计内容与理财产品具体业务有差距，未完全包含系统控制、操作风险控制、询证、财务数据、估值评估、收益确认等审计内容，无质量控制人员及保障措施，没有明确的工作时间进度安排及保障审计报告出具的措施内容，整体工作方案思路不清晰、针对性差、总体考虑不全面；</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（4）0分：未提供工作方案。</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二、团队人员（12分）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1、项目负责人情况（6分）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项目负责人（1人）情况：包括基本信息、从业时间、从业经验、负责项目等情况，根据我行招标文件要求提供。</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（1）从业时间不少于15年且近三年作为项目负责人负责金融企业审计项目不少于8个，得6分；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（2）从业时间不少于8年且近三年作为项目负责人负责金融企业审计项目不少于4个，得2分；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（3）项目主要负责人未达到上述标准的</w:t>
            </w:r>
            <w:r>
              <w:rPr>
                <w:rFonts w:hint="eastAsia" w:ascii="方正仿宋_GBK" w:hAnsi="方正仿宋_GBK" w:eastAsia="方正仿宋_GBK" w:cs="方正仿宋_GBK"/>
                <w:sz w:val="24"/>
                <w:lang w:val="en-US" w:eastAsia="zh-CN"/>
              </w:rPr>
              <w:t>或近3年受财政部门行政处罚、处理的</w:t>
            </w:r>
            <w:r>
              <w:rPr>
                <w:rFonts w:hint="eastAsia" w:ascii="方正仿宋_GBK" w:hAnsi="方正仿宋_GBK" w:eastAsia="方正仿宋_GBK" w:cs="方正仿宋_GBK"/>
                <w:sz w:val="24"/>
              </w:rPr>
              <w:t>得0分。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提供项目主要负责人简历及近3年受财政部门行政处罚、处理情况加盖公章，简历中需罗列签署过的金融企业审计项目经历，从业时间以获取注册会计师执业资格证书时间至今计算，提供资格证书复印件并加盖公章。）</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2、主要成员情况（6分）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参加本项目的主要成员（3人）情况：包括简历、专业资质、参与金融企业审计项目经历情况，根据我行招标文件要求提供。</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评分说明：</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主要成员按下面从高到低各档次分别计算分数，各档得分汇总作为该项得分，满分6分。主要成员不足3人的得0分；近3年受财政部门行政处罚、处理的得0分；超过3人的，仅计算从低档次得分人员起的3人得分。</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（1）从业时间不少于6年且近三年参与金融企业审计项目不少于4个，每人1.5分，参与过资管产品审计项目加0.5分/人；</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（2）从业时间不少于4年且近三年参与金融企业审计项目不少于2个，每人0.5分，参与过资管产品审计项目加0.5分/人。</w:t>
            </w:r>
          </w:p>
          <w:p>
            <w:pPr>
              <w:keepNext w:val="0"/>
              <w:keepLines w:val="0"/>
              <w:suppressLineNumbers w:val="0"/>
              <w:spacing w:before="0" w:beforeAutospacing="0" w:after="0" w:afterAutospacing="0"/>
              <w:ind w:left="0" w:right="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（提供项目主要成员清单及简历并加盖公章，简历中需罗列参与过的金融企业审计项目经历及资管产品审计项目经历，从业时间以获取注册会计师执业资格证书时间至今为准，提供资格证书复印件并加盖公章。）</w:t>
            </w:r>
          </w:p>
        </w:tc>
      </w:tr>
    </w:tbl>
    <w:p>
      <w:pPr>
        <w:keepNext w:val="0"/>
        <w:keepLines w:val="0"/>
        <w:pageBreakBefore w:val="0"/>
        <w:widowControl w:val="0"/>
        <w:kinsoku/>
        <w:wordWrap/>
        <w:overflowPunct/>
        <w:topLinePunct w:val="0"/>
        <w:autoSpaceDE/>
        <w:autoSpaceDN/>
        <w:bidi w:val="0"/>
        <w:adjustRightInd w:val="0"/>
        <w:snapToGrid w:val="0"/>
        <w:spacing w:line="300" w:lineRule="auto"/>
        <w:ind w:right="0" w:rightChars="0" w:firstLine="504" w:firstLineChars="180"/>
        <w:jc w:val="both"/>
        <w:textAlignment w:val="auto"/>
        <w:outlineLvl w:val="9"/>
        <w:rPr>
          <w:rFonts w:hint="eastAsia" w:ascii="方正仿宋_GBK" w:hAnsi="宋体" w:eastAsia="方正仿宋_GBK"/>
          <w:color w:val="000000"/>
          <w:sz w:val="24"/>
          <w:szCs w:val="24"/>
          <w:lang w:eastAsia="zh-CN"/>
        </w:rPr>
      </w:pPr>
      <w:r>
        <w:rPr>
          <w:rFonts w:hint="eastAsia" w:ascii="方正仿宋_GBK" w:hAnsi="宋体" w:eastAsia="方正仿宋_GBK"/>
          <w:color w:val="000000"/>
          <w:sz w:val="28"/>
          <w:szCs w:val="28"/>
          <w:lang w:eastAsia="zh-CN"/>
        </w:rPr>
        <w:t>备注：</w:t>
      </w:r>
    </w:p>
    <w:p>
      <w:pPr>
        <w:keepNext w:val="0"/>
        <w:keepLines w:val="0"/>
        <w:pageBreakBefore w:val="0"/>
        <w:widowControl w:val="0"/>
        <w:tabs>
          <w:tab w:val="left" w:pos="540"/>
          <w:tab w:val="left" w:pos="720"/>
          <w:tab w:val="left" w:pos="900"/>
        </w:tabs>
        <w:kinsoku/>
        <w:wordWrap/>
        <w:overflowPunct/>
        <w:topLinePunct w:val="0"/>
        <w:autoSpaceDE/>
        <w:autoSpaceDN/>
        <w:bidi w:val="0"/>
        <w:spacing w:line="300" w:lineRule="auto"/>
        <w:ind w:left="570" w:right="0" w:rightChars="0" w:firstLine="560" w:firstLineChars="200"/>
        <w:jc w:val="both"/>
        <w:textAlignment w:val="auto"/>
        <w:outlineLvl w:val="9"/>
        <w:rPr>
          <w:rFonts w:hint="eastAsia" w:ascii="方正仿宋_GBK" w:hAnsi="宋体" w:eastAsia="方正仿宋_GBK" w:cs="Times New Roman"/>
          <w:color w:val="000000"/>
          <w:sz w:val="28"/>
          <w:szCs w:val="28"/>
        </w:rPr>
      </w:pPr>
      <w:r>
        <w:rPr>
          <w:rFonts w:hint="eastAsia" w:ascii="方正仿宋_GBK" w:hAnsi="宋体" w:eastAsia="方正仿宋_GBK" w:cs="Times New Roman"/>
          <w:color w:val="000000"/>
          <w:sz w:val="28"/>
          <w:szCs w:val="28"/>
          <w:lang w:val="en-US" w:eastAsia="zh-CN"/>
        </w:rPr>
        <w:t>1）</w:t>
      </w:r>
      <w:r>
        <w:rPr>
          <w:rFonts w:hint="eastAsia" w:ascii="方正仿宋_GBK" w:hAnsi="宋体" w:eastAsia="方正仿宋_GBK" w:cs="Times New Roman"/>
          <w:color w:val="000000"/>
          <w:sz w:val="28"/>
          <w:szCs w:val="28"/>
        </w:rPr>
        <w:t>“至今”指至</w:t>
      </w:r>
      <w:r>
        <w:rPr>
          <w:rFonts w:hint="eastAsia" w:ascii="方正仿宋_GBK" w:hAnsi="宋体" w:eastAsia="方正仿宋_GBK" w:cs="Times New Roman"/>
          <w:color w:val="000000"/>
          <w:sz w:val="28"/>
          <w:szCs w:val="28"/>
          <w:lang w:val="en-US" w:eastAsia="zh-CN"/>
        </w:rPr>
        <w:t>响应文件递交</w:t>
      </w:r>
      <w:r>
        <w:rPr>
          <w:rFonts w:hint="eastAsia" w:ascii="方正仿宋_GBK" w:hAnsi="宋体" w:eastAsia="方正仿宋_GBK" w:cs="Times New Roman"/>
          <w:color w:val="000000"/>
          <w:sz w:val="28"/>
          <w:szCs w:val="28"/>
        </w:rPr>
        <w:t>截止日期。</w:t>
      </w:r>
    </w:p>
    <w:p>
      <w:pPr>
        <w:keepNext w:val="0"/>
        <w:keepLines w:val="0"/>
        <w:pageBreakBefore w:val="0"/>
        <w:widowControl w:val="0"/>
        <w:tabs>
          <w:tab w:val="left" w:pos="540"/>
          <w:tab w:val="left" w:pos="720"/>
          <w:tab w:val="left" w:pos="900"/>
        </w:tabs>
        <w:kinsoku/>
        <w:wordWrap/>
        <w:overflowPunct/>
        <w:topLinePunct w:val="0"/>
        <w:autoSpaceDE/>
        <w:autoSpaceDN/>
        <w:bidi w:val="0"/>
        <w:spacing w:line="300" w:lineRule="auto"/>
        <w:ind w:left="570" w:right="0" w:rightChars="0" w:firstLine="560" w:firstLineChars="200"/>
        <w:jc w:val="both"/>
        <w:textAlignment w:val="auto"/>
        <w:outlineLvl w:val="9"/>
        <w:rPr>
          <w:rFonts w:hint="eastAsia" w:ascii="方正仿宋_GBK" w:hAnsi="宋体" w:eastAsia="方正仿宋_GBK" w:cs="Times New Roman"/>
          <w:color w:val="000000"/>
          <w:sz w:val="28"/>
          <w:szCs w:val="28"/>
        </w:rPr>
      </w:pPr>
      <w:r>
        <w:rPr>
          <w:rFonts w:hint="eastAsia" w:ascii="方正仿宋_GBK" w:hAnsi="宋体" w:eastAsia="方正仿宋_GBK" w:cs="Times New Roman"/>
          <w:color w:val="000000"/>
          <w:sz w:val="28"/>
          <w:szCs w:val="28"/>
          <w:lang w:val="en-US" w:eastAsia="zh-CN"/>
        </w:rPr>
        <w:t>2）</w:t>
      </w:r>
      <w:r>
        <w:rPr>
          <w:rFonts w:hint="eastAsia" w:ascii="方正仿宋_GBK" w:hAnsi="宋体" w:eastAsia="方正仿宋_GBK" w:cs="Times New Roman"/>
          <w:color w:val="000000"/>
          <w:sz w:val="28"/>
          <w:szCs w:val="28"/>
          <w:lang w:eastAsia="zh-CN"/>
        </w:rPr>
        <w:t>“</w:t>
      </w:r>
      <w:r>
        <w:rPr>
          <w:rFonts w:hint="eastAsia" w:ascii="方正仿宋_GBK" w:hAnsi="宋体" w:eastAsia="方正仿宋_GBK" w:cs="Times New Roman"/>
          <w:color w:val="000000"/>
          <w:sz w:val="28"/>
          <w:szCs w:val="28"/>
          <w:lang w:val="en-US" w:eastAsia="zh-CN"/>
        </w:rPr>
        <w:t>近24个月</w:t>
      </w:r>
      <w:r>
        <w:rPr>
          <w:rFonts w:hint="eastAsia" w:ascii="方正仿宋_GBK" w:hAnsi="宋体" w:eastAsia="方正仿宋_GBK" w:cs="Times New Roman"/>
          <w:color w:val="000000"/>
          <w:sz w:val="28"/>
          <w:szCs w:val="28"/>
          <w:lang w:eastAsia="zh-CN"/>
        </w:rPr>
        <w:t>”</w:t>
      </w:r>
      <w:r>
        <w:rPr>
          <w:rFonts w:hint="eastAsia" w:ascii="方正仿宋_GBK" w:hAnsi="宋体" w:eastAsia="方正仿宋_GBK" w:cs="Times New Roman"/>
          <w:color w:val="000000"/>
          <w:sz w:val="28"/>
          <w:szCs w:val="28"/>
          <w:lang w:val="en-US" w:eastAsia="zh-CN"/>
        </w:rPr>
        <w:t>或“近36个月”是指响应文件递交截止日期向前推算的时限。</w:t>
      </w:r>
      <w:r>
        <w:rPr>
          <w:rFonts w:hint="eastAsia" w:ascii="方正仿宋_GBK" w:hAnsi="宋体" w:eastAsia="方正仿宋_GBK" w:cs="Times New Roman"/>
          <w:color w:val="000000"/>
          <w:sz w:val="28"/>
          <w:szCs w:val="28"/>
        </w:rPr>
        <w:t>“近三年”指自202</w:t>
      </w:r>
      <w:r>
        <w:rPr>
          <w:rFonts w:hint="eastAsia" w:ascii="方正仿宋_GBK" w:hAnsi="宋体" w:eastAsia="方正仿宋_GBK" w:cs="Times New Roman"/>
          <w:color w:val="000000"/>
          <w:sz w:val="28"/>
          <w:szCs w:val="28"/>
          <w:lang w:val="en-US" w:eastAsia="zh-CN"/>
        </w:rPr>
        <w:t>3</w:t>
      </w:r>
      <w:r>
        <w:rPr>
          <w:rFonts w:hint="eastAsia" w:ascii="方正仿宋_GBK" w:hAnsi="宋体" w:eastAsia="方正仿宋_GBK" w:cs="Times New Roman"/>
          <w:color w:val="000000"/>
          <w:sz w:val="28"/>
          <w:szCs w:val="28"/>
        </w:rPr>
        <w:t>年1月1日至</w:t>
      </w:r>
      <w:r>
        <w:rPr>
          <w:rFonts w:hint="eastAsia" w:ascii="方正仿宋_GBK" w:hAnsi="宋体" w:eastAsia="方正仿宋_GBK" w:cs="Times New Roman"/>
          <w:color w:val="000000"/>
          <w:sz w:val="28"/>
          <w:szCs w:val="28"/>
          <w:lang w:val="en-US" w:eastAsia="zh-CN"/>
        </w:rPr>
        <w:t>响应文件递交</w:t>
      </w:r>
      <w:r>
        <w:rPr>
          <w:rFonts w:hint="eastAsia" w:ascii="方正仿宋_GBK" w:hAnsi="宋体" w:eastAsia="方正仿宋_GBK" w:cs="Times New Roman"/>
          <w:color w:val="000000"/>
          <w:sz w:val="28"/>
          <w:szCs w:val="28"/>
        </w:rPr>
        <w:t>截止日期。</w:t>
      </w:r>
    </w:p>
    <w:p>
      <w:pPr>
        <w:keepNext w:val="0"/>
        <w:keepLines w:val="0"/>
        <w:pageBreakBefore w:val="0"/>
        <w:widowControl w:val="0"/>
        <w:tabs>
          <w:tab w:val="left" w:pos="540"/>
          <w:tab w:val="left" w:pos="720"/>
          <w:tab w:val="left" w:pos="900"/>
        </w:tabs>
        <w:kinsoku/>
        <w:wordWrap/>
        <w:overflowPunct/>
        <w:topLinePunct w:val="0"/>
        <w:autoSpaceDE/>
        <w:autoSpaceDN/>
        <w:bidi w:val="0"/>
        <w:spacing w:line="300" w:lineRule="auto"/>
        <w:ind w:left="570" w:right="0" w:rightChars="0" w:firstLine="560" w:firstLineChars="200"/>
        <w:jc w:val="both"/>
        <w:textAlignment w:val="auto"/>
        <w:outlineLvl w:val="9"/>
        <w:rPr>
          <w:rFonts w:hint="eastAsia" w:ascii="方正仿宋_GBK" w:hAnsi="宋体" w:eastAsia="方正仿宋_GBK" w:cs="Times New Roman"/>
          <w:color w:val="000000"/>
          <w:sz w:val="28"/>
          <w:szCs w:val="28"/>
        </w:rPr>
      </w:pPr>
      <w:r>
        <w:rPr>
          <w:rFonts w:hint="eastAsia" w:ascii="方正仿宋_GBK" w:hAnsi="宋体" w:eastAsia="方正仿宋_GBK" w:cs="Times New Roman"/>
          <w:color w:val="000000"/>
          <w:sz w:val="28"/>
          <w:szCs w:val="28"/>
          <w:lang w:val="en-US" w:eastAsia="zh-CN"/>
        </w:rPr>
        <w:t>3）</w:t>
      </w:r>
      <w:r>
        <w:rPr>
          <w:rFonts w:hint="eastAsia" w:ascii="方正仿宋_GBK" w:hAnsi="宋体" w:eastAsia="方正仿宋_GBK" w:cs="Times New Roman"/>
          <w:color w:val="000000"/>
          <w:sz w:val="28"/>
          <w:szCs w:val="28"/>
        </w:rPr>
        <w:t>“资管产品”包括但不限于人民币或外币形式的银行非保本理财产品，资金信托，证券公司、证券公司子公司、基金管理公司、基金管理子公司、期货公司、期货公司子公司、保险资产管理机构、金融资产投资公司发行的资产管理产品等，特此说明。</w:t>
      </w:r>
    </w:p>
    <w:p>
      <w:pPr>
        <w:keepNext w:val="0"/>
        <w:keepLines w:val="0"/>
        <w:pageBreakBefore w:val="0"/>
        <w:widowControl w:val="0"/>
        <w:tabs>
          <w:tab w:val="left" w:pos="540"/>
          <w:tab w:val="left" w:pos="720"/>
          <w:tab w:val="left" w:pos="900"/>
        </w:tabs>
        <w:kinsoku/>
        <w:wordWrap/>
        <w:overflowPunct/>
        <w:topLinePunct w:val="0"/>
        <w:autoSpaceDE/>
        <w:autoSpaceDN/>
        <w:bidi w:val="0"/>
        <w:spacing w:line="300" w:lineRule="auto"/>
        <w:ind w:left="570" w:right="0" w:rightChars="0" w:firstLine="560" w:firstLineChars="200"/>
        <w:jc w:val="both"/>
        <w:textAlignment w:val="auto"/>
        <w:outlineLvl w:val="9"/>
        <w:rPr>
          <w:rFonts w:hint="eastAsia" w:ascii="方正仿宋_GBK" w:hAnsi="宋体" w:eastAsia="方正仿宋_GBK" w:cs="Times New Roman"/>
          <w:color w:val="000000"/>
          <w:sz w:val="28"/>
          <w:szCs w:val="28"/>
        </w:rPr>
      </w:pPr>
      <w:r>
        <w:rPr>
          <w:rFonts w:hint="eastAsia" w:ascii="方正仿宋_GBK" w:hAnsi="宋体" w:eastAsia="方正仿宋_GBK" w:cs="Times New Roman"/>
          <w:color w:val="000000"/>
          <w:sz w:val="28"/>
          <w:szCs w:val="28"/>
          <w:lang w:val="en-US" w:eastAsia="zh-CN"/>
        </w:rPr>
        <w:t>4）</w:t>
      </w:r>
      <w:r>
        <w:rPr>
          <w:rFonts w:hint="eastAsia" w:ascii="方正仿宋_GBK" w:hAnsi="宋体" w:eastAsia="方正仿宋_GBK" w:cs="Times New Roman"/>
          <w:color w:val="000000"/>
          <w:sz w:val="28"/>
          <w:szCs w:val="28"/>
        </w:rPr>
        <w:t>介于会计师事务所特殊普通合伙特性及相关监督检查办法，</w:t>
      </w:r>
      <w:r>
        <w:rPr>
          <w:rFonts w:hint="eastAsia" w:ascii="方正仿宋_GBK" w:hAnsi="宋体" w:eastAsia="方正仿宋_GBK" w:cs="Times New Roman"/>
          <w:color w:val="000000"/>
          <w:sz w:val="28"/>
          <w:szCs w:val="28"/>
          <w:lang w:val="en-US" w:eastAsia="zh-CN"/>
        </w:rPr>
        <w:t>供应商</w:t>
      </w:r>
      <w:r>
        <w:rPr>
          <w:rFonts w:hint="eastAsia" w:ascii="方正仿宋_GBK" w:hAnsi="宋体" w:eastAsia="方正仿宋_GBK" w:cs="Times New Roman"/>
          <w:color w:val="000000"/>
          <w:sz w:val="28"/>
          <w:szCs w:val="28"/>
        </w:rPr>
        <w:t>可为会计师事务所总所或分所，</w:t>
      </w:r>
      <w:r>
        <w:rPr>
          <w:rFonts w:hint="eastAsia" w:ascii="方正仿宋_GBK" w:hAnsi="宋体" w:eastAsia="方正仿宋_GBK" w:cs="Times New Roman"/>
          <w:color w:val="000000"/>
          <w:sz w:val="28"/>
          <w:szCs w:val="28"/>
          <w:lang w:val="en-US" w:eastAsia="zh-CN"/>
        </w:rPr>
        <w:t>响应文件</w:t>
      </w:r>
      <w:r>
        <w:rPr>
          <w:rFonts w:hint="eastAsia" w:ascii="方正仿宋_GBK" w:hAnsi="宋体" w:eastAsia="方正仿宋_GBK" w:cs="Times New Roman"/>
          <w:color w:val="000000"/>
          <w:sz w:val="28"/>
          <w:szCs w:val="28"/>
        </w:rPr>
        <w:t>中</w:t>
      </w:r>
      <w:r>
        <w:rPr>
          <w:rFonts w:hint="eastAsia" w:ascii="方正仿宋_GBK" w:hAnsi="宋体" w:eastAsia="方正仿宋_GBK" w:cs="Times New Roman"/>
          <w:color w:val="000000"/>
          <w:sz w:val="28"/>
          <w:szCs w:val="28"/>
          <w:lang w:val="en-US" w:eastAsia="zh-CN"/>
        </w:rPr>
        <w:t>供应商</w:t>
      </w:r>
      <w:r>
        <w:rPr>
          <w:rFonts w:hint="eastAsia" w:ascii="方正仿宋_GBK" w:hAnsi="宋体" w:eastAsia="方正仿宋_GBK" w:cs="Times New Roman"/>
          <w:color w:val="000000"/>
          <w:sz w:val="28"/>
          <w:szCs w:val="28"/>
        </w:rPr>
        <w:t>名称与中注协行业管理信息系统的事务所名称是否一致作为依据。</w:t>
      </w:r>
    </w:p>
    <w:p>
      <w:pPr>
        <w:keepNext w:val="0"/>
        <w:keepLines w:val="0"/>
        <w:pageBreakBefore w:val="0"/>
        <w:widowControl w:val="0"/>
        <w:kinsoku/>
        <w:wordWrap/>
        <w:overflowPunct/>
        <w:topLinePunct w:val="0"/>
        <w:autoSpaceDE/>
        <w:autoSpaceDN/>
        <w:bidi w:val="0"/>
        <w:adjustRightInd w:val="0"/>
        <w:snapToGrid w:val="0"/>
        <w:spacing w:line="300" w:lineRule="auto"/>
        <w:ind w:right="0" w:rightChars="0" w:firstLine="504" w:firstLineChars="180"/>
        <w:jc w:val="both"/>
        <w:textAlignment w:val="auto"/>
        <w:outlineLvl w:val="9"/>
        <w:rPr>
          <w:rFonts w:hint="eastAsia" w:ascii="方正仿宋_GBK" w:hAnsi="宋体" w:eastAsia="方正仿宋_GBK"/>
          <w:color w:val="000000"/>
          <w:sz w:val="28"/>
          <w:szCs w:val="28"/>
        </w:rPr>
      </w:pPr>
      <w:r>
        <w:rPr>
          <w:rFonts w:hint="eastAsia" w:ascii="方正仿宋_GBK" w:hAnsi="宋体" w:eastAsia="方正仿宋_GBK"/>
          <w:color w:val="000000"/>
          <w:sz w:val="28"/>
          <w:szCs w:val="28"/>
          <w:lang w:val="en-US" w:eastAsia="zh-CN"/>
        </w:rPr>
        <w:t>5、</w:t>
      </w:r>
      <w:r>
        <w:rPr>
          <w:rFonts w:hint="eastAsia" w:ascii="方正仿宋_GBK" w:hAnsi="宋体" w:eastAsia="方正仿宋_GBK"/>
          <w:color w:val="000000"/>
          <w:sz w:val="28"/>
          <w:szCs w:val="28"/>
        </w:rPr>
        <w:t>确定成交供应商</w:t>
      </w:r>
    </w:p>
    <w:p>
      <w:pPr>
        <w:keepNext w:val="0"/>
        <w:keepLines w:val="0"/>
        <w:pageBreakBefore w:val="0"/>
        <w:widowControl w:val="0"/>
        <w:kinsoku/>
        <w:wordWrap/>
        <w:overflowPunct/>
        <w:topLinePunct w:val="0"/>
        <w:autoSpaceDE/>
        <w:autoSpaceDN/>
        <w:bidi w:val="0"/>
        <w:adjustRightInd/>
        <w:snapToGrid/>
        <w:spacing w:line="300" w:lineRule="auto"/>
        <w:ind w:left="0" w:leftChars="0" w:right="0" w:rightChars="0" w:firstLine="534" w:firstLineChars="191"/>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color w:val="000000"/>
          <w:sz w:val="28"/>
          <w:szCs w:val="28"/>
          <w:lang w:val="en-US" w:eastAsia="zh-CN"/>
        </w:rPr>
        <w:t>（1）</w:t>
      </w:r>
      <w:r>
        <w:rPr>
          <w:rFonts w:hint="eastAsia" w:ascii="方正仿宋_GBK" w:hAnsi="宋体" w:eastAsia="方正仿宋_GBK"/>
          <w:color w:val="000000"/>
          <w:sz w:val="28"/>
          <w:szCs w:val="28"/>
        </w:rPr>
        <w:t>磋</w:t>
      </w:r>
      <w:r>
        <w:rPr>
          <w:rFonts w:hint="eastAsia" w:ascii="方正仿宋_GBK" w:hAnsi="宋体" w:eastAsia="方正仿宋_GBK"/>
          <w:sz w:val="28"/>
          <w:szCs w:val="28"/>
          <w:lang w:val="en-US" w:eastAsia="zh-CN"/>
        </w:rPr>
        <w:t>商结束后，磋商小组形成书面的分散采购评审报告，确定成交供应商及成交价。</w:t>
      </w:r>
    </w:p>
    <w:p>
      <w:pPr>
        <w:keepNext w:val="0"/>
        <w:keepLines w:val="0"/>
        <w:pageBreakBefore w:val="0"/>
        <w:widowControl w:val="0"/>
        <w:kinsoku/>
        <w:wordWrap/>
        <w:overflowPunct/>
        <w:topLinePunct w:val="0"/>
        <w:autoSpaceDE/>
        <w:autoSpaceDN/>
        <w:bidi w:val="0"/>
        <w:adjustRightInd/>
        <w:snapToGrid/>
        <w:spacing w:line="300" w:lineRule="auto"/>
        <w:ind w:left="0" w:leftChars="0" w:right="0" w:rightChars="0" w:firstLine="534" w:firstLineChars="191"/>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 xml:space="preserve"> （2）采购结果公告后，采购人有权通知成交候选人提交采购文件要求的所有复印件的相关原件进行复核。成交候选人未能通过复核的，采购人有权取消其成交候选人资格，采购响应保证金不退还，重新组织采购。</w:t>
      </w:r>
    </w:p>
    <w:p>
      <w:pPr>
        <w:keepNext w:val="0"/>
        <w:keepLines w:val="0"/>
        <w:pageBreakBefore w:val="0"/>
        <w:widowControl w:val="0"/>
        <w:kinsoku/>
        <w:wordWrap/>
        <w:overflowPunct/>
        <w:topLinePunct w:val="0"/>
        <w:autoSpaceDE/>
        <w:autoSpaceDN/>
        <w:bidi w:val="0"/>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6、磋商过程保密</w:t>
      </w:r>
    </w:p>
    <w:p>
      <w:pPr>
        <w:keepNext w:val="0"/>
        <w:keepLines w:val="0"/>
        <w:pageBreakBefore w:val="0"/>
        <w:widowControl w:val="0"/>
        <w:kinsoku/>
        <w:wordWrap/>
        <w:overflowPunct/>
        <w:topLinePunct w:val="0"/>
        <w:autoSpaceDE/>
        <w:autoSpaceDN/>
        <w:bidi w:val="0"/>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磋商小组成员不得透露与磋商有关的供应商的技术资料、价格和其他信息。</w:t>
      </w:r>
    </w:p>
    <w:p>
      <w:pPr>
        <w:keepNext w:val="0"/>
        <w:keepLines w:val="0"/>
        <w:pageBreakBefore w:val="0"/>
        <w:widowControl w:val="0"/>
        <w:kinsoku/>
        <w:wordWrap/>
        <w:overflowPunct/>
        <w:topLinePunct w:val="0"/>
        <w:autoSpaceDE/>
        <w:autoSpaceDN/>
        <w:bidi w:val="0"/>
        <w:spacing w:line="300" w:lineRule="auto"/>
        <w:ind w:right="0" w:rightChars="0" w:firstLine="537" w:firstLineChars="192"/>
        <w:jc w:val="both"/>
        <w:textAlignment w:val="auto"/>
        <w:outlineLvl w:val="9"/>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在磋商期间，若供应商有企图影响采购人的任何活动，此将导致其磋商活动即时终止，由此而引发的一切法律后果将由其自行承担。</w:t>
      </w:r>
    </w:p>
    <w:p>
      <w:pPr>
        <w:keepNext w:val="0"/>
        <w:keepLines w:val="0"/>
        <w:pageBreakBefore w:val="0"/>
        <w:widowControl w:val="0"/>
        <w:numPr>
          <w:ilvl w:val="0"/>
          <w:numId w:val="3"/>
        </w:numPr>
        <w:tabs>
          <w:tab w:val="left" w:pos="540"/>
          <w:tab w:val="left" w:pos="720"/>
          <w:tab w:val="clear" w:pos="1248"/>
        </w:tabs>
        <w:kinsoku/>
        <w:wordWrap/>
        <w:overflowPunct/>
        <w:topLinePunct w:val="0"/>
        <w:autoSpaceDE/>
        <w:autoSpaceDN/>
        <w:bidi w:val="0"/>
        <w:spacing w:line="300" w:lineRule="auto"/>
        <w:ind w:left="60" w:right="0" w:rightChars="0" w:hanging="60"/>
        <w:jc w:val="both"/>
        <w:textAlignment w:val="auto"/>
        <w:outlineLvl w:val="9"/>
        <w:rPr>
          <w:rFonts w:hint="eastAsia" w:ascii="方正仿宋_GBK" w:hAnsi="宋体" w:eastAsia="方正仿宋_GBK"/>
          <w:b/>
          <w:color w:val="000000"/>
          <w:sz w:val="28"/>
          <w:szCs w:val="28"/>
        </w:rPr>
      </w:pPr>
      <w:r>
        <w:rPr>
          <w:rFonts w:hint="eastAsia" w:ascii="方正仿宋_GBK" w:hAnsi="宋体" w:eastAsia="方正仿宋_GBK"/>
          <w:b/>
          <w:color w:val="000000"/>
          <w:sz w:val="28"/>
          <w:szCs w:val="28"/>
        </w:rPr>
        <w:t>其他</w:t>
      </w:r>
    </w:p>
    <w:p>
      <w:pPr>
        <w:keepNext w:val="0"/>
        <w:keepLines w:val="0"/>
        <w:pageBreakBefore w:val="0"/>
        <w:widowControl w:val="0"/>
        <w:numPr>
          <w:ilvl w:val="0"/>
          <w:numId w:val="6"/>
        </w:numPr>
        <w:tabs>
          <w:tab w:val="left" w:pos="0"/>
          <w:tab w:val="left" w:pos="720"/>
        </w:tabs>
        <w:kinsoku/>
        <w:wordWrap/>
        <w:overflowPunct/>
        <w:topLinePunct w:val="0"/>
        <w:autoSpaceDE/>
        <w:autoSpaceDN/>
        <w:bidi w:val="0"/>
        <w:spacing w:line="300" w:lineRule="auto"/>
        <w:ind w:left="0" w:right="0" w:rightChars="0" w:firstLine="537" w:firstLineChars="192"/>
        <w:jc w:val="both"/>
        <w:textAlignment w:val="auto"/>
        <w:outlineLvl w:val="9"/>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凡参加本次磋商的供应商均被视为接受上述采购项目的磋商要求。</w:t>
      </w:r>
    </w:p>
    <w:p>
      <w:pPr>
        <w:keepNext w:val="0"/>
        <w:keepLines w:val="0"/>
        <w:pageBreakBefore w:val="0"/>
        <w:widowControl w:val="0"/>
        <w:numPr>
          <w:ilvl w:val="0"/>
          <w:numId w:val="6"/>
        </w:numPr>
        <w:tabs>
          <w:tab w:val="left" w:pos="0"/>
          <w:tab w:val="left" w:pos="720"/>
        </w:tabs>
        <w:kinsoku/>
        <w:wordWrap/>
        <w:overflowPunct/>
        <w:topLinePunct w:val="0"/>
        <w:autoSpaceDE/>
        <w:autoSpaceDN/>
        <w:bidi w:val="0"/>
        <w:spacing w:line="300" w:lineRule="auto"/>
        <w:ind w:left="0" w:right="0" w:rightChars="0" w:firstLine="537" w:firstLineChars="192"/>
        <w:jc w:val="both"/>
        <w:textAlignment w:val="auto"/>
        <w:outlineLvl w:val="9"/>
        <w:rPr>
          <w:rFonts w:hint="eastAsia"/>
          <w:lang w:val="en-US" w:eastAsia="zh-CN"/>
        </w:rPr>
      </w:pPr>
      <w:r>
        <w:rPr>
          <w:rFonts w:hint="eastAsia" w:ascii="方正仿宋_GBK" w:hAnsi="宋体" w:eastAsia="方正仿宋_GBK"/>
          <w:color w:val="000000"/>
          <w:sz w:val="28"/>
          <w:szCs w:val="28"/>
        </w:rPr>
        <w:t>公开竞争性磋商响应文件从磋商之日起,其有效期为90个日历天。</w:t>
      </w:r>
    </w:p>
    <w:p>
      <w:pPr>
        <w:pStyle w:val="3"/>
        <w:jc w:val="both"/>
        <w:rPr>
          <w:rFonts w:hint="eastAsia" w:ascii="Calibri" w:hAnsi="Calibri" w:eastAsia="宋体" w:cs="Calibri"/>
          <w:b/>
          <w:bCs/>
          <w:color w:val="000000"/>
          <w:kern w:val="2"/>
          <w:sz w:val="32"/>
          <w:szCs w:val="32"/>
          <w:lang w:val="en-US" w:eastAsia="zh-CN" w:bidi="ar-SA"/>
        </w:rPr>
      </w:pPr>
      <w:bookmarkStart w:id="36" w:name="_Toc25937"/>
      <w:bookmarkStart w:id="37" w:name="_Toc92982576"/>
    </w:p>
    <w:p>
      <w:pPr>
        <w:rPr>
          <w:rFonts w:hint="eastAsia"/>
          <w:lang w:val="en-US" w:eastAsia="zh-CN"/>
        </w:rPr>
      </w:pPr>
    </w:p>
    <w:p>
      <w:pPr>
        <w:pStyle w:val="3"/>
        <w:jc w:val="center"/>
        <w:rPr>
          <w:rFonts w:hint="eastAsia" w:ascii="Calibri" w:hAnsi="Calibri" w:eastAsia="宋体" w:cs="Calibri"/>
          <w:b/>
          <w:bCs/>
          <w:color w:val="000000"/>
          <w:kern w:val="2"/>
          <w:sz w:val="32"/>
          <w:szCs w:val="32"/>
          <w:lang w:val="en-US" w:eastAsia="zh-CN" w:bidi="ar-SA"/>
        </w:rPr>
      </w:pPr>
      <w:r>
        <w:rPr>
          <w:rFonts w:hint="eastAsia" w:ascii="Calibri" w:hAnsi="Calibri" w:eastAsia="宋体" w:cs="Calibri"/>
          <w:b/>
          <w:bCs/>
          <w:color w:val="000000"/>
          <w:kern w:val="2"/>
          <w:sz w:val="32"/>
          <w:szCs w:val="32"/>
          <w:lang w:val="en-US" w:eastAsia="zh-CN" w:bidi="ar-SA"/>
        </w:rPr>
        <w:t>第三部分   </w:t>
      </w:r>
      <w:bookmarkStart w:id="38" w:name="_Toc306798294"/>
      <w:r>
        <w:rPr>
          <w:rFonts w:hint="eastAsia" w:ascii="Calibri" w:hAnsi="Calibri" w:eastAsia="宋体" w:cs="Calibri"/>
          <w:b/>
          <w:bCs/>
          <w:color w:val="000000"/>
          <w:kern w:val="2"/>
          <w:sz w:val="32"/>
          <w:szCs w:val="32"/>
          <w:lang w:val="en-US" w:eastAsia="zh-CN" w:bidi="ar-SA"/>
        </w:rPr>
        <w:t>服务</w:t>
      </w:r>
      <w:bookmarkEnd w:id="38"/>
      <w:r>
        <w:rPr>
          <w:rFonts w:hint="eastAsia" w:ascii="Calibri" w:hAnsi="Calibri" w:eastAsia="宋体" w:cs="Calibri"/>
          <w:b/>
          <w:bCs/>
          <w:color w:val="000000"/>
          <w:kern w:val="2"/>
          <w:sz w:val="32"/>
          <w:szCs w:val="32"/>
          <w:lang w:val="en-US" w:eastAsia="zh-CN" w:bidi="ar-SA"/>
        </w:rPr>
        <w:t>要求</w:t>
      </w:r>
      <w:bookmarkEnd w:id="36"/>
      <w:bookmarkEnd w:id="37"/>
    </w:p>
    <w:p>
      <w:pPr>
        <w:keepNext w:val="0"/>
        <w:keepLines w:val="0"/>
        <w:pageBreakBefore w:val="0"/>
        <w:widowControl w:val="0"/>
        <w:numPr>
          <w:ilvl w:val="0"/>
          <w:numId w:val="7"/>
        </w:numPr>
        <w:tabs>
          <w:tab w:val="left" w:pos="540"/>
          <w:tab w:val="left" w:pos="720"/>
          <w:tab w:val="clear" w:pos="1248"/>
        </w:tabs>
        <w:kinsoku/>
        <w:wordWrap/>
        <w:overflowPunct/>
        <w:topLinePunct w:val="0"/>
        <w:autoSpaceDE/>
        <w:autoSpaceDN/>
        <w:bidi w:val="0"/>
        <w:adjustRightInd w:val="0"/>
        <w:snapToGrid w:val="0"/>
        <w:spacing w:line="300" w:lineRule="auto"/>
        <w:ind w:left="60" w:right="0" w:rightChars="0" w:hanging="60"/>
        <w:jc w:val="both"/>
        <w:textAlignment w:val="auto"/>
        <w:outlineLvl w:val="9"/>
        <w:rPr>
          <w:rFonts w:hint="eastAsia" w:ascii="方正仿宋_GBK" w:hAnsi="宋体" w:eastAsia="方正仿宋_GBK"/>
          <w:color w:val="000000"/>
          <w:sz w:val="28"/>
          <w:szCs w:val="28"/>
        </w:rPr>
      </w:pPr>
      <w:r>
        <w:rPr>
          <w:rFonts w:ascii="方正仿宋_GBK" w:hAnsi="宋体" w:eastAsia="方正仿宋_GBK"/>
          <w:b/>
          <w:color w:val="000000"/>
          <w:sz w:val="28"/>
          <w:szCs w:val="28"/>
        </w:rPr>
        <w:t>服务内容：</w:t>
      </w:r>
      <w:r>
        <w:rPr>
          <w:rFonts w:hint="eastAsia" w:ascii="方正仿宋_GBK" w:hAnsi="宋体" w:eastAsia="方正仿宋_GBK"/>
          <w:sz w:val="28"/>
          <w:szCs w:val="28"/>
        </w:rPr>
        <w:t>详见第一部分《</w:t>
      </w:r>
      <w:r>
        <w:rPr>
          <w:rFonts w:hint="eastAsia" w:ascii="方正仿宋_GBK" w:hAnsi="宋体" w:eastAsia="方正仿宋_GBK"/>
          <w:sz w:val="28"/>
          <w:szCs w:val="28"/>
          <w:lang w:val="en-US" w:eastAsia="zh-CN"/>
        </w:rPr>
        <w:t>公开</w:t>
      </w:r>
      <w:r>
        <w:rPr>
          <w:rFonts w:hint="eastAsia" w:ascii="方正仿宋_GBK" w:hAnsi="宋体" w:eastAsia="方正仿宋_GBK"/>
          <w:sz w:val="28"/>
          <w:szCs w:val="28"/>
        </w:rPr>
        <w:t>竞争性磋商公告》</w:t>
      </w:r>
      <w:r>
        <w:rPr>
          <w:rFonts w:hint="eastAsia" w:ascii="方正仿宋_GBK" w:hAnsi="宋体" w:eastAsia="方正仿宋_GBK"/>
          <w:sz w:val="28"/>
          <w:szCs w:val="28"/>
          <w:lang w:eastAsia="zh-CN"/>
        </w:rPr>
        <w:t>。</w:t>
      </w:r>
    </w:p>
    <w:p>
      <w:pPr>
        <w:keepNext w:val="0"/>
        <w:keepLines w:val="0"/>
        <w:pageBreakBefore w:val="0"/>
        <w:widowControl w:val="0"/>
        <w:numPr>
          <w:ilvl w:val="0"/>
          <w:numId w:val="7"/>
        </w:numPr>
        <w:tabs>
          <w:tab w:val="left" w:pos="540"/>
          <w:tab w:val="left" w:pos="720"/>
          <w:tab w:val="clear" w:pos="1248"/>
        </w:tabs>
        <w:kinsoku/>
        <w:wordWrap/>
        <w:overflowPunct/>
        <w:topLinePunct w:val="0"/>
        <w:autoSpaceDE/>
        <w:autoSpaceDN/>
        <w:bidi w:val="0"/>
        <w:adjustRightInd w:val="0"/>
        <w:snapToGrid w:val="0"/>
        <w:spacing w:line="300" w:lineRule="auto"/>
        <w:ind w:left="60" w:right="0" w:rightChars="0" w:hanging="60"/>
        <w:jc w:val="both"/>
        <w:textAlignment w:val="auto"/>
        <w:outlineLvl w:val="9"/>
        <w:rPr>
          <w:rFonts w:hint="eastAsia" w:ascii="方正仿宋_GBK" w:hAnsi="宋体" w:eastAsia="方正仿宋_GBK"/>
          <w:b/>
          <w:color w:val="000000"/>
          <w:sz w:val="28"/>
          <w:szCs w:val="28"/>
        </w:rPr>
      </w:pPr>
      <w:r>
        <w:rPr>
          <w:rFonts w:ascii="方正仿宋_GBK" w:hAnsi="宋体" w:eastAsia="方正仿宋_GBK"/>
          <w:b/>
          <w:color w:val="000000"/>
          <w:sz w:val="28"/>
          <w:szCs w:val="28"/>
        </w:rPr>
        <w:t>服务期限：</w:t>
      </w:r>
      <w:r>
        <w:rPr>
          <w:rFonts w:hint="eastAsia" w:ascii="方正仿宋_GBK" w:hAnsi="宋体" w:eastAsia="方正仿宋_GBK"/>
          <w:sz w:val="28"/>
          <w:szCs w:val="28"/>
        </w:rPr>
        <w:t>详见第一部分《</w:t>
      </w:r>
      <w:r>
        <w:rPr>
          <w:rFonts w:hint="eastAsia" w:ascii="方正仿宋_GBK" w:hAnsi="宋体" w:eastAsia="方正仿宋_GBK"/>
          <w:sz w:val="28"/>
          <w:szCs w:val="28"/>
          <w:lang w:val="en-US" w:eastAsia="zh-CN"/>
        </w:rPr>
        <w:t>公开</w:t>
      </w:r>
      <w:r>
        <w:rPr>
          <w:rFonts w:hint="eastAsia" w:ascii="方正仿宋_GBK" w:hAnsi="宋体" w:eastAsia="方正仿宋_GBK"/>
          <w:sz w:val="28"/>
          <w:szCs w:val="28"/>
        </w:rPr>
        <w:t>竞争性磋商公告》</w:t>
      </w:r>
      <w:r>
        <w:rPr>
          <w:rFonts w:hint="eastAsia" w:ascii="方正仿宋_GBK" w:hAnsi="宋体" w:eastAsia="方正仿宋_GBK"/>
          <w:sz w:val="28"/>
          <w:szCs w:val="28"/>
          <w:lang w:eastAsia="zh-CN"/>
        </w:rPr>
        <w:t>。</w:t>
      </w:r>
    </w:p>
    <w:p>
      <w:pPr>
        <w:keepNext w:val="0"/>
        <w:keepLines w:val="0"/>
        <w:pageBreakBefore w:val="0"/>
        <w:widowControl w:val="0"/>
        <w:numPr>
          <w:ilvl w:val="0"/>
          <w:numId w:val="7"/>
        </w:numPr>
        <w:tabs>
          <w:tab w:val="left" w:pos="540"/>
          <w:tab w:val="left" w:pos="720"/>
          <w:tab w:val="clear" w:pos="1248"/>
        </w:tabs>
        <w:kinsoku/>
        <w:wordWrap/>
        <w:overflowPunct/>
        <w:topLinePunct w:val="0"/>
        <w:autoSpaceDE/>
        <w:autoSpaceDN/>
        <w:bidi w:val="0"/>
        <w:adjustRightInd w:val="0"/>
        <w:snapToGrid w:val="0"/>
        <w:spacing w:line="300" w:lineRule="auto"/>
        <w:ind w:left="60" w:right="0" w:rightChars="0" w:hanging="60"/>
        <w:jc w:val="both"/>
        <w:textAlignment w:val="auto"/>
        <w:outlineLvl w:val="9"/>
        <w:rPr>
          <w:rFonts w:hint="eastAsia" w:ascii="方正仿宋_GBK" w:hAnsi="宋体" w:eastAsia="方正仿宋_GBK"/>
          <w:b/>
          <w:color w:val="000000"/>
          <w:sz w:val="28"/>
          <w:szCs w:val="28"/>
        </w:rPr>
      </w:pPr>
      <w:r>
        <w:rPr>
          <w:rFonts w:ascii="方正仿宋_GBK" w:hAnsi="宋体" w:eastAsia="方正仿宋_GBK"/>
          <w:b/>
          <w:color w:val="000000"/>
          <w:sz w:val="28"/>
          <w:szCs w:val="28"/>
        </w:rPr>
        <w:t>服务地点：</w:t>
      </w:r>
      <w:r>
        <w:rPr>
          <w:rFonts w:hint="eastAsia" w:ascii="方正仿宋_GBK" w:hAnsi="宋体" w:eastAsia="方正仿宋_GBK"/>
          <w:sz w:val="28"/>
          <w:szCs w:val="28"/>
        </w:rPr>
        <w:t>详见第一部分《</w:t>
      </w:r>
      <w:r>
        <w:rPr>
          <w:rFonts w:hint="eastAsia" w:ascii="方正仿宋_GBK" w:hAnsi="宋体" w:eastAsia="方正仿宋_GBK"/>
          <w:sz w:val="28"/>
          <w:szCs w:val="28"/>
          <w:lang w:val="en-US" w:eastAsia="zh-CN"/>
        </w:rPr>
        <w:t>公开</w:t>
      </w:r>
      <w:r>
        <w:rPr>
          <w:rFonts w:hint="eastAsia" w:ascii="方正仿宋_GBK" w:hAnsi="宋体" w:eastAsia="方正仿宋_GBK"/>
          <w:sz w:val="28"/>
          <w:szCs w:val="28"/>
        </w:rPr>
        <w:t>竞争性磋商公告》</w:t>
      </w:r>
      <w:r>
        <w:rPr>
          <w:rFonts w:hint="eastAsia" w:ascii="方正仿宋_GBK" w:hAnsi="宋体" w:eastAsia="方正仿宋_GBK"/>
          <w:sz w:val="28"/>
          <w:szCs w:val="28"/>
          <w:lang w:eastAsia="zh-CN"/>
        </w:rPr>
        <w:t>。</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right="0" w:rightChars="0"/>
        <w:jc w:val="both"/>
        <w:textAlignment w:val="auto"/>
        <w:outlineLvl w:val="9"/>
        <w:rPr>
          <w:rFonts w:hint="eastAsia" w:ascii="方正仿宋_GBK" w:eastAsia="方正仿宋_GBK"/>
          <w:color w:val="000000"/>
          <w:sz w:val="28"/>
        </w:rPr>
      </w:pPr>
      <w:r>
        <w:rPr>
          <w:rFonts w:hint="eastAsia" w:ascii="方正仿宋_GBK" w:hAnsi="宋体" w:eastAsia="方正仿宋_GBK"/>
          <w:b/>
          <w:color w:val="000000"/>
          <w:sz w:val="28"/>
          <w:szCs w:val="28"/>
        </w:rPr>
        <w:t>四、</w:t>
      </w:r>
      <w:r>
        <w:rPr>
          <w:rFonts w:ascii="方正仿宋_GBK" w:hAnsi="宋体" w:eastAsia="方正仿宋_GBK"/>
          <w:b/>
          <w:color w:val="000000"/>
          <w:sz w:val="28"/>
          <w:szCs w:val="28"/>
        </w:rPr>
        <w:t>对拟投入服务的人员配置、经验等方面的要求：</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left="61" w:leftChars="29" w:right="0" w:rightChars="0" w:firstLine="560" w:firstLineChars="200"/>
        <w:jc w:val="both"/>
        <w:textAlignment w:val="auto"/>
        <w:outlineLvl w:val="9"/>
        <w:rPr>
          <w:rFonts w:hint="eastAsia" w:ascii="方正仿宋_GBK" w:eastAsia="方正仿宋_GBK"/>
          <w:bCs/>
          <w:color w:val="FF0000"/>
          <w:spacing w:val="-8"/>
          <w:sz w:val="28"/>
          <w:szCs w:val="28"/>
        </w:rPr>
      </w:pPr>
      <w:r>
        <w:rPr>
          <w:rFonts w:hint="eastAsia" w:ascii="方正仿宋_GBK" w:hAnsi="宋体" w:eastAsia="方正仿宋_GBK"/>
          <w:sz w:val="28"/>
          <w:szCs w:val="28"/>
          <w:lang w:val="en-US" w:eastAsia="zh-CN"/>
        </w:rPr>
        <w:t>项目负责人及主要成员拥有注册会计师执业资格证书，且近三年内有从事金融企业审计相关经验。</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left="61" w:leftChars="29" w:right="0" w:rightChars="0" w:firstLine="562" w:firstLineChars="200"/>
        <w:jc w:val="both"/>
        <w:textAlignment w:val="auto"/>
        <w:outlineLvl w:val="9"/>
        <w:rPr>
          <w:rFonts w:hint="eastAsia" w:ascii="方正仿宋_GBK" w:hAnsi="宋体" w:eastAsia="方正仿宋_GBK"/>
          <w:b/>
          <w:color w:val="000000"/>
          <w:sz w:val="28"/>
          <w:szCs w:val="28"/>
        </w:rPr>
      </w:pPr>
      <w:r>
        <w:rPr>
          <w:rFonts w:hint="eastAsia" w:ascii="方正仿宋_GBK" w:hAnsi="宋体" w:eastAsia="方正仿宋_GBK"/>
          <w:b/>
          <w:color w:val="000000"/>
          <w:sz w:val="28"/>
          <w:szCs w:val="28"/>
        </w:rPr>
        <w:t>五、</w:t>
      </w:r>
      <w:r>
        <w:rPr>
          <w:rFonts w:ascii="方正仿宋_GBK" w:hAnsi="宋体" w:eastAsia="方正仿宋_GBK"/>
          <w:b/>
          <w:color w:val="000000"/>
          <w:sz w:val="28"/>
          <w:szCs w:val="28"/>
        </w:rPr>
        <w:t>服务成果要求</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left="61" w:leftChars="29" w:right="0" w:rightChars="0" w:firstLine="528" w:firstLineChars="200"/>
        <w:jc w:val="both"/>
        <w:textAlignment w:val="auto"/>
        <w:outlineLvl w:val="9"/>
        <w:rPr>
          <w:rFonts w:hint="eastAsia" w:ascii="方正仿宋_GBK" w:hAnsi="宋体" w:eastAsia="方正仿宋_GBK"/>
          <w:b/>
          <w:color w:val="000000"/>
          <w:sz w:val="28"/>
          <w:szCs w:val="28"/>
        </w:rPr>
      </w:pPr>
      <w:r>
        <w:rPr>
          <w:rFonts w:hint="eastAsia" w:ascii="方正仿宋_GBK" w:eastAsia="方正仿宋_GBK"/>
          <w:bCs/>
          <w:color w:val="000000"/>
          <w:spacing w:val="-8"/>
          <w:sz w:val="28"/>
          <w:szCs w:val="28"/>
        </w:rPr>
        <w:t>年度审计与清算审计的主要对象为单只产品财务报告，审计过程应包含风险控制、系统操作、对手询证、估值评价、资产收益确认评估、财务数据审计，管理建议等环节，需要发表审计意见，出具审计报告。</w:t>
      </w:r>
      <w:bookmarkStart w:id="39" w:name="OLE_LINK6"/>
      <w:r>
        <w:rPr>
          <w:rFonts w:hint="eastAsia" w:ascii="方正仿宋_GBK" w:eastAsia="方正仿宋_GBK"/>
          <w:bCs/>
          <w:color w:val="000000"/>
          <w:spacing w:val="-8"/>
          <w:sz w:val="28"/>
          <w:szCs w:val="28"/>
          <w:lang w:val="en-US" w:eastAsia="zh-CN"/>
        </w:rPr>
        <w:t>年度审计须在2027年4月20日前完成并出具审计报告。</w:t>
      </w:r>
      <w:bookmarkEnd w:id="39"/>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right="0" w:rightChars="0"/>
        <w:jc w:val="both"/>
        <w:textAlignment w:val="auto"/>
        <w:outlineLvl w:val="9"/>
        <w:rPr>
          <w:rFonts w:hint="eastAsia" w:ascii="方正仿宋_GBK" w:hAnsi="宋体" w:eastAsia="方正仿宋_GBK"/>
          <w:b/>
          <w:color w:val="000000"/>
          <w:sz w:val="28"/>
          <w:szCs w:val="28"/>
        </w:rPr>
      </w:pPr>
      <w:r>
        <w:rPr>
          <w:rFonts w:hint="eastAsia" w:ascii="方正仿宋_GBK" w:hAnsi="宋体" w:eastAsia="方正仿宋_GBK"/>
          <w:b/>
          <w:color w:val="000000"/>
          <w:sz w:val="28"/>
          <w:szCs w:val="28"/>
        </w:rPr>
        <w:t>六、</w:t>
      </w:r>
      <w:r>
        <w:rPr>
          <w:rFonts w:ascii="方正仿宋_GBK" w:hAnsi="宋体" w:eastAsia="方正仿宋_GBK"/>
          <w:b/>
          <w:color w:val="000000"/>
          <w:sz w:val="28"/>
          <w:szCs w:val="28"/>
        </w:rPr>
        <w:t>服务质量及验收要求</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left="61" w:leftChars="29" w:right="0" w:rightChars="0" w:firstLine="548" w:firstLineChars="196"/>
        <w:jc w:val="both"/>
        <w:textAlignment w:val="auto"/>
        <w:outlineLvl w:val="9"/>
        <w:rPr>
          <w:rFonts w:hint="eastAsia" w:ascii="方正仿宋_GBK" w:hAnsi="宋体" w:eastAsia="方正仿宋_GBK"/>
          <w:b/>
          <w:color w:val="000000"/>
          <w:sz w:val="28"/>
          <w:szCs w:val="28"/>
        </w:rPr>
      </w:pPr>
      <w:r>
        <w:rPr>
          <w:rFonts w:hint="eastAsia" w:ascii="方正仿宋_GBK" w:eastAsia="方正仿宋_GBK"/>
          <w:color w:val="000000"/>
          <w:sz w:val="28"/>
        </w:rPr>
        <w:t>服务人员采用现场及非现场方式提供审计服务，按要求完成审计内容，及时出具审计报告。承诺增值服务的按约定提供相应的增值服务</w:t>
      </w:r>
      <w:r>
        <w:rPr>
          <w:rFonts w:hint="eastAsia" w:ascii="方正仿宋_GBK" w:eastAsia="方正仿宋_GBK"/>
          <w:bCs/>
          <w:color w:val="000000"/>
          <w:spacing w:val="-8"/>
          <w:sz w:val="28"/>
          <w:szCs w:val="28"/>
        </w:rPr>
        <w:t>。</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right="0" w:rightChars="0"/>
        <w:jc w:val="both"/>
        <w:textAlignment w:val="auto"/>
        <w:outlineLvl w:val="9"/>
        <w:rPr>
          <w:rFonts w:hint="eastAsia" w:ascii="方正仿宋_GBK" w:hAnsi="宋体" w:eastAsia="方正仿宋_GBK"/>
          <w:b/>
          <w:color w:val="000000"/>
          <w:sz w:val="28"/>
          <w:szCs w:val="28"/>
        </w:rPr>
      </w:pPr>
      <w:r>
        <w:rPr>
          <w:rFonts w:hint="eastAsia" w:ascii="方正仿宋_GBK" w:hAnsi="宋体" w:eastAsia="方正仿宋_GBK"/>
          <w:b/>
          <w:color w:val="000000"/>
          <w:sz w:val="28"/>
          <w:szCs w:val="28"/>
        </w:rPr>
        <w:t>七、</w:t>
      </w:r>
      <w:r>
        <w:rPr>
          <w:rFonts w:ascii="方正仿宋_GBK" w:hAnsi="宋体" w:eastAsia="方正仿宋_GBK"/>
          <w:b/>
          <w:color w:val="000000"/>
          <w:sz w:val="28"/>
          <w:szCs w:val="28"/>
        </w:rPr>
        <w:t>售后服务要求：</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left="61" w:leftChars="29" w:right="0" w:rightChars="0" w:firstLine="548" w:firstLineChars="196"/>
        <w:jc w:val="both"/>
        <w:textAlignment w:val="auto"/>
        <w:outlineLvl w:val="9"/>
        <w:rPr>
          <w:rFonts w:hint="eastAsia" w:ascii="方正仿宋_GBK" w:eastAsia="方正仿宋_GBK"/>
          <w:color w:val="000000"/>
          <w:sz w:val="28"/>
        </w:rPr>
      </w:pPr>
      <w:r>
        <w:rPr>
          <w:rFonts w:hint="eastAsia" w:ascii="方正仿宋_GBK" w:eastAsia="方正仿宋_GBK"/>
          <w:color w:val="000000"/>
          <w:sz w:val="28"/>
        </w:rPr>
        <w:t>应当根据监管及行业要求及时调整审计内容和过程控制；若发生项目人员变动，应当及时按照招标要求重新安排项目人员；若发生项目人员行为不当或违规，应当及时更换并按招标要求调整项目人员及承担约定的责任。</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right="0" w:rightChars="0"/>
        <w:jc w:val="both"/>
        <w:textAlignment w:val="auto"/>
        <w:outlineLvl w:val="9"/>
        <w:rPr>
          <w:rFonts w:ascii="方正仿宋_GBK" w:hAnsi="宋体" w:eastAsia="方正仿宋_GBK"/>
          <w:b/>
          <w:color w:val="000000"/>
          <w:sz w:val="28"/>
          <w:szCs w:val="28"/>
        </w:rPr>
      </w:pPr>
      <w:r>
        <w:rPr>
          <w:rFonts w:hint="eastAsia" w:ascii="方正仿宋_GBK" w:hAnsi="宋体" w:eastAsia="方正仿宋_GBK"/>
          <w:b/>
          <w:color w:val="000000"/>
          <w:sz w:val="28"/>
          <w:szCs w:val="28"/>
        </w:rPr>
        <w:t>八、</w:t>
      </w:r>
      <w:r>
        <w:rPr>
          <w:rFonts w:ascii="方正仿宋_GBK" w:hAnsi="宋体" w:eastAsia="方正仿宋_GBK"/>
          <w:b/>
          <w:color w:val="000000"/>
          <w:sz w:val="28"/>
          <w:szCs w:val="28"/>
        </w:rPr>
        <w:t>履约保证金：</w:t>
      </w:r>
      <w:r>
        <w:rPr>
          <w:rFonts w:hint="eastAsia" w:ascii="方正仿宋_GBK" w:eastAsia="方正仿宋_GBK"/>
          <w:bCs/>
          <w:color w:val="000000"/>
          <w:sz w:val="28"/>
          <w:lang w:val="en-US" w:eastAsia="zh-CN"/>
        </w:rPr>
        <w:t>0</w:t>
      </w:r>
      <w:r>
        <w:rPr>
          <w:rFonts w:hint="eastAsia" w:ascii="方正仿宋_GBK" w:eastAsia="方正仿宋_GBK"/>
          <w:bCs/>
          <w:color w:val="000000"/>
          <w:sz w:val="28"/>
        </w:rPr>
        <w:t>万元。</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right="0" w:rightChars="0"/>
        <w:jc w:val="both"/>
        <w:textAlignment w:val="auto"/>
        <w:outlineLvl w:val="9"/>
        <w:rPr>
          <w:rFonts w:hint="eastAsia" w:ascii="方正仿宋_GBK" w:eastAsia="方正仿宋_GBK"/>
          <w:bCs/>
          <w:color w:val="000000"/>
          <w:spacing w:val="-8"/>
          <w:sz w:val="28"/>
        </w:rPr>
      </w:pPr>
      <w:r>
        <w:rPr>
          <w:rFonts w:hint="eastAsia" w:ascii="方正仿宋_GBK" w:hAnsi="宋体" w:eastAsia="方正仿宋_GBK"/>
          <w:b/>
          <w:color w:val="000000"/>
          <w:sz w:val="28"/>
          <w:szCs w:val="28"/>
        </w:rPr>
        <w:t>九、</w:t>
      </w:r>
      <w:r>
        <w:rPr>
          <w:rFonts w:ascii="方正仿宋_GBK" w:hAnsi="宋体" w:eastAsia="方正仿宋_GBK"/>
          <w:b/>
          <w:color w:val="000000"/>
          <w:sz w:val="28"/>
          <w:szCs w:val="28"/>
        </w:rPr>
        <w:t>报价要求：</w:t>
      </w:r>
    </w:p>
    <w:p>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300" w:lineRule="auto"/>
        <w:ind w:left="61" w:leftChars="29" w:right="0" w:rightChars="0" w:firstLine="528" w:firstLineChars="200"/>
        <w:jc w:val="both"/>
        <w:textAlignment w:val="auto"/>
        <w:outlineLvl w:val="9"/>
        <w:rPr>
          <w:rFonts w:hint="eastAsia" w:ascii="方正仿宋_GBK" w:eastAsia="方正仿宋_GBK"/>
          <w:color w:val="000000"/>
          <w:sz w:val="28"/>
          <w:highlight w:val="yellow"/>
        </w:rPr>
      </w:pPr>
      <w:r>
        <w:rPr>
          <w:rFonts w:hint="eastAsia" w:ascii="方正仿宋_GBK" w:eastAsia="方正仿宋_GBK"/>
          <w:bCs/>
          <w:color w:val="000000"/>
          <w:spacing w:val="-8"/>
          <w:sz w:val="28"/>
          <w:szCs w:val="28"/>
        </w:rPr>
        <w:t>报价为完成所要求服务的整体包干价，应包含完成项目所需的人工费、交通费、办公设施费、第三方软件费、税费等所有费用，须提供增值税专票。</w:t>
      </w:r>
    </w:p>
    <w:p>
      <w:pPr>
        <w:numPr>
          <w:ilvl w:val="0"/>
          <w:numId w:val="0"/>
        </w:numPr>
        <w:tabs>
          <w:tab w:val="left" w:pos="540"/>
          <w:tab w:val="left" w:pos="720"/>
        </w:tabs>
        <w:adjustRightInd w:val="0"/>
        <w:snapToGrid w:val="0"/>
        <w:spacing w:line="300" w:lineRule="auto"/>
        <w:jc w:val="center"/>
        <w:rPr>
          <w:rFonts w:hint="eastAsia" w:ascii="Calibri" w:hAnsi="Calibri" w:eastAsia="宋体" w:cs="Calibri"/>
          <w:b/>
          <w:bCs/>
          <w:color w:val="000000"/>
          <w:kern w:val="2"/>
          <w:sz w:val="32"/>
          <w:szCs w:val="32"/>
          <w:lang w:val="en-US" w:eastAsia="zh-CN" w:bidi="ar-SA"/>
        </w:rPr>
      </w:pPr>
      <w:bookmarkStart w:id="40" w:name="_Toc92982577"/>
    </w:p>
    <w:p>
      <w:pPr>
        <w:numPr>
          <w:ilvl w:val="0"/>
          <w:numId w:val="0"/>
        </w:numPr>
        <w:tabs>
          <w:tab w:val="left" w:pos="540"/>
          <w:tab w:val="left" w:pos="720"/>
        </w:tabs>
        <w:adjustRightInd w:val="0"/>
        <w:snapToGrid w:val="0"/>
        <w:spacing w:line="300" w:lineRule="auto"/>
        <w:jc w:val="center"/>
        <w:rPr>
          <w:rFonts w:hint="eastAsia" w:ascii="Calibri" w:hAnsi="Calibri" w:eastAsia="宋体" w:cs="Calibri"/>
          <w:b/>
          <w:bCs/>
          <w:color w:val="000000"/>
          <w:kern w:val="2"/>
          <w:sz w:val="32"/>
          <w:szCs w:val="32"/>
          <w:lang w:val="en-US" w:eastAsia="zh-CN" w:bidi="ar-SA"/>
        </w:rPr>
      </w:pPr>
    </w:p>
    <w:p>
      <w:pPr>
        <w:numPr>
          <w:ilvl w:val="0"/>
          <w:numId w:val="0"/>
        </w:numPr>
        <w:tabs>
          <w:tab w:val="left" w:pos="540"/>
          <w:tab w:val="left" w:pos="720"/>
        </w:tabs>
        <w:adjustRightInd w:val="0"/>
        <w:snapToGrid w:val="0"/>
        <w:spacing w:line="300" w:lineRule="auto"/>
        <w:jc w:val="center"/>
        <w:rPr>
          <w:rFonts w:hint="eastAsia" w:ascii="Calibri" w:hAnsi="Calibri" w:eastAsia="宋体" w:cs="Calibri"/>
          <w:b/>
          <w:bCs/>
          <w:color w:val="000000"/>
          <w:kern w:val="2"/>
          <w:sz w:val="32"/>
          <w:szCs w:val="32"/>
          <w:lang w:val="en-US" w:eastAsia="zh-CN" w:bidi="ar-SA"/>
        </w:rPr>
      </w:pPr>
    </w:p>
    <w:p>
      <w:pPr>
        <w:numPr>
          <w:ilvl w:val="0"/>
          <w:numId w:val="0"/>
        </w:numPr>
        <w:tabs>
          <w:tab w:val="left" w:pos="540"/>
          <w:tab w:val="left" w:pos="720"/>
        </w:tabs>
        <w:adjustRightInd w:val="0"/>
        <w:snapToGrid w:val="0"/>
        <w:spacing w:line="300" w:lineRule="auto"/>
        <w:jc w:val="center"/>
        <w:rPr>
          <w:rFonts w:hint="eastAsia"/>
          <w:b/>
          <w:bCs/>
          <w:color w:val="000000"/>
          <w:kern w:val="44"/>
          <w:sz w:val="36"/>
          <w:szCs w:val="36"/>
        </w:rPr>
      </w:pPr>
      <w:r>
        <w:rPr>
          <w:rFonts w:hint="eastAsia" w:ascii="Calibri" w:hAnsi="Calibri" w:eastAsia="宋体" w:cs="Calibri"/>
          <w:b/>
          <w:bCs/>
          <w:color w:val="000000"/>
          <w:kern w:val="2"/>
          <w:sz w:val="32"/>
          <w:szCs w:val="32"/>
          <w:lang w:val="en-US" w:eastAsia="zh-CN" w:bidi="ar-SA"/>
        </w:rPr>
        <w:t>第</w:t>
      </w:r>
      <w:r>
        <w:rPr>
          <w:rFonts w:hint="eastAsia" w:cs="Calibri"/>
          <w:b/>
          <w:bCs/>
          <w:color w:val="000000"/>
          <w:kern w:val="2"/>
          <w:sz w:val="32"/>
          <w:szCs w:val="32"/>
          <w:lang w:val="en-US" w:eastAsia="zh-CN" w:bidi="ar-SA"/>
        </w:rPr>
        <w:t>四</w:t>
      </w:r>
      <w:r>
        <w:rPr>
          <w:rFonts w:hint="eastAsia" w:ascii="Calibri" w:hAnsi="Calibri" w:eastAsia="宋体" w:cs="Calibri"/>
          <w:b/>
          <w:bCs/>
          <w:color w:val="000000"/>
          <w:kern w:val="2"/>
          <w:sz w:val="32"/>
          <w:szCs w:val="32"/>
          <w:lang w:val="en-US" w:eastAsia="zh-CN" w:bidi="ar-SA"/>
        </w:rPr>
        <w:t>部分   合同条款（部分）</w:t>
      </w:r>
      <w:bookmarkEnd w:id="40"/>
    </w:p>
    <w:p>
      <w:pPr>
        <w:spacing w:line="360" w:lineRule="auto"/>
        <w:ind w:firstLine="562" w:firstLineChars="200"/>
        <w:rPr>
          <w:rFonts w:hint="eastAsia"/>
        </w:rPr>
      </w:pPr>
      <w:r>
        <w:rPr>
          <w:rFonts w:hint="eastAsia" w:ascii="仿宋_GB2312" w:hAnsi="宋体" w:eastAsia="仿宋_GB2312"/>
          <w:b/>
          <w:color w:val="FF0000"/>
          <w:sz w:val="28"/>
          <w:szCs w:val="28"/>
        </w:rPr>
        <w:t>以下合同内容为部分条款，如与采购文件其他内容要求不一致的，以采购文件其他内容要求为准。</w:t>
      </w:r>
    </w:p>
    <w:p>
      <w:pPr>
        <w:tabs>
          <w:tab w:val="left" w:pos="540"/>
          <w:tab w:val="left" w:pos="720"/>
        </w:tabs>
        <w:adjustRightInd w:val="0"/>
        <w:snapToGrid w:val="0"/>
        <w:spacing w:line="300" w:lineRule="auto"/>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 xml:space="preserve">                                           </w:t>
      </w:r>
    </w:p>
    <w:p>
      <w:pPr>
        <w:tabs>
          <w:tab w:val="left" w:pos="540"/>
          <w:tab w:val="left" w:pos="720"/>
        </w:tabs>
        <w:adjustRightInd w:val="0"/>
        <w:snapToGrid w:val="0"/>
        <w:spacing w:line="300" w:lineRule="auto"/>
        <w:ind w:left="61" w:leftChars="29" w:firstLine="562" w:firstLineChars="200"/>
        <w:jc w:val="center"/>
        <w:rPr>
          <w:rFonts w:hint="eastAsia" w:ascii="方正仿宋_GBK" w:hAnsi="宋体" w:eastAsia="方正仿宋_GBK"/>
          <w:b/>
          <w:bCs/>
          <w:sz w:val="28"/>
          <w:szCs w:val="28"/>
          <w:lang w:val="en-US" w:eastAsia="zh-CN"/>
        </w:rPr>
      </w:pPr>
      <w:r>
        <w:rPr>
          <w:rFonts w:hint="eastAsia" w:ascii="方正仿宋_GBK" w:hAnsi="宋体" w:eastAsia="方正仿宋_GBK"/>
          <w:b/>
          <w:bCs/>
          <w:sz w:val="28"/>
          <w:szCs w:val="28"/>
          <w:lang w:val="en-US" w:eastAsia="zh-CN"/>
        </w:rPr>
        <w:t>审计业务约定书</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甲方：重庆银行股份有限公司</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地址：重庆市两江新区永平门街6号</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乙方：</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地址：</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兹由甲方委托乙方提供本审计业务约定书（以下简称“本约定书”）下的审计服务事宜，甲、乙双方经协商一致，订立本约定书，达成如下约定：</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一、审计范围及内容</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1、本约定书审计范围为甲方作为管理人发行并管理的需审计的公募理财产品。</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本约定书审计类型分为理财产品的年度审计与清算审计。年度审计与清算审计的主要内容为单只理财产品的定期财务报告或清算财务报告，审计过程应包含风险控制、系统操作、对手询证、估值评价、资产收益确认评估、财务数据审计等环节，发表审计意见，出具财务报表审计报告。</w:t>
      </w:r>
      <w:r>
        <w:rPr>
          <w:rFonts w:hint="eastAsia" w:ascii="方正仿宋_GBK" w:eastAsia="方正仿宋_GBK"/>
          <w:bCs/>
          <w:color w:val="000000"/>
          <w:spacing w:val="-8"/>
          <w:sz w:val="28"/>
          <w:szCs w:val="28"/>
          <w:lang w:val="en-US" w:eastAsia="zh-CN"/>
        </w:rPr>
        <w:t>年度审计须在2027年4月20日前完成并出具审计报告。</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3、需审计的公募理财产品指甲方发行并管理的截至2026年12月31日存续的以及2027年1月1日至2027年12月31日期间到期的公募理财产品。</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二、甲方的责任</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1、按规定编制财务报告。</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2、按约定提供审计需要的真实有效的有关记录、文件和信息。</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3、为乙方现场工作人员提供必要的工作条件和协助。</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三、乙方的责任</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1、根据甲方提供的材料实施审计工作，发表审计意见。</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2、按照约定时间完成审计工作，出具审计报告，并提交给甲方。</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3、在本约定书约定服务期限内乙方免费向甲方提供以下增值服务：</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（1）免费提供业务咨询和政策解读服务；</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（2）免费提供理财业务审计服务；</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（3）免费提供估值机构数据质量的评估服务（不多于5家）</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（根据招标文件及投标文件承诺的要求及事项增加相应内容，包括但不限于人员、服务内容、服务时效、增值服务等。）</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四、审计费用</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1、本约定书所涉及的审计费用按单只理财产品计算，收费标准为       ______元/次·只。</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审计服务费用包含了为完成所要求服务的全部费用，应包含但不限于完成项目所需的人工费、交通费、办公设施费、第三方软件费、税费等所有费用，甲方除此之外不再支付任何费用。供应商提交我行的发票必须是一般纳税人增值税专用发票。</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合同结算金额以甲方在本约定的有效期内正式委托乙方进行审计服务并完成审计、提交审计报告的产品数量及次数汇总结算，原则上每年结算一次。审计费用由被审计的理财产品承担，由管理人从理财产品资产中代为支付。甲乙双方对审计费用核对一致后，乙方开具相应发票，甲方在收到乙方发票后_____个工作日内支付审计费用。</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4、付款方式为转账。收款账户信息：</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户名：</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账号：</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开户行：</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支付行号：</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五、审计报告的使用</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1、乙方按照审计准则规定的格式和类型出具审计报告。</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2、乙方向甲方出具的审计报告一式____份，仅供甲方用于                 ，不得用于其它目的。</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3、、甲方可使用或对外公布乙方出具的盖章版审计报告。</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六、有效期限</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本约定书自甲、乙双方加盖公章之日起生效，审计服务期限为自本约定书生效之日起的一个自然年度。但乙方对甲方在本约定书约定的审计范围内委托的审计事项不受服务期限的影响。</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七、保密及隐私</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乙方保证对所接受之信息、材料等妥善保管，并采取适当措施与审慎程度进行保密。未经甲方书面同意，乙方不得向第三方披露、公布、援引或许可第三方使用其所获得的保密信息。乙方保证信息仅在其参与本次项目的人员范围内知悉，并保证上述人员以书面形式接受保密约束。乙方不得向未参与本项目的人员透露相关信息。保密义务不因本约定书终止而终止。</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八、约定事项的变更</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如果出现不可预见的情况，影响审计工作如期完成，或需要提前出具审计报告，经甲、乙双方友好协商解决。</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九、终止条款</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甲方保留向乙方提出合理通知终止履行本</w:t>
      </w:r>
      <w:bookmarkStart w:id="57" w:name="_GoBack"/>
      <w:bookmarkEnd w:id="57"/>
      <w:r>
        <w:rPr>
          <w:rFonts w:hint="eastAsia" w:ascii="方正仿宋_GBK" w:hAnsi="宋体" w:eastAsia="方正仿宋_GBK"/>
          <w:sz w:val="28"/>
          <w:szCs w:val="28"/>
          <w:lang w:val="en-US" w:eastAsia="zh-CN"/>
        </w:rPr>
        <w:t>约定书的权利。乙方有权在终止日之前就其已完成的服务收取合理费用。</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十、适用法律和争议解决</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本约定书的所有方面均应适用中华人民共和国法律进行解释并受其约束。因本约定书引起的或与本约定书有关的任何纠纷或争议，双方协商确定采取以下第    种方式予以解决：</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（1）向      人民法院提起诉讼；</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（2）提交      仲裁委员会仲裁。</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十一、其他有关事项的约定</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1、乙方人员在甲方现场工作期间，应严格遵守甲方的相关规章管理制度以及遵从银行业相关监督法规，特别是有关信息科技风险制度和流程。</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2、未经甲方书面同意，乙方不得分包、转包或变相转包。</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3、乙方不得以重庆银行的名义开展其他活动。</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4、本约定书一式肆份，甲、乙双方各执贰份，具有同等法律效力。</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pStyle w:val="2"/>
        <w:rPr>
          <w:rFonts w:hint="eastAsia" w:ascii="方正仿宋_GBK" w:hAnsi="宋体" w:eastAsia="方正仿宋_GBK"/>
          <w:sz w:val="28"/>
          <w:szCs w:val="28"/>
          <w:lang w:val="en-US" w:eastAsia="zh-CN"/>
        </w:rPr>
      </w:pPr>
    </w:p>
    <w:p>
      <w:pPr>
        <w:rPr>
          <w:rFonts w:hint="eastAsia"/>
          <w:lang w:val="en-US" w:eastAsia="zh-CN"/>
        </w:rPr>
      </w:pP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甲方：重庆银行股份有限公司（公章）</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法定代表人或负责人（或授权代理人）：</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签署日期：    年  月  日</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pStyle w:val="2"/>
        <w:rPr>
          <w:rFonts w:hint="eastAsia"/>
          <w:lang w:val="en-US" w:eastAsia="zh-CN"/>
        </w:rPr>
      </w:pP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乙方：                   （公章）</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法定代表人或负责人（或授权代理人）：</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签署日期：    年  月  日</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（特别说明：合同范本中的各项条款未经法律审查，也未与乙方进行磋商，正式签署合同时将对各项条款进行增减和调整。）</w:t>
      </w:r>
    </w:p>
    <w:p>
      <w:pPr>
        <w:tabs>
          <w:tab w:val="left" w:pos="540"/>
          <w:tab w:val="left" w:pos="720"/>
        </w:tabs>
        <w:adjustRightInd w:val="0"/>
        <w:snapToGrid w:val="0"/>
        <w:spacing w:line="300" w:lineRule="auto"/>
        <w:ind w:left="61" w:leftChars="29" w:firstLine="560" w:firstLineChars="200"/>
        <w:rPr>
          <w:rFonts w:hint="eastAsia" w:ascii="方正仿宋_GBK" w:hAnsi="宋体" w:eastAsia="方正仿宋_GBK"/>
          <w:sz w:val="28"/>
          <w:szCs w:val="28"/>
          <w:lang w:val="en-US" w:eastAsia="zh-CN"/>
        </w:rPr>
      </w:pPr>
    </w:p>
    <w:p>
      <w:pPr>
        <w:jc w:val="center"/>
        <w:rPr>
          <w:rFonts w:hint="eastAsia" w:ascii="方正小标宋_GBK" w:hAnsi="方正小标宋_GBK" w:eastAsia="方正小标宋_GBK" w:cs="方正小标宋_GBK"/>
          <w:kern w:val="2"/>
          <w:sz w:val="36"/>
          <w:szCs w:val="36"/>
          <w:lang w:val="en-US" w:eastAsia="zh-CN" w:bidi="ar-SA"/>
        </w:rPr>
      </w:pPr>
    </w:p>
    <w:p>
      <w:pPr>
        <w:jc w:val="center"/>
        <w:rPr>
          <w:rFonts w:hint="eastAsia" w:ascii="方正小标宋_GBK" w:hAnsi="方正小标宋_GBK" w:eastAsia="方正小标宋_GBK" w:cs="方正小标宋_GBK"/>
          <w:kern w:val="2"/>
          <w:sz w:val="36"/>
          <w:szCs w:val="36"/>
          <w:lang w:val="en-US" w:eastAsia="zh-CN" w:bidi="ar-SA"/>
        </w:rPr>
      </w:pPr>
    </w:p>
    <w:p>
      <w:pPr>
        <w:pStyle w:val="2"/>
        <w:rPr>
          <w:rFonts w:hint="eastAsia" w:ascii="方正小标宋_GBK" w:hAnsi="方正小标宋_GBK" w:eastAsia="方正小标宋_GBK" w:cs="方正小标宋_GBK"/>
          <w:kern w:val="2"/>
          <w:sz w:val="36"/>
          <w:szCs w:val="36"/>
          <w:lang w:val="en-US" w:eastAsia="zh-CN" w:bidi="ar-SA"/>
        </w:rPr>
      </w:pPr>
    </w:p>
    <w:p>
      <w:pPr>
        <w:rPr>
          <w:rFonts w:hint="eastAsia" w:ascii="方正小标宋_GBK" w:hAnsi="方正小标宋_GBK" w:eastAsia="方正小标宋_GBK" w:cs="方正小标宋_GBK"/>
          <w:kern w:val="2"/>
          <w:sz w:val="36"/>
          <w:szCs w:val="36"/>
          <w:lang w:val="en-US" w:eastAsia="zh-CN" w:bidi="ar-SA"/>
        </w:rPr>
      </w:pPr>
    </w:p>
    <w:p>
      <w:pPr>
        <w:pStyle w:val="2"/>
        <w:rPr>
          <w:rFonts w:hint="eastAsia" w:ascii="方正小标宋_GBK" w:hAnsi="方正小标宋_GBK" w:eastAsia="方正小标宋_GBK" w:cs="方正小标宋_GBK"/>
          <w:kern w:val="2"/>
          <w:sz w:val="36"/>
          <w:szCs w:val="36"/>
          <w:lang w:val="en-US" w:eastAsia="zh-CN" w:bidi="ar-SA"/>
        </w:rPr>
      </w:pPr>
    </w:p>
    <w:p>
      <w:pPr>
        <w:rPr>
          <w:rFonts w:hint="eastAsia" w:ascii="方正小标宋_GBK" w:hAnsi="方正小标宋_GBK" w:eastAsia="方正小标宋_GBK" w:cs="方正小标宋_GBK"/>
          <w:kern w:val="2"/>
          <w:sz w:val="36"/>
          <w:szCs w:val="36"/>
          <w:lang w:val="en-US" w:eastAsia="zh-CN" w:bidi="ar-SA"/>
        </w:rPr>
      </w:pPr>
    </w:p>
    <w:p>
      <w:pPr>
        <w:pStyle w:val="2"/>
        <w:rPr>
          <w:rFonts w:hint="eastAsia"/>
          <w:lang w:val="en-US" w:eastAsia="zh-CN"/>
        </w:rPr>
      </w:pPr>
    </w:p>
    <w:p>
      <w:pPr>
        <w:jc w:val="both"/>
        <w:rPr>
          <w:rFonts w:hint="eastAsia" w:ascii="方正小标宋_GBK" w:hAnsi="方正小标宋_GBK" w:eastAsia="方正小标宋_GBK" w:cs="方正小标宋_GBK"/>
          <w:kern w:val="2"/>
          <w:sz w:val="36"/>
          <w:szCs w:val="36"/>
          <w:lang w:val="en-US" w:eastAsia="zh-CN" w:bidi="ar-SA"/>
        </w:rPr>
      </w:pPr>
    </w:p>
    <w:p>
      <w:pPr>
        <w:jc w:val="center"/>
        <w:rPr>
          <w:rFonts w:hint="eastAsia" w:ascii="方正小标宋_GBK" w:hAnsi="方正小标宋_GBK" w:eastAsia="方正小标宋_GBK" w:cs="方正小标宋_GBK"/>
          <w:kern w:val="2"/>
          <w:sz w:val="36"/>
          <w:szCs w:val="36"/>
          <w:lang w:val="en-US" w:eastAsia="zh-CN" w:bidi="ar-SA"/>
        </w:rPr>
      </w:pPr>
      <w:r>
        <w:rPr>
          <w:rFonts w:hint="eastAsia" w:ascii="Calibri" w:hAnsi="Calibri" w:eastAsia="宋体" w:cs="Calibri"/>
          <w:b/>
          <w:bCs/>
          <w:color w:val="000000"/>
          <w:kern w:val="2"/>
          <w:sz w:val="32"/>
          <w:szCs w:val="32"/>
          <w:lang w:val="en-US" w:eastAsia="zh-CN" w:bidi="ar-SA"/>
        </w:rPr>
        <w:t>第五部分 响应文件格式</w:t>
      </w:r>
    </w:p>
    <w:p>
      <w:pPr>
        <w:pStyle w:val="5"/>
        <w:numPr>
          <w:ilvl w:val="1"/>
          <w:numId w:val="8"/>
        </w:numPr>
        <w:spacing w:before="240" w:beforeLines="100"/>
        <w:rPr>
          <w:rFonts w:hint="eastAsia"/>
          <w:color w:val="000000"/>
          <w:sz w:val="28"/>
        </w:rPr>
      </w:pPr>
      <w:bookmarkStart w:id="41" w:name="_Toc69143911"/>
      <w:bookmarkStart w:id="42" w:name="_Toc92982602"/>
      <w:bookmarkStart w:id="43" w:name="_Toc306798308"/>
      <w:bookmarkStart w:id="44" w:name="_Toc306798307"/>
      <w:r>
        <w:rPr>
          <w:rFonts w:hint="eastAsia"/>
          <w:color w:val="000000"/>
          <w:sz w:val="28"/>
        </w:rPr>
        <w:t>响应函格式</w:t>
      </w:r>
      <w:bookmarkEnd w:id="41"/>
      <w:bookmarkEnd w:id="42"/>
      <w:bookmarkEnd w:id="43"/>
    </w:p>
    <w:p>
      <w:pPr>
        <w:spacing w:line="500" w:lineRule="exact"/>
        <w:ind w:firstLine="562" w:firstLineChars="200"/>
        <w:jc w:val="center"/>
        <w:rPr>
          <w:rFonts w:hint="eastAsia" w:ascii="仿宋_GB2312" w:hAnsi="Calibri" w:eastAsia="仿宋_GB2312" w:cs="Calibri"/>
          <w:b/>
          <w:color w:val="000000"/>
          <w:kern w:val="2"/>
          <w:sz w:val="28"/>
          <w:szCs w:val="28"/>
          <w:lang w:val="en-US" w:eastAsia="zh-CN" w:bidi="ar-SA"/>
        </w:rPr>
      </w:pPr>
      <w:r>
        <w:rPr>
          <w:rFonts w:hint="eastAsia" w:ascii="仿宋_GB2312" w:hAnsi="Calibri" w:eastAsia="仿宋_GB2312" w:cs="Calibri"/>
          <w:b/>
          <w:color w:val="000000"/>
          <w:kern w:val="2"/>
          <w:sz w:val="28"/>
          <w:szCs w:val="28"/>
          <w:lang w:val="en-US" w:eastAsia="zh-CN" w:bidi="ar-SA"/>
        </w:rPr>
        <w:t>响 应 函</w:t>
      </w:r>
    </w:p>
    <w:p>
      <w:pPr>
        <w:spacing w:line="500" w:lineRule="exact"/>
        <w:ind w:firstLine="4342" w:firstLineChars="1545"/>
        <w:rPr>
          <w:rFonts w:hint="eastAsia" w:ascii="宋体" w:hAnsi="宋体"/>
          <w:color w:val="000000"/>
          <w:szCs w:val="21"/>
        </w:rPr>
      </w:pPr>
      <w:r>
        <w:rPr>
          <w:rFonts w:hint="eastAsia" w:ascii="仿宋_GB2312" w:hAnsi="Calibri" w:eastAsia="仿宋_GB2312" w:cs="Calibri"/>
          <w:b/>
          <w:color w:val="000000"/>
          <w:kern w:val="2"/>
          <w:sz w:val="28"/>
          <w:szCs w:val="28"/>
          <w:lang w:val="en-US" w:eastAsia="zh-CN" w:bidi="ar-SA"/>
        </w:rPr>
        <w:t>（第    次）</w:t>
      </w:r>
    </w:p>
    <w:p>
      <w:pPr>
        <w:tabs>
          <w:tab w:val="left" w:pos="6300"/>
        </w:tabs>
        <w:spacing w:line="500" w:lineRule="exact"/>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致：</w:t>
      </w:r>
      <w:r>
        <w:rPr>
          <w:rFonts w:hint="eastAsia" w:ascii="方正仿宋_GBK" w:hAnsi="宋体" w:eastAsia="方正仿宋_GBK"/>
          <w:color w:val="000000"/>
          <w:sz w:val="28"/>
          <w:szCs w:val="28"/>
          <w:u w:val="single"/>
        </w:rPr>
        <w:t xml:space="preserve"> 重庆银行股份有限公司</w:t>
      </w:r>
      <w:r>
        <w:rPr>
          <w:rFonts w:hint="eastAsia" w:ascii="方正仿宋_GBK" w:hAnsi="宋体" w:eastAsia="方正仿宋_GBK"/>
          <w:color w:val="000000"/>
          <w:sz w:val="28"/>
          <w:szCs w:val="28"/>
        </w:rPr>
        <w:t>：</w:t>
      </w:r>
    </w:p>
    <w:p>
      <w:pPr>
        <w:spacing w:before="120" w:beforeLines="50"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根据贵方</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（项目名称）的采购文件，我公司正式授权下述签字人</w:t>
      </w:r>
      <w:r>
        <w:rPr>
          <w:rFonts w:hint="eastAsia" w:ascii="方正仿宋_GBK" w:hAnsi="宋体" w:eastAsia="方正仿宋_GBK"/>
          <w:color w:val="000000"/>
          <w:sz w:val="28"/>
          <w:szCs w:val="28"/>
          <w:u w:val="single"/>
        </w:rPr>
        <w:t xml:space="preserve">                 (姓名和职务)</w:t>
      </w:r>
      <w:r>
        <w:rPr>
          <w:rFonts w:hint="eastAsia" w:ascii="方正仿宋_GBK" w:hAnsi="宋体" w:eastAsia="方正仿宋_GBK"/>
          <w:color w:val="000000"/>
          <w:sz w:val="28"/>
          <w:szCs w:val="28"/>
        </w:rPr>
        <w:t>代表我方</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（磋商供应商名称），提交下述文件正本1份，副本1份，电子文档1份，若本项目为线上评审，同时授权其电子邮箱（地址</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）发送磋商及报价资料。</w:t>
      </w:r>
    </w:p>
    <w:p>
      <w:pPr>
        <w:spacing w:before="120" w:beforeLines="50"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据此函，签字人兹宣布同意如下：</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一、总报价</w:t>
      </w:r>
      <w:r>
        <w:rPr>
          <w:rFonts w:hint="eastAsia" w:ascii="方正仿宋_GBK" w:hAnsi="宋体" w:eastAsia="方正仿宋_GBK"/>
          <w:color w:val="000000"/>
          <w:sz w:val="28"/>
          <w:szCs w:val="28"/>
          <w:u w:val="single"/>
        </w:rPr>
        <w:t>详见报价明细表</w:t>
      </w:r>
      <w:r>
        <w:rPr>
          <w:rFonts w:hint="eastAsia" w:ascii="方正仿宋_GBK" w:hAnsi="宋体" w:eastAsia="方正仿宋_GBK"/>
          <w:color w:val="000000"/>
          <w:sz w:val="28"/>
          <w:szCs w:val="28"/>
        </w:rPr>
        <w:t>。该报价为完成本次所有服务的包干价。</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二、我方完全理解并接受该项目采购文件所有要求。</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三、我方提交的所有响应文件、资料都是准确和真实的，如有虚假或隐瞒，我方愿意承担一切法律责任。</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四、如果我方成交，我方将履行采购文件中规定的各项要求以及我方响应文件的各项承诺，按《民法典》、合同约定条款及相关法律法规承担我方责任。</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五、我方理解，最低报价不是成交的唯一条件。</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六、本响应文件自磋商之日起90日历天内有效。</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七、与本此采购有关的一切往来通讯请寄：</w:t>
      </w:r>
    </w:p>
    <w:p>
      <w:pPr>
        <w:tabs>
          <w:tab w:val="left" w:pos="6300"/>
        </w:tabs>
        <w:spacing w:line="500" w:lineRule="exact"/>
        <w:ind w:firstLine="560" w:firstLineChars="200"/>
        <w:rPr>
          <w:rFonts w:hint="eastAsia" w:ascii="方正仿宋_GBK" w:hAnsi="宋体" w:eastAsia="方正仿宋_GBK"/>
          <w:color w:val="000000"/>
          <w:sz w:val="28"/>
          <w:szCs w:val="28"/>
          <w:u w:val="single"/>
        </w:rPr>
      </w:pPr>
      <w:r>
        <w:rPr>
          <w:rFonts w:hint="eastAsia" w:ascii="方正仿宋_GBK" w:hAnsi="宋体" w:eastAsia="方正仿宋_GBK"/>
          <w:color w:val="000000"/>
          <w:sz w:val="28"/>
          <w:szCs w:val="28"/>
        </w:rPr>
        <w:t>地   址：</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 xml:space="preserve"> 邮   编：</w:t>
      </w:r>
      <w:r>
        <w:rPr>
          <w:rFonts w:hint="eastAsia" w:ascii="方正仿宋_GBK" w:hAnsi="宋体" w:eastAsia="方正仿宋_GBK"/>
          <w:color w:val="000000"/>
          <w:sz w:val="28"/>
          <w:szCs w:val="28"/>
          <w:u w:val="single"/>
        </w:rPr>
        <w:t xml:space="preserve">                       </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电   话：</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传   真：</w:t>
      </w:r>
      <w:r>
        <w:rPr>
          <w:rFonts w:hint="eastAsia" w:ascii="方正仿宋_GBK" w:hAnsi="宋体" w:eastAsia="方正仿宋_GBK"/>
          <w:color w:val="000000"/>
          <w:sz w:val="28"/>
          <w:szCs w:val="28"/>
          <w:u w:val="single"/>
        </w:rPr>
        <w:t xml:space="preserve">                      </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供应商（盖章）：</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 xml:space="preserve">                 </w:t>
      </w:r>
    </w:p>
    <w:p>
      <w:pPr>
        <w:tabs>
          <w:tab w:val="left" w:pos="6300"/>
        </w:tabs>
        <w:spacing w:line="500" w:lineRule="exact"/>
        <w:ind w:firstLine="560" w:firstLineChars="200"/>
        <w:rPr>
          <w:rFonts w:hint="eastAsia" w:ascii="方正仿宋_GBK" w:hAnsi="宋体" w:eastAsia="方正仿宋_GBK"/>
          <w:color w:val="000000"/>
          <w:sz w:val="28"/>
          <w:szCs w:val="28"/>
          <w:u w:val="single"/>
        </w:rPr>
      </w:pPr>
      <w:r>
        <w:rPr>
          <w:rFonts w:hint="eastAsia" w:ascii="方正仿宋_GBK" w:hAnsi="宋体" w:eastAsia="方正仿宋_GBK"/>
          <w:color w:val="000000"/>
          <w:sz w:val="28"/>
          <w:szCs w:val="28"/>
        </w:rPr>
        <w:t>法人</w:t>
      </w:r>
      <w:r>
        <w:rPr>
          <w:rFonts w:hint="eastAsia" w:ascii="方正仿宋_GBK" w:hAnsi="宋体" w:eastAsia="方正仿宋_GBK"/>
          <w:color w:val="000000"/>
          <w:sz w:val="28"/>
          <w:szCs w:val="28"/>
          <w:lang w:val="en-US" w:eastAsia="zh-CN"/>
        </w:rPr>
        <w:t>或负责人</w:t>
      </w:r>
      <w:r>
        <w:rPr>
          <w:rFonts w:hint="eastAsia" w:ascii="方正仿宋_GBK" w:hAnsi="宋体" w:eastAsia="方正仿宋_GBK"/>
          <w:color w:val="000000"/>
          <w:sz w:val="28"/>
          <w:szCs w:val="28"/>
        </w:rPr>
        <w:t>或授权代表（签字或盖章）：</w:t>
      </w:r>
      <w:r>
        <w:rPr>
          <w:rFonts w:hint="eastAsia" w:ascii="方正仿宋_GBK" w:hAnsi="宋体" w:eastAsia="方正仿宋_GBK"/>
          <w:color w:val="000000"/>
          <w:sz w:val="28"/>
          <w:szCs w:val="28"/>
          <w:u w:val="single"/>
        </w:rPr>
        <w:t xml:space="preserve">                 </w:t>
      </w:r>
    </w:p>
    <w:p>
      <w:pPr>
        <w:tabs>
          <w:tab w:val="left" w:pos="6300"/>
        </w:tabs>
        <w:spacing w:line="500" w:lineRule="exact"/>
        <w:ind w:firstLine="6720" w:firstLineChars="24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年     月    日</w:t>
      </w:r>
    </w:p>
    <w:p>
      <w:pPr>
        <w:tabs>
          <w:tab w:val="left" w:pos="6300"/>
        </w:tabs>
        <w:spacing w:line="500" w:lineRule="exact"/>
        <w:ind w:firstLine="5760" w:firstLineChars="2400"/>
        <w:rPr>
          <w:rFonts w:ascii="宋体" w:hAnsi="宋体"/>
          <w:color w:val="000000"/>
          <w:sz w:val="24"/>
        </w:rPr>
        <w:sectPr>
          <w:endnotePr>
            <w:numFmt w:val="decimal"/>
          </w:endnotePr>
          <w:pgSz w:w="11907" w:h="16840"/>
          <w:pgMar w:top="1418" w:right="1134" w:bottom="1418" w:left="1134" w:header="964" w:footer="992" w:gutter="0"/>
          <w:cols w:space="720" w:num="1"/>
          <w:docGrid w:linePitch="380" w:charSpace="-5735"/>
        </w:sectPr>
      </w:pPr>
    </w:p>
    <w:p>
      <w:pPr>
        <w:pStyle w:val="5"/>
        <w:numPr>
          <w:ilvl w:val="1"/>
          <w:numId w:val="8"/>
        </w:numPr>
        <w:spacing w:before="240" w:beforeLines="100"/>
        <w:rPr>
          <w:rFonts w:hint="eastAsia"/>
        </w:rPr>
      </w:pPr>
      <w:bookmarkStart w:id="45" w:name="_Toc69143912"/>
      <w:bookmarkStart w:id="46" w:name="_Toc92982603"/>
      <w:r>
        <w:rPr>
          <w:rFonts w:hint="eastAsia"/>
          <w:color w:val="000000"/>
          <w:sz w:val="28"/>
        </w:rPr>
        <w:t>报价明细表格式</w:t>
      </w:r>
      <w:bookmarkEnd w:id="44"/>
      <w:bookmarkEnd w:id="45"/>
      <w:bookmarkEnd w:id="46"/>
    </w:p>
    <w:p>
      <w:pPr>
        <w:spacing w:line="500" w:lineRule="exact"/>
        <w:ind w:firstLine="562" w:firstLineChars="200"/>
        <w:jc w:val="center"/>
        <w:rPr>
          <w:rFonts w:hint="eastAsia" w:ascii="仿宋_GB2312" w:hAnsi="Calibri" w:eastAsia="仿宋_GB2312" w:cs="Calibri"/>
          <w:b/>
          <w:color w:val="000000"/>
          <w:kern w:val="2"/>
          <w:sz w:val="28"/>
          <w:szCs w:val="28"/>
          <w:lang w:val="en-US" w:eastAsia="zh-CN" w:bidi="ar-SA"/>
        </w:rPr>
      </w:pPr>
      <w:r>
        <w:rPr>
          <w:rFonts w:hint="eastAsia" w:ascii="仿宋_GB2312" w:hAnsi="Calibri" w:eastAsia="仿宋_GB2312" w:cs="Calibri"/>
          <w:b/>
          <w:color w:val="000000"/>
          <w:kern w:val="2"/>
          <w:sz w:val="28"/>
          <w:szCs w:val="28"/>
          <w:lang w:val="en-US" w:eastAsia="zh-CN" w:bidi="ar-SA"/>
        </w:rPr>
        <w:t>报价明细表</w:t>
      </w:r>
    </w:p>
    <w:p>
      <w:pPr>
        <w:spacing w:line="500" w:lineRule="exact"/>
        <w:ind w:firstLine="562" w:firstLineChars="200"/>
        <w:jc w:val="center"/>
        <w:rPr>
          <w:rFonts w:hint="eastAsia" w:ascii="方正仿宋_GBK" w:hAnsi="宋体" w:eastAsia="方正仿宋_GBK"/>
          <w:color w:val="000000"/>
          <w:sz w:val="28"/>
          <w:szCs w:val="28"/>
        </w:rPr>
      </w:pPr>
      <w:r>
        <w:rPr>
          <w:rFonts w:hint="eastAsia" w:ascii="仿宋_GB2312" w:hAnsi="Calibri" w:eastAsia="仿宋_GB2312" w:cs="Calibri"/>
          <w:b/>
          <w:color w:val="000000"/>
          <w:kern w:val="2"/>
          <w:sz w:val="28"/>
          <w:szCs w:val="28"/>
          <w:lang w:val="en-US" w:eastAsia="zh-CN" w:bidi="ar-SA"/>
        </w:rPr>
        <w:t>（第   次）</w:t>
      </w:r>
    </w:p>
    <w:p>
      <w:pPr>
        <w:spacing w:line="500" w:lineRule="exact"/>
        <w:ind w:firstLine="420" w:firstLineChars="150"/>
        <w:rPr>
          <w:rFonts w:hint="eastAsia" w:ascii="方正仿宋_GBK" w:hAnsi="宋体" w:eastAsia="方正仿宋_GBK"/>
          <w:color w:val="000000"/>
          <w:sz w:val="28"/>
          <w:szCs w:val="28"/>
        </w:rPr>
      </w:pPr>
    </w:p>
    <w:tbl>
      <w:tblPr>
        <w:tblStyle w:val="12"/>
        <w:tblW w:w="870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2783"/>
        <w:gridCol w:w="2637"/>
        <w:gridCol w:w="2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704" w:type="dxa"/>
            <w:gridSpan w:val="4"/>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8"/>
                <w:szCs w:val="28"/>
              </w:rPr>
            </w:pPr>
            <w:r>
              <w:rPr>
                <w:rFonts w:hint="eastAsia" w:ascii="方正仿宋_GBK" w:eastAsia="方正仿宋_GBK"/>
                <w:color w:val="auto"/>
                <w:sz w:val="28"/>
                <w:szCs w:val="28"/>
              </w:rPr>
              <w:t>项目名称：</w:t>
            </w:r>
            <w:r>
              <w:rPr>
                <w:rFonts w:hint="eastAsia" w:ascii="方正仿宋_GBK" w:eastAsia="方正仿宋_GBK"/>
                <w:color w:val="auto"/>
                <w:sz w:val="28"/>
                <w:szCs w:val="28"/>
                <w:lang w:eastAsia="zh-CN"/>
              </w:rPr>
              <w:t>重庆银行理财产品外部审计项目(</w:t>
            </w:r>
            <w:r>
              <w:rPr>
                <w:rFonts w:hint="eastAsia" w:ascii="方正仿宋_GBK" w:eastAsia="方正仿宋_GBK"/>
                <w:color w:val="auto"/>
                <w:sz w:val="28"/>
                <w:szCs w:val="28"/>
                <w:lang w:val="en-US" w:eastAsia="zh-CN"/>
              </w:rPr>
              <w:t>2027年</w:t>
            </w:r>
            <w:r>
              <w:rPr>
                <w:rFonts w:hint="eastAsia" w:ascii="方正仿宋_GBK" w:eastAsia="方正仿宋_GBK"/>
                <w:color w:val="auto"/>
                <w:sz w:val="28"/>
                <w:szCs w:val="28"/>
                <w:lang w:eastAsia="zh-CN"/>
              </w:rPr>
              <w:t>)</w:t>
            </w:r>
            <w:r>
              <w:rPr>
                <w:rFonts w:hint="eastAsia" w:ascii="方正仿宋_GBK" w:eastAsia="方正仿宋_GBK"/>
                <w:color w:val="auto"/>
                <w:sz w:val="28"/>
                <w:szCs w:val="28"/>
              </w:rPr>
              <w:t xml:space="preserve"> </w:t>
            </w:r>
          </w:p>
          <w:p>
            <w:pPr>
              <w:keepNext w:val="0"/>
              <w:keepLines w:val="0"/>
              <w:suppressLineNumbers w:val="0"/>
              <w:spacing w:before="0" w:beforeAutospacing="0" w:after="0" w:afterAutospacing="0"/>
              <w:ind w:left="0" w:right="0"/>
              <w:rPr>
                <w:rFonts w:hint="eastAsia" w:ascii="方正仿宋_GBK" w:eastAsia="方正仿宋_GBK"/>
                <w:color w:val="auto"/>
                <w:sz w:val="28"/>
                <w:szCs w:val="28"/>
              </w:rPr>
            </w:pPr>
            <w:r>
              <w:rPr>
                <w:rFonts w:hint="eastAsia" w:ascii="方正仿宋_GBK" w:eastAsia="方正仿宋_GBK"/>
                <w:color w:val="auto"/>
                <w:sz w:val="28"/>
                <w:szCs w:val="28"/>
              </w:rPr>
              <w:t>报价货币：人民币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992"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b/>
                <w:color w:val="auto"/>
                <w:sz w:val="28"/>
                <w:szCs w:val="28"/>
              </w:rPr>
            </w:pPr>
            <w:r>
              <w:rPr>
                <w:rFonts w:hint="eastAsia" w:ascii="方正仿宋_GBK" w:eastAsia="方正仿宋_GBK"/>
                <w:b/>
                <w:color w:val="auto"/>
                <w:sz w:val="28"/>
                <w:szCs w:val="28"/>
              </w:rPr>
              <w:t>序号</w:t>
            </w:r>
          </w:p>
        </w:tc>
        <w:tc>
          <w:tcPr>
            <w:tcW w:w="2783"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b/>
                <w:color w:val="auto"/>
                <w:sz w:val="28"/>
                <w:szCs w:val="28"/>
              </w:rPr>
            </w:pPr>
            <w:r>
              <w:rPr>
                <w:rFonts w:hint="eastAsia" w:ascii="方正仿宋_GBK" w:eastAsia="方正仿宋_GBK"/>
                <w:b/>
                <w:color w:val="auto"/>
                <w:sz w:val="28"/>
                <w:szCs w:val="28"/>
              </w:rPr>
              <w:t>报价内容</w:t>
            </w:r>
          </w:p>
        </w:tc>
        <w:tc>
          <w:tcPr>
            <w:tcW w:w="2637"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b/>
                <w:color w:val="auto"/>
                <w:sz w:val="28"/>
                <w:szCs w:val="28"/>
              </w:rPr>
            </w:pPr>
            <w:r>
              <w:rPr>
                <w:rFonts w:hint="eastAsia" w:ascii="方正仿宋_GBK" w:eastAsia="方正仿宋_GBK"/>
                <w:b/>
                <w:color w:val="auto"/>
                <w:sz w:val="28"/>
                <w:szCs w:val="28"/>
                <w:lang w:val="en-US" w:eastAsia="zh-CN"/>
              </w:rPr>
              <w:t>单期</w:t>
            </w:r>
            <w:r>
              <w:rPr>
                <w:rFonts w:hint="eastAsia" w:ascii="方正仿宋_GBK" w:eastAsia="方正仿宋_GBK"/>
                <w:b/>
                <w:color w:val="auto"/>
                <w:sz w:val="28"/>
                <w:szCs w:val="28"/>
              </w:rPr>
              <w:t>报价</w:t>
            </w:r>
          </w:p>
        </w:tc>
        <w:tc>
          <w:tcPr>
            <w:tcW w:w="2292" w:type="dxa"/>
            <w:vAlign w:val="center"/>
          </w:tcPr>
          <w:p>
            <w:pPr>
              <w:keepNext w:val="0"/>
              <w:keepLines w:val="0"/>
              <w:suppressLineNumbers w:val="0"/>
              <w:spacing w:before="0" w:beforeAutospacing="0" w:after="0" w:afterAutospacing="0"/>
              <w:ind w:left="0" w:right="0"/>
              <w:jc w:val="center"/>
              <w:rPr>
                <w:rFonts w:hint="default" w:ascii="方正仿宋_GBK" w:eastAsia="方正仿宋_GBK"/>
                <w:b/>
                <w:color w:val="auto"/>
                <w:sz w:val="28"/>
                <w:szCs w:val="28"/>
                <w:lang w:val="en-US" w:eastAsia="zh-CN"/>
              </w:rPr>
            </w:pPr>
            <w:r>
              <w:rPr>
                <w:rFonts w:hint="eastAsia" w:ascii="方正仿宋_GBK" w:eastAsia="方正仿宋_GBK"/>
                <w:b/>
                <w:color w:val="auto"/>
                <w:sz w:val="28"/>
                <w:szCs w:val="28"/>
              </w:rPr>
              <w:t>限价（超此限价为无效报价）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trPr>
        <w:tc>
          <w:tcPr>
            <w:tcW w:w="992"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color w:val="auto"/>
                <w:sz w:val="24"/>
                <w:szCs w:val="24"/>
              </w:rPr>
            </w:pPr>
            <w:r>
              <w:rPr>
                <w:rFonts w:hint="eastAsia" w:ascii="方正仿宋_GBK" w:eastAsia="方正仿宋_GBK"/>
                <w:color w:val="auto"/>
                <w:sz w:val="24"/>
                <w:szCs w:val="24"/>
              </w:rPr>
              <w:t>1</w:t>
            </w:r>
          </w:p>
        </w:tc>
        <w:tc>
          <w:tcPr>
            <w:tcW w:w="2783"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color w:val="auto"/>
                <w:sz w:val="24"/>
                <w:szCs w:val="24"/>
              </w:rPr>
            </w:pPr>
            <w:r>
              <w:rPr>
                <w:rFonts w:hint="eastAsia" w:ascii="方正仿宋_GBK" w:eastAsia="方正仿宋_GBK"/>
                <w:color w:val="auto"/>
                <w:sz w:val="24"/>
                <w:szCs w:val="24"/>
              </w:rPr>
              <w:t>重庆银行理财产品外部审计项目(</w:t>
            </w:r>
            <w:r>
              <w:rPr>
                <w:rFonts w:hint="eastAsia" w:ascii="方正仿宋_GBK" w:eastAsia="方正仿宋_GBK"/>
                <w:color w:val="auto"/>
                <w:sz w:val="24"/>
                <w:szCs w:val="24"/>
                <w:lang w:val="en-US" w:eastAsia="zh-CN"/>
              </w:rPr>
              <w:t>2027年）-开放式</w:t>
            </w:r>
          </w:p>
        </w:tc>
        <w:tc>
          <w:tcPr>
            <w:tcW w:w="2637"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color w:val="auto"/>
                <w:sz w:val="24"/>
                <w:szCs w:val="24"/>
                <w:lang w:eastAsia="zh-CN"/>
              </w:rPr>
            </w:pPr>
            <w:r>
              <w:rPr>
                <w:rFonts w:hint="eastAsia" w:ascii="方正仿宋_GBK" w:hAnsi="Times New Roman" w:eastAsia="方正仿宋_GBK"/>
                <w:color w:val="auto"/>
                <w:sz w:val="24"/>
                <w:szCs w:val="24"/>
                <w:lang w:val="en-US" w:eastAsia="zh-CN"/>
              </w:rPr>
              <w:t xml:space="preserve">        </w:t>
            </w:r>
            <w:r>
              <w:rPr>
                <w:rFonts w:hint="default" w:ascii="方正仿宋_GBK" w:hAnsi="Times New Roman" w:eastAsia="方正仿宋_GBK"/>
                <w:color w:val="auto"/>
                <w:sz w:val="24"/>
                <w:szCs w:val="24"/>
              </w:rPr>
              <w:t>元</w:t>
            </w:r>
            <w:r>
              <w:rPr>
                <w:rFonts w:hint="eastAsia" w:ascii="方正仿宋_GBK" w:hAnsi="Times New Roman" w:eastAsia="方正仿宋_GBK"/>
                <w:color w:val="auto"/>
                <w:sz w:val="24"/>
                <w:szCs w:val="24"/>
              </w:rPr>
              <w:t>/只·次</w:t>
            </w:r>
          </w:p>
        </w:tc>
        <w:tc>
          <w:tcPr>
            <w:tcW w:w="2292" w:type="dxa"/>
            <w:vAlign w:val="center"/>
          </w:tcPr>
          <w:p>
            <w:pPr>
              <w:keepNext w:val="0"/>
              <w:keepLines w:val="0"/>
              <w:suppressLineNumbers w:val="0"/>
              <w:spacing w:before="0" w:beforeAutospacing="0" w:after="0" w:afterAutospacing="0"/>
              <w:ind w:left="0" w:right="0"/>
              <w:jc w:val="center"/>
              <w:rPr>
                <w:rFonts w:hint="default" w:ascii="方正仿宋_GBK" w:eastAsia="方正仿宋_GBK"/>
                <w:color w:val="auto"/>
                <w:sz w:val="24"/>
                <w:szCs w:val="24"/>
              </w:rPr>
            </w:pPr>
            <w:r>
              <w:rPr>
                <w:rFonts w:hint="eastAsia" w:ascii="方正仿宋_GBK" w:hAnsi="Times New Roman" w:eastAsia="方正仿宋_GBK"/>
                <w:color w:val="auto"/>
                <w:sz w:val="24"/>
                <w:szCs w:val="24"/>
                <w:lang w:val="en-US" w:eastAsia="zh-CN"/>
              </w:rPr>
              <w:t>4,200.00</w:t>
            </w:r>
            <w:r>
              <w:rPr>
                <w:rFonts w:hint="default" w:ascii="方正仿宋_GBK" w:hAnsi="Times New Roman" w:eastAsia="方正仿宋_GBK"/>
                <w:color w:val="auto"/>
                <w:sz w:val="24"/>
                <w:szCs w:val="24"/>
              </w:rPr>
              <w:t>元</w:t>
            </w:r>
            <w:r>
              <w:rPr>
                <w:rFonts w:hint="eastAsia" w:ascii="方正仿宋_GBK" w:hAnsi="Times New Roman" w:eastAsia="方正仿宋_GBK"/>
                <w:color w:val="auto"/>
                <w:sz w:val="24"/>
                <w:szCs w:val="24"/>
              </w:rPr>
              <w:t>/只·次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3" w:hRule="atLeast"/>
        </w:trPr>
        <w:tc>
          <w:tcPr>
            <w:tcW w:w="992"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color w:val="auto"/>
                <w:sz w:val="24"/>
                <w:szCs w:val="24"/>
                <w:lang w:val="en-US" w:eastAsia="zh-CN"/>
              </w:rPr>
            </w:pPr>
            <w:r>
              <w:rPr>
                <w:rFonts w:hint="eastAsia" w:ascii="方正仿宋_GBK" w:eastAsia="方正仿宋_GBK"/>
                <w:color w:val="auto"/>
                <w:sz w:val="24"/>
                <w:szCs w:val="24"/>
                <w:lang w:val="en-US" w:eastAsia="zh-CN"/>
              </w:rPr>
              <w:t>2</w:t>
            </w:r>
          </w:p>
        </w:tc>
        <w:tc>
          <w:tcPr>
            <w:tcW w:w="2783" w:type="dxa"/>
            <w:vAlign w:val="center"/>
          </w:tcPr>
          <w:p>
            <w:pPr>
              <w:keepNext w:val="0"/>
              <w:keepLines w:val="0"/>
              <w:suppressLineNumbers w:val="0"/>
              <w:spacing w:before="0" w:beforeAutospacing="0" w:after="0" w:afterAutospacing="0"/>
              <w:ind w:left="0" w:right="0"/>
              <w:jc w:val="center"/>
              <w:rPr>
                <w:rFonts w:hint="eastAsia" w:ascii="方正仿宋_GBK" w:eastAsia="方正仿宋_GBK"/>
                <w:color w:val="auto"/>
                <w:sz w:val="24"/>
                <w:szCs w:val="24"/>
              </w:rPr>
            </w:pPr>
            <w:r>
              <w:rPr>
                <w:rFonts w:hint="eastAsia" w:ascii="方正仿宋_GBK" w:eastAsia="方正仿宋_GBK"/>
                <w:color w:val="auto"/>
                <w:sz w:val="24"/>
                <w:szCs w:val="24"/>
              </w:rPr>
              <w:t>重庆银行理财产品外部审计项目(</w:t>
            </w:r>
            <w:r>
              <w:rPr>
                <w:rFonts w:hint="eastAsia" w:ascii="方正仿宋_GBK" w:eastAsia="方正仿宋_GBK"/>
                <w:color w:val="auto"/>
                <w:sz w:val="24"/>
                <w:szCs w:val="24"/>
                <w:lang w:val="en-US" w:eastAsia="zh-CN"/>
              </w:rPr>
              <w:t>2027年）-封闭式</w:t>
            </w:r>
          </w:p>
        </w:tc>
        <w:tc>
          <w:tcPr>
            <w:tcW w:w="2637" w:type="dxa"/>
            <w:vAlign w:val="center"/>
          </w:tcPr>
          <w:p>
            <w:pPr>
              <w:keepNext w:val="0"/>
              <w:keepLines w:val="0"/>
              <w:suppressLineNumbers w:val="0"/>
              <w:spacing w:before="0" w:beforeAutospacing="0" w:after="0" w:afterAutospacing="0"/>
              <w:ind w:left="0" w:right="0"/>
              <w:jc w:val="center"/>
              <w:rPr>
                <w:rFonts w:hint="eastAsia" w:ascii="方正仿宋_GBK" w:hAnsi="Times New Roman" w:eastAsia="方正仿宋_GBK"/>
                <w:color w:val="auto"/>
                <w:sz w:val="24"/>
                <w:szCs w:val="24"/>
                <w:lang w:val="en-US" w:eastAsia="zh-CN"/>
              </w:rPr>
            </w:pPr>
            <w:r>
              <w:rPr>
                <w:rFonts w:hint="eastAsia" w:ascii="方正仿宋_GBK" w:hAnsi="Times New Roman" w:eastAsia="方正仿宋_GBK"/>
                <w:color w:val="auto"/>
                <w:sz w:val="24"/>
                <w:szCs w:val="24"/>
                <w:lang w:val="en-US" w:eastAsia="zh-CN"/>
              </w:rPr>
              <w:t xml:space="preserve">        </w:t>
            </w:r>
            <w:r>
              <w:rPr>
                <w:rFonts w:hint="default" w:ascii="方正仿宋_GBK" w:hAnsi="Times New Roman" w:eastAsia="方正仿宋_GBK"/>
                <w:color w:val="auto"/>
                <w:sz w:val="24"/>
                <w:szCs w:val="24"/>
              </w:rPr>
              <w:t>元</w:t>
            </w:r>
            <w:r>
              <w:rPr>
                <w:rFonts w:hint="eastAsia" w:ascii="方正仿宋_GBK" w:hAnsi="Times New Roman" w:eastAsia="方正仿宋_GBK"/>
                <w:color w:val="auto"/>
                <w:sz w:val="24"/>
                <w:szCs w:val="24"/>
              </w:rPr>
              <w:t>/只·次</w:t>
            </w:r>
          </w:p>
        </w:tc>
        <w:tc>
          <w:tcPr>
            <w:tcW w:w="2292" w:type="dxa"/>
            <w:vAlign w:val="center"/>
          </w:tcPr>
          <w:p>
            <w:pPr>
              <w:keepNext w:val="0"/>
              <w:keepLines w:val="0"/>
              <w:suppressLineNumbers w:val="0"/>
              <w:spacing w:before="0" w:beforeAutospacing="0" w:after="0" w:afterAutospacing="0"/>
              <w:ind w:left="0" w:right="0"/>
              <w:jc w:val="center"/>
              <w:rPr>
                <w:rFonts w:hint="eastAsia" w:ascii="方正仿宋_GBK" w:hAnsi="Times New Roman" w:eastAsia="方正仿宋_GBK"/>
                <w:color w:val="auto"/>
                <w:sz w:val="24"/>
                <w:szCs w:val="24"/>
                <w:lang w:val="en-US" w:eastAsia="zh-CN"/>
              </w:rPr>
            </w:pPr>
            <w:r>
              <w:rPr>
                <w:rFonts w:hint="eastAsia" w:ascii="方正仿宋_GBK" w:hAnsi="Times New Roman" w:eastAsia="方正仿宋_GBK"/>
                <w:color w:val="auto"/>
                <w:sz w:val="24"/>
                <w:szCs w:val="24"/>
                <w:lang w:val="en-US" w:eastAsia="zh-CN"/>
              </w:rPr>
              <w:t>2,800.00</w:t>
            </w:r>
            <w:r>
              <w:rPr>
                <w:rFonts w:hint="default" w:ascii="方正仿宋_GBK" w:hAnsi="Times New Roman" w:eastAsia="方正仿宋_GBK"/>
                <w:color w:val="auto"/>
                <w:sz w:val="24"/>
                <w:szCs w:val="24"/>
              </w:rPr>
              <w:t>元</w:t>
            </w:r>
            <w:r>
              <w:rPr>
                <w:rFonts w:hint="eastAsia" w:ascii="方正仿宋_GBK" w:hAnsi="Times New Roman" w:eastAsia="方正仿宋_GBK"/>
                <w:color w:val="auto"/>
                <w:sz w:val="24"/>
                <w:szCs w:val="24"/>
              </w:rPr>
              <w:t>/只·次</w:t>
            </w:r>
          </w:p>
        </w:tc>
      </w:tr>
    </w:tbl>
    <w:p>
      <w:pPr>
        <w:spacing w:line="500" w:lineRule="exact"/>
        <w:rPr>
          <w:rFonts w:hint="eastAsia" w:ascii="方正仿宋_GBK" w:hAnsi="宋体" w:eastAsia="方正仿宋_GBK"/>
          <w:color w:val="000000"/>
          <w:sz w:val="28"/>
          <w:szCs w:val="28"/>
        </w:rPr>
      </w:pPr>
    </w:p>
    <w:p>
      <w:pPr>
        <w:spacing w:line="500" w:lineRule="exact"/>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供应商名称：                         法人</w:t>
      </w:r>
      <w:r>
        <w:rPr>
          <w:rFonts w:hint="eastAsia" w:ascii="方正仿宋_GBK" w:hAnsi="宋体" w:eastAsia="方正仿宋_GBK"/>
          <w:color w:val="000000"/>
          <w:sz w:val="28"/>
          <w:szCs w:val="28"/>
          <w:lang w:val="en-US" w:eastAsia="zh-CN"/>
        </w:rPr>
        <w:t>或</w:t>
      </w:r>
      <w:r>
        <w:rPr>
          <w:rFonts w:hint="eastAsia" w:ascii="方正仿宋_GBK" w:hAnsi="宋体" w:eastAsia="方正仿宋_GBK"/>
          <w:color w:val="000000"/>
          <w:sz w:val="28"/>
          <w:szCs w:val="28"/>
        </w:rPr>
        <w:t>负责人或授权代理人：</w:t>
      </w:r>
    </w:p>
    <w:p>
      <w:pPr>
        <w:spacing w:line="500" w:lineRule="exact"/>
        <w:ind w:firstLine="2660" w:firstLineChars="95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 xml:space="preserve">                         （签字或盖章）</w:t>
      </w:r>
    </w:p>
    <w:p>
      <w:pPr>
        <w:spacing w:line="500" w:lineRule="exact"/>
        <w:rPr>
          <w:rFonts w:hint="eastAsia" w:ascii="方正仿宋_GBK" w:hAnsi="宋体" w:eastAsia="方正仿宋_GBK"/>
          <w:color w:val="000000"/>
          <w:sz w:val="28"/>
          <w:szCs w:val="28"/>
        </w:rPr>
      </w:pPr>
    </w:p>
    <w:p>
      <w:pPr>
        <w:spacing w:line="500" w:lineRule="exact"/>
        <w:ind w:firstLine="2660" w:firstLineChars="95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 xml:space="preserve">                            年    月    日</w:t>
      </w:r>
    </w:p>
    <w:p>
      <w:pPr>
        <w:spacing w:line="500" w:lineRule="exact"/>
        <w:ind w:firstLine="2660" w:firstLineChars="950"/>
        <w:rPr>
          <w:rFonts w:hint="eastAsia" w:ascii="方正仿宋_GBK" w:hAnsi="宋体" w:eastAsia="方正仿宋_GBK"/>
          <w:color w:val="000000"/>
          <w:sz w:val="28"/>
          <w:szCs w:val="28"/>
        </w:rPr>
      </w:pPr>
    </w:p>
    <w:p>
      <w:pPr>
        <w:jc w:val="center"/>
        <w:rPr>
          <w:rFonts w:hint="eastAsia" w:ascii="方正仿宋_GBK" w:hAnsi="宋体" w:eastAsia="方正仿宋_GBK"/>
          <w:b/>
          <w:color w:val="000000"/>
          <w:sz w:val="28"/>
          <w:szCs w:val="28"/>
        </w:rPr>
      </w:pPr>
      <w:r>
        <w:rPr>
          <w:rFonts w:hint="eastAsia" w:ascii="方正仿宋_GBK" w:hAnsi="宋体" w:eastAsia="方正仿宋_GBK"/>
          <w:b/>
          <w:color w:val="000000"/>
          <w:sz w:val="28"/>
          <w:szCs w:val="28"/>
        </w:rPr>
        <w:t>请供应商准备多张本空白表格，以便磋商时多轮报价。</w:t>
      </w:r>
    </w:p>
    <w:p>
      <w:pPr>
        <w:pStyle w:val="5"/>
        <w:numPr>
          <w:ilvl w:val="1"/>
          <w:numId w:val="8"/>
        </w:numPr>
        <w:spacing w:before="240" w:beforeLines="100"/>
        <w:rPr>
          <w:rFonts w:hint="eastAsia"/>
          <w:color w:val="000000"/>
          <w:sz w:val="28"/>
        </w:rPr>
      </w:pPr>
      <w:bookmarkStart w:id="47" w:name="_Toc92982604"/>
      <w:bookmarkStart w:id="48" w:name="_Toc69143913"/>
      <w:bookmarkStart w:id="49" w:name="_Toc306798310"/>
      <w:r>
        <w:rPr>
          <w:rFonts w:hint="eastAsia"/>
          <w:color w:val="000000"/>
          <w:sz w:val="28"/>
        </w:rPr>
        <w:t>营业执照</w:t>
      </w:r>
      <w:r>
        <w:rPr>
          <w:rFonts w:hint="eastAsia"/>
          <w:color w:val="000000"/>
          <w:sz w:val="28"/>
          <w:lang w:eastAsia="zh-CN"/>
        </w:rPr>
        <w:t>、会计师事务所执业证书</w:t>
      </w:r>
      <w:r>
        <w:rPr>
          <w:rFonts w:hint="eastAsia"/>
          <w:color w:val="000000"/>
          <w:sz w:val="28"/>
        </w:rPr>
        <w:t>复印件（加盖公章）</w:t>
      </w:r>
      <w:bookmarkEnd w:id="47"/>
      <w:bookmarkEnd w:id="48"/>
    </w:p>
    <w:p>
      <w:pPr>
        <w:rPr>
          <w:rFonts w:hint="eastAsia"/>
          <w:color w:val="000000"/>
          <w:sz w:val="28"/>
        </w:rPr>
      </w:pPr>
    </w:p>
    <w:p>
      <w:pPr>
        <w:pStyle w:val="5"/>
        <w:numPr>
          <w:ilvl w:val="1"/>
          <w:numId w:val="8"/>
        </w:numPr>
        <w:spacing w:before="240" w:beforeLines="100"/>
        <w:rPr>
          <w:rFonts w:hint="eastAsia"/>
          <w:color w:val="000000"/>
          <w:sz w:val="28"/>
        </w:rPr>
      </w:pPr>
      <w:bookmarkStart w:id="50" w:name="_Toc69143914"/>
      <w:bookmarkStart w:id="51" w:name="_Toc92982605"/>
      <w:r>
        <w:rPr>
          <w:rFonts w:hint="eastAsia"/>
          <w:color w:val="000000"/>
          <w:sz w:val="28"/>
          <w:lang w:eastAsia="zh-CN"/>
        </w:rPr>
        <w:t>法定代表人或负责人</w:t>
      </w:r>
      <w:r>
        <w:rPr>
          <w:rFonts w:hint="eastAsia"/>
          <w:color w:val="000000"/>
          <w:sz w:val="28"/>
        </w:rPr>
        <w:t>授权委托书格式</w:t>
      </w:r>
      <w:bookmarkEnd w:id="49"/>
      <w:bookmarkEnd w:id="50"/>
      <w:r>
        <w:rPr>
          <w:rFonts w:hint="eastAsia"/>
          <w:color w:val="000000"/>
          <w:sz w:val="28"/>
        </w:rPr>
        <w:t>（原件）</w:t>
      </w:r>
      <w:bookmarkEnd w:id="51"/>
    </w:p>
    <w:p>
      <w:pPr>
        <w:spacing w:line="360" w:lineRule="auto"/>
        <w:rPr>
          <w:rFonts w:hint="eastAsia" w:ascii="宋体" w:hAnsi="宋体"/>
          <w:b/>
          <w:bCs/>
          <w:color w:val="000000"/>
          <w:sz w:val="24"/>
        </w:rPr>
      </w:pPr>
    </w:p>
    <w:p>
      <w:pPr>
        <w:spacing w:line="500" w:lineRule="exact"/>
        <w:ind w:firstLine="562" w:firstLineChars="200"/>
        <w:jc w:val="center"/>
        <w:rPr>
          <w:rFonts w:hint="eastAsia" w:ascii="仿宋_GB2312" w:hAnsi="Calibri" w:eastAsia="仿宋_GB2312" w:cs="Calibri"/>
          <w:b/>
          <w:color w:val="000000"/>
          <w:kern w:val="2"/>
          <w:sz w:val="28"/>
          <w:szCs w:val="28"/>
          <w:lang w:val="en-US" w:eastAsia="zh-CN" w:bidi="ar-SA"/>
        </w:rPr>
      </w:pPr>
      <w:r>
        <w:rPr>
          <w:rFonts w:hint="eastAsia" w:ascii="仿宋_GB2312" w:hAnsi="Calibri" w:eastAsia="仿宋_GB2312" w:cs="Calibri"/>
          <w:b/>
          <w:color w:val="000000"/>
          <w:kern w:val="2"/>
          <w:sz w:val="28"/>
          <w:szCs w:val="28"/>
          <w:lang w:val="en-US" w:eastAsia="zh-CN" w:bidi="ar-SA"/>
        </w:rPr>
        <w:t>法定代表人或负责人授权委托书</w:t>
      </w:r>
    </w:p>
    <w:p>
      <w:pPr>
        <w:spacing w:line="360" w:lineRule="auto"/>
        <w:ind w:firstLine="420" w:firstLineChars="200"/>
        <w:rPr>
          <w:rFonts w:hint="eastAsia" w:ascii="宋体" w:hAnsi="宋体"/>
          <w:color w:val="000000"/>
        </w:rPr>
      </w:pPr>
    </w:p>
    <w:p>
      <w:pPr>
        <w:tabs>
          <w:tab w:val="left" w:pos="6300"/>
        </w:tabs>
        <w:spacing w:line="500" w:lineRule="exact"/>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重庆银行</w:t>
      </w:r>
      <w:r>
        <w:rPr>
          <w:rFonts w:hint="eastAsia" w:ascii="方正仿宋_GBK" w:hAnsi="宋体" w:eastAsia="方正仿宋_GBK"/>
          <w:color w:val="000000"/>
          <w:sz w:val="28"/>
          <w:szCs w:val="28"/>
          <w:lang w:val="en-US" w:eastAsia="zh-CN"/>
        </w:rPr>
        <w:t>股份有限公司</w:t>
      </w:r>
      <w:r>
        <w:rPr>
          <w:rFonts w:hint="eastAsia" w:ascii="方正仿宋_GBK" w:hAnsi="宋体" w:eastAsia="方正仿宋_GBK"/>
          <w:color w:val="000000"/>
          <w:sz w:val="28"/>
          <w:szCs w:val="28"/>
        </w:rPr>
        <w:t>：</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w:t>
      </w:r>
      <w:r>
        <w:rPr>
          <w:rFonts w:hint="eastAsia" w:ascii="方正仿宋_GBK" w:hAnsi="宋体" w:eastAsia="方正仿宋_GBK"/>
          <w:color w:val="000000"/>
          <w:sz w:val="28"/>
          <w:szCs w:val="28"/>
          <w:u w:val="single"/>
        </w:rPr>
        <w:t>报价单位全称</w:t>
      </w:r>
      <w:r>
        <w:rPr>
          <w:rFonts w:hint="eastAsia" w:ascii="方正仿宋_GBK" w:hAnsi="宋体" w:eastAsia="方正仿宋_GBK"/>
          <w:color w:val="000000"/>
          <w:sz w:val="28"/>
          <w:szCs w:val="28"/>
        </w:rPr>
        <w:t>）法人代表授权（</w:t>
      </w:r>
      <w:r>
        <w:rPr>
          <w:rFonts w:hint="eastAsia" w:ascii="方正仿宋_GBK" w:hAnsi="宋体" w:eastAsia="方正仿宋_GBK"/>
          <w:color w:val="000000"/>
          <w:sz w:val="28"/>
          <w:szCs w:val="28"/>
          <w:u w:val="single"/>
        </w:rPr>
        <w:t>授权代表姓名</w:t>
      </w:r>
      <w:r>
        <w:rPr>
          <w:rFonts w:hint="eastAsia" w:ascii="方正仿宋_GBK" w:hAnsi="宋体" w:eastAsia="方正仿宋_GBK"/>
          <w:color w:val="000000"/>
          <w:sz w:val="28"/>
          <w:szCs w:val="28"/>
        </w:rPr>
        <w:t>）为授权代表，参加贵部项目商务谈判活动，全权处理商务谈判中的一切事宜。</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法人代表（签字或盖章）：</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被授权人（签字）：</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供应商全称（加盖公章）：</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签署日期：</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ascii="方正仿宋_GBK" w:hAnsi="Times New Roman" w:eastAsia="方正仿宋_GBK"/>
          <w:color w:val="auto"/>
          <w:sz w:val="32"/>
          <w:highlight w:val="none"/>
        </w:rPr>
      </w:pPr>
      <w:r>
        <w:rPr>
          <w:rFonts w:hint="eastAsia" w:ascii="方正仿宋_GBK" w:hAnsi="宋体" w:eastAsia="方正仿宋_GBK"/>
          <w:color w:val="000000"/>
          <w:sz w:val="28"/>
          <w:szCs w:val="28"/>
        </w:rPr>
        <w:t>法人身份证</w:t>
      </w:r>
      <w:r>
        <w:rPr>
          <w:rFonts w:hint="eastAsia" w:ascii="方正仿宋_GBK" w:hAnsi="宋体" w:eastAsia="方正仿宋_GBK"/>
          <w:color w:val="000000"/>
          <w:sz w:val="28"/>
          <w:szCs w:val="28"/>
          <w:lang w:val="en-US" w:eastAsia="zh-CN"/>
        </w:rPr>
        <w:t>双面</w:t>
      </w:r>
      <w:r>
        <w:rPr>
          <w:rFonts w:hint="eastAsia" w:ascii="方正仿宋_GBK" w:hAnsi="宋体" w:eastAsia="方正仿宋_GBK"/>
          <w:color w:val="000000"/>
          <w:sz w:val="28"/>
          <w:szCs w:val="28"/>
        </w:rPr>
        <w:t>复印件：          授权代表身份证</w:t>
      </w:r>
      <w:r>
        <w:rPr>
          <w:rFonts w:hint="eastAsia" w:ascii="方正仿宋_GBK" w:hAnsi="宋体" w:eastAsia="方正仿宋_GBK"/>
          <w:color w:val="000000"/>
          <w:sz w:val="28"/>
          <w:szCs w:val="28"/>
          <w:lang w:val="en-US" w:eastAsia="zh-CN"/>
        </w:rPr>
        <w:t>双面</w:t>
      </w:r>
      <w:r>
        <w:rPr>
          <w:rFonts w:hint="eastAsia" w:ascii="方正仿宋_GBK" w:hAnsi="宋体" w:eastAsia="方正仿宋_GBK"/>
          <w:color w:val="000000"/>
          <w:sz w:val="28"/>
          <w:szCs w:val="28"/>
        </w:rPr>
        <w:t>复印件：</w:t>
      </w:r>
    </w:p>
    <w:tbl>
      <w:tblPr>
        <w:tblStyle w:val="12"/>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trPr>
          <w:trHeight w:val="2335"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widowControl/>
              <w:suppressLineNumbers w:val="0"/>
              <w:spacing w:before="0" w:beforeAutospacing="0" w:after="0" w:afterAutospacing="0" w:line="440" w:lineRule="exact"/>
              <w:ind w:left="0" w:right="0"/>
              <w:jc w:val="left"/>
              <w:rPr>
                <w:rFonts w:hint="default" w:ascii="方正仿宋_GBK" w:eastAsia="方正仿宋_GBK"/>
                <w:color w:val="auto"/>
                <w:sz w:val="32"/>
                <w:highlight w:val="none"/>
              </w:rPr>
            </w:pP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widowControl/>
              <w:suppressLineNumbers w:val="0"/>
              <w:spacing w:before="0" w:beforeAutospacing="0" w:after="0" w:afterAutospacing="0" w:line="440" w:lineRule="exact"/>
              <w:ind w:left="0" w:right="0"/>
              <w:jc w:val="left"/>
              <w:rPr>
                <w:rFonts w:hint="default" w:ascii="方正仿宋_GBK" w:eastAsia="方正仿宋_GBK"/>
                <w:color w:val="auto"/>
                <w:sz w:val="32"/>
                <w:highlight w:val="none"/>
              </w:rPr>
            </w:pPr>
          </w:p>
        </w:tc>
      </w:tr>
    </w:tbl>
    <w:p>
      <w:pPr>
        <w:pStyle w:val="5"/>
        <w:numPr>
          <w:ilvl w:val="1"/>
          <w:numId w:val="8"/>
        </w:numPr>
        <w:spacing w:before="240" w:beforeLines="100"/>
        <w:rPr>
          <w:rFonts w:hint="eastAsia"/>
          <w:color w:val="000000"/>
          <w:sz w:val="28"/>
        </w:rPr>
      </w:pPr>
      <w:bookmarkStart w:id="52" w:name="_Toc69143917"/>
      <w:bookmarkStart w:id="53" w:name="_Toc92982607"/>
      <w:r>
        <w:rPr>
          <w:rFonts w:hint="eastAsia"/>
          <w:color w:val="000000"/>
          <w:sz w:val="28"/>
          <w:lang w:eastAsia="zh-CN"/>
        </w:rPr>
        <w:t>供应商的其他资料或承诺（如果有）</w:t>
      </w:r>
      <w:bookmarkEnd w:id="52"/>
      <w:bookmarkEnd w:id="53"/>
    </w:p>
    <w:p>
      <w:pPr>
        <w:rPr>
          <w:rFonts w:hint="eastAsia"/>
        </w:rPr>
      </w:pPr>
    </w:p>
    <w:p>
      <w:pPr>
        <w:tabs>
          <w:tab w:val="left" w:pos="540"/>
          <w:tab w:val="left" w:pos="720"/>
        </w:tabs>
        <w:adjustRightInd w:val="0"/>
        <w:snapToGrid w:val="0"/>
        <w:spacing w:line="300" w:lineRule="auto"/>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1、承诺函</w:t>
      </w:r>
    </w:p>
    <w:p>
      <w:pPr>
        <w:numPr>
          <w:ilvl w:val="0"/>
          <w:numId w:val="0"/>
        </w:numPr>
        <w:jc w:val="center"/>
      </w:pPr>
      <w:bookmarkStart w:id="54" w:name="OLE_LINK4"/>
      <w:r>
        <w:rPr>
          <w:rFonts w:hint="eastAsia" w:ascii="仿宋_GB2312" w:hAnsi="Calibri" w:eastAsia="仿宋_GB2312" w:cs="Calibri"/>
          <w:b/>
          <w:color w:val="000000"/>
          <w:kern w:val="2"/>
          <w:sz w:val="28"/>
          <w:szCs w:val="28"/>
          <w:lang w:val="en-US" w:eastAsia="zh-CN" w:bidi="ar-SA"/>
        </w:rPr>
        <w:t>承诺函</w:t>
      </w:r>
      <w:bookmarkEnd w:id="54"/>
      <w:r>
        <w:rPr>
          <w:rFonts w:hint="eastAsia" w:ascii="仿宋_GB2312" w:eastAsia="仿宋_GB2312" w:cs="Calibri"/>
          <w:b/>
          <w:color w:val="000000"/>
          <w:kern w:val="2"/>
          <w:sz w:val="28"/>
          <w:szCs w:val="28"/>
          <w:lang w:val="en-US" w:eastAsia="zh-CN" w:bidi="ar-SA"/>
        </w:rPr>
        <w:t>（示例）</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重庆银行股份有限公司：</w:t>
      </w:r>
    </w:p>
    <w:p>
      <w:pPr>
        <w:tabs>
          <w:tab w:val="left" w:pos="6300"/>
        </w:tabs>
        <w:spacing w:line="500" w:lineRule="exact"/>
        <w:ind w:firstLine="560" w:firstLineChars="200"/>
        <w:rPr>
          <w:rFonts w:hint="eastAsia" w:ascii="方正仿宋_GBK" w:hAnsi="宋体" w:eastAsia="方正仿宋_GBK"/>
          <w:color w:val="000000"/>
          <w:sz w:val="28"/>
          <w:szCs w:val="28"/>
          <w:lang w:val="en-US" w:eastAsia="zh-CN"/>
        </w:rPr>
      </w:pPr>
      <w:r>
        <w:rPr>
          <w:rFonts w:hint="eastAsia" w:ascii="方正仿宋_GBK" w:hAnsi="宋体" w:eastAsia="方正仿宋_GBK"/>
          <w:color w:val="000000"/>
          <w:sz w:val="28"/>
          <w:szCs w:val="28"/>
          <w:lang w:val="en-US" w:eastAsia="zh-CN"/>
        </w:rPr>
        <w:t>我司做出如下承诺：</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（1）具有固定的工作场所，组织机构健全，内部管理和控制制度完善且执行有效；</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（2）能够保守重庆银行商业秘密，维护国家金融信息安全；</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（3）未被“信用中国”网站列入失信被执行人和重大税收违法失信主体；</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（4）</w:t>
      </w:r>
      <w:r>
        <w:rPr>
          <w:rFonts w:hint="eastAsia" w:ascii="方正仿宋_GBK" w:hAnsi="宋体" w:eastAsia="方正仿宋_GBK"/>
          <w:sz w:val="28"/>
          <w:szCs w:val="28"/>
          <w:lang w:val="en-US" w:eastAsia="zh-CN"/>
        </w:rPr>
        <w:t>近3年内有连续从事金融企业审计相关经验</w:t>
      </w:r>
      <w:r>
        <w:rPr>
          <w:rFonts w:hint="eastAsia" w:ascii="方正仿宋_GBK" w:hAnsi="宋体" w:eastAsia="方正仿宋_GBK"/>
          <w:color w:val="000000"/>
          <w:sz w:val="28"/>
          <w:szCs w:val="28"/>
        </w:rPr>
        <w:t>。</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供应商（盖章）：</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法人</w:t>
      </w:r>
      <w:r>
        <w:rPr>
          <w:rFonts w:hint="eastAsia" w:ascii="方正仿宋_GBK" w:hAnsi="宋体" w:eastAsia="方正仿宋_GBK"/>
          <w:color w:val="000000"/>
          <w:sz w:val="28"/>
          <w:szCs w:val="28"/>
          <w:lang w:val="en-US" w:eastAsia="zh-CN"/>
        </w:rPr>
        <w:t>或负责人</w:t>
      </w:r>
      <w:r>
        <w:rPr>
          <w:rFonts w:hint="eastAsia" w:ascii="方正仿宋_GBK" w:hAnsi="宋体" w:eastAsia="方正仿宋_GBK"/>
          <w:color w:val="000000"/>
          <w:sz w:val="28"/>
          <w:szCs w:val="28"/>
        </w:rPr>
        <w:t>或授权代理人：（盖章或签字）</w:t>
      </w: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 xml:space="preserve">                                           年  月  日</w:t>
      </w:r>
    </w:p>
    <w:p>
      <w:pPr>
        <w:pStyle w:val="2"/>
        <w:numPr>
          <w:ilvl w:val="0"/>
          <w:numId w:val="9"/>
        </w:numPr>
        <w:rPr>
          <w:rFonts w:hint="eastAsia" w:ascii="方正仿宋_GBK" w:eastAsia="方正仿宋_GBK"/>
          <w:color w:val="000000"/>
          <w:sz w:val="28"/>
          <w:szCs w:val="28"/>
          <w:lang w:val="en-US" w:eastAsia="zh-CN"/>
        </w:rPr>
      </w:pPr>
      <w:r>
        <w:rPr>
          <w:rFonts w:hint="eastAsia" w:ascii="方正仿宋_GBK" w:eastAsia="方正仿宋_GBK"/>
          <w:color w:val="000000"/>
          <w:sz w:val="28"/>
          <w:szCs w:val="28"/>
          <w:lang w:val="en-US" w:eastAsia="zh-CN"/>
        </w:rPr>
        <w:t>本项目成员表</w:t>
      </w:r>
    </w:p>
    <w:p>
      <w:pPr>
        <w:jc w:val="center"/>
        <w:rPr>
          <w:rFonts w:eastAsia="新宋体"/>
          <w:b/>
          <w:bCs/>
          <w:color w:val="000000"/>
        </w:rPr>
      </w:pPr>
      <w:r>
        <w:rPr>
          <w:rFonts w:hint="eastAsia" w:ascii="仿宋_GB2312" w:hAnsi="Calibri" w:eastAsia="仿宋_GB2312" w:cs="Calibri"/>
          <w:b/>
          <w:color w:val="000000"/>
          <w:kern w:val="2"/>
          <w:sz w:val="28"/>
          <w:szCs w:val="28"/>
          <w:lang w:val="en-US" w:eastAsia="zh-CN" w:bidi="ar-SA"/>
        </w:rPr>
        <w:t>本项目团队成员表</w:t>
      </w:r>
      <w:r>
        <w:rPr>
          <w:rFonts w:hint="eastAsia" w:ascii="仿宋_GB2312" w:eastAsia="仿宋_GB2312" w:cs="Calibri"/>
          <w:b/>
          <w:color w:val="000000"/>
          <w:kern w:val="2"/>
          <w:sz w:val="28"/>
          <w:szCs w:val="28"/>
          <w:lang w:val="en-US" w:eastAsia="zh-CN" w:bidi="ar-SA"/>
        </w:rPr>
        <w:t>（示例）</w:t>
      </w:r>
    </w:p>
    <w:p>
      <w:pPr>
        <w:spacing w:line="320" w:lineRule="exact"/>
        <w:rPr>
          <w:color w:val="000000"/>
        </w:rPr>
      </w:pPr>
    </w:p>
    <w:tbl>
      <w:tblPr>
        <w:tblStyle w:val="12"/>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666"/>
        <w:gridCol w:w="662"/>
        <w:gridCol w:w="662"/>
        <w:gridCol w:w="662"/>
        <w:gridCol w:w="556"/>
        <w:gridCol w:w="1225"/>
        <w:gridCol w:w="1613"/>
        <w:gridCol w:w="1687"/>
        <w:gridCol w:w="1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序号</w:t>
            </w:r>
          </w:p>
        </w:tc>
        <w:tc>
          <w:tcPr>
            <w:tcW w:w="66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姓名</w:t>
            </w:r>
          </w:p>
        </w:tc>
        <w:tc>
          <w:tcPr>
            <w:tcW w:w="66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性别</w:t>
            </w:r>
          </w:p>
        </w:tc>
        <w:tc>
          <w:tcPr>
            <w:tcW w:w="66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年龄</w:t>
            </w:r>
          </w:p>
        </w:tc>
        <w:tc>
          <w:tcPr>
            <w:tcW w:w="66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出生年月</w:t>
            </w:r>
          </w:p>
        </w:tc>
        <w:tc>
          <w:tcPr>
            <w:tcW w:w="55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学历</w:t>
            </w:r>
          </w:p>
        </w:tc>
        <w:tc>
          <w:tcPr>
            <w:tcW w:w="1225"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拟在本项目</w:t>
            </w:r>
          </w:p>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任职</w:t>
            </w:r>
          </w:p>
        </w:tc>
        <w:tc>
          <w:tcPr>
            <w:tcW w:w="1613"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行业</w:t>
            </w:r>
          </w:p>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工作年限（年）</w:t>
            </w:r>
          </w:p>
        </w:tc>
        <w:tc>
          <w:tcPr>
            <w:tcW w:w="1687"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职称/专业资格证书（如果有）</w:t>
            </w:r>
          </w:p>
        </w:tc>
        <w:tc>
          <w:tcPr>
            <w:tcW w:w="1154"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1</w:t>
            </w:r>
          </w:p>
        </w:tc>
        <w:tc>
          <w:tcPr>
            <w:tcW w:w="66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55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225"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项目经理</w:t>
            </w:r>
          </w:p>
        </w:tc>
        <w:tc>
          <w:tcPr>
            <w:tcW w:w="1613"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87"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154"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2</w:t>
            </w:r>
          </w:p>
        </w:tc>
        <w:tc>
          <w:tcPr>
            <w:tcW w:w="66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55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225"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13"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87"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154"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3</w:t>
            </w:r>
          </w:p>
        </w:tc>
        <w:tc>
          <w:tcPr>
            <w:tcW w:w="66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55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225"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13"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87"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154"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4</w:t>
            </w:r>
          </w:p>
        </w:tc>
        <w:tc>
          <w:tcPr>
            <w:tcW w:w="66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55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225"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13"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87"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154"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5</w:t>
            </w:r>
          </w:p>
        </w:tc>
        <w:tc>
          <w:tcPr>
            <w:tcW w:w="66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55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225"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13"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87"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154"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r>
              <w:rPr>
                <w:rFonts w:hint="eastAsia" w:ascii="方正仿宋_GBK" w:eastAsia="方正仿宋_GBK"/>
                <w:color w:val="auto"/>
                <w:sz w:val="20"/>
                <w:szCs w:val="20"/>
              </w:rPr>
              <w:t>……</w:t>
            </w:r>
          </w:p>
        </w:tc>
        <w:tc>
          <w:tcPr>
            <w:tcW w:w="66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662"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556"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225"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13"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687" w:type="dxa"/>
            <w:vAlign w:val="top"/>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c>
          <w:tcPr>
            <w:tcW w:w="1154" w:type="dxa"/>
            <w:vAlign w:val="center"/>
          </w:tcPr>
          <w:p>
            <w:pPr>
              <w:keepNext w:val="0"/>
              <w:keepLines w:val="0"/>
              <w:suppressLineNumbers w:val="0"/>
              <w:spacing w:before="0" w:beforeAutospacing="0" w:after="0" w:afterAutospacing="0"/>
              <w:ind w:left="0" w:right="0"/>
              <w:rPr>
                <w:rFonts w:hint="eastAsia" w:ascii="方正仿宋_GBK" w:eastAsia="方正仿宋_GBK"/>
                <w:color w:val="auto"/>
                <w:sz w:val="20"/>
                <w:szCs w:val="20"/>
              </w:rPr>
            </w:pPr>
          </w:p>
        </w:tc>
      </w:tr>
    </w:tbl>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注：请供应商根据实际情况如实填写上述内容，可在此表基础上扩展并自行添加其他相关内容。</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u w:val="single"/>
        </w:rPr>
      </w:pPr>
      <w:r>
        <w:rPr>
          <w:rFonts w:hint="eastAsia" w:ascii="方正仿宋_GBK" w:hAnsi="宋体" w:eastAsia="方正仿宋_GBK"/>
          <w:color w:val="000000"/>
          <w:sz w:val="28"/>
          <w:szCs w:val="28"/>
          <w:u w:val="single"/>
        </w:rPr>
        <w:t>我公司承诺以上内容信息都是真实、可靠的。在评标及后续工作中若发现相关信息的真实性、可靠性存在弄虚作假等行为，招标人有权取消我司中标资格并不予退还我司投标保证金（或履约保证金），我司愿赔偿相应损失并承担一切责任。</w:t>
      </w:r>
    </w:p>
    <w:p>
      <w:pPr>
        <w:tabs>
          <w:tab w:val="left" w:pos="6300"/>
        </w:tabs>
        <w:spacing w:line="500" w:lineRule="exact"/>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供应商（公章）：</w:t>
      </w:r>
    </w:p>
    <w:p>
      <w:pPr>
        <w:tabs>
          <w:tab w:val="left" w:pos="6300"/>
        </w:tabs>
        <w:spacing w:line="500" w:lineRule="exact"/>
        <w:ind w:firstLine="560" w:firstLineChars="200"/>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lang w:eastAsia="zh-CN"/>
        </w:rPr>
        <w:t>法定代表人或负责人</w:t>
      </w:r>
      <w:r>
        <w:rPr>
          <w:rFonts w:hint="eastAsia" w:ascii="方正仿宋_GBK" w:hAnsi="宋体" w:eastAsia="方正仿宋_GBK"/>
          <w:color w:val="000000"/>
          <w:sz w:val="28"/>
          <w:szCs w:val="28"/>
        </w:rPr>
        <w:t>或其委托代理人：      （盖章或签字）</w:t>
      </w:r>
    </w:p>
    <w:p>
      <w:pPr>
        <w:tabs>
          <w:tab w:val="left" w:pos="6300"/>
        </w:tabs>
        <w:spacing w:line="500" w:lineRule="exact"/>
        <w:rPr>
          <w:rFonts w:hint="eastAsia" w:ascii="方正仿宋_GBK" w:hAnsi="宋体" w:eastAsia="方正仿宋_GBK"/>
          <w:color w:val="000000"/>
          <w:sz w:val="28"/>
          <w:szCs w:val="28"/>
        </w:rPr>
      </w:pPr>
    </w:p>
    <w:p>
      <w:pPr>
        <w:tabs>
          <w:tab w:val="left" w:pos="6300"/>
        </w:tabs>
        <w:spacing w:line="500" w:lineRule="exact"/>
        <w:ind w:firstLine="560" w:firstLineChars="200"/>
        <w:rPr>
          <w:rFonts w:hint="eastAsia" w:ascii="方正仿宋_GBK" w:hAnsi="宋体" w:eastAsia="方正仿宋_GBK"/>
          <w:color w:val="000000"/>
          <w:sz w:val="28"/>
          <w:szCs w:val="28"/>
        </w:rPr>
      </w:pPr>
      <w:r>
        <w:rPr>
          <w:rFonts w:hint="eastAsia" w:ascii="方正仿宋_GBK" w:hAnsi="宋体" w:eastAsia="方正仿宋_GBK"/>
          <w:color w:val="000000"/>
          <w:sz w:val="28"/>
          <w:szCs w:val="28"/>
        </w:rPr>
        <w:t>年  月  日</w:t>
      </w:r>
    </w:p>
    <w:bookmarkEnd w:id="0"/>
    <w:p>
      <w:pPr>
        <w:pStyle w:val="2"/>
        <w:rPr>
          <w:rFonts w:hint="eastAsia"/>
          <w:lang w:eastAsia="zh-CN"/>
        </w:rPr>
      </w:pPr>
    </w:p>
    <w:p>
      <w:pPr>
        <w:pStyle w:val="5"/>
        <w:numPr>
          <w:ilvl w:val="1"/>
          <w:numId w:val="8"/>
        </w:numPr>
        <w:spacing w:before="240" w:beforeLines="100"/>
        <w:rPr>
          <w:rFonts w:hint="eastAsia"/>
          <w:lang w:eastAsia="zh-CN"/>
        </w:rPr>
      </w:pPr>
      <w:bookmarkStart w:id="55" w:name="_Toc69143918"/>
      <w:bookmarkStart w:id="56" w:name="_Toc92982608"/>
      <w:r>
        <w:rPr>
          <w:rFonts w:hint="eastAsia"/>
          <w:color w:val="000000"/>
          <w:sz w:val="28"/>
          <w:lang w:eastAsia="zh-CN"/>
        </w:rPr>
        <w:t>电子文档（包含全套响应文件资料的U盘</w:t>
      </w:r>
      <w:bookmarkEnd w:id="55"/>
      <w:bookmarkEnd w:id="56"/>
      <w:r>
        <w:rPr>
          <w:rFonts w:hint="eastAsia"/>
          <w:color w:val="000000"/>
          <w:sz w:val="28"/>
          <w:lang w:eastAsia="zh-CN"/>
        </w:rPr>
        <w:t>）</w:t>
      </w:r>
    </w:p>
    <w:sectPr>
      <w:pgSz w:w="11906" w:h="16838"/>
      <w:pgMar w:top="2098" w:right="1474" w:bottom="1985" w:left="1588"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chineseCountingThousand"/>
      <w:lvlText w:val="%1、"/>
      <w:lvlJc w:val="left"/>
      <w:pPr>
        <w:tabs>
          <w:tab w:val="left" w:pos="1248"/>
        </w:tabs>
        <w:ind w:left="341" w:firstLine="510"/>
      </w:pPr>
      <w:rPr>
        <w:rFonts w:hint="eastAsia"/>
        <w:b/>
        <w:i w:val="0"/>
        <w:caps w:val="0"/>
        <w:strike w:val="0"/>
        <w:dstrike w:val="0"/>
        <w:vanish w:val="0"/>
        <w:color w:val="auto"/>
        <w:spacing w:val="0"/>
        <w:w w:val="100"/>
        <w:kern w:val="44"/>
        <w:position w:val="0"/>
        <w:sz w:val="28"/>
        <w:szCs w:val="28"/>
        <w:u w:val="none"/>
        <w:vertAlign w:val="baseline"/>
        <w:lang w:val="en-US"/>
      </w:rPr>
    </w:lvl>
    <w:lvl w:ilvl="1" w:tentative="0">
      <w:start w:val="1"/>
      <w:numFmt w:val="lowerLetter"/>
      <w:lvlText w:val="%2、"/>
      <w:lvlJc w:val="left"/>
      <w:pPr>
        <w:tabs>
          <w:tab w:val="left" w:pos="990"/>
        </w:tabs>
        <w:ind w:left="536" w:firstLine="454"/>
      </w:pPr>
      <w:rPr>
        <w:rFonts w:hint="eastAsia"/>
        <w:sz w:val="28"/>
        <w:szCs w:val="28"/>
        <w:u w:val="none"/>
      </w:rPr>
    </w:lvl>
    <w:lvl w:ilvl="2" w:tentative="0">
      <w:start w:val="1"/>
      <w:numFmt w:val="lowerLetter"/>
      <w:lvlText w:val="%3."/>
      <w:lvlJc w:val="left"/>
      <w:pPr>
        <w:tabs>
          <w:tab w:val="left" w:pos="1770"/>
        </w:tabs>
        <w:ind w:left="1770" w:hanging="360"/>
      </w:pPr>
      <w:rPr>
        <w:rFonts w:hint="default"/>
        <w:sz w:val="28"/>
      </w:rPr>
    </w:lvl>
    <w:lvl w:ilvl="3" w:tentative="0">
      <w:start w:val="1"/>
      <w:numFmt w:val="decimal"/>
      <w:lvlText w:val="%4、"/>
      <w:lvlJc w:val="left"/>
      <w:pPr>
        <w:tabs>
          <w:tab w:val="left" w:pos="1287"/>
        </w:tabs>
        <w:ind w:left="1287" w:hanging="720"/>
      </w:pPr>
      <w:rPr>
        <w:rFonts w:hint="default"/>
        <w:b w:val="0"/>
      </w:rPr>
    </w:lvl>
    <w:lvl w:ilvl="4" w:tentative="0">
      <w:start w:val="1"/>
      <w:numFmt w:val="upperLetter"/>
      <w:lvlText w:val="%5、"/>
      <w:lvlJc w:val="left"/>
      <w:pPr>
        <w:tabs>
          <w:tab w:val="left" w:pos="2730"/>
        </w:tabs>
        <w:ind w:left="2250" w:firstLine="0"/>
      </w:pPr>
      <w:rPr>
        <w:rFonts w:hint="eastAsia"/>
        <w:b w:val="0"/>
        <w:i w:val="0"/>
        <w:caps w:val="0"/>
        <w:strike w:val="0"/>
        <w:dstrike w:val="0"/>
        <w:vanish w:val="0"/>
        <w:color w:val="auto"/>
        <w:spacing w:val="0"/>
        <w:w w:val="100"/>
        <w:kern w:val="44"/>
        <w:position w:val="0"/>
        <w:sz w:val="28"/>
        <w:szCs w:val="28"/>
        <w:u w:val="none"/>
        <w:vertAlign w:val="baseline"/>
      </w:rPr>
    </w:lvl>
    <w:lvl w:ilvl="5" w:tentative="0">
      <w:start w:val="1"/>
      <w:numFmt w:val="lowerRoman"/>
      <w:lvlText w:val="%6."/>
      <w:lvlJc w:val="right"/>
      <w:pPr>
        <w:tabs>
          <w:tab w:val="left" w:pos="3090"/>
        </w:tabs>
        <w:ind w:left="3090" w:hanging="420"/>
      </w:pPr>
      <w:rPr>
        <w:rFonts w:hint="eastAsia"/>
      </w:rPr>
    </w:lvl>
    <w:lvl w:ilvl="6" w:tentative="0">
      <w:start w:val="1"/>
      <w:numFmt w:val="decimal"/>
      <w:lvlText w:val="%7."/>
      <w:lvlJc w:val="left"/>
      <w:pPr>
        <w:tabs>
          <w:tab w:val="left" w:pos="3510"/>
        </w:tabs>
        <w:ind w:left="3510" w:hanging="420"/>
      </w:pPr>
      <w:rPr>
        <w:rFonts w:hint="eastAsia"/>
      </w:rPr>
    </w:lvl>
    <w:lvl w:ilvl="7" w:tentative="0">
      <w:start w:val="1"/>
      <w:numFmt w:val="lowerLetter"/>
      <w:lvlText w:val="%8)"/>
      <w:lvlJc w:val="left"/>
      <w:pPr>
        <w:tabs>
          <w:tab w:val="left" w:pos="3930"/>
        </w:tabs>
        <w:ind w:left="3930" w:hanging="420"/>
      </w:pPr>
      <w:rPr>
        <w:rFonts w:hint="eastAsia"/>
      </w:rPr>
    </w:lvl>
    <w:lvl w:ilvl="8" w:tentative="0">
      <w:start w:val="1"/>
      <w:numFmt w:val="lowerRoman"/>
      <w:lvlText w:val="%9."/>
      <w:lvlJc w:val="right"/>
      <w:pPr>
        <w:tabs>
          <w:tab w:val="left" w:pos="4350"/>
        </w:tabs>
        <w:ind w:left="4350" w:hanging="420"/>
      </w:pPr>
      <w:rPr>
        <w:rFonts w:hint="eastAsia"/>
      </w:rPr>
    </w:lvl>
  </w:abstractNum>
  <w:abstractNum w:abstractNumId="1">
    <w:nsid w:val="00000016"/>
    <w:multiLevelType w:val="multilevel"/>
    <w:tmpl w:val="00000016"/>
    <w:lvl w:ilvl="0" w:tentative="0">
      <w:start w:val="1"/>
      <w:numFmt w:val="decimal"/>
      <w:lvlText w:val="%1、"/>
      <w:lvlJc w:val="left"/>
      <w:pPr>
        <w:tabs>
          <w:tab w:val="left" w:pos="1018"/>
        </w:tabs>
        <w:ind w:left="538" w:firstLine="0"/>
      </w:pPr>
      <w:rPr>
        <w:rFonts w:hint="eastAsia"/>
        <w:b w:val="0"/>
        <w:i w:val="0"/>
        <w:caps w:val="0"/>
        <w:strike w:val="0"/>
        <w:dstrike w:val="0"/>
        <w:vanish w:val="0"/>
        <w:color w:val="auto"/>
        <w:spacing w:val="0"/>
        <w:w w:val="100"/>
        <w:kern w:val="44"/>
        <w:position w:val="0"/>
        <w:sz w:val="28"/>
        <w:szCs w:val="28"/>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7"/>
    <w:multiLevelType w:val="multilevel"/>
    <w:tmpl w:val="00000017"/>
    <w:lvl w:ilvl="0" w:tentative="0">
      <w:start w:val="1"/>
      <w:numFmt w:val="decimal"/>
      <w:lvlText w:val="%1、"/>
      <w:lvlJc w:val="left"/>
      <w:pPr>
        <w:tabs>
          <w:tab w:val="left" w:pos="560"/>
        </w:tabs>
        <w:ind w:left="106" w:firstLine="454"/>
      </w:pPr>
      <w:rPr>
        <w:rFonts w:hint="eastAsia"/>
        <w:sz w:val="28"/>
        <w:szCs w:val="28"/>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9D2FEA0"/>
    <w:multiLevelType w:val="singleLevel"/>
    <w:tmpl w:val="39D2FEA0"/>
    <w:lvl w:ilvl="0" w:tentative="0">
      <w:start w:val="1"/>
      <w:numFmt w:val="chineseCounting"/>
      <w:suff w:val="nothing"/>
      <w:lvlText w:val="%1、"/>
      <w:lvlJc w:val="left"/>
      <w:rPr>
        <w:rFonts w:hint="eastAsia"/>
      </w:rPr>
    </w:lvl>
  </w:abstractNum>
  <w:abstractNum w:abstractNumId="4">
    <w:nsid w:val="51463A84"/>
    <w:multiLevelType w:val="multilevel"/>
    <w:tmpl w:val="51463A84"/>
    <w:lvl w:ilvl="0" w:tentative="0">
      <w:start w:val="1"/>
      <w:numFmt w:val="decimal"/>
      <w:lvlText w:val="1.%1"/>
      <w:lvlJc w:val="left"/>
      <w:pPr>
        <w:tabs>
          <w:tab w:val="left" w:pos="1018"/>
        </w:tabs>
        <w:ind w:left="598" w:firstLine="420"/>
      </w:pPr>
      <w:rPr>
        <w:rFonts w:hint="eastAsia"/>
      </w:rPr>
    </w:lvl>
    <w:lvl w:ilvl="1" w:tentative="0">
      <w:start w:val="1"/>
      <w:numFmt w:val="decimal"/>
      <w:lvlText w:val="1.%2"/>
      <w:lvlJc w:val="left"/>
      <w:pPr>
        <w:tabs>
          <w:tab w:val="left" w:pos="958"/>
        </w:tabs>
        <w:ind w:left="538" w:firstLine="420"/>
      </w:pPr>
      <w:rPr>
        <w:rFonts w:hint="eastAsia"/>
      </w:rPr>
    </w:lvl>
    <w:lvl w:ilvl="2" w:tentative="0">
      <w:start w:val="1"/>
      <w:numFmt w:val="decimal"/>
      <w:lvlText w:val="%3）"/>
      <w:lvlJc w:val="left"/>
      <w:pPr>
        <w:ind w:left="2098" w:hanging="720"/>
      </w:pPr>
      <w:rPr>
        <w:rFonts w:hint="default"/>
      </w:rPr>
    </w:lvl>
    <w:lvl w:ilvl="3" w:tentative="0">
      <w:start w:val="1"/>
      <w:numFmt w:val="decimal"/>
      <w:lvlText w:val="%4."/>
      <w:lvlJc w:val="left"/>
      <w:pPr>
        <w:tabs>
          <w:tab w:val="left" w:pos="2218"/>
        </w:tabs>
        <w:ind w:left="2218" w:hanging="420"/>
      </w:pPr>
    </w:lvl>
    <w:lvl w:ilvl="4" w:tentative="0">
      <w:start w:val="1"/>
      <w:numFmt w:val="lowerLetter"/>
      <w:lvlText w:val="%5)"/>
      <w:lvlJc w:val="left"/>
      <w:pPr>
        <w:tabs>
          <w:tab w:val="left" w:pos="2638"/>
        </w:tabs>
        <w:ind w:left="2638" w:hanging="420"/>
      </w:pPr>
    </w:lvl>
    <w:lvl w:ilvl="5" w:tentative="0">
      <w:start w:val="1"/>
      <w:numFmt w:val="lowerRoman"/>
      <w:lvlText w:val="%6."/>
      <w:lvlJc w:val="right"/>
      <w:pPr>
        <w:tabs>
          <w:tab w:val="left" w:pos="3058"/>
        </w:tabs>
        <w:ind w:left="3058" w:hanging="420"/>
      </w:pPr>
    </w:lvl>
    <w:lvl w:ilvl="6" w:tentative="0">
      <w:start w:val="1"/>
      <w:numFmt w:val="decimal"/>
      <w:lvlText w:val="%7."/>
      <w:lvlJc w:val="left"/>
      <w:pPr>
        <w:tabs>
          <w:tab w:val="left" w:pos="3478"/>
        </w:tabs>
        <w:ind w:left="3478" w:hanging="420"/>
      </w:pPr>
    </w:lvl>
    <w:lvl w:ilvl="7" w:tentative="0">
      <w:start w:val="1"/>
      <w:numFmt w:val="lowerLetter"/>
      <w:lvlText w:val="%8)"/>
      <w:lvlJc w:val="left"/>
      <w:pPr>
        <w:tabs>
          <w:tab w:val="left" w:pos="3898"/>
        </w:tabs>
        <w:ind w:left="3898" w:hanging="420"/>
      </w:pPr>
    </w:lvl>
    <w:lvl w:ilvl="8" w:tentative="0">
      <w:start w:val="1"/>
      <w:numFmt w:val="lowerRoman"/>
      <w:lvlText w:val="%9."/>
      <w:lvlJc w:val="right"/>
      <w:pPr>
        <w:tabs>
          <w:tab w:val="left" w:pos="4318"/>
        </w:tabs>
        <w:ind w:left="4318" w:hanging="420"/>
      </w:pPr>
    </w:lvl>
  </w:abstractNum>
  <w:abstractNum w:abstractNumId="5">
    <w:nsid w:val="52CF100C"/>
    <w:multiLevelType w:val="multilevel"/>
    <w:tmpl w:val="52CF100C"/>
    <w:lvl w:ilvl="0" w:tentative="0">
      <w:start w:val="1"/>
      <w:numFmt w:val="chineseCountingThousand"/>
      <w:lvlText w:val="%1、"/>
      <w:lvlJc w:val="left"/>
      <w:pPr>
        <w:tabs>
          <w:tab w:val="left" w:pos="1248"/>
        </w:tabs>
        <w:ind w:left="341" w:firstLine="510"/>
      </w:pPr>
      <w:rPr>
        <w:rFonts w:hint="eastAsia"/>
        <w:b/>
        <w:i w:val="0"/>
        <w:caps w:val="0"/>
        <w:strike w:val="0"/>
        <w:dstrike w:val="0"/>
        <w:vanish w:val="0"/>
        <w:color w:val="auto"/>
        <w:spacing w:val="0"/>
        <w:w w:val="100"/>
        <w:kern w:val="44"/>
        <w:position w:val="0"/>
        <w:sz w:val="28"/>
        <w:szCs w:val="28"/>
        <w:u w:val="none"/>
        <w:vertAlign w:val="baseline"/>
        <w:lang w:val="en-US"/>
      </w:rPr>
    </w:lvl>
    <w:lvl w:ilvl="1" w:tentative="0">
      <w:start w:val="1"/>
      <w:numFmt w:val="lowerLetter"/>
      <w:lvlText w:val="%2、"/>
      <w:lvlJc w:val="left"/>
      <w:pPr>
        <w:tabs>
          <w:tab w:val="left" w:pos="990"/>
        </w:tabs>
        <w:ind w:left="536" w:firstLine="454"/>
      </w:pPr>
      <w:rPr>
        <w:rFonts w:hint="eastAsia"/>
        <w:sz w:val="28"/>
        <w:szCs w:val="28"/>
        <w:u w:val="none"/>
      </w:rPr>
    </w:lvl>
    <w:lvl w:ilvl="2" w:tentative="0">
      <w:start w:val="1"/>
      <w:numFmt w:val="lowerLetter"/>
      <w:lvlText w:val="%3."/>
      <w:lvlJc w:val="left"/>
      <w:pPr>
        <w:tabs>
          <w:tab w:val="left" w:pos="1770"/>
        </w:tabs>
        <w:ind w:left="1770" w:hanging="360"/>
      </w:pPr>
      <w:rPr>
        <w:rFonts w:hint="default"/>
        <w:sz w:val="28"/>
      </w:rPr>
    </w:lvl>
    <w:lvl w:ilvl="3" w:tentative="0">
      <w:start w:val="1"/>
      <w:numFmt w:val="decimal"/>
      <w:lvlText w:val="%4、"/>
      <w:lvlJc w:val="left"/>
      <w:pPr>
        <w:tabs>
          <w:tab w:val="left" w:pos="1287"/>
        </w:tabs>
        <w:ind w:left="1287" w:hanging="720"/>
      </w:pPr>
      <w:rPr>
        <w:rFonts w:hint="default"/>
        <w:b w:val="0"/>
      </w:rPr>
    </w:lvl>
    <w:lvl w:ilvl="4" w:tentative="0">
      <w:start w:val="1"/>
      <w:numFmt w:val="upperLetter"/>
      <w:lvlText w:val="%5、"/>
      <w:lvlJc w:val="left"/>
      <w:pPr>
        <w:tabs>
          <w:tab w:val="left" w:pos="2730"/>
        </w:tabs>
        <w:ind w:left="2250" w:firstLine="0"/>
      </w:pPr>
      <w:rPr>
        <w:rFonts w:hint="eastAsia"/>
        <w:b w:val="0"/>
        <w:i w:val="0"/>
        <w:caps w:val="0"/>
        <w:strike w:val="0"/>
        <w:dstrike w:val="0"/>
        <w:vanish w:val="0"/>
        <w:color w:val="auto"/>
        <w:spacing w:val="0"/>
        <w:w w:val="100"/>
        <w:kern w:val="44"/>
        <w:position w:val="0"/>
        <w:sz w:val="28"/>
        <w:szCs w:val="28"/>
        <w:u w:val="none"/>
        <w:vertAlign w:val="baseline"/>
      </w:rPr>
    </w:lvl>
    <w:lvl w:ilvl="5" w:tentative="0">
      <w:start w:val="1"/>
      <w:numFmt w:val="lowerRoman"/>
      <w:lvlText w:val="%6."/>
      <w:lvlJc w:val="right"/>
      <w:pPr>
        <w:tabs>
          <w:tab w:val="left" w:pos="3090"/>
        </w:tabs>
        <w:ind w:left="3090" w:hanging="420"/>
      </w:pPr>
      <w:rPr>
        <w:rFonts w:hint="eastAsia"/>
      </w:rPr>
    </w:lvl>
    <w:lvl w:ilvl="6" w:tentative="0">
      <w:start w:val="1"/>
      <w:numFmt w:val="decimal"/>
      <w:lvlText w:val="%7."/>
      <w:lvlJc w:val="left"/>
      <w:pPr>
        <w:tabs>
          <w:tab w:val="left" w:pos="3510"/>
        </w:tabs>
        <w:ind w:left="3510" w:hanging="420"/>
      </w:pPr>
      <w:rPr>
        <w:rFonts w:hint="eastAsia"/>
      </w:rPr>
    </w:lvl>
    <w:lvl w:ilvl="7" w:tentative="0">
      <w:start w:val="1"/>
      <w:numFmt w:val="lowerLetter"/>
      <w:lvlText w:val="%8)"/>
      <w:lvlJc w:val="left"/>
      <w:pPr>
        <w:tabs>
          <w:tab w:val="left" w:pos="3930"/>
        </w:tabs>
        <w:ind w:left="3930" w:hanging="420"/>
      </w:pPr>
      <w:rPr>
        <w:rFonts w:hint="eastAsia"/>
      </w:rPr>
    </w:lvl>
    <w:lvl w:ilvl="8" w:tentative="0">
      <w:start w:val="1"/>
      <w:numFmt w:val="lowerRoman"/>
      <w:lvlText w:val="%9."/>
      <w:lvlJc w:val="right"/>
      <w:pPr>
        <w:tabs>
          <w:tab w:val="left" w:pos="4350"/>
        </w:tabs>
        <w:ind w:left="4350" w:hanging="420"/>
      </w:pPr>
      <w:rPr>
        <w:rFonts w:hint="eastAsia"/>
      </w:rPr>
    </w:lvl>
  </w:abstractNum>
  <w:abstractNum w:abstractNumId="6">
    <w:nsid w:val="61C4589C"/>
    <w:multiLevelType w:val="multilevel"/>
    <w:tmpl w:val="61C4589C"/>
    <w:lvl w:ilvl="0" w:tentative="0">
      <w:start w:val="1"/>
      <w:numFmt w:val="chineseCountingThousand"/>
      <w:lvlText w:val="%1、"/>
      <w:lvlJc w:val="left"/>
      <w:pPr>
        <w:ind w:left="420" w:hanging="420"/>
      </w:pPr>
    </w:lvl>
    <w:lvl w:ilvl="1" w:tentative="0">
      <w:start w:val="1"/>
      <w:numFmt w:val="chineseCountingThousand"/>
      <w:lvlText w:val="%2、"/>
      <w:lvlJc w:val="left"/>
      <w:pPr>
        <w:ind w:left="840" w:hanging="420"/>
      </w:pPr>
      <w:rPr>
        <w:b/>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AB10D74"/>
    <w:multiLevelType w:val="singleLevel"/>
    <w:tmpl w:val="6AB10D74"/>
    <w:lvl w:ilvl="0" w:tentative="0">
      <w:start w:val="6"/>
      <w:numFmt w:val="chineseCounting"/>
      <w:suff w:val="nothing"/>
      <w:lvlText w:val="%1、"/>
      <w:lvlJc w:val="left"/>
    </w:lvl>
  </w:abstractNum>
  <w:abstractNum w:abstractNumId="8">
    <w:nsid w:val="6AB24AF5"/>
    <w:multiLevelType w:val="singleLevel"/>
    <w:tmpl w:val="6AB24AF5"/>
    <w:lvl w:ilvl="0" w:tentative="0">
      <w:start w:val="2"/>
      <w:numFmt w:val="decimal"/>
      <w:suff w:val="nothing"/>
      <w:lvlText w:val="%1、"/>
      <w:lvlJc w:val="left"/>
    </w:lvl>
  </w:abstractNum>
  <w:num w:numId="1">
    <w:abstractNumId w:val="3"/>
  </w:num>
  <w:num w:numId="2">
    <w:abstractNumId w:val="7"/>
  </w:num>
  <w:num w:numId="3">
    <w:abstractNumId w:val="0"/>
  </w:num>
  <w:num w:numId="4">
    <w:abstractNumId w:val="2"/>
  </w:num>
  <w:num w:numId="5">
    <w:abstractNumId w:val="4"/>
  </w:num>
  <w:num w:numId="6">
    <w:abstractNumId w:val="1"/>
  </w:num>
  <w:num w:numId="7">
    <w:abstractNumId w:val="5"/>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285"/>
    <w:rsid w:val="00073E40"/>
    <w:rsid w:val="00151C39"/>
    <w:rsid w:val="001731D5"/>
    <w:rsid w:val="001737F4"/>
    <w:rsid w:val="001D4C33"/>
    <w:rsid w:val="00273C4D"/>
    <w:rsid w:val="00290A8F"/>
    <w:rsid w:val="002E2A39"/>
    <w:rsid w:val="003343BA"/>
    <w:rsid w:val="003554F4"/>
    <w:rsid w:val="00426537"/>
    <w:rsid w:val="0044764E"/>
    <w:rsid w:val="004C0BAF"/>
    <w:rsid w:val="004F05D4"/>
    <w:rsid w:val="00513FB3"/>
    <w:rsid w:val="005755A6"/>
    <w:rsid w:val="0058662D"/>
    <w:rsid w:val="005B48F6"/>
    <w:rsid w:val="005D09CB"/>
    <w:rsid w:val="005E1955"/>
    <w:rsid w:val="00611E0D"/>
    <w:rsid w:val="00616634"/>
    <w:rsid w:val="00626FBE"/>
    <w:rsid w:val="00711D9D"/>
    <w:rsid w:val="00754059"/>
    <w:rsid w:val="00786E2B"/>
    <w:rsid w:val="007C2AD2"/>
    <w:rsid w:val="00820E67"/>
    <w:rsid w:val="00836BD7"/>
    <w:rsid w:val="00866E89"/>
    <w:rsid w:val="00871C92"/>
    <w:rsid w:val="00885E4A"/>
    <w:rsid w:val="0088671A"/>
    <w:rsid w:val="008A7EF4"/>
    <w:rsid w:val="009075ED"/>
    <w:rsid w:val="00966E65"/>
    <w:rsid w:val="009F4990"/>
    <w:rsid w:val="00A67F33"/>
    <w:rsid w:val="00A86F6A"/>
    <w:rsid w:val="00AB08EA"/>
    <w:rsid w:val="00AC25C5"/>
    <w:rsid w:val="00AE6FB4"/>
    <w:rsid w:val="00B5458F"/>
    <w:rsid w:val="00B807EC"/>
    <w:rsid w:val="00BF4215"/>
    <w:rsid w:val="00CB55A4"/>
    <w:rsid w:val="00CC704A"/>
    <w:rsid w:val="00E332BB"/>
    <w:rsid w:val="00E3496C"/>
    <w:rsid w:val="00E35182"/>
    <w:rsid w:val="00E97285"/>
    <w:rsid w:val="00F771C5"/>
    <w:rsid w:val="00FF0300"/>
    <w:rsid w:val="00FF6972"/>
    <w:rsid w:val="010D2D0B"/>
    <w:rsid w:val="018431A4"/>
    <w:rsid w:val="01961198"/>
    <w:rsid w:val="01C43576"/>
    <w:rsid w:val="01E57C74"/>
    <w:rsid w:val="01F450A0"/>
    <w:rsid w:val="02E14C48"/>
    <w:rsid w:val="03772985"/>
    <w:rsid w:val="038134CC"/>
    <w:rsid w:val="03960EFB"/>
    <w:rsid w:val="039C1C53"/>
    <w:rsid w:val="041275CE"/>
    <w:rsid w:val="041D3D02"/>
    <w:rsid w:val="042E208E"/>
    <w:rsid w:val="043C3BFF"/>
    <w:rsid w:val="048033EF"/>
    <w:rsid w:val="04C141AF"/>
    <w:rsid w:val="04E7150E"/>
    <w:rsid w:val="04FE477C"/>
    <w:rsid w:val="051A35ED"/>
    <w:rsid w:val="054B3DBD"/>
    <w:rsid w:val="057E7745"/>
    <w:rsid w:val="05CB68F5"/>
    <w:rsid w:val="066B642F"/>
    <w:rsid w:val="06C62F51"/>
    <w:rsid w:val="06D77245"/>
    <w:rsid w:val="07FD6BE2"/>
    <w:rsid w:val="08254F79"/>
    <w:rsid w:val="082E18B0"/>
    <w:rsid w:val="08785A0C"/>
    <w:rsid w:val="08E04936"/>
    <w:rsid w:val="0903473A"/>
    <w:rsid w:val="09A250A2"/>
    <w:rsid w:val="09EA3834"/>
    <w:rsid w:val="0A025DA1"/>
    <w:rsid w:val="0A600591"/>
    <w:rsid w:val="0A8516E1"/>
    <w:rsid w:val="0AAC0A11"/>
    <w:rsid w:val="0ABC0CAB"/>
    <w:rsid w:val="0AF73119"/>
    <w:rsid w:val="0B7B0C68"/>
    <w:rsid w:val="0BEE5853"/>
    <w:rsid w:val="0C4156F4"/>
    <w:rsid w:val="0C50747D"/>
    <w:rsid w:val="0CAE5159"/>
    <w:rsid w:val="0CF4726F"/>
    <w:rsid w:val="0CFA7737"/>
    <w:rsid w:val="0D2F072F"/>
    <w:rsid w:val="0D3377BD"/>
    <w:rsid w:val="0D827832"/>
    <w:rsid w:val="0E241F41"/>
    <w:rsid w:val="0E39450E"/>
    <w:rsid w:val="0E56583E"/>
    <w:rsid w:val="0F1312E8"/>
    <w:rsid w:val="0F1E1A9F"/>
    <w:rsid w:val="0F2B6783"/>
    <w:rsid w:val="0F2D4725"/>
    <w:rsid w:val="0F675E9C"/>
    <w:rsid w:val="0FA554C6"/>
    <w:rsid w:val="0FD96075"/>
    <w:rsid w:val="0FF80507"/>
    <w:rsid w:val="10023EE8"/>
    <w:rsid w:val="101504F3"/>
    <w:rsid w:val="104157C6"/>
    <w:rsid w:val="104571D4"/>
    <w:rsid w:val="107E7DAB"/>
    <w:rsid w:val="1113256A"/>
    <w:rsid w:val="115A6625"/>
    <w:rsid w:val="116326A8"/>
    <w:rsid w:val="11643698"/>
    <w:rsid w:val="11985DDF"/>
    <w:rsid w:val="11CF2D47"/>
    <w:rsid w:val="11D06C38"/>
    <w:rsid w:val="13323C6C"/>
    <w:rsid w:val="133E620E"/>
    <w:rsid w:val="135D064C"/>
    <w:rsid w:val="138C5F36"/>
    <w:rsid w:val="141A361A"/>
    <w:rsid w:val="14343713"/>
    <w:rsid w:val="14427EA7"/>
    <w:rsid w:val="149312D1"/>
    <w:rsid w:val="14BA370F"/>
    <w:rsid w:val="154A090F"/>
    <w:rsid w:val="15907FDC"/>
    <w:rsid w:val="15BF2FCD"/>
    <w:rsid w:val="164D3B25"/>
    <w:rsid w:val="16940BB9"/>
    <w:rsid w:val="16A76EB4"/>
    <w:rsid w:val="16C67F6C"/>
    <w:rsid w:val="16D10E44"/>
    <w:rsid w:val="16E81DD2"/>
    <w:rsid w:val="17302447"/>
    <w:rsid w:val="17F77430"/>
    <w:rsid w:val="180B5C64"/>
    <w:rsid w:val="183F4953"/>
    <w:rsid w:val="186B0047"/>
    <w:rsid w:val="187B413A"/>
    <w:rsid w:val="187B747A"/>
    <w:rsid w:val="18C03004"/>
    <w:rsid w:val="18D22AA4"/>
    <w:rsid w:val="19125F37"/>
    <w:rsid w:val="19773670"/>
    <w:rsid w:val="197E4C62"/>
    <w:rsid w:val="19C04C2A"/>
    <w:rsid w:val="19CC60AA"/>
    <w:rsid w:val="19D41B1C"/>
    <w:rsid w:val="19F1171D"/>
    <w:rsid w:val="1A090C27"/>
    <w:rsid w:val="1A1928E2"/>
    <w:rsid w:val="1A3E181D"/>
    <w:rsid w:val="1A6C69E2"/>
    <w:rsid w:val="1A912B76"/>
    <w:rsid w:val="1AAD2A52"/>
    <w:rsid w:val="1BCA252D"/>
    <w:rsid w:val="1BCC0AE8"/>
    <w:rsid w:val="1BCF6C7C"/>
    <w:rsid w:val="1C865DC0"/>
    <w:rsid w:val="1CB37381"/>
    <w:rsid w:val="1CBA7EC4"/>
    <w:rsid w:val="1D2306D8"/>
    <w:rsid w:val="1D4907E0"/>
    <w:rsid w:val="1D5B6EE3"/>
    <w:rsid w:val="1D7103F1"/>
    <w:rsid w:val="1D8202F5"/>
    <w:rsid w:val="1E0972D4"/>
    <w:rsid w:val="1E0F2BA0"/>
    <w:rsid w:val="1F224B35"/>
    <w:rsid w:val="1F2E40E7"/>
    <w:rsid w:val="1F37270B"/>
    <w:rsid w:val="1F573E6E"/>
    <w:rsid w:val="1FA51703"/>
    <w:rsid w:val="1FB527EF"/>
    <w:rsid w:val="1FBB471C"/>
    <w:rsid w:val="1FDF1459"/>
    <w:rsid w:val="1FF32089"/>
    <w:rsid w:val="20306443"/>
    <w:rsid w:val="20324FCE"/>
    <w:rsid w:val="20684DE0"/>
    <w:rsid w:val="20830098"/>
    <w:rsid w:val="20D63F6F"/>
    <w:rsid w:val="217B595F"/>
    <w:rsid w:val="217F7DF1"/>
    <w:rsid w:val="21AB181F"/>
    <w:rsid w:val="21DD0441"/>
    <w:rsid w:val="21DD349D"/>
    <w:rsid w:val="223E2029"/>
    <w:rsid w:val="224938CC"/>
    <w:rsid w:val="229942C7"/>
    <w:rsid w:val="229F617E"/>
    <w:rsid w:val="22AA736D"/>
    <w:rsid w:val="22B1053F"/>
    <w:rsid w:val="231E59C1"/>
    <w:rsid w:val="23524303"/>
    <w:rsid w:val="23BE5BB1"/>
    <w:rsid w:val="23D039F6"/>
    <w:rsid w:val="241F6BFA"/>
    <w:rsid w:val="243E56C8"/>
    <w:rsid w:val="24802F7E"/>
    <w:rsid w:val="24AA3A0B"/>
    <w:rsid w:val="24EE3C13"/>
    <w:rsid w:val="24FB13E7"/>
    <w:rsid w:val="25044855"/>
    <w:rsid w:val="25626261"/>
    <w:rsid w:val="25B4606C"/>
    <w:rsid w:val="25D9690F"/>
    <w:rsid w:val="25DE6EB0"/>
    <w:rsid w:val="25FE1963"/>
    <w:rsid w:val="265866EF"/>
    <w:rsid w:val="267506A8"/>
    <w:rsid w:val="269C5931"/>
    <w:rsid w:val="26CC605B"/>
    <w:rsid w:val="27003BC0"/>
    <w:rsid w:val="27745704"/>
    <w:rsid w:val="27A27E15"/>
    <w:rsid w:val="27AF048B"/>
    <w:rsid w:val="28135097"/>
    <w:rsid w:val="28190413"/>
    <w:rsid w:val="282525ED"/>
    <w:rsid w:val="28286B6E"/>
    <w:rsid w:val="282E20E4"/>
    <w:rsid w:val="28373AA6"/>
    <w:rsid w:val="287A6121"/>
    <w:rsid w:val="289A168D"/>
    <w:rsid w:val="28BE1A5B"/>
    <w:rsid w:val="292F2E7A"/>
    <w:rsid w:val="295A2757"/>
    <w:rsid w:val="29E25DC6"/>
    <w:rsid w:val="2A0034B1"/>
    <w:rsid w:val="2A1C4A3E"/>
    <w:rsid w:val="2A3B4E26"/>
    <w:rsid w:val="2A3B6006"/>
    <w:rsid w:val="2A6F342B"/>
    <w:rsid w:val="2A85163E"/>
    <w:rsid w:val="2B3A3DF9"/>
    <w:rsid w:val="2B94578C"/>
    <w:rsid w:val="2BE74151"/>
    <w:rsid w:val="2C025539"/>
    <w:rsid w:val="2C1E1459"/>
    <w:rsid w:val="2CEE7B53"/>
    <w:rsid w:val="2D0E2A7A"/>
    <w:rsid w:val="2D4C4ADE"/>
    <w:rsid w:val="2D927565"/>
    <w:rsid w:val="2DB8494D"/>
    <w:rsid w:val="2DCD7E07"/>
    <w:rsid w:val="2DE14B3C"/>
    <w:rsid w:val="2E397EAD"/>
    <w:rsid w:val="2E4F5588"/>
    <w:rsid w:val="2E664ED8"/>
    <w:rsid w:val="2EC16E0D"/>
    <w:rsid w:val="2FAC6BC6"/>
    <w:rsid w:val="2FC7EE89"/>
    <w:rsid w:val="30313F14"/>
    <w:rsid w:val="304F63CF"/>
    <w:rsid w:val="30E803FE"/>
    <w:rsid w:val="31044792"/>
    <w:rsid w:val="315405B2"/>
    <w:rsid w:val="3178784F"/>
    <w:rsid w:val="31E247D4"/>
    <w:rsid w:val="31F633CB"/>
    <w:rsid w:val="328A590B"/>
    <w:rsid w:val="32BB1D98"/>
    <w:rsid w:val="32F94AB4"/>
    <w:rsid w:val="335118FA"/>
    <w:rsid w:val="335C0633"/>
    <w:rsid w:val="338812B7"/>
    <w:rsid w:val="338E7049"/>
    <w:rsid w:val="339D7617"/>
    <w:rsid w:val="33B40C5F"/>
    <w:rsid w:val="33D605D1"/>
    <w:rsid w:val="33FB8A36"/>
    <w:rsid w:val="34253971"/>
    <w:rsid w:val="34647349"/>
    <w:rsid w:val="34750FA9"/>
    <w:rsid w:val="34805F9A"/>
    <w:rsid w:val="3486598B"/>
    <w:rsid w:val="34E64EEF"/>
    <w:rsid w:val="351F73CE"/>
    <w:rsid w:val="35821237"/>
    <w:rsid w:val="35ED6ED7"/>
    <w:rsid w:val="3606139B"/>
    <w:rsid w:val="362E10C6"/>
    <w:rsid w:val="36900999"/>
    <w:rsid w:val="36ED04AD"/>
    <w:rsid w:val="3717399E"/>
    <w:rsid w:val="372369FD"/>
    <w:rsid w:val="37246CD4"/>
    <w:rsid w:val="374023C5"/>
    <w:rsid w:val="37975D00"/>
    <w:rsid w:val="37F7CD56"/>
    <w:rsid w:val="38550CF9"/>
    <w:rsid w:val="3869321A"/>
    <w:rsid w:val="38934061"/>
    <w:rsid w:val="38A53D17"/>
    <w:rsid w:val="38BD38B5"/>
    <w:rsid w:val="38F36845"/>
    <w:rsid w:val="39391360"/>
    <w:rsid w:val="39CB13C0"/>
    <w:rsid w:val="39E749BA"/>
    <w:rsid w:val="39F13AE5"/>
    <w:rsid w:val="3A0975BF"/>
    <w:rsid w:val="3AE24E10"/>
    <w:rsid w:val="3B03265B"/>
    <w:rsid w:val="3B073574"/>
    <w:rsid w:val="3B171C6E"/>
    <w:rsid w:val="3B652900"/>
    <w:rsid w:val="3BFFDB4D"/>
    <w:rsid w:val="3C2476AF"/>
    <w:rsid w:val="3C4E1D34"/>
    <w:rsid w:val="3C88075E"/>
    <w:rsid w:val="3C900418"/>
    <w:rsid w:val="3CB2412B"/>
    <w:rsid w:val="3CDE3996"/>
    <w:rsid w:val="3D01213B"/>
    <w:rsid w:val="3DCC0977"/>
    <w:rsid w:val="3DD55E2B"/>
    <w:rsid w:val="3E4D28BC"/>
    <w:rsid w:val="3E78446B"/>
    <w:rsid w:val="3E97798C"/>
    <w:rsid w:val="3EE71F2B"/>
    <w:rsid w:val="3F530158"/>
    <w:rsid w:val="3F792596"/>
    <w:rsid w:val="3FBFBA64"/>
    <w:rsid w:val="3FC33789"/>
    <w:rsid w:val="3FD867AE"/>
    <w:rsid w:val="3FFE2152"/>
    <w:rsid w:val="40350A01"/>
    <w:rsid w:val="404F2549"/>
    <w:rsid w:val="40861A8E"/>
    <w:rsid w:val="40BE58C5"/>
    <w:rsid w:val="40C05182"/>
    <w:rsid w:val="40FA0784"/>
    <w:rsid w:val="40FA368D"/>
    <w:rsid w:val="42A548BE"/>
    <w:rsid w:val="42B874AC"/>
    <w:rsid w:val="42D51591"/>
    <w:rsid w:val="430A2F0B"/>
    <w:rsid w:val="43166D1E"/>
    <w:rsid w:val="43C57DBB"/>
    <w:rsid w:val="43E9037B"/>
    <w:rsid w:val="44BB6AB0"/>
    <w:rsid w:val="44E4041B"/>
    <w:rsid w:val="44F3F848"/>
    <w:rsid w:val="44F95F5A"/>
    <w:rsid w:val="45026661"/>
    <w:rsid w:val="453131F9"/>
    <w:rsid w:val="45344B1A"/>
    <w:rsid w:val="45452DD9"/>
    <w:rsid w:val="454D50E0"/>
    <w:rsid w:val="45693CEF"/>
    <w:rsid w:val="45A44DCD"/>
    <w:rsid w:val="45DE4669"/>
    <w:rsid w:val="461F621B"/>
    <w:rsid w:val="465E77C3"/>
    <w:rsid w:val="469621AA"/>
    <w:rsid w:val="46F956FF"/>
    <w:rsid w:val="46FB0754"/>
    <w:rsid w:val="4735115C"/>
    <w:rsid w:val="47585719"/>
    <w:rsid w:val="47AA49FF"/>
    <w:rsid w:val="47E435E3"/>
    <w:rsid w:val="4842596B"/>
    <w:rsid w:val="48BD7682"/>
    <w:rsid w:val="48C87810"/>
    <w:rsid w:val="48E74F2A"/>
    <w:rsid w:val="48ED6917"/>
    <w:rsid w:val="496912C9"/>
    <w:rsid w:val="496D164C"/>
    <w:rsid w:val="49822BAA"/>
    <w:rsid w:val="49A23955"/>
    <w:rsid w:val="49A40B61"/>
    <w:rsid w:val="49E857BE"/>
    <w:rsid w:val="4A037CD6"/>
    <w:rsid w:val="4AB42F1C"/>
    <w:rsid w:val="4ABE7D77"/>
    <w:rsid w:val="4AC07380"/>
    <w:rsid w:val="4AE51753"/>
    <w:rsid w:val="4AEB4C53"/>
    <w:rsid w:val="4AF406E4"/>
    <w:rsid w:val="4B095EA9"/>
    <w:rsid w:val="4B264153"/>
    <w:rsid w:val="4B4306B7"/>
    <w:rsid w:val="4B8E252D"/>
    <w:rsid w:val="4BDD7BA7"/>
    <w:rsid w:val="4BE43BE2"/>
    <w:rsid w:val="4C480DB4"/>
    <w:rsid w:val="4C6B533A"/>
    <w:rsid w:val="4C88369A"/>
    <w:rsid w:val="4C8C71C7"/>
    <w:rsid w:val="4CCC358C"/>
    <w:rsid w:val="4CE42B54"/>
    <w:rsid w:val="4D0B343C"/>
    <w:rsid w:val="4D4344CF"/>
    <w:rsid w:val="4DAA47C6"/>
    <w:rsid w:val="4DB73427"/>
    <w:rsid w:val="4DF819A9"/>
    <w:rsid w:val="4E162E56"/>
    <w:rsid w:val="4E2022A2"/>
    <w:rsid w:val="4E696BF6"/>
    <w:rsid w:val="4E711F47"/>
    <w:rsid w:val="4EB113FF"/>
    <w:rsid w:val="4EE13B00"/>
    <w:rsid w:val="4EF302C8"/>
    <w:rsid w:val="4F173CA0"/>
    <w:rsid w:val="4F6F5BA3"/>
    <w:rsid w:val="4F7A3183"/>
    <w:rsid w:val="4FB5547A"/>
    <w:rsid w:val="4FB94ED8"/>
    <w:rsid w:val="4FC3157A"/>
    <w:rsid w:val="502179CB"/>
    <w:rsid w:val="502330C7"/>
    <w:rsid w:val="503817D6"/>
    <w:rsid w:val="50A875D1"/>
    <w:rsid w:val="50AB3B67"/>
    <w:rsid w:val="512C2BBC"/>
    <w:rsid w:val="51BF5ACF"/>
    <w:rsid w:val="523A2A92"/>
    <w:rsid w:val="527551C6"/>
    <w:rsid w:val="52E4050B"/>
    <w:rsid w:val="530F68B5"/>
    <w:rsid w:val="53100F82"/>
    <w:rsid w:val="53405992"/>
    <w:rsid w:val="5347511A"/>
    <w:rsid w:val="53790410"/>
    <w:rsid w:val="53CA4C80"/>
    <w:rsid w:val="53D814A5"/>
    <w:rsid w:val="541A1FB7"/>
    <w:rsid w:val="5439030C"/>
    <w:rsid w:val="54471D30"/>
    <w:rsid w:val="54541814"/>
    <w:rsid w:val="54591D53"/>
    <w:rsid w:val="54604C8C"/>
    <w:rsid w:val="547371EA"/>
    <w:rsid w:val="54A449B0"/>
    <w:rsid w:val="54B069C5"/>
    <w:rsid w:val="552021E3"/>
    <w:rsid w:val="55936886"/>
    <w:rsid w:val="55D407DE"/>
    <w:rsid w:val="55E23AF4"/>
    <w:rsid w:val="55EA2DAC"/>
    <w:rsid w:val="55FF30A4"/>
    <w:rsid w:val="56245862"/>
    <w:rsid w:val="563A2C4B"/>
    <w:rsid w:val="566E5253"/>
    <w:rsid w:val="568A0A89"/>
    <w:rsid w:val="56A4145A"/>
    <w:rsid w:val="56AB4888"/>
    <w:rsid w:val="56C553EB"/>
    <w:rsid w:val="57326672"/>
    <w:rsid w:val="57345526"/>
    <w:rsid w:val="5780782F"/>
    <w:rsid w:val="57A51C09"/>
    <w:rsid w:val="5899083F"/>
    <w:rsid w:val="58BD46D9"/>
    <w:rsid w:val="58E74233"/>
    <w:rsid w:val="590D332B"/>
    <w:rsid w:val="59156400"/>
    <w:rsid w:val="594B4A5A"/>
    <w:rsid w:val="596BD3E1"/>
    <w:rsid w:val="59887FA7"/>
    <w:rsid w:val="59CF1DF5"/>
    <w:rsid w:val="5A321FB5"/>
    <w:rsid w:val="5A935841"/>
    <w:rsid w:val="5AD90DBB"/>
    <w:rsid w:val="5AEC3EAB"/>
    <w:rsid w:val="5AEE4686"/>
    <w:rsid w:val="5B3C3640"/>
    <w:rsid w:val="5B7B059C"/>
    <w:rsid w:val="5B7E1B41"/>
    <w:rsid w:val="5B892FE3"/>
    <w:rsid w:val="5BC47322"/>
    <w:rsid w:val="5C8760B7"/>
    <w:rsid w:val="5CD97A52"/>
    <w:rsid w:val="5CE32198"/>
    <w:rsid w:val="5CE95D69"/>
    <w:rsid w:val="5D1617E2"/>
    <w:rsid w:val="5D7F51FD"/>
    <w:rsid w:val="5D8A6485"/>
    <w:rsid w:val="5DBD55D9"/>
    <w:rsid w:val="5DDF54FA"/>
    <w:rsid w:val="5E5531DF"/>
    <w:rsid w:val="5E571F54"/>
    <w:rsid w:val="5E769874"/>
    <w:rsid w:val="5E8331AA"/>
    <w:rsid w:val="5F291B36"/>
    <w:rsid w:val="5F4A712C"/>
    <w:rsid w:val="5F790DDC"/>
    <w:rsid w:val="5F79216A"/>
    <w:rsid w:val="5F810FB7"/>
    <w:rsid w:val="5F9E0A87"/>
    <w:rsid w:val="5F9F4338"/>
    <w:rsid w:val="5FFB824A"/>
    <w:rsid w:val="600C7151"/>
    <w:rsid w:val="60BA788A"/>
    <w:rsid w:val="60C4392E"/>
    <w:rsid w:val="60E52F16"/>
    <w:rsid w:val="60F13276"/>
    <w:rsid w:val="61142E84"/>
    <w:rsid w:val="6171308D"/>
    <w:rsid w:val="61A036DC"/>
    <w:rsid w:val="61FE1D28"/>
    <w:rsid w:val="62277655"/>
    <w:rsid w:val="625A5102"/>
    <w:rsid w:val="625B2478"/>
    <w:rsid w:val="62755297"/>
    <w:rsid w:val="62AB062E"/>
    <w:rsid w:val="631C6D2A"/>
    <w:rsid w:val="632B2AA8"/>
    <w:rsid w:val="63342073"/>
    <w:rsid w:val="633730B4"/>
    <w:rsid w:val="635D93C6"/>
    <w:rsid w:val="636C66C6"/>
    <w:rsid w:val="639D4A3A"/>
    <w:rsid w:val="63C72700"/>
    <w:rsid w:val="63DB603A"/>
    <w:rsid w:val="64442927"/>
    <w:rsid w:val="646E5158"/>
    <w:rsid w:val="647D566C"/>
    <w:rsid w:val="64AE137A"/>
    <w:rsid w:val="64BF62F7"/>
    <w:rsid w:val="64C65DB3"/>
    <w:rsid w:val="654C11BD"/>
    <w:rsid w:val="65AE59DE"/>
    <w:rsid w:val="65E966B2"/>
    <w:rsid w:val="66007EA6"/>
    <w:rsid w:val="6605688A"/>
    <w:rsid w:val="660776F2"/>
    <w:rsid w:val="66475F5D"/>
    <w:rsid w:val="66960265"/>
    <w:rsid w:val="66DB61FA"/>
    <w:rsid w:val="672F43AB"/>
    <w:rsid w:val="673100D9"/>
    <w:rsid w:val="67417D71"/>
    <w:rsid w:val="674F09CF"/>
    <w:rsid w:val="67530147"/>
    <w:rsid w:val="67567154"/>
    <w:rsid w:val="687F2828"/>
    <w:rsid w:val="688A3569"/>
    <w:rsid w:val="688A45AE"/>
    <w:rsid w:val="688D4368"/>
    <w:rsid w:val="693F23B7"/>
    <w:rsid w:val="694D71AC"/>
    <w:rsid w:val="695D3136"/>
    <w:rsid w:val="69842F04"/>
    <w:rsid w:val="69BEB9B8"/>
    <w:rsid w:val="6A2A526A"/>
    <w:rsid w:val="6A842A4E"/>
    <w:rsid w:val="6A9743A9"/>
    <w:rsid w:val="6AA03B6A"/>
    <w:rsid w:val="6AC769BB"/>
    <w:rsid w:val="6ACE7686"/>
    <w:rsid w:val="6AD14D4C"/>
    <w:rsid w:val="6B6E4681"/>
    <w:rsid w:val="6B753935"/>
    <w:rsid w:val="6BB34661"/>
    <w:rsid w:val="6BD659CE"/>
    <w:rsid w:val="6C147369"/>
    <w:rsid w:val="6C6941A0"/>
    <w:rsid w:val="6CAB76BE"/>
    <w:rsid w:val="6CAF541F"/>
    <w:rsid w:val="6CC72826"/>
    <w:rsid w:val="6D3A643F"/>
    <w:rsid w:val="6DB875FB"/>
    <w:rsid w:val="6DD60988"/>
    <w:rsid w:val="6DE32C0E"/>
    <w:rsid w:val="6DEE3D8D"/>
    <w:rsid w:val="6E0A777F"/>
    <w:rsid w:val="6E8C5CAE"/>
    <w:rsid w:val="6EE91BBA"/>
    <w:rsid w:val="6F6FA99D"/>
    <w:rsid w:val="6FBBDA8D"/>
    <w:rsid w:val="6FDD30F0"/>
    <w:rsid w:val="70361DEB"/>
    <w:rsid w:val="70B51E34"/>
    <w:rsid w:val="710E1AFE"/>
    <w:rsid w:val="71104AC1"/>
    <w:rsid w:val="71AE40B4"/>
    <w:rsid w:val="71CF08F1"/>
    <w:rsid w:val="72350E31"/>
    <w:rsid w:val="72453989"/>
    <w:rsid w:val="72774DC1"/>
    <w:rsid w:val="727A0006"/>
    <w:rsid w:val="728C71E0"/>
    <w:rsid w:val="72A96F07"/>
    <w:rsid w:val="733E3029"/>
    <w:rsid w:val="73A5112D"/>
    <w:rsid w:val="73D67598"/>
    <w:rsid w:val="74335C2C"/>
    <w:rsid w:val="74751701"/>
    <w:rsid w:val="74966412"/>
    <w:rsid w:val="74A20FDD"/>
    <w:rsid w:val="74C66570"/>
    <w:rsid w:val="74CC1173"/>
    <w:rsid w:val="75743EED"/>
    <w:rsid w:val="75F9F827"/>
    <w:rsid w:val="76057081"/>
    <w:rsid w:val="76105FB8"/>
    <w:rsid w:val="76133975"/>
    <w:rsid w:val="76305914"/>
    <w:rsid w:val="76330F5D"/>
    <w:rsid w:val="7646201D"/>
    <w:rsid w:val="765959D9"/>
    <w:rsid w:val="76694E5C"/>
    <w:rsid w:val="76A23C5C"/>
    <w:rsid w:val="76C36FE8"/>
    <w:rsid w:val="76E71519"/>
    <w:rsid w:val="770F0127"/>
    <w:rsid w:val="774F64F9"/>
    <w:rsid w:val="775D31AB"/>
    <w:rsid w:val="77D76393"/>
    <w:rsid w:val="77E547D9"/>
    <w:rsid w:val="77FFBB62"/>
    <w:rsid w:val="78293CB5"/>
    <w:rsid w:val="782C62B8"/>
    <w:rsid w:val="784233C9"/>
    <w:rsid w:val="78424BD9"/>
    <w:rsid w:val="787A1CB9"/>
    <w:rsid w:val="7882237C"/>
    <w:rsid w:val="78930D06"/>
    <w:rsid w:val="790A7EA5"/>
    <w:rsid w:val="79397168"/>
    <w:rsid w:val="796011C4"/>
    <w:rsid w:val="79788CC9"/>
    <w:rsid w:val="79FAC0B7"/>
    <w:rsid w:val="7A2C5FDA"/>
    <w:rsid w:val="7A3071BF"/>
    <w:rsid w:val="7A340F15"/>
    <w:rsid w:val="7A343015"/>
    <w:rsid w:val="7A464E0E"/>
    <w:rsid w:val="7A607152"/>
    <w:rsid w:val="7A764580"/>
    <w:rsid w:val="7A9D370B"/>
    <w:rsid w:val="7AD54B92"/>
    <w:rsid w:val="7B21244C"/>
    <w:rsid w:val="7B6803E3"/>
    <w:rsid w:val="7B7E53AB"/>
    <w:rsid w:val="7B9B09D8"/>
    <w:rsid w:val="7BE60252"/>
    <w:rsid w:val="7BF9AD20"/>
    <w:rsid w:val="7C276ABD"/>
    <w:rsid w:val="7C2F774D"/>
    <w:rsid w:val="7C78755B"/>
    <w:rsid w:val="7CBE5D37"/>
    <w:rsid w:val="7CCF1A19"/>
    <w:rsid w:val="7CF4516F"/>
    <w:rsid w:val="7DC120E2"/>
    <w:rsid w:val="7DD470F5"/>
    <w:rsid w:val="7E1B7335"/>
    <w:rsid w:val="7E2C72DD"/>
    <w:rsid w:val="7E527BD9"/>
    <w:rsid w:val="7E7E67AA"/>
    <w:rsid w:val="7E90249F"/>
    <w:rsid w:val="7F607D67"/>
    <w:rsid w:val="7F840EFA"/>
    <w:rsid w:val="7F9464BB"/>
    <w:rsid w:val="7FBF8E2C"/>
    <w:rsid w:val="7FCA5EFE"/>
    <w:rsid w:val="7FD61E32"/>
    <w:rsid w:val="7FDE1517"/>
    <w:rsid w:val="7FF6E5F9"/>
    <w:rsid w:val="7FFF4979"/>
    <w:rsid w:val="9BDF8762"/>
    <w:rsid w:val="9FD111F6"/>
    <w:rsid w:val="AFD3315A"/>
    <w:rsid w:val="AFFD56DC"/>
    <w:rsid w:val="B99B8B84"/>
    <w:rsid w:val="DBFC8233"/>
    <w:rsid w:val="DBFF4245"/>
    <w:rsid w:val="DFBB7BC8"/>
    <w:rsid w:val="E5F6A253"/>
    <w:rsid w:val="E736D8EF"/>
    <w:rsid w:val="EB7F187B"/>
    <w:rsid w:val="EBC9ACCC"/>
    <w:rsid w:val="ED7DB15D"/>
    <w:rsid w:val="EFD33501"/>
    <w:rsid w:val="F56D58BF"/>
    <w:rsid w:val="F7ED849D"/>
    <w:rsid w:val="FB1ED6D8"/>
    <w:rsid w:val="FBFF859E"/>
    <w:rsid w:val="FCCE3B8E"/>
    <w:rsid w:val="FDFE2D23"/>
    <w:rsid w:val="FEDF0C6B"/>
    <w:rsid w:val="FEF38590"/>
    <w:rsid w:val="FF971D43"/>
    <w:rsid w:val="FFFF36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2"/>
      <w:lang w:val="en-US" w:eastAsia="zh-CN" w:bidi="ar-SA"/>
    </w:rPr>
  </w:style>
  <w:style w:type="paragraph" w:styleId="3">
    <w:name w:val="heading 1"/>
    <w:basedOn w:val="1"/>
    <w:next w:val="1"/>
    <w:link w:val="18"/>
    <w:qFormat/>
    <w:uiPriority w:val="9"/>
    <w:pPr>
      <w:keepNext/>
      <w:keepLines/>
      <w:widowControl w:val="0"/>
      <w:spacing w:before="340" w:after="330" w:line="576" w:lineRule="auto"/>
      <w:jc w:val="both"/>
      <w:outlineLvl w:val="0"/>
    </w:pPr>
    <w:rPr>
      <w:rFonts w:ascii="Times New Roman" w:hAnsi="Times New Roman" w:eastAsia="宋体" w:cs="Times New Roman"/>
      <w:b/>
      <w:kern w:val="44"/>
      <w:sz w:val="44"/>
      <w:szCs w:val="44"/>
      <w:lang w:val="en-US" w:eastAsia="zh-CN" w:bidi="ar-SA"/>
    </w:rPr>
  </w:style>
  <w:style w:type="paragraph" w:styleId="4">
    <w:name w:val="heading 2"/>
    <w:next w:val="1"/>
    <w:link w:val="19"/>
    <w:qFormat/>
    <w:uiPriority w:val="9"/>
    <w:pPr>
      <w:keepNext/>
      <w:keepLines/>
      <w:widowControl w:val="0"/>
      <w:spacing w:before="260" w:after="260" w:line="415" w:lineRule="auto"/>
      <w:jc w:val="both"/>
      <w:outlineLvl w:val="1"/>
    </w:pPr>
    <w:rPr>
      <w:rFonts w:ascii="Cambria" w:hAnsi="Cambria" w:eastAsia="宋体" w:cs="Times New Roman"/>
      <w:b/>
      <w:kern w:val="2"/>
      <w:sz w:val="32"/>
      <w:szCs w:val="32"/>
      <w:lang w:val="en-US" w:eastAsia="zh-CN" w:bidi="ar-SA"/>
    </w:rPr>
  </w:style>
  <w:style w:type="paragraph" w:styleId="5">
    <w:name w:val="heading 3"/>
    <w:basedOn w:val="1"/>
    <w:next w:val="1"/>
    <w:unhideWhenUsed/>
    <w:qFormat/>
    <w:uiPriority w:val="9"/>
    <w:pPr>
      <w:autoSpaceDE w:val="0"/>
      <w:autoSpaceDN w:val="0"/>
      <w:adjustRightInd w:val="0"/>
      <w:spacing w:before="16" w:beforeLines="0"/>
      <w:jc w:val="left"/>
      <w:outlineLvl w:val="2"/>
    </w:pPr>
    <w:rPr>
      <w:rFonts w:ascii="仿宋_GB2312" w:eastAsia="仿宋_GB2312"/>
      <w:b/>
      <w:sz w:val="24"/>
      <w:szCs w:val="28"/>
    </w:rPr>
  </w:style>
  <w:style w:type="character" w:default="1" w:styleId="14">
    <w:name w:val="Default Paragraph Font"/>
    <w:unhideWhenUsed/>
    <w:qFormat/>
    <w:uiPriority w:val="1"/>
  </w:style>
  <w:style w:type="table" w:default="1" w:styleId="12">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Body Text"/>
    <w:basedOn w:val="1"/>
    <w:next w:val="1"/>
    <w:unhideWhenUsed/>
    <w:qFormat/>
    <w:uiPriority w:val="99"/>
    <w:rPr>
      <w:rFonts w:ascii="宋体" w:hAnsi="宋体"/>
      <w:sz w:val="28"/>
    </w:rPr>
  </w:style>
  <w:style w:type="paragraph" w:styleId="6">
    <w:name w:val="Normal Indent"/>
    <w:basedOn w:val="1"/>
    <w:unhideWhenUsed/>
    <w:qFormat/>
    <w:uiPriority w:val="99"/>
    <w:pPr>
      <w:ind w:firstLine="420" w:firstLineChars="200"/>
    </w:pPr>
    <w:rPr>
      <w:szCs w:val="24"/>
    </w:rPr>
  </w:style>
  <w:style w:type="paragraph" w:styleId="7">
    <w:name w:val="annotation text"/>
    <w:basedOn w:val="1"/>
    <w:unhideWhenUsed/>
    <w:qFormat/>
    <w:uiPriority w:val="99"/>
    <w:pPr>
      <w:jc w:val="left"/>
    </w:pPr>
  </w:style>
  <w:style w:type="paragraph" w:styleId="8">
    <w:name w:val="footer"/>
    <w:basedOn w:val="1"/>
    <w:link w:val="20"/>
    <w:unhideWhenUsed/>
    <w:qFormat/>
    <w:uiPriority w:val="99"/>
    <w:pPr>
      <w:tabs>
        <w:tab w:val="center" w:pos="4153"/>
        <w:tab w:val="right" w:pos="8306"/>
      </w:tabs>
      <w:snapToGrid w:val="0"/>
      <w:jc w:val="left"/>
    </w:pPr>
    <w:rPr>
      <w:sz w:val="18"/>
    </w:rPr>
  </w:style>
  <w:style w:type="paragraph" w:styleId="9">
    <w:name w:val="header"/>
    <w:basedOn w:val="1"/>
    <w:link w:val="2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basedOn w:val="1"/>
    <w:unhideWhenUsed/>
    <w:qFormat/>
    <w:uiPriority w:val="99"/>
    <w:pPr>
      <w:snapToGrid w:val="0"/>
      <w:jc w:val="left"/>
    </w:pPr>
    <w:rPr>
      <w:sz w:val="18"/>
    </w:rPr>
  </w:style>
  <w:style w:type="paragraph" w:styleId="11">
    <w:name w:val="Normal (Web)"/>
    <w:basedOn w:val="1"/>
    <w:unhideWhenUsed/>
    <w:qFormat/>
    <w:uiPriority w:val="99"/>
    <w:pPr>
      <w:spacing w:before="100" w:beforeAutospacing="1" w:after="100" w:afterAutospacing="1"/>
    </w:pPr>
    <w:rPr>
      <w:rFonts w:ascii="Times New Roman" w:hAnsi="Times New Roman" w:eastAsia="宋体" w:cs="Times New Roman"/>
      <w:sz w:val="24"/>
      <w:szCs w:val="24"/>
      <w:lang w:val="en-US" w:eastAsia="zh-CN" w:bidi="ar-SA"/>
    </w:rPr>
  </w:style>
  <w:style w:type="table" w:styleId="13">
    <w:name w:val="Table Grid"/>
    <w:basedOn w:val="12"/>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page number"/>
    <w:unhideWhenUsed/>
    <w:qFormat/>
    <w:uiPriority w:val="99"/>
  </w:style>
  <w:style w:type="character" w:styleId="16">
    <w:name w:val="Hyperlink"/>
    <w:unhideWhenUsed/>
    <w:qFormat/>
    <w:uiPriority w:val="99"/>
    <w:rPr>
      <w:color w:val="0000FF"/>
      <w:u w:val="single"/>
    </w:rPr>
  </w:style>
  <w:style w:type="character" w:styleId="17">
    <w:name w:val="footnote reference"/>
    <w:basedOn w:val="14"/>
    <w:unhideWhenUsed/>
    <w:qFormat/>
    <w:uiPriority w:val="99"/>
    <w:rPr>
      <w:vertAlign w:val="superscript"/>
    </w:rPr>
  </w:style>
  <w:style w:type="character" w:customStyle="1" w:styleId="18">
    <w:name w:val="标题 1 字符"/>
    <w:link w:val="3"/>
    <w:qFormat/>
    <w:uiPriority w:val="0"/>
    <w:rPr>
      <w:rFonts w:hint="default" w:ascii="Times New Roman" w:hAnsi="Times New Roman" w:cs="Times New Roman"/>
      <w:b/>
      <w:kern w:val="44"/>
      <w:sz w:val="44"/>
      <w:szCs w:val="44"/>
    </w:rPr>
  </w:style>
  <w:style w:type="character" w:customStyle="1" w:styleId="19">
    <w:name w:val="标题 2 字符"/>
    <w:link w:val="4"/>
    <w:qFormat/>
    <w:uiPriority w:val="0"/>
    <w:rPr>
      <w:rFonts w:hint="default" w:ascii="Cambria" w:hAnsi="Cambria" w:eastAsia="Cambria" w:cs="Cambria"/>
      <w:b/>
      <w:kern w:val="2"/>
      <w:sz w:val="32"/>
      <w:szCs w:val="32"/>
    </w:rPr>
  </w:style>
  <w:style w:type="character" w:customStyle="1" w:styleId="20">
    <w:name w:val="页脚 字符"/>
    <w:link w:val="8"/>
    <w:qFormat/>
    <w:uiPriority w:val="0"/>
    <w:rPr>
      <w:kern w:val="2"/>
      <w:sz w:val="18"/>
      <w:szCs w:val="22"/>
    </w:rPr>
  </w:style>
  <w:style w:type="character" w:customStyle="1" w:styleId="21">
    <w:name w:val="页眉 字符"/>
    <w:link w:val="9"/>
    <w:qFormat/>
    <w:uiPriority w:val="0"/>
    <w:rPr>
      <w:kern w:val="2"/>
      <w:sz w:val="18"/>
      <w:szCs w:val="22"/>
    </w:rPr>
  </w:style>
  <w:style w:type="character" w:customStyle="1" w:styleId="22">
    <w:name w:val="页眉 Char"/>
    <w:basedOn w:val="14"/>
    <w:qFormat/>
    <w:uiPriority w:val="0"/>
    <w:rPr>
      <w:kern w:val="2"/>
      <w:sz w:val="18"/>
      <w:szCs w:val="22"/>
    </w:rPr>
  </w:style>
  <w:style w:type="character" w:customStyle="1" w:styleId="23">
    <w:name w:val="页脚 Char"/>
    <w:basedOn w:val="14"/>
    <w:qFormat/>
    <w:uiPriority w:val="0"/>
    <w:rPr>
      <w:kern w:val="2"/>
      <w:sz w:val="18"/>
      <w:szCs w:val="22"/>
    </w:rPr>
  </w:style>
  <w:style w:type="character" w:customStyle="1" w:styleId="24">
    <w:name w:val="font31"/>
    <w:basedOn w:val="14"/>
    <w:qFormat/>
    <w:uiPriority w:val="0"/>
    <w:rPr>
      <w:rFonts w:hint="eastAsia" w:ascii="方正仿宋_GBK" w:hAnsi="方正仿宋_GBK" w:eastAsia="方正仿宋_GBK" w:cs="方正仿宋_GBK"/>
      <w:color w:val="000000"/>
      <w:sz w:val="28"/>
      <w:szCs w:val="28"/>
      <w:u w:val="none"/>
    </w:rPr>
  </w:style>
  <w:style w:type="character" w:customStyle="1" w:styleId="25">
    <w:name w:val="font91"/>
    <w:basedOn w:val="14"/>
    <w:qFormat/>
    <w:uiPriority w:val="0"/>
    <w:rPr>
      <w:rFonts w:hint="default" w:ascii="Times New Roman" w:hAnsi="Times New Roman" w:cs="Times New Roman"/>
      <w:color w:val="000000"/>
      <w:sz w:val="28"/>
      <w:szCs w:val="28"/>
      <w:u w:val="single"/>
    </w:rPr>
  </w:style>
  <w:style w:type="character" w:customStyle="1" w:styleId="26">
    <w:name w:val="font101"/>
    <w:basedOn w:val="14"/>
    <w:qFormat/>
    <w:uiPriority w:val="0"/>
    <w:rPr>
      <w:rFonts w:hint="default" w:ascii="Times New Roman" w:hAnsi="Times New Roman" w:cs="Times New Roman"/>
      <w:color w:val="000000"/>
      <w:sz w:val="28"/>
      <w:szCs w:val="28"/>
      <w:u w:val="none"/>
    </w:rPr>
  </w:style>
  <w:style w:type="character" w:customStyle="1" w:styleId="27">
    <w:name w:val="font71"/>
    <w:basedOn w:val="14"/>
    <w:qFormat/>
    <w:uiPriority w:val="0"/>
    <w:rPr>
      <w:rFonts w:hint="eastAsia" w:ascii="方正仿宋_GBK" w:hAnsi="方正仿宋_GBK" w:eastAsia="方正仿宋_GBK" w:cs="方正仿宋_GBK"/>
      <w:b/>
      <w:bCs/>
      <w:color w:val="000000"/>
      <w:sz w:val="24"/>
      <w:szCs w:val="24"/>
      <w:u w:val="none"/>
    </w:rPr>
  </w:style>
  <w:style w:type="character" w:customStyle="1" w:styleId="28">
    <w:name w:val="font111"/>
    <w:basedOn w:val="14"/>
    <w:qFormat/>
    <w:uiPriority w:val="0"/>
    <w:rPr>
      <w:rFonts w:hint="default" w:ascii="Times New Roman" w:hAnsi="Times New Roman" w:cs="Times New Roman"/>
      <w:b/>
      <w:bCs/>
      <w:color w:val="000000"/>
      <w:sz w:val="24"/>
      <w:szCs w:val="24"/>
      <w:u w:val="none"/>
    </w:rPr>
  </w:style>
  <w:style w:type="character" w:customStyle="1" w:styleId="29">
    <w:name w:val="font61"/>
    <w:basedOn w:val="14"/>
    <w:qFormat/>
    <w:uiPriority w:val="0"/>
    <w:rPr>
      <w:rFonts w:hint="eastAsia" w:ascii="方正仿宋_GBK" w:hAnsi="方正仿宋_GBK" w:eastAsia="方正仿宋_GBK" w:cs="方正仿宋_GBK"/>
      <w:color w:val="000000"/>
      <w:sz w:val="24"/>
      <w:szCs w:val="24"/>
      <w:u w:val="none"/>
    </w:rPr>
  </w:style>
  <w:style w:type="character" w:customStyle="1" w:styleId="30">
    <w:name w:val="font81"/>
    <w:basedOn w:val="14"/>
    <w:qFormat/>
    <w:uiPriority w:val="0"/>
    <w:rPr>
      <w:rFonts w:hint="default" w:ascii="Times New Roman" w:hAnsi="Times New Roman" w:cs="Times New Roman"/>
      <w:color w:val="000000"/>
      <w:sz w:val="24"/>
      <w:szCs w:val="24"/>
      <w:u w:val="none"/>
    </w:rPr>
  </w:style>
  <w:style w:type="character" w:customStyle="1" w:styleId="31">
    <w:name w:val="font51"/>
    <w:basedOn w:val="14"/>
    <w:qFormat/>
    <w:uiPriority w:val="0"/>
    <w:rPr>
      <w:rFonts w:hint="eastAsia" w:ascii="方正仿宋_GBK" w:hAnsi="方正仿宋_GBK" w:eastAsia="方正仿宋_GBK" w:cs="方正仿宋_GBK"/>
      <w:color w:val="000000"/>
      <w:sz w:val="24"/>
      <w:szCs w:val="24"/>
      <w:u w:val="none"/>
    </w:rPr>
  </w:style>
  <w:style w:type="character" w:customStyle="1" w:styleId="32">
    <w:name w:val="font21"/>
    <w:basedOn w:val="14"/>
    <w:qFormat/>
    <w:uiPriority w:val="0"/>
    <w:rPr>
      <w:rFonts w:hint="eastAsia" w:ascii="方正仿宋_GBK" w:hAnsi="方正仿宋_GBK" w:eastAsia="方正仿宋_GBK" w:cs="方正仿宋_GBK"/>
      <w:color w:val="000000"/>
      <w:sz w:val="24"/>
      <w:szCs w:val="24"/>
      <w:u w:val="none"/>
    </w:rPr>
  </w:style>
  <w:style w:type="character" w:customStyle="1" w:styleId="33">
    <w:name w:val="font112"/>
    <w:basedOn w:val="14"/>
    <w:qFormat/>
    <w:uiPriority w:val="0"/>
    <w:rPr>
      <w:rFonts w:hint="default" w:ascii="Times New Roman" w:hAnsi="Times New Roman" w:cs="Times New Roman"/>
      <w:color w:val="000000"/>
      <w:sz w:val="24"/>
      <w:szCs w:val="24"/>
      <w:u w:val="none"/>
    </w:rPr>
  </w:style>
  <w:style w:type="table" w:customStyle="1" w:styleId="34">
    <w:name w:val="Table Normal"/>
    <w:unhideWhenUsed/>
    <w:qFormat/>
    <w:uiPriority w:val="0"/>
    <w:tblPr>
      <w:tblCellMar>
        <w:top w:w="0" w:type="dxa"/>
        <w:left w:w="0" w:type="dxa"/>
        <w:bottom w:w="0" w:type="dxa"/>
        <w:right w:w="0" w:type="dxa"/>
      </w:tblCellMar>
    </w:tblPr>
  </w:style>
  <w:style w:type="paragraph" w:customStyle="1" w:styleId="35">
    <w:name w:val="_Style 1"/>
    <w:basedOn w:val="1"/>
    <w:qFormat/>
    <w:uiPriority w:val="34"/>
    <w:pPr>
      <w:ind w:firstLine="420" w:firstLineChars="200"/>
    </w:pPr>
    <w:rPr>
      <w:rFonts w:ascii="Calibri" w:hAnsi="Calibri"/>
      <w:szCs w:val="22"/>
    </w:rPr>
  </w:style>
  <w:style w:type="paragraph" w:customStyle="1" w:styleId="36">
    <w:name w:val="1.Text"/>
    <w:basedOn w:val="1"/>
    <w:qFormat/>
    <w:uiPriority w:val="0"/>
    <w:pPr>
      <w:autoSpaceDE w:val="0"/>
      <w:adjustRightInd w:val="0"/>
      <w:snapToGrid w:val="0"/>
      <w:spacing w:before="50" w:line="360" w:lineRule="auto"/>
      <w:ind w:firstLine="200" w:firstLineChars="200"/>
    </w:pPr>
    <w:rPr>
      <w:rFonts w:ascii="宋体" w:hAnsi="宋体"/>
      <w:snapToGrid w:val="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33</Pages>
  <Words>17357</Words>
  <Characters>17507</Characters>
  <Lines>1</Lines>
  <Paragraphs>1</Paragraphs>
  <TotalTime>1</TotalTime>
  <ScaleCrop>false</ScaleCrop>
  <LinksUpToDate>false</LinksUpToDate>
  <CharactersWithSpaces>17912</CharactersWithSpaces>
  <Application>WPS Office_11.8.2.10533_F1E327BC-269C-435d-A152-05C5408002CA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2017-07-09T12:03:00Z</dcterms:created>
  <dc:creator>管理员</dc:creator>
  <cp:lastModifiedBy>cqyih</cp:lastModifiedBy>
  <cp:lastPrinted>2025-12-17T12:03:00Z</cp:lastPrinted>
  <dcterms:modified xsi:type="dcterms:W3CDTF">2026-09-28T14:55:02Z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2052-11.8.2.10533</vt:lpwstr>
  </property>
  <property fmtid="{D5CDD505-2E9C-101B-9397-08002B2CF9AE}" pid="3" name="ICV">
    <vt:lpwstr>475C69FA70C241FD8DE2E0EFAF432C06</vt:lpwstr>
  </property>
  <property fmtid="{D5CDD505-2E9C-101B-9397-08002B2CF9AE}" pid="4" name="KSOTemplateDocerSaveRecord">
    <vt:lpwstr>eyJoZGlkIjoiYjI0MmQzZmZjMDhiZGM5OWIyZGUwM2VkZDljZjU4ZTUiLCJ1c2VySWQiOiIxNDkxMTY1MjY1In0=</vt:lpwstr>
  </property>
</Properties>
</file>