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cs="宋体"/>
          <w:b/>
          <w:color w:val="auto"/>
          <w:spacing w:val="-4"/>
          <w:sz w:val="52"/>
          <w:szCs w:val="52"/>
          <w:highlight w:val="none"/>
        </w:rPr>
      </w:pPr>
    </w:p>
    <w:p>
      <w:pPr>
        <w:jc w:val="center"/>
        <w:rPr>
          <w:rFonts w:ascii="宋体" w:hAnsi="宋体" w:cs="宋体"/>
          <w:b/>
          <w:color w:val="auto"/>
          <w:spacing w:val="-4"/>
          <w:sz w:val="56"/>
          <w:szCs w:val="56"/>
          <w:highlight w:val="none"/>
        </w:rPr>
      </w:pPr>
    </w:p>
    <w:p>
      <w:pPr>
        <w:pStyle w:val="9"/>
        <w:spacing w:line="360" w:lineRule="auto"/>
        <w:ind w:firstLine="0" w:firstLineChars="0"/>
        <w:jc w:val="center"/>
        <w:outlineLvl w:val="0"/>
        <w:rPr>
          <w:rFonts w:ascii="宋体" w:hAnsi="宋体" w:cs="宋体"/>
          <w:b/>
          <w:color w:val="auto"/>
          <w:sz w:val="56"/>
          <w:szCs w:val="56"/>
          <w:highlight w:val="none"/>
        </w:rPr>
      </w:pPr>
      <w:r>
        <w:rPr>
          <w:rFonts w:hint="eastAsia" w:ascii="宋体" w:hAnsi="宋体" w:cs="宋体"/>
          <w:b/>
          <w:color w:val="auto"/>
          <w:sz w:val="56"/>
          <w:szCs w:val="56"/>
          <w:highlight w:val="none"/>
        </w:rPr>
        <w:t>云能（曲靖）综合能源服务有限公司</w:t>
      </w:r>
    </w:p>
    <w:p>
      <w:pPr>
        <w:jc w:val="center"/>
        <w:rPr>
          <w:rFonts w:ascii="宋体" w:hAnsi="宋体" w:cs="宋体"/>
          <w:b/>
          <w:color w:val="auto"/>
          <w:spacing w:val="-4"/>
          <w:sz w:val="44"/>
          <w:szCs w:val="44"/>
          <w:highlight w:val="none"/>
        </w:rPr>
      </w:pPr>
    </w:p>
    <w:p>
      <w:pPr>
        <w:pStyle w:val="9"/>
        <w:spacing w:line="360" w:lineRule="auto"/>
        <w:ind w:firstLine="0" w:firstLineChars="0"/>
        <w:jc w:val="center"/>
        <w:outlineLvl w:val="0"/>
        <w:rPr>
          <w:rFonts w:ascii="宋体" w:hAnsi="宋体" w:cs="宋体"/>
          <w:b/>
          <w:color w:val="auto"/>
          <w:sz w:val="44"/>
          <w:szCs w:val="44"/>
          <w:highlight w:val="none"/>
        </w:rPr>
      </w:pPr>
      <w:r>
        <w:rPr>
          <w:rFonts w:hint="eastAsia" w:ascii="宋体" w:hAnsi="宋体" w:cs="宋体"/>
          <w:b/>
          <w:color w:val="auto"/>
          <w:sz w:val="36"/>
          <w:szCs w:val="36"/>
          <w:highlight w:val="none"/>
        </w:rPr>
        <w:t>白水风电场项目、麒麟北风电场（二期）项目地形图测绘及可研报告编制咨询服务</w:t>
      </w:r>
    </w:p>
    <w:p>
      <w:pPr>
        <w:jc w:val="center"/>
        <w:rPr>
          <w:rFonts w:ascii="宋体" w:hAnsi="宋体" w:cs="宋体"/>
          <w:b/>
          <w:color w:val="auto"/>
          <w:sz w:val="44"/>
          <w:szCs w:val="44"/>
          <w:highlight w:val="none"/>
        </w:rPr>
      </w:pPr>
    </w:p>
    <w:p>
      <w:pPr>
        <w:jc w:val="center"/>
        <w:rPr>
          <w:rFonts w:ascii="宋体" w:hAnsi="宋体" w:cs="宋体"/>
          <w:b/>
          <w:color w:val="auto"/>
          <w:sz w:val="44"/>
          <w:szCs w:val="44"/>
          <w:highlight w:val="none"/>
        </w:rPr>
      </w:pPr>
    </w:p>
    <w:p>
      <w:pPr>
        <w:jc w:val="center"/>
        <w:rPr>
          <w:rFonts w:ascii="宋体" w:hAnsi="宋体" w:cs="宋体"/>
          <w:b/>
          <w:color w:val="auto"/>
          <w:sz w:val="44"/>
          <w:szCs w:val="44"/>
          <w:highlight w:val="none"/>
        </w:rPr>
      </w:pPr>
    </w:p>
    <w:p>
      <w:pPr>
        <w:ind w:right="-283"/>
        <w:jc w:val="center"/>
        <w:rPr>
          <w:rFonts w:ascii="宋体" w:hAnsi="宋体" w:cs="宋体"/>
          <w:b/>
          <w:color w:val="auto"/>
          <w:sz w:val="72"/>
          <w:szCs w:val="72"/>
          <w:highlight w:val="none"/>
        </w:rPr>
      </w:pPr>
      <w:r>
        <w:rPr>
          <w:rFonts w:hint="eastAsia" w:ascii="宋体" w:hAnsi="宋体" w:cs="宋体"/>
          <w:b/>
          <w:color w:val="auto"/>
          <w:sz w:val="72"/>
          <w:szCs w:val="72"/>
          <w:highlight w:val="none"/>
        </w:rPr>
        <w:t>询价采购文件</w:t>
      </w:r>
    </w:p>
    <w:p>
      <w:pPr>
        <w:spacing w:line="360" w:lineRule="auto"/>
        <w:jc w:val="center"/>
        <w:rPr>
          <w:rFonts w:ascii="宋体" w:hAnsi="宋体" w:cs="宋体"/>
          <w:b/>
          <w:color w:val="auto"/>
          <w:sz w:val="32"/>
          <w:highlight w:val="none"/>
        </w:rPr>
      </w:pPr>
    </w:p>
    <w:p>
      <w:pPr>
        <w:spacing w:line="360" w:lineRule="auto"/>
        <w:jc w:val="center"/>
        <w:rPr>
          <w:rFonts w:ascii="宋体" w:hAnsi="宋体" w:cs="宋体"/>
          <w:b/>
          <w:color w:val="auto"/>
          <w:sz w:val="32"/>
          <w:highlight w:val="none"/>
        </w:rPr>
      </w:pPr>
    </w:p>
    <w:p>
      <w:pPr>
        <w:spacing w:line="360" w:lineRule="auto"/>
        <w:jc w:val="center"/>
        <w:rPr>
          <w:rFonts w:ascii="宋体" w:hAnsi="宋体" w:cs="宋体"/>
          <w:b/>
          <w:color w:val="auto"/>
          <w:sz w:val="32"/>
          <w:highlight w:val="none"/>
        </w:rPr>
      </w:pPr>
    </w:p>
    <w:p>
      <w:pPr>
        <w:spacing w:line="360" w:lineRule="auto"/>
        <w:ind w:firstLine="2811" w:firstLineChars="1000"/>
        <w:rPr>
          <w:rFonts w:ascii="宋体" w:hAnsi="宋体" w:cs="宋体"/>
          <w:b/>
          <w:color w:val="auto"/>
          <w:sz w:val="32"/>
          <w:highlight w:val="none"/>
        </w:rPr>
      </w:pPr>
      <w:r>
        <w:rPr>
          <w:rFonts w:hint="eastAsia" w:ascii="宋体" w:hAnsi="宋体" w:cs="宋体"/>
          <w:b/>
          <w:color w:val="auto"/>
          <w:sz w:val="28"/>
          <w:highlight w:val="none"/>
        </w:rPr>
        <w:t>项目编号:SRC2610130018</w:t>
      </w:r>
    </w:p>
    <w:p>
      <w:pPr>
        <w:spacing w:line="360" w:lineRule="auto"/>
        <w:jc w:val="center"/>
        <w:rPr>
          <w:rFonts w:ascii="宋体" w:hAnsi="宋体" w:cs="宋体"/>
          <w:b/>
          <w:color w:val="auto"/>
          <w:sz w:val="32"/>
          <w:highlight w:val="none"/>
        </w:rPr>
      </w:pPr>
    </w:p>
    <w:p>
      <w:pPr>
        <w:spacing w:line="360" w:lineRule="auto"/>
        <w:jc w:val="center"/>
        <w:rPr>
          <w:rFonts w:ascii="宋体" w:hAnsi="宋体" w:cs="宋体"/>
          <w:b/>
          <w:color w:val="auto"/>
          <w:sz w:val="32"/>
          <w:highlight w:val="none"/>
        </w:rPr>
      </w:pPr>
    </w:p>
    <w:p>
      <w:pPr>
        <w:spacing w:line="360" w:lineRule="auto"/>
        <w:jc w:val="center"/>
        <w:rPr>
          <w:rFonts w:ascii="宋体" w:hAnsi="宋体" w:cs="宋体"/>
          <w:b/>
          <w:color w:val="auto"/>
          <w:sz w:val="32"/>
          <w:highlight w:val="none"/>
        </w:rPr>
      </w:pPr>
    </w:p>
    <w:p>
      <w:pPr>
        <w:spacing w:line="360" w:lineRule="auto"/>
        <w:jc w:val="center"/>
        <w:rPr>
          <w:rFonts w:ascii="宋体" w:hAnsi="宋体" w:cs="宋体"/>
          <w:b/>
          <w:color w:val="auto"/>
          <w:sz w:val="32"/>
          <w:highlight w:val="none"/>
        </w:rPr>
      </w:pPr>
    </w:p>
    <w:p>
      <w:pPr>
        <w:spacing w:line="360" w:lineRule="auto"/>
        <w:rPr>
          <w:rFonts w:ascii="宋体" w:hAnsi="宋体" w:cs="宋体"/>
          <w:b/>
          <w:color w:val="auto"/>
          <w:sz w:val="32"/>
          <w:highlight w:val="none"/>
        </w:rPr>
      </w:pPr>
    </w:p>
    <w:p>
      <w:pPr>
        <w:spacing w:line="360" w:lineRule="auto"/>
        <w:jc w:val="center"/>
        <w:rPr>
          <w:rFonts w:ascii="宋体" w:hAnsi="宋体" w:cs="宋体"/>
          <w:b/>
          <w:color w:val="auto"/>
          <w:sz w:val="32"/>
          <w:highlight w:val="none"/>
        </w:rPr>
      </w:pPr>
    </w:p>
    <w:p>
      <w:pPr>
        <w:spacing w:line="360" w:lineRule="auto"/>
        <w:jc w:val="center"/>
        <w:rPr>
          <w:rFonts w:ascii="宋体" w:hAnsi="宋体" w:cs="宋体"/>
          <w:b/>
          <w:color w:val="auto"/>
          <w:sz w:val="32"/>
          <w:highlight w:val="none"/>
        </w:rPr>
      </w:pPr>
      <w:r>
        <w:rPr>
          <w:rFonts w:hint="eastAsia" w:ascii="宋体" w:hAnsi="宋体" w:cs="宋体"/>
          <w:b/>
          <w:color w:val="auto"/>
          <w:sz w:val="32"/>
          <w:highlight w:val="none"/>
        </w:rPr>
        <w:t>采 购 人：云能（曲靖）综合能源服务有限公司</w:t>
      </w:r>
    </w:p>
    <w:p>
      <w:pPr>
        <w:spacing w:line="360" w:lineRule="auto"/>
        <w:jc w:val="center"/>
        <w:rPr>
          <w:rFonts w:ascii="宋体" w:hAnsi="宋体" w:cs="宋体"/>
          <w:b/>
          <w:color w:val="auto"/>
          <w:sz w:val="32"/>
          <w:highlight w:val="none"/>
        </w:rPr>
      </w:pPr>
      <w:r>
        <w:rPr>
          <w:rFonts w:hint="eastAsia" w:ascii="宋体" w:hAnsi="宋体" w:cs="宋体"/>
          <w:b/>
          <w:color w:val="auto"/>
          <w:sz w:val="32"/>
          <w:highlight w:val="none"/>
        </w:rPr>
        <w:t>二○二六年</w:t>
      </w:r>
      <w:r>
        <w:rPr>
          <w:rFonts w:hint="eastAsia" w:ascii="宋体" w:hAnsi="宋体" w:cs="宋体"/>
          <w:b/>
          <w:color w:val="auto"/>
          <w:sz w:val="32"/>
          <w:highlight w:val="none"/>
          <w:lang w:val="en-US" w:eastAsia="zh-CN"/>
        </w:rPr>
        <w:t>十</w:t>
      </w:r>
      <w:r>
        <w:rPr>
          <w:rFonts w:hint="eastAsia" w:ascii="宋体" w:hAnsi="宋体" w:cs="宋体"/>
          <w:b/>
          <w:color w:val="auto"/>
          <w:sz w:val="32"/>
          <w:highlight w:val="none"/>
        </w:rPr>
        <w:t>月</w:t>
      </w:r>
    </w:p>
    <w:p>
      <w:pPr>
        <w:jc w:val="center"/>
        <w:rPr>
          <w:rFonts w:ascii="宋体" w:hAnsi="宋体" w:cs="宋体"/>
          <w:b/>
          <w:color w:val="auto"/>
          <w:sz w:val="44"/>
          <w:szCs w:val="44"/>
          <w:highlight w:val="none"/>
        </w:rPr>
        <w:sectPr>
          <w:headerReference r:id="rId3" w:type="default"/>
          <w:footerReference r:id="rId4" w:type="default"/>
          <w:pgSz w:w="11906" w:h="16838"/>
          <w:pgMar w:top="1134" w:right="1134" w:bottom="1134" w:left="1134" w:header="454" w:footer="454" w:gutter="0"/>
          <w:pgNumType w:start="2"/>
          <w:cols w:space="720" w:num="1"/>
          <w:titlePg/>
          <w:docGrid w:linePitch="312" w:charSpace="0"/>
        </w:sectPr>
      </w:pPr>
    </w:p>
    <w:p>
      <w:pPr>
        <w:keepNext/>
        <w:keepLines/>
        <w:spacing w:before="260" w:after="260" w:line="416" w:lineRule="auto"/>
        <w:jc w:val="center"/>
        <w:outlineLvl w:val="1"/>
        <w:rPr>
          <w:rFonts w:ascii="宋体" w:hAnsi="宋体" w:cs="宋体"/>
          <w:b/>
          <w:bCs/>
          <w:color w:val="auto"/>
          <w:kern w:val="0"/>
          <w:sz w:val="32"/>
          <w:szCs w:val="21"/>
          <w:highlight w:val="none"/>
        </w:rPr>
      </w:pPr>
      <w:bookmarkStart w:id="0" w:name="_Toc13027"/>
      <w:bookmarkStart w:id="1" w:name="_Toc511655893"/>
      <w:bookmarkStart w:id="2" w:name="_Toc517219745"/>
      <w:bookmarkStart w:id="3" w:name="_Toc8682"/>
      <w:bookmarkStart w:id="4" w:name="_Toc14580"/>
      <w:r>
        <w:rPr>
          <w:rFonts w:hint="eastAsia" w:ascii="宋体" w:hAnsi="宋体" w:cs="宋体"/>
          <w:b/>
          <w:bCs/>
          <w:color w:val="auto"/>
          <w:kern w:val="0"/>
          <w:sz w:val="32"/>
          <w:szCs w:val="21"/>
          <w:highlight w:val="none"/>
        </w:rPr>
        <w:t>报价表</w:t>
      </w:r>
      <w:bookmarkEnd w:id="0"/>
      <w:bookmarkEnd w:id="1"/>
      <w:bookmarkEnd w:id="2"/>
      <w:bookmarkEnd w:id="3"/>
      <w:bookmarkEnd w:id="4"/>
    </w:p>
    <w:p>
      <w:pPr>
        <w:autoSpaceDE w:val="0"/>
        <w:autoSpaceDN w:val="0"/>
        <w:adjustRightInd w:val="0"/>
        <w:spacing w:line="500" w:lineRule="exact"/>
        <w:ind w:left="1679" w:leftChars="228" w:right="244" w:hanging="1200" w:hangingChars="500"/>
        <w:rPr>
          <w:color w:val="auto"/>
          <w:sz w:val="24"/>
          <w:szCs w:val="24"/>
          <w:highlight w:val="none"/>
        </w:rPr>
      </w:pPr>
      <w:r>
        <w:rPr>
          <w:rFonts w:hint="eastAsia"/>
          <w:color w:val="auto"/>
          <w:sz w:val="24"/>
          <w:szCs w:val="24"/>
          <w:highlight w:val="none"/>
        </w:rPr>
        <w:t xml:space="preserve">项目名称：白水风电场项目、麒麟北风电场（二期）项目地形图测绘及可研报告编制咨询服务项目                               </w:t>
      </w:r>
    </w:p>
    <w:p>
      <w:pPr>
        <w:autoSpaceDE w:val="0"/>
        <w:autoSpaceDN w:val="0"/>
        <w:adjustRightInd w:val="0"/>
        <w:spacing w:line="500" w:lineRule="exact"/>
        <w:ind w:right="244"/>
        <w:rPr>
          <w:color w:val="auto"/>
          <w:sz w:val="24"/>
          <w:szCs w:val="24"/>
          <w:highlight w:val="none"/>
        </w:rPr>
      </w:pPr>
      <w:r>
        <w:rPr>
          <w:rFonts w:hint="eastAsia"/>
          <w:color w:val="auto"/>
          <w:sz w:val="24"/>
          <w:szCs w:val="24"/>
          <w:highlight w:val="none"/>
        </w:rPr>
        <w:t xml:space="preserve">    项目编号：SRC2610130018</w:t>
      </w:r>
    </w:p>
    <w:tbl>
      <w:tblPr>
        <w:tblStyle w:val="21"/>
        <w:tblW w:w="85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1"/>
        <w:gridCol w:w="2975"/>
        <w:gridCol w:w="2430"/>
        <w:gridCol w:w="26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vMerge w:val="restart"/>
            <w:tcBorders>
              <w:top w:val="single" w:color="auto" w:sz="4" w:space="0"/>
              <w:left w:val="single" w:color="auto" w:sz="4" w:space="0"/>
              <w:bottom w:val="single" w:color="auto" w:sz="4" w:space="0"/>
              <w:right w:val="single" w:color="auto" w:sz="4" w:space="0"/>
            </w:tcBorders>
            <w:vAlign w:val="center"/>
          </w:tcPr>
          <w:p>
            <w:pPr>
              <w:jc w:val="center"/>
              <w:rPr>
                <w:color w:val="auto"/>
                <w:sz w:val="24"/>
                <w:szCs w:val="24"/>
                <w:highlight w:val="none"/>
              </w:rPr>
            </w:pPr>
            <w:r>
              <w:rPr>
                <w:rFonts w:hint="eastAsia"/>
                <w:color w:val="auto"/>
                <w:sz w:val="24"/>
                <w:szCs w:val="24"/>
                <w:highlight w:val="none"/>
              </w:rPr>
              <w:t>序号</w:t>
            </w:r>
          </w:p>
        </w:tc>
        <w:tc>
          <w:tcPr>
            <w:tcW w:w="2975" w:type="dxa"/>
            <w:vMerge w:val="restart"/>
            <w:tcBorders>
              <w:top w:val="single" w:color="auto" w:sz="4" w:space="0"/>
              <w:left w:val="single" w:color="auto" w:sz="4" w:space="0"/>
              <w:bottom w:val="single" w:color="auto" w:sz="4" w:space="0"/>
              <w:right w:val="single" w:color="auto" w:sz="4" w:space="0"/>
            </w:tcBorders>
            <w:vAlign w:val="center"/>
          </w:tcPr>
          <w:p>
            <w:pPr>
              <w:jc w:val="center"/>
              <w:rPr>
                <w:color w:val="auto"/>
                <w:sz w:val="24"/>
                <w:szCs w:val="24"/>
                <w:highlight w:val="none"/>
              </w:rPr>
            </w:pPr>
            <w:r>
              <w:rPr>
                <w:rFonts w:hint="eastAsia"/>
                <w:color w:val="auto"/>
                <w:sz w:val="24"/>
                <w:szCs w:val="24"/>
                <w:highlight w:val="none"/>
              </w:rPr>
              <w:t>项    目</w:t>
            </w:r>
          </w:p>
        </w:tc>
        <w:tc>
          <w:tcPr>
            <w:tcW w:w="5048" w:type="dxa"/>
            <w:gridSpan w:val="2"/>
            <w:tcBorders>
              <w:top w:val="single" w:color="auto" w:sz="4" w:space="0"/>
              <w:left w:val="single" w:color="auto" w:sz="4" w:space="0"/>
              <w:bottom w:val="single" w:color="auto" w:sz="4" w:space="0"/>
              <w:right w:val="single" w:color="auto" w:sz="4" w:space="0"/>
            </w:tcBorders>
            <w:vAlign w:val="center"/>
          </w:tcPr>
          <w:p>
            <w:pPr>
              <w:ind w:firstLine="240" w:firstLineChars="100"/>
              <w:jc w:val="center"/>
              <w:rPr>
                <w:color w:val="auto"/>
                <w:sz w:val="24"/>
                <w:szCs w:val="24"/>
                <w:highlight w:val="none"/>
              </w:rPr>
            </w:pPr>
            <w:r>
              <w:rPr>
                <w:rFonts w:hint="eastAsia"/>
                <w:color w:val="auto"/>
                <w:sz w:val="24"/>
                <w:szCs w:val="24"/>
                <w:highlight w:val="none"/>
              </w:rPr>
              <w:t>金     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vMerge w:val="continue"/>
            <w:vAlign w:val="center"/>
          </w:tcPr>
          <w:p>
            <w:pPr>
              <w:jc w:val="center"/>
              <w:rPr>
                <w:bCs/>
                <w:color w:val="auto"/>
                <w:sz w:val="24"/>
                <w:szCs w:val="24"/>
                <w:highlight w:val="none"/>
              </w:rPr>
            </w:pPr>
          </w:p>
        </w:tc>
        <w:tc>
          <w:tcPr>
            <w:tcW w:w="2975" w:type="dxa"/>
            <w:vMerge w:val="continue"/>
            <w:vAlign w:val="center"/>
          </w:tcPr>
          <w:p>
            <w:pPr>
              <w:jc w:val="center"/>
              <w:rPr>
                <w:b/>
                <w:color w:val="auto"/>
                <w:sz w:val="24"/>
                <w:szCs w:val="24"/>
                <w:highlight w:val="none"/>
              </w:rPr>
            </w:pPr>
          </w:p>
        </w:tc>
        <w:tc>
          <w:tcPr>
            <w:tcW w:w="2430" w:type="dxa"/>
            <w:vAlign w:val="center"/>
          </w:tcPr>
          <w:p>
            <w:pPr>
              <w:jc w:val="center"/>
              <w:rPr>
                <w:bCs/>
                <w:color w:val="auto"/>
                <w:sz w:val="24"/>
                <w:szCs w:val="24"/>
                <w:highlight w:val="none"/>
              </w:rPr>
            </w:pPr>
            <w:r>
              <w:rPr>
                <w:rFonts w:hint="eastAsia"/>
                <w:bCs/>
                <w:color w:val="auto"/>
                <w:sz w:val="24"/>
                <w:szCs w:val="24"/>
                <w:highlight w:val="none"/>
              </w:rPr>
              <w:t>小 写</w:t>
            </w:r>
          </w:p>
        </w:tc>
        <w:tc>
          <w:tcPr>
            <w:tcW w:w="2618" w:type="dxa"/>
            <w:vAlign w:val="center"/>
          </w:tcPr>
          <w:p>
            <w:pPr>
              <w:jc w:val="center"/>
              <w:rPr>
                <w:bCs/>
                <w:color w:val="auto"/>
                <w:sz w:val="24"/>
                <w:szCs w:val="24"/>
                <w:highlight w:val="none"/>
              </w:rPr>
            </w:pPr>
            <w:r>
              <w:rPr>
                <w:rFonts w:hint="eastAsia"/>
                <w:bCs/>
                <w:color w:val="auto"/>
                <w:sz w:val="24"/>
                <w:szCs w:val="24"/>
                <w:highlight w:val="none"/>
              </w:rPr>
              <w:t>大 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tcBorders>
              <w:bottom w:val="single" w:color="auto" w:sz="4" w:space="0"/>
            </w:tcBorders>
            <w:vAlign w:val="center"/>
          </w:tcPr>
          <w:p>
            <w:pPr>
              <w:jc w:val="center"/>
              <w:rPr>
                <w:bCs/>
                <w:color w:val="auto"/>
                <w:sz w:val="24"/>
                <w:szCs w:val="24"/>
                <w:highlight w:val="none"/>
              </w:rPr>
            </w:pPr>
            <w:r>
              <w:rPr>
                <w:rFonts w:hint="eastAsia"/>
                <w:bCs/>
                <w:color w:val="auto"/>
                <w:sz w:val="24"/>
                <w:szCs w:val="24"/>
                <w:highlight w:val="none"/>
              </w:rPr>
              <w:t>1</w:t>
            </w:r>
          </w:p>
        </w:tc>
        <w:tc>
          <w:tcPr>
            <w:tcW w:w="2975" w:type="dxa"/>
            <w:tcBorders>
              <w:bottom w:val="single" w:color="auto" w:sz="4" w:space="0"/>
            </w:tcBorders>
            <w:vAlign w:val="center"/>
          </w:tcPr>
          <w:p>
            <w:pPr>
              <w:rPr>
                <w:color w:val="auto"/>
                <w:sz w:val="24"/>
                <w:szCs w:val="24"/>
                <w:highlight w:val="none"/>
              </w:rPr>
            </w:pPr>
            <w:r>
              <w:rPr>
                <w:rFonts w:hint="eastAsia"/>
                <w:color w:val="auto"/>
                <w:sz w:val="24"/>
                <w:szCs w:val="24"/>
                <w:highlight w:val="none"/>
              </w:rPr>
              <w:t>含税报价总报价（元）</w:t>
            </w:r>
          </w:p>
        </w:tc>
        <w:tc>
          <w:tcPr>
            <w:tcW w:w="2430" w:type="dxa"/>
            <w:tcBorders>
              <w:bottom w:val="single" w:color="auto" w:sz="4" w:space="0"/>
            </w:tcBorders>
            <w:vAlign w:val="center"/>
          </w:tcPr>
          <w:p>
            <w:pPr>
              <w:jc w:val="center"/>
              <w:rPr>
                <w:b/>
                <w:color w:val="auto"/>
                <w:sz w:val="24"/>
                <w:szCs w:val="24"/>
                <w:highlight w:val="none"/>
              </w:rPr>
            </w:pPr>
          </w:p>
        </w:tc>
        <w:tc>
          <w:tcPr>
            <w:tcW w:w="2618" w:type="dxa"/>
            <w:tcBorders>
              <w:bottom w:val="single" w:color="auto" w:sz="4" w:space="0"/>
            </w:tcBorders>
            <w:vAlign w:val="center"/>
          </w:tcPr>
          <w:p>
            <w:pPr>
              <w:jc w:val="center"/>
              <w:rPr>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vAlign w:val="center"/>
          </w:tcPr>
          <w:p>
            <w:pPr>
              <w:jc w:val="center"/>
              <w:rPr>
                <w:bCs/>
                <w:color w:val="auto"/>
                <w:sz w:val="24"/>
                <w:szCs w:val="24"/>
                <w:highlight w:val="none"/>
              </w:rPr>
            </w:pPr>
            <w:r>
              <w:rPr>
                <w:rFonts w:hint="eastAsia"/>
                <w:bCs/>
                <w:color w:val="auto"/>
                <w:sz w:val="24"/>
                <w:szCs w:val="24"/>
                <w:highlight w:val="none"/>
              </w:rPr>
              <w:t>2</w:t>
            </w:r>
          </w:p>
        </w:tc>
        <w:tc>
          <w:tcPr>
            <w:tcW w:w="2975" w:type="dxa"/>
            <w:vAlign w:val="center"/>
          </w:tcPr>
          <w:p>
            <w:pPr>
              <w:jc w:val="left"/>
              <w:rPr>
                <w:color w:val="auto"/>
                <w:sz w:val="24"/>
                <w:szCs w:val="24"/>
                <w:highlight w:val="none"/>
              </w:rPr>
            </w:pPr>
            <w:r>
              <w:rPr>
                <w:rFonts w:hint="eastAsia"/>
                <w:color w:val="auto"/>
                <w:sz w:val="24"/>
                <w:szCs w:val="24"/>
                <w:highlight w:val="none"/>
              </w:rPr>
              <w:t>税率</w:t>
            </w:r>
          </w:p>
        </w:tc>
        <w:tc>
          <w:tcPr>
            <w:tcW w:w="5048" w:type="dxa"/>
            <w:gridSpan w:val="2"/>
            <w:vAlign w:val="center"/>
          </w:tcPr>
          <w:p>
            <w:pPr>
              <w:jc w:val="center"/>
              <w:rPr>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vAlign w:val="center"/>
          </w:tcPr>
          <w:p>
            <w:pPr>
              <w:jc w:val="center"/>
              <w:rPr>
                <w:bCs/>
                <w:color w:val="auto"/>
                <w:sz w:val="24"/>
                <w:szCs w:val="24"/>
                <w:highlight w:val="none"/>
              </w:rPr>
            </w:pPr>
            <w:r>
              <w:rPr>
                <w:rFonts w:hint="eastAsia"/>
                <w:bCs/>
                <w:color w:val="auto"/>
                <w:sz w:val="24"/>
                <w:szCs w:val="24"/>
                <w:highlight w:val="none"/>
              </w:rPr>
              <w:t>3</w:t>
            </w:r>
          </w:p>
        </w:tc>
        <w:tc>
          <w:tcPr>
            <w:tcW w:w="2975" w:type="dxa"/>
            <w:vAlign w:val="center"/>
          </w:tcPr>
          <w:p>
            <w:pPr>
              <w:rPr>
                <w:color w:val="auto"/>
                <w:sz w:val="24"/>
                <w:szCs w:val="24"/>
                <w:highlight w:val="none"/>
              </w:rPr>
            </w:pPr>
            <w:r>
              <w:rPr>
                <w:rFonts w:hint="eastAsia"/>
                <w:color w:val="auto"/>
                <w:sz w:val="24"/>
                <w:szCs w:val="24"/>
                <w:highlight w:val="none"/>
              </w:rPr>
              <w:t>不含税报价总报价（元）</w:t>
            </w:r>
          </w:p>
        </w:tc>
        <w:tc>
          <w:tcPr>
            <w:tcW w:w="5048" w:type="dxa"/>
            <w:gridSpan w:val="2"/>
            <w:vAlign w:val="center"/>
          </w:tcPr>
          <w:p>
            <w:pPr>
              <w:jc w:val="center"/>
              <w:rPr>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571" w:type="dxa"/>
            <w:vAlign w:val="center"/>
          </w:tcPr>
          <w:p>
            <w:pPr>
              <w:jc w:val="center"/>
              <w:rPr>
                <w:bCs/>
                <w:color w:val="auto"/>
                <w:sz w:val="24"/>
                <w:szCs w:val="24"/>
                <w:highlight w:val="none"/>
              </w:rPr>
            </w:pPr>
            <w:r>
              <w:rPr>
                <w:rFonts w:hint="eastAsia"/>
                <w:bCs/>
                <w:color w:val="auto"/>
                <w:sz w:val="24"/>
                <w:szCs w:val="24"/>
                <w:highlight w:val="none"/>
              </w:rPr>
              <w:t>4</w:t>
            </w:r>
          </w:p>
        </w:tc>
        <w:tc>
          <w:tcPr>
            <w:tcW w:w="2975" w:type="dxa"/>
            <w:vAlign w:val="center"/>
          </w:tcPr>
          <w:p>
            <w:pPr>
              <w:rPr>
                <w:bCs/>
                <w:color w:val="auto"/>
                <w:sz w:val="24"/>
                <w:szCs w:val="24"/>
                <w:highlight w:val="none"/>
              </w:rPr>
            </w:pPr>
            <w:r>
              <w:rPr>
                <w:rFonts w:hint="eastAsia"/>
                <w:color w:val="auto"/>
                <w:sz w:val="24"/>
                <w:szCs w:val="24"/>
                <w:highlight w:val="none"/>
              </w:rPr>
              <w:t>质量承诺</w:t>
            </w:r>
          </w:p>
        </w:tc>
        <w:tc>
          <w:tcPr>
            <w:tcW w:w="5048" w:type="dxa"/>
            <w:gridSpan w:val="2"/>
            <w:vAlign w:val="center"/>
          </w:tcPr>
          <w:p>
            <w:pPr>
              <w:jc w:val="center"/>
              <w:rPr>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vAlign w:val="center"/>
          </w:tcPr>
          <w:p>
            <w:pPr>
              <w:jc w:val="center"/>
              <w:rPr>
                <w:bCs/>
                <w:color w:val="auto"/>
                <w:sz w:val="24"/>
                <w:szCs w:val="24"/>
                <w:highlight w:val="none"/>
              </w:rPr>
            </w:pPr>
            <w:r>
              <w:rPr>
                <w:rFonts w:hint="eastAsia"/>
                <w:bCs/>
                <w:color w:val="auto"/>
                <w:sz w:val="24"/>
                <w:szCs w:val="24"/>
                <w:highlight w:val="none"/>
              </w:rPr>
              <w:t>5</w:t>
            </w:r>
          </w:p>
        </w:tc>
        <w:tc>
          <w:tcPr>
            <w:tcW w:w="2975" w:type="dxa"/>
            <w:vAlign w:val="center"/>
          </w:tcPr>
          <w:p>
            <w:pPr>
              <w:rPr>
                <w:color w:val="auto"/>
                <w:sz w:val="24"/>
                <w:szCs w:val="24"/>
                <w:highlight w:val="none"/>
              </w:rPr>
            </w:pPr>
            <w:r>
              <w:rPr>
                <w:rFonts w:hint="eastAsia"/>
                <w:color w:val="auto"/>
                <w:sz w:val="24"/>
                <w:szCs w:val="24"/>
                <w:highlight w:val="none"/>
              </w:rPr>
              <w:t>工期</w:t>
            </w:r>
          </w:p>
        </w:tc>
        <w:tc>
          <w:tcPr>
            <w:tcW w:w="5048" w:type="dxa"/>
            <w:gridSpan w:val="2"/>
            <w:vAlign w:val="center"/>
          </w:tcPr>
          <w:p>
            <w:pPr>
              <w:jc w:val="center"/>
              <w:rPr>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vAlign w:val="center"/>
          </w:tcPr>
          <w:p>
            <w:pPr>
              <w:jc w:val="center"/>
              <w:rPr>
                <w:bCs/>
                <w:color w:val="auto"/>
                <w:sz w:val="24"/>
                <w:szCs w:val="24"/>
                <w:highlight w:val="none"/>
              </w:rPr>
            </w:pPr>
          </w:p>
        </w:tc>
        <w:tc>
          <w:tcPr>
            <w:tcW w:w="2975" w:type="dxa"/>
            <w:vAlign w:val="center"/>
          </w:tcPr>
          <w:p>
            <w:pPr>
              <w:rPr>
                <w:color w:val="auto"/>
                <w:sz w:val="24"/>
                <w:szCs w:val="24"/>
                <w:highlight w:val="none"/>
              </w:rPr>
            </w:pPr>
          </w:p>
        </w:tc>
        <w:tc>
          <w:tcPr>
            <w:tcW w:w="5048" w:type="dxa"/>
            <w:gridSpan w:val="2"/>
            <w:vAlign w:val="center"/>
          </w:tcPr>
          <w:p>
            <w:pPr>
              <w:jc w:val="center"/>
              <w:rPr>
                <w:b/>
                <w:color w:val="auto"/>
                <w:sz w:val="24"/>
                <w:szCs w:val="24"/>
                <w:highlight w:val="none"/>
              </w:rPr>
            </w:pPr>
          </w:p>
        </w:tc>
      </w:tr>
    </w:tbl>
    <w:p>
      <w:pPr>
        <w:spacing w:before="240"/>
        <w:rPr>
          <w:color w:val="auto"/>
          <w:sz w:val="24"/>
          <w:szCs w:val="24"/>
          <w:highlight w:val="none"/>
        </w:rPr>
      </w:pPr>
    </w:p>
    <w:p>
      <w:pPr>
        <w:spacing w:before="240"/>
        <w:rPr>
          <w:color w:val="auto"/>
          <w:sz w:val="24"/>
          <w:szCs w:val="24"/>
          <w:highlight w:val="none"/>
        </w:rPr>
      </w:pPr>
      <w:r>
        <w:rPr>
          <w:rFonts w:hint="eastAsia"/>
          <w:color w:val="auto"/>
          <w:sz w:val="24"/>
          <w:szCs w:val="24"/>
          <w:highlight w:val="none"/>
        </w:rPr>
        <w:t>供应商：</w:t>
      </w:r>
      <w:r>
        <w:rPr>
          <w:rFonts w:hint="eastAsia"/>
          <w:color w:val="auto"/>
          <w:sz w:val="24"/>
          <w:szCs w:val="24"/>
          <w:highlight w:val="none"/>
          <w:u w:val="single"/>
        </w:rPr>
        <w:t xml:space="preserve">                        </w:t>
      </w:r>
      <w:r>
        <w:rPr>
          <w:rFonts w:hint="eastAsia"/>
          <w:color w:val="auto"/>
          <w:sz w:val="24"/>
          <w:szCs w:val="24"/>
          <w:highlight w:val="none"/>
        </w:rPr>
        <w:t>（盖单位章）</w:t>
      </w:r>
    </w:p>
    <w:p>
      <w:pPr>
        <w:spacing w:before="240"/>
        <w:rPr>
          <w:color w:val="auto"/>
          <w:sz w:val="24"/>
          <w:szCs w:val="24"/>
          <w:highlight w:val="none"/>
        </w:rPr>
      </w:pPr>
      <w:r>
        <w:rPr>
          <w:rFonts w:hint="eastAsia"/>
          <w:color w:val="auto"/>
          <w:sz w:val="24"/>
          <w:szCs w:val="24"/>
          <w:highlight w:val="none"/>
        </w:rPr>
        <w:t>法定代表人或委托代理人：</w:t>
      </w:r>
      <w:r>
        <w:rPr>
          <w:rFonts w:hint="eastAsia"/>
          <w:color w:val="auto"/>
          <w:sz w:val="24"/>
          <w:szCs w:val="24"/>
          <w:highlight w:val="none"/>
          <w:u w:val="single"/>
        </w:rPr>
        <w:t xml:space="preserve">                  </w:t>
      </w:r>
      <w:r>
        <w:rPr>
          <w:rFonts w:hint="eastAsia"/>
          <w:color w:val="auto"/>
          <w:sz w:val="24"/>
          <w:szCs w:val="24"/>
          <w:highlight w:val="none"/>
        </w:rPr>
        <w:t>（签字或盖章）</w:t>
      </w:r>
    </w:p>
    <w:p>
      <w:pPr>
        <w:rPr>
          <w:color w:val="auto"/>
          <w:sz w:val="24"/>
          <w:szCs w:val="24"/>
          <w:highlight w:val="none"/>
        </w:rPr>
      </w:pPr>
    </w:p>
    <w:p>
      <w:pPr>
        <w:spacing w:line="360" w:lineRule="auto"/>
        <w:rPr>
          <w:color w:val="auto"/>
          <w:sz w:val="24"/>
          <w:szCs w:val="24"/>
          <w:highlight w:val="none"/>
        </w:rPr>
      </w:pPr>
      <w:r>
        <w:rPr>
          <w:rFonts w:hint="eastAsia"/>
          <w:color w:val="auto"/>
          <w:sz w:val="24"/>
          <w:szCs w:val="24"/>
          <w:highlight w:val="none"/>
        </w:rPr>
        <w:t>日期：</w:t>
      </w:r>
      <w:r>
        <w:rPr>
          <w:rFonts w:hint="eastAsia"/>
          <w:color w:val="auto"/>
          <w:sz w:val="24"/>
          <w:szCs w:val="24"/>
          <w:highlight w:val="none"/>
          <w:u w:val="single"/>
        </w:rPr>
        <w:t xml:space="preserve">    </w:t>
      </w:r>
      <w:r>
        <w:rPr>
          <w:rFonts w:hint="eastAsia"/>
          <w:color w:val="auto"/>
          <w:sz w:val="24"/>
          <w:szCs w:val="24"/>
          <w:highlight w:val="none"/>
        </w:rPr>
        <w:t>年</w:t>
      </w:r>
      <w:r>
        <w:rPr>
          <w:rFonts w:hint="eastAsia"/>
          <w:color w:val="auto"/>
          <w:sz w:val="24"/>
          <w:szCs w:val="24"/>
          <w:highlight w:val="none"/>
          <w:u w:val="single"/>
        </w:rPr>
        <w:t xml:space="preserve">     </w:t>
      </w:r>
      <w:r>
        <w:rPr>
          <w:rFonts w:hint="eastAsia"/>
          <w:color w:val="auto"/>
          <w:sz w:val="24"/>
          <w:szCs w:val="24"/>
          <w:highlight w:val="none"/>
        </w:rPr>
        <w:t>月</w:t>
      </w:r>
      <w:r>
        <w:rPr>
          <w:rFonts w:hint="eastAsia"/>
          <w:color w:val="auto"/>
          <w:sz w:val="24"/>
          <w:szCs w:val="24"/>
          <w:highlight w:val="none"/>
          <w:u w:val="single"/>
        </w:rPr>
        <w:t xml:space="preserve">     </w:t>
      </w:r>
      <w:r>
        <w:rPr>
          <w:rFonts w:hint="eastAsia"/>
          <w:color w:val="auto"/>
          <w:sz w:val="24"/>
          <w:szCs w:val="24"/>
          <w:highlight w:val="none"/>
        </w:rPr>
        <w:t>日</w:t>
      </w:r>
    </w:p>
    <w:p>
      <w:pPr>
        <w:rPr>
          <w:rFonts w:ascii="宋体" w:hAnsi="宋体" w:cs="宋体"/>
          <w:color w:val="auto"/>
          <w:highlight w:val="none"/>
        </w:rPr>
      </w:pPr>
    </w:p>
    <w:p>
      <w:pPr>
        <w:keepNext/>
        <w:keepLines/>
        <w:spacing w:before="260" w:after="260" w:line="416" w:lineRule="auto"/>
        <w:jc w:val="center"/>
        <w:outlineLvl w:val="1"/>
        <w:rPr>
          <w:rFonts w:ascii="宋体" w:hAnsi="宋体" w:cs="宋体"/>
          <w:b/>
          <w:bCs/>
          <w:color w:val="auto"/>
          <w:sz w:val="28"/>
          <w:szCs w:val="24"/>
          <w:highlight w:val="none"/>
        </w:rPr>
        <w:sectPr>
          <w:headerReference r:id="rId5" w:type="default"/>
          <w:footerReference r:id="rId6" w:type="default"/>
          <w:pgSz w:w="11906" w:h="16838"/>
          <w:pgMar w:top="1440" w:right="1080" w:bottom="1440" w:left="1080" w:header="851" w:footer="992" w:gutter="0"/>
          <w:pgNumType w:fmt="numberInDash" w:start="1"/>
          <w:cols w:space="425" w:num="1"/>
          <w:docGrid w:type="lines" w:linePitch="312" w:charSpace="0"/>
        </w:sectPr>
      </w:pPr>
    </w:p>
    <w:p>
      <w:pPr>
        <w:keepNext/>
        <w:keepLines/>
        <w:spacing w:before="260" w:after="260" w:line="416" w:lineRule="auto"/>
        <w:jc w:val="center"/>
        <w:outlineLvl w:val="1"/>
        <w:rPr>
          <w:rFonts w:ascii="宋体" w:hAnsi="宋体" w:cs="宋体"/>
          <w:b/>
          <w:bCs/>
          <w:color w:val="auto"/>
          <w:kern w:val="0"/>
          <w:sz w:val="32"/>
          <w:szCs w:val="24"/>
          <w:highlight w:val="none"/>
        </w:rPr>
      </w:pPr>
      <w:bookmarkStart w:id="5" w:name="_Toc1034"/>
      <w:bookmarkStart w:id="6" w:name="_Toc11116"/>
      <w:r>
        <w:rPr>
          <w:rFonts w:hint="eastAsia" w:ascii="宋体" w:hAnsi="宋体" w:cs="宋体"/>
          <w:b/>
          <w:bCs/>
          <w:color w:val="auto"/>
          <w:sz w:val="36"/>
          <w:szCs w:val="32"/>
          <w:highlight w:val="none"/>
        </w:rPr>
        <w:t>目   录</w:t>
      </w:r>
      <w:bookmarkEnd w:id="5"/>
      <w:bookmarkEnd w:id="6"/>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TOC \o "1-3" \h \z \u </w:instrText>
      </w:r>
      <w:r>
        <w:rPr>
          <w:rFonts w:hint="eastAsia" w:ascii="宋体" w:hAnsi="宋体" w:cs="宋体"/>
          <w:color w:val="auto"/>
          <w:sz w:val="24"/>
          <w:szCs w:val="24"/>
          <w:highlight w:val="none"/>
        </w:rPr>
        <w:fldChar w:fldCharType="separate"/>
      </w:r>
    </w:p>
    <w:p>
      <w:pPr>
        <w:pStyle w:val="18"/>
        <w:tabs>
          <w:tab w:val="right" w:leader="dot" w:pos="9746"/>
        </w:tabs>
        <w:spacing w:line="360" w:lineRule="auto"/>
        <w:rPr>
          <w:rFonts w:ascii="宋体" w:hAnsi="宋体" w:cs="宋体"/>
          <w:bCs/>
          <w:color w:val="auto"/>
          <w:sz w:val="28"/>
          <w:szCs w:val="28"/>
          <w:highlight w:val="none"/>
        </w:rPr>
      </w:pPr>
      <w:r>
        <w:rPr>
          <w:color w:val="auto"/>
          <w:highlight w:val="none"/>
        </w:rPr>
        <w:fldChar w:fldCharType="begin"/>
      </w:r>
      <w:r>
        <w:rPr>
          <w:color w:val="auto"/>
          <w:highlight w:val="none"/>
        </w:rPr>
        <w:instrText xml:space="preserve"> HYPERLINK \l "_Toc19701" </w:instrText>
      </w:r>
      <w:r>
        <w:rPr>
          <w:color w:val="auto"/>
          <w:highlight w:val="none"/>
        </w:rPr>
        <w:fldChar w:fldCharType="separate"/>
      </w:r>
      <w:r>
        <w:rPr>
          <w:rFonts w:hint="eastAsia" w:ascii="宋体" w:hAnsi="宋体" w:cs="宋体"/>
          <w:bCs/>
          <w:color w:val="auto"/>
          <w:sz w:val="28"/>
          <w:szCs w:val="28"/>
          <w:highlight w:val="none"/>
        </w:rPr>
        <w:t>第一章  询价采购公告</w:t>
      </w:r>
      <w:r>
        <w:rPr>
          <w:rFonts w:hint="eastAsia" w:ascii="宋体" w:hAnsi="宋体" w:cs="宋体"/>
          <w:bCs/>
          <w:color w:val="auto"/>
          <w:sz w:val="28"/>
          <w:szCs w:val="28"/>
          <w:highlight w:val="none"/>
        </w:rPr>
        <w:tab/>
      </w:r>
      <w:r>
        <w:rPr>
          <w:rFonts w:hint="eastAsia" w:ascii="宋体" w:hAnsi="宋体" w:cs="宋体"/>
          <w:bCs/>
          <w:color w:val="auto"/>
          <w:sz w:val="28"/>
          <w:szCs w:val="28"/>
          <w:highlight w:val="none"/>
        </w:rPr>
        <w:fldChar w:fldCharType="begin"/>
      </w:r>
      <w:r>
        <w:rPr>
          <w:rFonts w:hint="eastAsia" w:ascii="宋体" w:hAnsi="宋体" w:cs="宋体"/>
          <w:bCs/>
          <w:color w:val="auto"/>
          <w:sz w:val="28"/>
          <w:szCs w:val="28"/>
          <w:highlight w:val="none"/>
        </w:rPr>
        <w:instrText xml:space="preserve"> PAGEREF _Toc19701 \h </w:instrText>
      </w:r>
      <w:r>
        <w:rPr>
          <w:rFonts w:hint="eastAsia" w:ascii="宋体" w:hAnsi="宋体" w:cs="宋体"/>
          <w:bCs/>
          <w:color w:val="auto"/>
          <w:sz w:val="28"/>
          <w:szCs w:val="28"/>
          <w:highlight w:val="none"/>
        </w:rPr>
        <w:fldChar w:fldCharType="separate"/>
      </w:r>
      <w:r>
        <w:rPr>
          <w:rFonts w:hint="eastAsia" w:ascii="宋体" w:hAnsi="宋体" w:cs="宋体"/>
          <w:bCs/>
          <w:color w:val="auto"/>
          <w:sz w:val="28"/>
          <w:szCs w:val="28"/>
          <w:highlight w:val="none"/>
        </w:rPr>
        <w:t>- 3 -</w:t>
      </w:r>
      <w:r>
        <w:rPr>
          <w:rFonts w:hint="eastAsia" w:ascii="宋体" w:hAnsi="宋体" w:cs="宋体"/>
          <w:bCs/>
          <w:color w:val="auto"/>
          <w:sz w:val="28"/>
          <w:szCs w:val="28"/>
          <w:highlight w:val="none"/>
        </w:rPr>
        <w:fldChar w:fldCharType="end"/>
      </w:r>
      <w:r>
        <w:rPr>
          <w:rFonts w:hint="eastAsia" w:ascii="宋体" w:hAnsi="宋体" w:cs="宋体"/>
          <w:bCs/>
          <w:color w:val="auto"/>
          <w:sz w:val="28"/>
          <w:szCs w:val="28"/>
          <w:highlight w:val="none"/>
        </w:rPr>
        <w:fldChar w:fldCharType="end"/>
      </w:r>
    </w:p>
    <w:p>
      <w:pPr>
        <w:pStyle w:val="18"/>
        <w:tabs>
          <w:tab w:val="right" w:leader="dot" w:pos="9746"/>
        </w:tabs>
        <w:spacing w:line="360" w:lineRule="auto"/>
        <w:rPr>
          <w:rFonts w:ascii="宋体" w:hAnsi="宋体" w:cs="宋体"/>
          <w:bCs/>
          <w:color w:val="auto"/>
          <w:sz w:val="28"/>
          <w:szCs w:val="28"/>
          <w:highlight w:val="none"/>
        </w:rPr>
      </w:pPr>
      <w:r>
        <w:rPr>
          <w:color w:val="auto"/>
          <w:highlight w:val="none"/>
        </w:rPr>
        <w:fldChar w:fldCharType="begin"/>
      </w:r>
      <w:r>
        <w:rPr>
          <w:color w:val="auto"/>
          <w:highlight w:val="none"/>
        </w:rPr>
        <w:instrText xml:space="preserve"> HYPERLINK \l "_Toc18844" </w:instrText>
      </w:r>
      <w:r>
        <w:rPr>
          <w:color w:val="auto"/>
          <w:highlight w:val="none"/>
        </w:rPr>
        <w:fldChar w:fldCharType="separate"/>
      </w:r>
      <w:r>
        <w:rPr>
          <w:rFonts w:hint="eastAsia" w:ascii="宋体" w:hAnsi="宋体" w:cs="宋体"/>
          <w:bCs/>
          <w:color w:val="auto"/>
          <w:sz w:val="28"/>
          <w:szCs w:val="28"/>
          <w:highlight w:val="none"/>
        </w:rPr>
        <w:t>第二章  供应商须知</w:t>
      </w:r>
      <w:r>
        <w:rPr>
          <w:rFonts w:hint="eastAsia" w:ascii="宋体" w:hAnsi="宋体" w:cs="宋体"/>
          <w:bCs/>
          <w:color w:val="auto"/>
          <w:sz w:val="28"/>
          <w:szCs w:val="28"/>
          <w:highlight w:val="none"/>
        </w:rPr>
        <w:tab/>
      </w:r>
      <w:r>
        <w:rPr>
          <w:rFonts w:hint="eastAsia" w:ascii="宋体" w:hAnsi="宋体" w:cs="宋体"/>
          <w:bCs/>
          <w:color w:val="auto"/>
          <w:sz w:val="28"/>
          <w:szCs w:val="28"/>
          <w:highlight w:val="none"/>
        </w:rPr>
        <w:fldChar w:fldCharType="begin"/>
      </w:r>
      <w:r>
        <w:rPr>
          <w:rFonts w:hint="eastAsia" w:ascii="宋体" w:hAnsi="宋体" w:cs="宋体"/>
          <w:bCs/>
          <w:color w:val="auto"/>
          <w:sz w:val="28"/>
          <w:szCs w:val="28"/>
          <w:highlight w:val="none"/>
        </w:rPr>
        <w:instrText xml:space="preserve"> PAGEREF _Toc18844 \h </w:instrText>
      </w:r>
      <w:r>
        <w:rPr>
          <w:rFonts w:hint="eastAsia" w:ascii="宋体" w:hAnsi="宋体" w:cs="宋体"/>
          <w:bCs/>
          <w:color w:val="auto"/>
          <w:sz w:val="28"/>
          <w:szCs w:val="28"/>
          <w:highlight w:val="none"/>
        </w:rPr>
        <w:fldChar w:fldCharType="separate"/>
      </w:r>
      <w:r>
        <w:rPr>
          <w:rFonts w:hint="eastAsia" w:ascii="宋体" w:hAnsi="宋体" w:cs="宋体"/>
          <w:bCs/>
          <w:color w:val="auto"/>
          <w:sz w:val="28"/>
          <w:szCs w:val="28"/>
          <w:highlight w:val="none"/>
        </w:rPr>
        <w:t>- 5 -</w:t>
      </w:r>
      <w:r>
        <w:rPr>
          <w:rFonts w:hint="eastAsia" w:ascii="宋体" w:hAnsi="宋体" w:cs="宋体"/>
          <w:bCs/>
          <w:color w:val="auto"/>
          <w:sz w:val="28"/>
          <w:szCs w:val="28"/>
          <w:highlight w:val="none"/>
        </w:rPr>
        <w:fldChar w:fldCharType="end"/>
      </w:r>
      <w:r>
        <w:rPr>
          <w:rFonts w:hint="eastAsia" w:ascii="宋体" w:hAnsi="宋体" w:cs="宋体"/>
          <w:bCs/>
          <w:color w:val="auto"/>
          <w:sz w:val="28"/>
          <w:szCs w:val="28"/>
          <w:highlight w:val="none"/>
        </w:rPr>
        <w:fldChar w:fldCharType="end"/>
      </w:r>
    </w:p>
    <w:p>
      <w:pPr>
        <w:pStyle w:val="18"/>
        <w:tabs>
          <w:tab w:val="right" w:leader="dot" w:pos="9746"/>
        </w:tabs>
        <w:spacing w:line="360" w:lineRule="auto"/>
        <w:rPr>
          <w:rFonts w:ascii="宋体" w:hAnsi="宋体" w:cs="宋体"/>
          <w:bCs/>
          <w:color w:val="auto"/>
          <w:sz w:val="28"/>
          <w:szCs w:val="28"/>
          <w:highlight w:val="none"/>
        </w:rPr>
      </w:pPr>
      <w:r>
        <w:rPr>
          <w:color w:val="auto"/>
          <w:highlight w:val="none"/>
        </w:rPr>
        <w:fldChar w:fldCharType="begin"/>
      </w:r>
      <w:r>
        <w:rPr>
          <w:color w:val="auto"/>
          <w:highlight w:val="none"/>
        </w:rPr>
        <w:instrText xml:space="preserve"> HYPERLINK \l "_Toc18694" </w:instrText>
      </w:r>
      <w:r>
        <w:rPr>
          <w:color w:val="auto"/>
          <w:highlight w:val="none"/>
        </w:rPr>
        <w:fldChar w:fldCharType="separate"/>
      </w:r>
      <w:r>
        <w:rPr>
          <w:rFonts w:hint="eastAsia" w:ascii="宋体" w:hAnsi="宋体" w:cs="宋体"/>
          <w:bCs/>
          <w:color w:val="auto"/>
          <w:sz w:val="28"/>
          <w:szCs w:val="28"/>
          <w:highlight w:val="none"/>
        </w:rPr>
        <w:t>第三章  评审办法</w:t>
      </w:r>
      <w:r>
        <w:rPr>
          <w:rFonts w:hint="eastAsia" w:ascii="宋体" w:hAnsi="宋体" w:cs="宋体"/>
          <w:bCs/>
          <w:color w:val="auto"/>
          <w:sz w:val="28"/>
          <w:szCs w:val="28"/>
          <w:highlight w:val="none"/>
          <w:lang w:eastAsia="zh-CN"/>
        </w:rPr>
        <w:t>（</w:t>
      </w:r>
      <w:r>
        <w:rPr>
          <w:rFonts w:hint="eastAsia" w:ascii="宋体" w:hAnsi="宋体" w:cs="宋体"/>
          <w:bCs/>
          <w:color w:val="auto"/>
          <w:sz w:val="28"/>
          <w:szCs w:val="28"/>
          <w:highlight w:val="none"/>
          <w:lang w:val="en-US" w:eastAsia="zh-CN"/>
        </w:rPr>
        <w:t>综合评估法</w:t>
      </w:r>
      <w:r>
        <w:rPr>
          <w:rFonts w:hint="eastAsia" w:ascii="宋体" w:hAnsi="宋体" w:cs="宋体"/>
          <w:bCs/>
          <w:color w:val="auto"/>
          <w:sz w:val="28"/>
          <w:szCs w:val="28"/>
          <w:highlight w:val="none"/>
          <w:lang w:eastAsia="zh-CN"/>
        </w:rPr>
        <w:t>）</w:t>
      </w:r>
      <w:r>
        <w:rPr>
          <w:rFonts w:hint="eastAsia" w:ascii="宋体" w:hAnsi="宋体" w:cs="宋体"/>
          <w:bCs/>
          <w:color w:val="auto"/>
          <w:sz w:val="28"/>
          <w:szCs w:val="28"/>
          <w:highlight w:val="none"/>
        </w:rPr>
        <w:tab/>
      </w:r>
      <w:r>
        <w:rPr>
          <w:rFonts w:hint="eastAsia" w:ascii="宋体" w:hAnsi="宋体" w:cs="宋体"/>
          <w:bCs/>
          <w:color w:val="auto"/>
          <w:sz w:val="28"/>
          <w:szCs w:val="28"/>
          <w:highlight w:val="none"/>
        </w:rPr>
        <w:fldChar w:fldCharType="begin"/>
      </w:r>
      <w:r>
        <w:rPr>
          <w:rFonts w:hint="eastAsia" w:ascii="宋体" w:hAnsi="宋体" w:cs="宋体"/>
          <w:bCs/>
          <w:color w:val="auto"/>
          <w:sz w:val="28"/>
          <w:szCs w:val="28"/>
          <w:highlight w:val="none"/>
        </w:rPr>
        <w:instrText xml:space="preserve"> PAGEREF _Toc18694 \h </w:instrText>
      </w:r>
      <w:r>
        <w:rPr>
          <w:rFonts w:hint="eastAsia" w:ascii="宋体" w:hAnsi="宋体" w:cs="宋体"/>
          <w:bCs/>
          <w:color w:val="auto"/>
          <w:sz w:val="28"/>
          <w:szCs w:val="28"/>
          <w:highlight w:val="none"/>
        </w:rPr>
        <w:fldChar w:fldCharType="separate"/>
      </w:r>
      <w:r>
        <w:rPr>
          <w:rFonts w:hint="eastAsia" w:ascii="宋体" w:hAnsi="宋体" w:cs="宋体"/>
          <w:bCs/>
          <w:color w:val="auto"/>
          <w:sz w:val="28"/>
          <w:szCs w:val="28"/>
          <w:highlight w:val="none"/>
        </w:rPr>
        <w:t>- 14 -</w:t>
      </w:r>
      <w:r>
        <w:rPr>
          <w:rFonts w:hint="eastAsia" w:ascii="宋体" w:hAnsi="宋体" w:cs="宋体"/>
          <w:bCs/>
          <w:color w:val="auto"/>
          <w:sz w:val="28"/>
          <w:szCs w:val="28"/>
          <w:highlight w:val="none"/>
        </w:rPr>
        <w:fldChar w:fldCharType="end"/>
      </w:r>
      <w:r>
        <w:rPr>
          <w:rFonts w:hint="eastAsia" w:ascii="宋体" w:hAnsi="宋体" w:cs="宋体"/>
          <w:bCs/>
          <w:color w:val="auto"/>
          <w:sz w:val="28"/>
          <w:szCs w:val="28"/>
          <w:highlight w:val="none"/>
        </w:rPr>
        <w:fldChar w:fldCharType="end"/>
      </w:r>
    </w:p>
    <w:p>
      <w:pPr>
        <w:pStyle w:val="18"/>
        <w:tabs>
          <w:tab w:val="right" w:leader="dot" w:pos="9746"/>
        </w:tabs>
        <w:spacing w:line="360" w:lineRule="auto"/>
        <w:rPr>
          <w:rFonts w:ascii="宋体" w:hAnsi="宋体" w:cs="宋体"/>
          <w:bCs/>
          <w:color w:val="auto"/>
          <w:sz w:val="28"/>
          <w:szCs w:val="28"/>
          <w:highlight w:val="none"/>
        </w:rPr>
      </w:pPr>
      <w:r>
        <w:rPr>
          <w:color w:val="auto"/>
          <w:highlight w:val="none"/>
        </w:rPr>
        <w:fldChar w:fldCharType="begin"/>
      </w:r>
      <w:r>
        <w:rPr>
          <w:color w:val="auto"/>
          <w:highlight w:val="none"/>
        </w:rPr>
        <w:instrText xml:space="preserve"> HYPERLINK \l "_Toc27228" </w:instrText>
      </w:r>
      <w:r>
        <w:rPr>
          <w:color w:val="auto"/>
          <w:highlight w:val="none"/>
        </w:rPr>
        <w:fldChar w:fldCharType="separate"/>
      </w:r>
      <w:r>
        <w:rPr>
          <w:rFonts w:hint="eastAsia" w:ascii="宋体" w:hAnsi="宋体" w:cs="宋体"/>
          <w:bCs/>
          <w:color w:val="auto"/>
          <w:sz w:val="28"/>
          <w:szCs w:val="28"/>
          <w:highlight w:val="none"/>
        </w:rPr>
        <w:t>第四章  合同主要条款</w:t>
      </w:r>
      <w:r>
        <w:rPr>
          <w:rFonts w:hint="eastAsia" w:ascii="宋体" w:hAnsi="宋体" w:cs="宋体"/>
          <w:bCs/>
          <w:color w:val="auto"/>
          <w:sz w:val="28"/>
          <w:szCs w:val="28"/>
          <w:highlight w:val="none"/>
        </w:rPr>
        <w:tab/>
      </w:r>
      <w:r>
        <w:rPr>
          <w:rFonts w:hint="eastAsia" w:ascii="宋体" w:hAnsi="宋体" w:cs="宋体"/>
          <w:bCs/>
          <w:color w:val="auto"/>
          <w:sz w:val="28"/>
          <w:szCs w:val="28"/>
          <w:highlight w:val="none"/>
        </w:rPr>
        <w:fldChar w:fldCharType="begin"/>
      </w:r>
      <w:r>
        <w:rPr>
          <w:rFonts w:hint="eastAsia" w:ascii="宋体" w:hAnsi="宋体" w:cs="宋体"/>
          <w:bCs/>
          <w:color w:val="auto"/>
          <w:sz w:val="28"/>
          <w:szCs w:val="28"/>
          <w:highlight w:val="none"/>
        </w:rPr>
        <w:instrText xml:space="preserve"> PAGEREF _Toc27228 \h </w:instrText>
      </w:r>
      <w:r>
        <w:rPr>
          <w:rFonts w:hint="eastAsia" w:ascii="宋体" w:hAnsi="宋体" w:cs="宋体"/>
          <w:bCs/>
          <w:color w:val="auto"/>
          <w:sz w:val="28"/>
          <w:szCs w:val="28"/>
          <w:highlight w:val="none"/>
        </w:rPr>
        <w:fldChar w:fldCharType="separate"/>
      </w:r>
      <w:r>
        <w:rPr>
          <w:rFonts w:hint="eastAsia" w:ascii="宋体" w:hAnsi="宋体" w:cs="宋体"/>
          <w:bCs/>
          <w:color w:val="auto"/>
          <w:sz w:val="28"/>
          <w:szCs w:val="28"/>
          <w:highlight w:val="none"/>
        </w:rPr>
        <w:t>- 18 -</w:t>
      </w:r>
      <w:r>
        <w:rPr>
          <w:rFonts w:hint="eastAsia" w:ascii="宋体" w:hAnsi="宋体" w:cs="宋体"/>
          <w:bCs/>
          <w:color w:val="auto"/>
          <w:sz w:val="28"/>
          <w:szCs w:val="28"/>
          <w:highlight w:val="none"/>
        </w:rPr>
        <w:fldChar w:fldCharType="end"/>
      </w:r>
      <w:r>
        <w:rPr>
          <w:rFonts w:hint="eastAsia" w:ascii="宋体" w:hAnsi="宋体" w:cs="宋体"/>
          <w:bCs/>
          <w:color w:val="auto"/>
          <w:sz w:val="28"/>
          <w:szCs w:val="28"/>
          <w:highlight w:val="none"/>
        </w:rPr>
        <w:fldChar w:fldCharType="end"/>
      </w:r>
    </w:p>
    <w:p>
      <w:pPr>
        <w:pStyle w:val="18"/>
        <w:tabs>
          <w:tab w:val="right" w:leader="dot" w:pos="9746"/>
        </w:tabs>
        <w:spacing w:line="360" w:lineRule="auto"/>
        <w:rPr>
          <w:rFonts w:ascii="宋体" w:hAnsi="宋体" w:cs="宋体"/>
          <w:bCs/>
          <w:color w:val="auto"/>
          <w:sz w:val="28"/>
          <w:szCs w:val="28"/>
          <w:highlight w:val="none"/>
        </w:rPr>
      </w:pPr>
      <w:r>
        <w:rPr>
          <w:color w:val="auto"/>
          <w:highlight w:val="none"/>
        </w:rPr>
        <w:fldChar w:fldCharType="begin"/>
      </w:r>
      <w:r>
        <w:rPr>
          <w:color w:val="auto"/>
          <w:highlight w:val="none"/>
        </w:rPr>
        <w:instrText xml:space="preserve"> HYPERLINK \l "_Toc21184" </w:instrText>
      </w:r>
      <w:r>
        <w:rPr>
          <w:color w:val="auto"/>
          <w:highlight w:val="none"/>
        </w:rPr>
        <w:fldChar w:fldCharType="separate"/>
      </w:r>
      <w:r>
        <w:rPr>
          <w:rFonts w:hint="eastAsia" w:ascii="宋体" w:hAnsi="宋体" w:cs="宋体"/>
          <w:bCs/>
          <w:color w:val="auto"/>
          <w:sz w:val="28"/>
          <w:szCs w:val="28"/>
          <w:highlight w:val="none"/>
        </w:rPr>
        <w:t>第五章  技术规范书</w:t>
      </w:r>
      <w:r>
        <w:rPr>
          <w:rFonts w:hint="eastAsia" w:ascii="宋体" w:hAnsi="宋体" w:cs="宋体"/>
          <w:bCs/>
          <w:color w:val="auto"/>
          <w:sz w:val="28"/>
          <w:szCs w:val="28"/>
          <w:highlight w:val="none"/>
        </w:rPr>
        <w:tab/>
      </w:r>
      <w:r>
        <w:rPr>
          <w:rFonts w:hint="eastAsia" w:ascii="宋体" w:hAnsi="宋体" w:cs="宋体"/>
          <w:bCs/>
          <w:color w:val="auto"/>
          <w:sz w:val="28"/>
          <w:szCs w:val="28"/>
          <w:highlight w:val="none"/>
        </w:rPr>
        <w:fldChar w:fldCharType="begin"/>
      </w:r>
      <w:r>
        <w:rPr>
          <w:rFonts w:hint="eastAsia" w:ascii="宋体" w:hAnsi="宋体" w:cs="宋体"/>
          <w:bCs/>
          <w:color w:val="auto"/>
          <w:sz w:val="28"/>
          <w:szCs w:val="28"/>
          <w:highlight w:val="none"/>
        </w:rPr>
        <w:instrText xml:space="preserve"> PAGEREF _Toc21184 \h </w:instrText>
      </w:r>
      <w:r>
        <w:rPr>
          <w:rFonts w:hint="eastAsia" w:ascii="宋体" w:hAnsi="宋体" w:cs="宋体"/>
          <w:bCs/>
          <w:color w:val="auto"/>
          <w:sz w:val="28"/>
          <w:szCs w:val="28"/>
          <w:highlight w:val="none"/>
        </w:rPr>
        <w:fldChar w:fldCharType="separate"/>
      </w:r>
      <w:r>
        <w:rPr>
          <w:rFonts w:hint="eastAsia" w:ascii="宋体" w:hAnsi="宋体" w:cs="宋体"/>
          <w:bCs/>
          <w:color w:val="auto"/>
          <w:sz w:val="28"/>
          <w:szCs w:val="28"/>
          <w:highlight w:val="none"/>
        </w:rPr>
        <w:t>- 18 -</w:t>
      </w:r>
      <w:r>
        <w:rPr>
          <w:rFonts w:hint="eastAsia" w:ascii="宋体" w:hAnsi="宋体" w:cs="宋体"/>
          <w:bCs/>
          <w:color w:val="auto"/>
          <w:sz w:val="28"/>
          <w:szCs w:val="28"/>
          <w:highlight w:val="none"/>
        </w:rPr>
        <w:fldChar w:fldCharType="end"/>
      </w:r>
      <w:r>
        <w:rPr>
          <w:rFonts w:hint="eastAsia" w:ascii="宋体" w:hAnsi="宋体" w:cs="宋体"/>
          <w:bCs/>
          <w:color w:val="auto"/>
          <w:sz w:val="28"/>
          <w:szCs w:val="28"/>
          <w:highlight w:val="none"/>
        </w:rPr>
        <w:fldChar w:fldCharType="end"/>
      </w:r>
    </w:p>
    <w:p>
      <w:pPr>
        <w:pStyle w:val="18"/>
        <w:tabs>
          <w:tab w:val="right" w:leader="dot" w:pos="9746"/>
        </w:tabs>
        <w:spacing w:line="360" w:lineRule="auto"/>
        <w:rPr>
          <w:color w:val="auto"/>
          <w:highlight w:val="none"/>
        </w:rPr>
      </w:pPr>
      <w:r>
        <w:rPr>
          <w:color w:val="auto"/>
          <w:highlight w:val="none"/>
        </w:rPr>
        <w:fldChar w:fldCharType="begin"/>
      </w:r>
      <w:r>
        <w:rPr>
          <w:color w:val="auto"/>
          <w:highlight w:val="none"/>
        </w:rPr>
        <w:instrText xml:space="preserve"> HYPERLINK \l "_Toc19977" </w:instrText>
      </w:r>
      <w:r>
        <w:rPr>
          <w:color w:val="auto"/>
          <w:highlight w:val="none"/>
        </w:rPr>
        <w:fldChar w:fldCharType="separate"/>
      </w:r>
      <w:r>
        <w:rPr>
          <w:rFonts w:hint="eastAsia" w:ascii="宋体" w:hAnsi="宋体" w:cs="宋体"/>
          <w:bCs/>
          <w:color w:val="auto"/>
          <w:sz w:val="28"/>
          <w:szCs w:val="28"/>
          <w:highlight w:val="none"/>
        </w:rPr>
        <w:t>第六章  报价文件格式</w:t>
      </w:r>
      <w:r>
        <w:rPr>
          <w:rFonts w:hint="eastAsia" w:ascii="宋体" w:hAnsi="宋体" w:cs="宋体"/>
          <w:bCs/>
          <w:color w:val="auto"/>
          <w:sz w:val="28"/>
          <w:szCs w:val="28"/>
          <w:highlight w:val="none"/>
        </w:rPr>
        <w:tab/>
      </w:r>
      <w:r>
        <w:rPr>
          <w:rFonts w:hint="eastAsia" w:ascii="宋体" w:hAnsi="宋体" w:cs="宋体"/>
          <w:bCs/>
          <w:color w:val="auto"/>
          <w:sz w:val="28"/>
          <w:szCs w:val="28"/>
          <w:highlight w:val="none"/>
        </w:rPr>
        <w:fldChar w:fldCharType="begin"/>
      </w:r>
      <w:r>
        <w:rPr>
          <w:rFonts w:hint="eastAsia" w:ascii="宋体" w:hAnsi="宋体" w:cs="宋体"/>
          <w:bCs/>
          <w:color w:val="auto"/>
          <w:sz w:val="28"/>
          <w:szCs w:val="28"/>
          <w:highlight w:val="none"/>
        </w:rPr>
        <w:instrText xml:space="preserve"> PAGEREF _Toc19977 \h </w:instrText>
      </w:r>
      <w:r>
        <w:rPr>
          <w:rFonts w:hint="eastAsia" w:ascii="宋体" w:hAnsi="宋体" w:cs="宋体"/>
          <w:bCs/>
          <w:color w:val="auto"/>
          <w:sz w:val="28"/>
          <w:szCs w:val="28"/>
          <w:highlight w:val="none"/>
        </w:rPr>
        <w:fldChar w:fldCharType="separate"/>
      </w:r>
      <w:r>
        <w:rPr>
          <w:rFonts w:hint="eastAsia" w:ascii="宋体" w:hAnsi="宋体" w:cs="宋体"/>
          <w:bCs/>
          <w:color w:val="auto"/>
          <w:sz w:val="28"/>
          <w:szCs w:val="28"/>
          <w:highlight w:val="none"/>
        </w:rPr>
        <w:t>- 21 -</w:t>
      </w:r>
      <w:r>
        <w:rPr>
          <w:rFonts w:hint="eastAsia" w:ascii="宋体" w:hAnsi="宋体" w:cs="宋体"/>
          <w:bCs/>
          <w:color w:val="auto"/>
          <w:sz w:val="28"/>
          <w:szCs w:val="28"/>
          <w:highlight w:val="none"/>
        </w:rPr>
        <w:fldChar w:fldCharType="end"/>
      </w:r>
      <w:r>
        <w:rPr>
          <w:rFonts w:hint="eastAsia" w:ascii="宋体" w:hAnsi="宋体" w:cs="宋体"/>
          <w:bCs/>
          <w:color w:val="auto"/>
          <w:sz w:val="28"/>
          <w:szCs w:val="28"/>
          <w:highlight w:val="none"/>
        </w:rPr>
        <w:fldChar w:fldCharType="end"/>
      </w:r>
    </w:p>
    <w:p>
      <w:pPr>
        <w:pStyle w:val="12"/>
        <w:tabs>
          <w:tab w:val="right" w:leader="dot" w:pos="9746"/>
          <w:tab w:val="clear" w:pos="9628"/>
        </w:tabs>
        <w:rPr>
          <w:color w:val="auto"/>
          <w:highlight w:val="none"/>
        </w:rPr>
      </w:pPr>
    </w:p>
    <w:p>
      <w:pPr>
        <w:pStyle w:val="42"/>
        <w:numPr>
          <w:ilvl w:val="1"/>
          <w:numId w:val="0"/>
        </w:numPr>
        <w:ind w:firstLine="643" w:firstLineChars="200"/>
        <w:outlineLvl w:val="9"/>
        <w:rPr>
          <w:rFonts w:ascii="宋体" w:hAnsi="宋体" w:eastAsia="宋体" w:cs="宋体"/>
          <w:b/>
          <w:bCs/>
          <w:color w:val="auto"/>
          <w:sz w:val="24"/>
          <w:szCs w:val="24"/>
          <w:highlight w:val="none"/>
        </w:rPr>
      </w:pPr>
      <w:r>
        <w:rPr>
          <w:rFonts w:hint="eastAsia" w:ascii="宋体" w:hAnsi="宋体" w:eastAsia="宋体" w:cs="宋体"/>
          <w:b/>
          <w:bCs/>
          <w:color w:val="auto"/>
          <w:sz w:val="32"/>
          <w:szCs w:val="24"/>
          <w:highlight w:val="none"/>
        </w:rPr>
        <w:fldChar w:fldCharType="end"/>
      </w:r>
      <w:r>
        <w:rPr>
          <w:rFonts w:hint="eastAsia" w:ascii="宋体" w:hAnsi="宋体" w:cs="宋体"/>
          <w:b/>
          <w:bCs/>
          <w:color w:val="auto"/>
          <w:sz w:val="32"/>
          <w:szCs w:val="24"/>
          <w:highlight w:val="none"/>
        </w:rPr>
        <w:tab/>
      </w:r>
      <w:r>
        <w:rPr>
          <w:rFonts w:hint="eastAsia" w:ascii="宋体" w:hAnsi="宋体" w:cs="宋体"/>
          <w:b/>
          <w:bCs/>
          <w:color w:val="auto"/>
          <w:sz w:val="32"/>
          <w:szCs w:val="24"/>
          <w:highlight w:val="none"/>
        </w:rPr>
        <w:tab/>
      </w:r>
    </w:p>
    <w:p>
      <w:pPr>
        <w:keepNext/>
        <w:keepLines/>
        <w:spacing w:line="360" w:lineRule="auto"/>
        <w:jc w:val="center"/>
        <w:outlineLvl w:val="0"/>
        <w:rPr>
          <w:rFonts w:ascii="宋体" w:hAnsi="宋体" w:cs="宋体"/>
          <w:b/>
          <w:bCs/>
          <w:color w:val="auto"/>
          <w:kern w:val="44"/>
          <w:sz w:val="36"/>
          <w:szCs w:val="36"/>
          <w:highlight w:val="none"/>
        </w:rPr>
      </w:pPr>
      <w:r>
        <w:rPr>
          <w:rFonts w:hint="eastAsia" w:ascii="宋体" w:hAnsi="宋体" w:cs="宋体"/>
          <w:b/>
          <w:bCs/>
          <w:color w:val="auto"/>
          <w:w w:val="90"/>
          <w:kern w:val="44"/>
          <w:sz w:val="36"/>
          <w:szCs w:val="36"/>
          <w:highlight w:val="none"/>
        </w:rPr>
        <w:br w:type="page"/>
      </w:r>
      <w:bookmarkStart w:id="7" w:name="_Toc19701"/>
      <w:r>
        <w:rPr>
          <w:rFonts w:hint="eastAsia" w:ascii="宋体" w:hAnsi="宋体" w:cs="宋体"/>
          <w:b/>
          <w:bCs/>
          <w:color w:val="auto"/>
          <w:w w:val="90"/>
          <w:kern w:val="44"/>
          <w:sz w:val="36"/>
          <w:szCs w:val="36"/>
          <w:highlight w:val="none"/>
        </w:rPr>
        <w:t>第一章  询价采购公告</w:t>
      </w:r>
      <w:bookmarkEnd w:id="7"/>
    </w:p>
    <w:p>
      <w:pPr>
        <w:widowControl/>
        <w:spacing w:line="360" w:lineRule="auto"/>
        <w:ind w:firstLine="482" w:firstLineChars="200"/>
        <w:jc w:val="left"/>
        <w:rPr>
          <w:b/>
          <w:color w:val="auto"/>
          <w:kern w:val="0"/>
          <w:sz w:val="24"/>
          <w:szCs w:val="24"/>
          <w:highlight w:val="none"/>
        </w:rPr>
      </w:pPr>
      <w:r>
        <w:rPr>
          <w:b/>
          <w:color w:val="auto"/>
          <w:kern w:val="0"/>
          <w:sz w:val="24"/>
          <w:szCs w:val="24"/>
          <w:highlight w:val="none"/>
        </w:rPr>
        <w:t>1</w:t>
      </w:r>
      <w:r>
        <w:rPr>
          <w:rFonts w:hint="eastAsia"/>
          <w:b/>
          <w:color w:val="auto"/>
          <w:kern w:val="0"/>
          <w:sz w:val="24"/>
          <w:szCs w:val="24"/>
          <w:highlight w:val="none"/>
        </w:rPr>
        <w:t>. 采购条件</w:t>
      </w:r>
    </w:p>
    <w:p>
      <w:pPr>
        <w:widowControl/>
        <w:spacing w:line="360" w:lineRule="auto"/>
        <w:ind w:firstLine="480" w:firstLineChars="200"/>
        <w:jc w:val="left"/>
        <w:rPr>
          <w:color w:val="auto"/>
          <w:kern w:val="0"/>
          <w:sz w:val="24"/>
          <w:szCs w:val="24"/>
          <w:highlight w:val="none"/>
        </w:rPr>
      </w:pPr>
      <w:bookmarkStart w:id="8" w:name="_Toc277753727"/>
      <w:bookmarkStart w:id="9" w:name="_Toc277764800"/>
      <w:bookmarkStart w:id="10" w:name="_Toc277764103"/>
      <w:bookmarkStart w:id="11" w:name="_Toc277090263"/>
      <w:bookmarkStart w:id="12" w:name="_Toc277239384"/>
      <w:r>
        <w:rPr>
          <w:rFonts w:hint="eastAsia"/>
          <w:color w:val="auto"/>
          <w:kern w:val="0"/>
          <w:sz w:val="24"/>
          <w:szCs w:val="24"/>
          <w:highlight w:val="none"/>
        </w:rPr>
        <w:t>“</w:t>
      </w:r>
      <w:r>
        <w:rPr>
          <w:rFonts w:hint="eastAsia"/>
          <w:color w:val="auto"/>
          <w:sz w:val="24"/>
          <w:szCs w:val="24"/>
          <w:highlight w:val="none"/>
        </w:rPr>
        <w:t>云能（曲靖）综合能源服务有限公司白水风电场项目、麒麟北风电场（二期）项目地形图测绘及可研报告编制咨询服务</w:t>
      </w:r>
      <w:r>
        <w:rPr>
          <w:rFonts w:hint="eastAsia"/>
          <w:color w:val="auto"/>
          <w:kern w:val="0"/>
          <w:sz w:val="24"/>
          <w:szCs w:val="24"/>
          <w:highlight w:val="none"/>
        </w:rPr>
        <w:t>”项目已具备采购条件，现进行询价采购，欢迎有意愿、具备合格条件的潜在供应商参与报价。</w:t>
      </w:r>
    </w:p>
    <w:bookmarkEnd w:id="8"/>
    <w:bookmarkEnd w:id="9"/>
    <w:bookmarkEnd w:id="10"/>
    <w:bookmarkEnd w:id="11"/>
    <w:bookmarkEnd w:id="12"/>
    <w:p>
      <w:pPr>
        <w:widowControl/>
        <w:spacing w:line="360" w:lineRule="auto"/>
        <w:ind w:firstLine="482" w:firstLineChars="200"/>
        <w:jc w:val="left"/>
        <w:rPr>
          <w:b/>
          <w:color w:val="auto"/>
          <w:kern w:val="0"/>
          <w:sz w:val="24"/>
          <w:szCs w:val="24"/>
          <w:highlight w:val="none"/>
        </w:rPr>
      </w:pPr>
      <w:bookmarkStart w:id="13" w:name="_Toc295304214"/>
      <w:bookmarkStart w:id="14" w:name="_Toc184704554"/>
      <w:r>
        <w:rPr>
          <w:b/>
          <w:color w:val="auto"/>
          <w:kern w:val="0"/>
          <w:sz w:val="24"/>
          <w:szCs w:val="24"/>
          <w:highlight w:val="none"/>
        </w:rPr>
        <w:t>2</w:t>
      </w:r>
      <w:r>
        <w:rPr>
          <w:rFonts w:hint="eastAsia"/>
          <w:b/>
          <w:color w:val="auto"/>
          <w:kern w:val="0"/>
          <w:sz w:val="24"/>
          <w:szCs w:val="24"/>
          <w:highlight w:val="none"/>
        </w:rPr>
        <w:t>．项目概况</w:t>
      </w:r>
      <w:bookmarkEnd w:id="13"/>
    </w:p>
    <w:p>
      <w:pPr>
        <w:pStyle w:val="42"/>
        <w:widowControl w:val="0"/>
        <w:numPr>
          <w:ilvl w:val="255"/>
          <w:numId w:val="0"/>
        </w:numPr>
        <w:ind w:firstLine="480" w:firstLineChars="200"/>
        <w:outlineLvl w:val="9"/>
        <w:rPr>
          <w:rFonts w:ascii="宋体" w:hAnsi="宋体" w:eastAsia="宋体"/>
          <w:color w:val="auto"/>
          <w:sz w:val="24"/>
          <w:szCs w:val="24"/>
          <w:highlight w:val="none"/>
        </w:rPr>
      </w:pPr>
      <w:r>
        <w:rPr>
          <w:rFonts w:hint="eastAsia" w:ascii="宋体" w:hAnsi="宋体" w:eastAsia="宋体"/>
          <w:color w:val="auto"/>
          <w:sz w:val="24"/>
          <w:szCs w:val="24"/>
          <w:highlight w:val="none"/>
        </w:rPr>
        <w:t>2.1白水风电场项目位于云南省曲靖市沾益区东部周围的山包地上，项目场址中心点坐标为北纬25°31.056′，东经104°1.789′，地形为山地，海拔高程介于2050m～2150m之间。场址距沾益区中心直线距离约20km，场址内部有乡村道，风电场进场及场内道路可以充分利用现有道路。风电场规划装机容量为37.5MW，拟安装6台6.25MW的风电机组，轮毂高度125m，总装机容量为37.5MW。年上网电量8426万kW·h，年等效满负荷小时数约2247h。</w:t>
      </w:r>
    </w:p>
    <w:p>
      <w:pPr>
        <w:spacing w:line="360" w:lineRule="auto"/>
        <w:ind w:firstLine="480" w:firstLineChars="200"/>
        <w:jc w:val="left"/>
        <w:rPr>
          <w:color w:val="auto"/>
          <w:kern w:val="0"/>
          <w:sz w:val="24"/>
          <w:szCs w:val="24"/>
          <w:highlight w:val="none"/>
        </w:rPr>
      </w:pPr>
      <w:r>
        <w:rPr>
          <w:rFonts w:hint="eastAsia" w:ascii="宋体" w:hAnsi="宋体"/>
          <w:color w:val="auto"/>
          <w:sz w:val="24"/>
          <w:szCs w:val="24"/>
          <w:highlight w:val="none"/>
        </w:rPr>
        <w:t>2.2麒麟北风电场（二期）项目位于云南省曲靖市麒麟区青龙村委会、三家村委会、下村村委周围的山包地上，规划场址范围约为8平方公里，场址相对开阔，项目场址中心点坐标为北纬25.4877°，东经103.9590°，地形为山地，海拔高程介于2050m～2200m之间。场址距沾益区中心直线距离约20km，场址内部有乡村道，风电场进场及场内道路可以充分利用现有道路。风电场规划装机容量为43.75MW，拟安装7台6.25MW的风电机组，轮毂高度125m，总装机容量为43.75MW。年上网电量9406万kW·h，年等效满负荷小时数约2150h。</w:t>
      </w:r>
    </w:p>
    <w:p>
      <w:pPr>
        <w:pStyle w:val="42"/>
        <w:widowControl w:val="0"/>
        <w:numPr>
          <w:ilvl w:val="0"/>
          <w:numId w:val="0"/>
        </w:numPr>
        <w:ind w:left="420" w:leftChars="200"/>
        <w:outlineLvl w:val="9"/>
        <w:rPr>
          <w:color w:val="auto"/>
          <w:sz w:val="24"/>
          <w:szCs w:val="24"/>
          <w:highlight w:val="none"/>
        </w:rPr>
      </w:pPr>
      <w:r>
        <w:rPr>
          <w:rFonts w:hint="eastAsia"/>
          <w:color w:val="auto"/>
          <w:sz w:val="24"/>
          <w:szCs w:val="24"/>
          <w:highlight w:val="none"/>
        </w:rPr>
        <w:t>3.1采购范围</w:t>
      </w:r>
    </w:p>
    <w:p>
      <w:pPr>
        <w:pStyle w:val="42"/>
        <w:widowControl w:val="0"/>
        <w:numPr>
          <w:ilvl w:val="255"/>
          <w:numId w:val="0"/>
        </w:numPr>
        <w:ind w:firstLine="480" w:firstLineChars="200"/>
        <w:outlineLvl w:val="9"/>
        <w:rPr>
          <w:rFonts w:ascii="宋体" w:hAnsi="宋体" w:eastAsia="宋体" w:cs="宋体"/>
          <w:color w:val="auto"/>
          <w:sz w:val="24"/>
          <w:szCs w:val="24"/>
          <w:highlight w:val="none"/>
        </w:rPr>
      </w:pPr>
      <w:r>
        <w:rPr>
          <w:rFonts w:ascii="宋体" w:hAnsi="宋体" w:eastAsia="宋体" w:cs="宋体"/>
          <w:color w:val="auto"/>
          <w:sz w:val="24"/>
          <w:szCs w:val="24"/>
          <w:highlight w:val="none"/>
        </w:rPr>
        <w:t>本项目采购范围为</w:t>
      </w:r>
      <w:r>
        <w:rPr>
          <w:rFonts w:hint="eastAsia" w:ascii="宋体" w:hAnsi="宋体" w:eastAsia="宋体"/>
          <w:color w:val="auto"/>
          <w:sz w:val="24"/>
          <w:szCs w:val="24"/>
          <w:highlight w:val="none"/>
        </w:rPr>
        <w:t>白水风电场、麒麟北风电场（二期）</w:t>
      </w:r>
      <w:r>
        <w:rPr>
          <w:rFonts w:ascii="宋体" w:hAnsi="宋体" w:eastAsia="宋体" w:cs="宋体"/>
          <w:color w:val="auto"/>
          <w:sz w:val="24"/>
          <w:szCs w:val="24"/>
          <w:highlight w:val="none"/>
        </w:rPr>
        <w:t>项目地形图测绘及可行性研究报告编制服务，包含：风电场场区、升压站、场内道路及集电线路走廊范围内1:2000地形图测绘、测绘成果编制及交付；开展现场踏勘、微观选址优化，编制风电场可行性研究报告、项目申请报告，完成报告内审、专家评审及</w:t>
      </w:r>
      <w:r>
        <w:rPr>
          <w:rFonts w:hint="eastAsia" w:ascii="宋体" w:hAnsi="宋体" w:eastAsia="宋体" w:cs="宋体"/>
          <w:color w:val="auto"/>
          <w:sz w:val="24"/>
          <w:szCs w:val="24"/>
          <w:highlight w:val="none"/>
          <w:lang w:val="en-US" w:eastAsia="zh-CN"/>
        </w:rPr>
        <w:t>报告</w:t>
      </w:r>
      <w:r>
        <w:rPr>
          <w:rFonts w:ascii="宋体" w:hAnsi="宋体" w:eastAsia="宋体" w:cs="宋体"/>
          <w:color w:val="auto"/>
          <w:sz w:val="24"/>
          <w:szCs w:val="24"/>
          <w:highlight w:val="none"/>
        </w:rPr>
        <w:t>修改，配合招标人开展项目评审、申报等相关技术服务。</w:t>
      </w:r>
      <w:r>
        <w:rPr>
          <w:rFonts w:hint="eastAsia" w:ascii="宋体" w:hAnsi="宋体" w:eastAsia="宋体" w:cs="宋体"/>
          <w:color w:val="auto"/>
          <w:sz w:val="24"/>
          <w:szCs w:val="24"/>
          <w:highlight w:val="none"/>
        </w:rPr>
        <w:t>详见第五章技术规范书。</w:t>
      </w:r>
    </w:p>
    <w:p>
      <w:pPr>
        <w:spacing w:line="360" w:lineRule="auto"/>
        <w:ind w:firstLine="480" w:firstLineChars="200"/>
        <w:rPr>
          <w:color w:val="auto"/>
          <w:sz w:val="24"/>
          <w:highlight w:val="none"/>
        </w:rPr>
      </w:pPr>
      <w:r>
        <w:rPr>
          <w:rFonts w:hint="eastAsia"/>
          <w:color w:val="auto"/>
          <w:sz w:val="24"/>
          <w:highlight w:val="none"/>
        </w:rPr>
        <w:t>3</w:t>
      </w:r>
      <w:r>
        <w:rPr>
          <w:color w:val="auto"/>
          <w:sz w:val="24"/>
          <w:highlight w:val="none"/>
        </w:rPr>
        <w:t>.1.1</w:t>
      </w:r>
      <w:r>
        <w:rPr>
          <w:rFonts w:hint="eastAsia" w:ascii="宋体" w:hAnsi="宋体"/>
          <w:color w:val="auto"/>
          <w:sz w:val="24"/>
          <w:szCs w:val="24"/>
          <w:highlight w:val="none"/>
        </w:rPr>
        <w:t>白水风电场、麒麟北风电场（二期）</w:t>
      </w:r>
      <w:r>
        <w:rPr>
          <w:rFonts w:ascii="宋体" w:hAnsi="宋体" w:cs="宋体"/>
          <w:color w:val="auto"/>
          <w:sz w:val="24"/>
          <w:szCs w:val="24"/>
          <w:highlight w:val="none"/>
        </w:rPr>
        <w:t>项目</w:t>
      </w:r>
      <w:r>
        <w:rPr>
          <w:color w:val="auto"/>
          <w:sz w:val="24"/>
          <w:highlight w:val="none"/>
        </w:rPr>
        <w:t>项目可行性研究报告编制及相关技术服务，可研报告须达到初步设计程度；</w:t>
      </w:r>
    </w:p>
    <w:p>
      <w:pPr>
        <w:spacing w:line="360" w:lineRule="auto"/>
        <w:ind w:firstLine="480" w:firstLineChars="200"/>
        <w:rPr>
          <w:rFonts w:hint="eastAsia" w:ascii="宋体" w:hAnsi="宋体" w:cs="宋体"/>
          <w:color w:val="auto"/>
          <w:sz w:val="24"/>
          <w:szCs w:val="24"/>
          <w:highlight w:val="none"/>
        </w:rPr>
      </w:pPr>
      <w:r>
        <w:rPr>
          <w:rFonts w:hint="eastAsia"/>
          <w:color w:val="auto"/>
          <w:sz w:val="24"/>
          <w:highlight w:val="none"/>
        </w:rPr>
        <w:t>3</w:t>
      </w:r>
      <w:r>
        <w:rPr>
          <w:color w:val="auto"/>
          <w:sz w:val="24"/>
          <w:highlight w:val="none"/>
        </w:rPr>
        <w:t>.1.2</w:t>
      </w:r>
      <w:r>
        <w:rPr>
          <w:rFonts w:hint="eastAsia" w:ascii="宋体" w:hAnsi="宋体"/>
          <w:color w:val="auto"/>
          <w:sz w:val="24"/>
          <w:szCs w:val="24"/>
          <w:highlight w:val="none"/>
        </w:rPr>
        <w:t>白水风电场、麒麟北风电场（二期）</w:t>
      </w:r>
      <w:r>
        <w:rPr>
          <w:rFonts w:ascii="宋体" w:hAnsi="宋体" w:cs="宋体"/>
          <w:color w:val="auto"/>
          <w:sz w:val="24"/>
          <w:szCs w:val="24"/>
          <w:highlight w:val="none"/>
        </w:rPr>
        <w:t>项目1:2000</w:t>
      </w:r>
      <w:r>
        <w:rPr>
          <w:color w:val="auto"/>
          <w:sz w:val="24"/>
          <w:highlight w:val="none"/>
        </w:rPr>
        <w:t>地形图测绘，同时提供地理位置示意图、正射影像图（DOM）等相关图纸；</w:t>
      </w:r>
    </w:p>
    <w:p>
      <w:pPr>
        <w:ind w:firstLine="480"/>
        <w:rPr>
          <w:color w:val="auto"/>
          <w:highlight w:val="none"/>
        </w:rPr>
      </w:pPr>
      <w:r>
        <w:rPr>
          <w:rFonts w:hint="eastAsia"/>
          <w:color w:val="auto"/>
          <w:sz w:val="24"/>
          <w:highlight w:val="none"/>
          <w:lang w:val="en-US" w:eastAsia="zh-CN"/>
        </w:rPr>
        <w:t>3.1.3白水风电场、麒麟北风电场（二期）项目申请报告编制及报审相关技术服务。</w:t>
      </w:r>
    </w:p>
    <w:p>
      <w:pPr>
        <w:widowControl/>
        <w:spacing w:line="360" w:lineRule="auto"/>
        <w:ind w:firstLine="480" w:firstLineChars="200"/>
        <w:jc w:val="left"/>
        <w:rPr>
          <w:color w:val="auto"/>
          <w:kern w:val="0"/>
          <w:sz w:val="24"/>
          <w:szCs w:val="24"/>
          <w:highlight w:val="none"/>
        </w:rPr>
      </w:pPr>
      <w:r>
        <w:rPr>
          <w:rFonts w:hint="eastAsia"/>
          <w:color w:val="auto"/>
          <w:kern w:val="0"/>
          <w:sz w:val="24"/>
          <w:szCs w:val="24"/>
          <w:highlight w:val="none"/>
        </w:rPr>
        <w:t>3.2时间要求：</w:t>
      </w:r>
      <w:r>
        <w:rPr>
          <w:rFonts w:hint="eastAsia"/>
          <w:color w:val="auto"/>
          <w:kern w:val="0"/>
          <w:sz w:val="24"/>
          <w:szCs w:val="24"/>
          <w:highlight w:val="none"/>
          <w:lang w:val="en-US" w:eastAsia="zh-CN"/>
        </w:rPr>
        <w:t>自</w:t>
      </w:r>
      <w:r>
        <w:rPr>
          <w:rFonts w:hint="eastAsia" w:asciiTheme="minorEastAsia" w:hAnsiTheme="minorEastAsia" w:eastAsiaTheme="minorEastAsia" w:cstheme="minorEastAsia"/>
          <w:color w:val="auto"/>
          <w:sz w:val="24"/>
          <w:szCs w:val="24"/>
          <w:highlight w:val="none"/>
        </w:rPr>
        <w:t>合同签订</w:t>
      </w:r>
      <w:r>
        <w:rPr>
          <w:rFonts w:hint="eastAsia" w:asciiTheme="minorEastAsia" w:hAnsiTheme="minorEastAsia" w:eastAsiaTheme="minorEastAsia" w:cstheme="minorEastAsia"/>
          <w:color w:val="auto"/>
          <w:sz w:val="24"/>
          <w:szCs w:val="24"/>
          <w:highlight w:val="none"/>
          <w:lang w:val="en-US" w:eastAsia="zh-CN"/>
        </w:rPr>
        <w:t>招标人提供全部资料</w:t>
      </w:r>
      <w:r>
        <w:rPr>
          <w:rFonts w:hint="eastAsia" w:asciiTheme="minorEastAsia" w:hAnsiTheme="minorEastAsia" w:eastAsiaTheme="minorEastAsia" w:cstheme="minorEastAsia"/>
          <w:color w:val="auto"/>
          <w:sz w:val="24"/>
          <w:szCs w:val="24"/>
          <w:highlight w:val="none"/>
        </w:rPr>
        <w:t>后直至分别取得白水风电场项目、麒麟北（二期）风电场项目可研评审意见及核准批复</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总工期不超过16个月。</w:t>
      </w:r>
    </w:p>
    <w:p>
      <w:pPr>
        <w:widowControl/>
        <w:spacing w:line="360" w:lineRule="auto"/>
        <w:ind w:firstLine="480" w:firstLineChars="200"/>
        <w:jc w:val="left"/>
        <w:rPr>
          <w:color w:val="auto"/>
          <w:kern w:val="0"/>
          <w:sz w:val="24"/>
          <w:szCs w:val="24"/>
          <w:highlight w:val="none"/>
        </w:rPr>
      </w:pPr>
      <w:r>
        <w:rPr>
          <w:rFonts w:hint="eastAsia"/>
          <w:color w:val="auto"/>
          <w:kern w:val="0"/>
          <w:sz w:val="24"/>
          <w:szCs w:val="24"/>
          <w:highlight w:val="none"/>
        </w:rPr>
        <w:t>3.3 服务地点：云南省曲靖市麒麟区、沾益区。</w:t>
      </w:r>
    </w:p>
    <w:p>
      <w:pPr>
        <w:spacing w:line="360" w:lineRule="auto"/>
        <w:ind w:firstLine="470" w:firstLineChars="196"/>
        <w:rPr>
          <w:color w:val="auto"/>
          <w:kern w:val="0"/>
          <w:sz w:val="24"/>
          <w:szCs w:val="24"/>
          <w:highlight w:val="none"/>
        </w:rPr>
      </w:pPr>
      <w:r>
        <w:rPr>
          <w:rFonts w:hint="eastAsia"/>
          <w:color w:val="auto"/>
          <w:kern w:val="0"/>
          <w:sz w:val="24"/>
          <w:szCs w:val="24"/>
          <w:highlight w:val="none"/>
        </w:rPr>
        <w:t>3.4 服务质量要求或服务标准：</w:t>
      </w:r>
    </w:p>
    <w:p>
      <w:pPr>
        <w:widowControl/>
        <w:spacing w:line="360" w:lineRule="auto"/>
        <w:ind w:firstLine="470" w:firstLineChars="196"/>
        <w:jc w:val="left"/>
        <w:rPr>
          <w:rFonts w:ascii="宋体" w:hAnsi="宋体" w:cs="宋体"/>
          <w:color w:val="auto"/>
          <w:sz w:val="24"/>
          <w:szCs w:val="24"/>
          <w:highlight w:val="none"/>
        </w:rPr>
      </w:pPr>
      <w:r>
        <w:rPr>
          <w:rFonts w:hint="eastAsia"/>
          <w:color w:val="auto"/>
          <w:kern w:val="0"/>
          <w:sz w:val="24"/>
          <w:szCs w:val="24"/>
          <w:highlight w:val="none"/>
        </w:rPr>
        <w:t>（1）</w:t>
      </w:r>
      <w:r>
        <w:rPr>
          <w:color w:val="auto"/>
          <w:sz w:val="24"/>
          <w:highlight w:val="none"/>
          <w:u w:val="single"/>
        </w:rPr>
        <w:t>本项目须严格遵守</w:t>
      </w:r>
      <w:r>
        <w:rPr>
          <w:rFonts w:ascii="宋体" w:hAnsi="宋体" w:cs="宋体"/>
          <w:color w:val="auto"/>
          <w:sz w:val="24"/>
          <w:szCs w:val="24"/>
          <w:highlight w:val="none"/>
        </w:rPr>
        <w:t>GB 50026-2020《工程测量标准》、GB 55018-2021《工程测量通用规范》、GB/T 20257.1-2017《国家基本比例尺地图图式</w:t>
      </w:r>
      <w:r>
        <w:rPr>
          <w:rFonts w:hint="eastAsia" w:ascii="宋体" w:hAnsi="宋体" w:cs="宋体"/>
          <w:color w:val="auto"/>
          <w:sz w:val="24"/>
          <w:szCs w:val="24"/>
          <w:highlight w:val="none"/>
        </w:rPr>
        <w:t xml:space="preserve"> </w:t>
      </w:r>
      <w:r>
        <w:rPr>
          <w:rFonts w:ascii="宋体" w:hAnsi="宋体" w:cs="宋体"/>
          <w:color w:val="auto"/>
          <w:sz w:val="24"/>
          <w:szCs w:val="24"/>
          <w:highlight w:val="none"/>
        </w:rPr>
        <w:t>第1部分：1:500、1:1000、1:2000 地形图图式》；NB/T 31105-2016《陆上风电场工程可行性研究报告编制规程》、GB/T 18710《风电场风能资源评估方法》、NB/T 31030-2019《陆上风电场工程场址选择技术规程》；GB 50059《35kV～110kV 变电站设计规范》、GB 50217《电力工程电缆设计标准》、GB 50007《建筑地基基础设计规范》、GB 50016《建筑设计防火规范》；国家及云南省关于风电开发、自然资源、林草、生态环境、水土保持、土地使用相关法律法规、政策文件；</w:t>
      </w:r>
      <w:r>
        <w:rPr>
          <w:rFonts w:ascii="宋体" w:hAnsi="宋体" w:cs="宋体"/>
          <w:color w:val="auto"/>
          <w:sz w:val="24"/>
          <w:szCs w:val="24"/>
          <w:highlight w:val="none"/>
        </w:rPr>
        <w:br w:type="textWrapping"/>
      </w:r>
      <w:r>
        <w:rPr>
          <w:rFonts w:hint="eastAsia" w:ascii="宋体" w:hAnsi="宋体" w:cs="宋体"/>
          <w:color w:val="auto"/>
          <w:sz w:val="24"/>
          <w:szCs w:val="24"/>
          <w:highlight w:val="none"/>
          <w:lang w:val="en-US" w:eastAsia="zh-CN"/>
        </w:rPr>
        <w:t xml:space="preserve">    </w:t>
      </w:r>
      <w:r>
        <w:rPr>
          <w:rFonts w:ascii="宋体" w:hAnsi="宋体" w:cs="宋体"/>
          <w:color w:val="auto"/>
          <w:sz w:val="24"/>
          <w:szCs w:val="24"/>
          <w:highlight w:val="none"/>
        </w:rPr>
        <w:t>所有标准若有更新，须采用最新有效版本执行。</w:t>
      </w:r>
    </w:p>
    <w:p>
      <w:pPr>
        <w:spacing w:line="360" w:lineRule="auto"/>
        <w:ind w:firstLine="480" w:firstLineChars="200"/>
        <w:rPr>
          <w:color w:val="auto"/>
          <w:sz w:val="24"/>
          <w:highlight w:val="none"/>
        </w:rPr>
      </w:pPr>
      <w:r>
        <w:rPr>
          <w:rFonts w:hint="eastAsia"/>
          <w:color w:val="auto"/>
          <w:kern w:val="0"/>
          <w:sz w:val="24"/>
          <w:szCs w:val="24"/>
          <w:highlight w:val="none"/>
        </w:rPr>
        <w:t>（2）</w:t>
      </w:r>
      <w:r>
        <w:rPr>
          <w:color w:val="auto"/>
          <w:sz w:val="24"/>
          <w:highlight w:val="none"/>
          <w:u w:val="single"/>
        </w:rPr>
        <w:t>参与本项目工作人员须严格按照《测绘工作保密管理制度》切实做好涉密测绘成果的保密工作。</w:t>
      </w:r>
    </w:p>
    <w:p>
      <w:pPr>
        <w:adjustRightInd w:val="0"/>
        <w:snapToGrid w:val="0"/>
        <w:spacing w:line="440" w:lineRule="exact"/>
        <w:jc w:val="left"/>
        <w:rPr>
          <w:color w:val="auto"/>
          <w:sz w:val="24"/>
          <w:highlight w:val="none"/>
          <w:u w:val="single"/>
        </w:rPr>
      </w:pPr>
      <w:r>
        <w:rPr>
          <w:rFonts w:hint="eastAsia"/>
          <w:color w:val="auto"/>
          <w:kern w:val="0"/>
          <w:sz w:val="24"/>
          <w:szCs w:val="24"/>
          <w:highlight w:val="none"/>
        </w:rPr>
        <w:tab/>
      </w:r>
      <w:r>
        <w:rPr>
          <w:rFonts w:hint="eastAsia"/>
          <w:color w:val="auto"/>
          <w:kern w:val="0"/>
          <w:sz w:val="24"/>
          <w:szCs w:val="24"/>
          <w:highlight w:val="none"/>
        </w:rPr>
        <w:t>（3）</w:t>
      </w:r>
      <w:r>
        <w:rPr>
          <w:color w:val="auto"/>
          <w:sz w:val="24"/>
          <w:highlight w:val="none"/>
        </w:rPr>
        <w:t>提供图纸</w:t>
      </w:r>
      <w:r>
        <w:rPr>
          <w:color w:val="auto"/>
          <w:sz w:val="24"/>
          <w:highlight w:val="none"/>
          <w:u w:val="single"/>
        </w:rPr>
        <w:t>：</w:t>
      </w:r>
      <w:r>
        <w:rPr>
          <w:rFonts w:hint="eastAsia"/>
          <w:color w:val="auto"/>
          <w:sz w:val="24"/>
          <w:highlight w:val="none"/>
          <w:u w:val="single"/>
        </w:rPr>
        <w:t>①</w:t>
      </w:r>
      <w:r>
        <w:rPr>
          <w:rFonts w:ascii="宋体" w:hAnsi="宋体" w:cs="宋体"/>
          <w:color w:val="auto"/>
          <w:sz w:val="24"/>
          <w:szCs w:val="24"/>
          <w:highlight w:val="none"/>
        </w:rPr>
        <w:t>所有测绘图纸、可研附图统一采用2000国家大地坐标系（CGCS2000）、1985国家高程基准。</w:t>
      </w:r>
      <w:r>
        <w:rPr>
          <w:rFonts w:hint="eastAsia" w:ascii="宋体" w:hAnsi="宋体" w:cs="宋体"/>
          <w:color w:val="auto"/>
          <w:sz w:val="24"/>
          <w:szCs w:val="24"/>
          <w:highlight w:val="none"/>
        </w:rPr>
        <w:t>②</w:t>
      </w:r>
      <w:r>
        <w:rPr>
          <w:rFonts w:ascii="宋体" w:hAnsi="宋体" w:cs="宋体"/>
          <w:color w:val="auto"/>
          <w:sz w:val="24"/>
          <w:szCs w:val="24"/>
          <w:highlight w:val="none"/>
        </w:rPr>
        <w:t>风电场场区、风机机位、集电线路及场内道路范围提供</w:t>
      </w:r>
      <w:bookmarkStart w:id="15" w:name="OLE_LINK1"/>
      <w:bookmarkStart w:id="16" w:name="OLE_LINK2"/>
      <w:r>
        <w:rPr>
          <w:rFonts w:ascii="宋体" w:hAnsi="宋体" w:cs="宋体"/>
          <w:color w:val="auto"/>
          <w:sz w:val="24"/>
          <w:szCs w:val="24"/>
          <w:highlight w:val="none"/>
        </w:rPr>
        <w:t>1:2000</w:t>
      </w:r>
      <w:bookmarkEnd w:id="15"/>
      <w:bookmarkEnd w:id="16"/>
      <w:r>
        <w:rPr>
          <w:rFonts w:ascii="宋体" w:hAnsi="宋体" w:cs="宋体"/>
          <w:color w:val="auto"/>
          <w:sz w:val="24"/>
          <w:szCs w:val="24"/>
          <w:highlight w:val="none"/>
        </w:rPr>
        <w:t>数字地形图；</w:t>
      </w:r>
      <w:r>
        <w:rPr>
          <w:rFonts w:hint="eastAsia" w:ascii="宋体" w:hAnsi="宋体" w:cs="宋体"/>
          <w:color w:val="auto"/>
          <w:sz w:val="24"/>
          <w:szCs w:val="24"/>
          <w:highlight w:val="none"/>
        </w:rPr>
        <w:t>③</w:t>
      </w:r>
      <w:r>
        <w:rPr>
          <w:rFonts w:ascii="宋体" w:hAnsi="宋体" w:cs="宋体"/>
          <w:color w:val="auto"/>
          <w:sz w:val="24"/>
          <w:szCs w:val="24"/>
          <w:highlight w:val="none"/>
        </w:rPr>
        <w:t>地形图包含完整地貌、地物信息，叠加生态红线、永久基本农田、林地等管控边界。</w:t>
      </w:r>
    </w:p>
    <w:p>
      <w:pPr>
        <w:widowControl/>
        <w:adjustRightInd w:val="0"/>
        <w:snapToGrid w:val="0"/>
        <w:spacing w:line="440" w:lineRule="exact"/>
        <w:ind w:firstLine="480" w:firstLineChars="200"/>
        <w:jc w:val="left"/>
        <w:rPr>
          <w:rFonts w:ascii="宋体" w:hAnsi="宋体" w:cs="宋体"/>
          <w:color w:val="auto"/>
          <w:sz w:val="24"/>
          <w:szCs w:val="24"/>
          <w:highlight w:val="none"/>
        </w:rPr>
      </w:pPr>
      <w:r>
        <w:rPr>
          <w:rFonts w:hint="eastAsia"/>
          <w:color w:val="auto"/>
          <w:sz w:val="24"/>
          <w:highlight w:val="none"/>
          <w:u w:val="single"/>
        </w:rPr>
        <w:t>（4）可研报告编制：</w:t>
      </w:r>
      <w:r>
        <w:rPr>
          <w:rFonts w:ascii="宋体" w:hAnsi="宋体" w:cs="宋体"/>
          <w:color w:val="auto"/>
          <w:sz w:val="24"/>
          <w:szCs w:val="24"/>
          <w:highlight w:val="none"/>
        </w:rPr>
        <w:t>中标人按照NB/T</w:t>
      </w:r>
      <w:r>
        <w:rPr>
          <w:rFonts w:hint="eastAsia" w:ascii="宋体" w:hAnsi="宋体" w:cs="宋体"/>
          <w:color w:val="auto"/>
          <w:sz w:val="24"/>
          <w:szCs w:val="24"/>
          <w:highlight w:val="none"/>
        </w:rPr>
        <w:t xml:space="preserve"> </w:t>
      </w:r>
      <w:r>
        <w:rPr>
          <w:rFonts w:ascii="宋体" w:hAnsi="宋体" w:cs="宋体"/>
          <w:color w:val="auto"/>
          <w:sz w:val="24"/>
          <w:szCs w:val="24"/>
          <w:highlight w:val="none"/>
        </w:rPr>
        <w:t>31105-2016《陆上风电场工程可行性研究报告编制规程》、国家及云南省现行相关法规政策开展可研编制工作，在本项目地形图测绘成果基础上完成现场踏勘、风能资源评估、场址限制性因素核查、工程方案比选，编制</w:t>
      </w:r>
      <w:r>
        <w:rPr>
          <w:rFonts w:hint="eastAsia" w:asciiTheme="minorEastAsia" w:hAnsiTheme="minorEastAsia" w:eastAsiaTheme="minorEastAsia" w:cstheme="minorEastAsia"/>
          <w:color w:val="auto"/>
          <w:sz w:val="24"/>
          <w:szCs w:val="24"/>
          <w:highlight w:val="none"/>
        </w:rPr>
        <w:t>白水风电场项目、麒麟北（二期）风电场项目</w:t>
      </w:r>
      <w:r>
        <w:rPr>
          <w:rFonts w:ascii="宋体" w:hAnsi="宋体" w:cs="宋体"/>
          <w:color w:val="auto"/>
          <w:sz w:val="24"/>
          <w:szCs w:val="24"/>
          <w:highlight w:val="none"/>
        </w:rPr>
        <w:t>可行性研究报告及</w:t>
      </w:r>
      <w:r>
        <w:rPr>
          <w:rFonts w:hint="eastAsia" w:asciiTheme="minorEastAsia" w:hAnsiTheme="minorEastAsia" w:eastAsiaTheme="minorEastAsia" w:cstheme="minorEastAsia"/>
          <w:color w:val="auto"/>
          <w:sz w:val="24"/>
          <w:szCs w:val="24"/>
          <w:highlight w:val="none"/>
        </w:rPr>
        <w:t>白水风电场项目、麒麟北（二期）风电场项目</w:t>
      </w:r>
      <w:r>
        <w:rPr>
          <w:rFonts w:ascii="宋体" w:hAnsi="宋体" w:cs="宋体"/>
          <w:color w:val="auto"/>
          <w:sz w:val="24"/>
          <w:szCs w:val="24"/>
          <w:highlight w:val="none"/>
        </w:rPr>
        <w:t>申请报告，成果深度满足专家评审及项目核准申报要求。</w:t>
      </w:r>
    </w:p>
    <w:p>
      <w:pPr>
        <w:widowControl/>
        <w:adjustRightInd w:val="0"/>
        <w:snapToGrid w:val="0"/>
        <w:spacing w:line="440" w:lineRule="exact"/>
        <w:ind w:firstLine="480" w:firstLineChars="200"/>
        <w:jc w:val="left"/>
        <w:rPr>
          <w:color w:val="auto"/>
          <w:kern w:val="0"/>
          <w:sz w:val="24"/>
          <w:szCs w:val="24"/>
          <w:highlight w:val="none"/>
        </w:rPr>
      </w:pPr>
      <w:r>
        <w:rPr>
          <w:rFonts w:ascii="宋体" w:hAnsi="宋体" w:cs="宋体"/>
          <w:color w:val="auto"/>
          <w:sz w:val="24"/>
          <w:szCs w:val="24"/>
          <w:highlight w:val="none"/>
        </w:rPr>
        <w:t>可研报告包含项目建设必要性、风能资源分析、场址及工程地质、机组选型、总体布置、电气及接入系统、土建、施工组织、消防、劳动安全、环保水保、节能、土地利用、投资估算、财务评价等完整章节，开展多方案技术经济比选；财务评价采用单一电量制模式测算，完成发电量计算、财务指标及敏感性分析。</w:t>
      </w:r>
      <w:r>
        <w:rPr>
          <w:rFonts w:ascii="宋体" w:hAnsi="宋体" w:cs="宋体"/>
          <w:color w:val="auto"/>
          <w:sz w:val="24"/>
          <w:szCs w:val="24"/>
          <w:highlight w:val="none"/>
        </w:rPr>
        <w:br w:type="textWrapping"/>
      </w:r>
      <w:r>
        <w:rPr>
          <w:rFonts w:hint="eastAsia" w:ascii="宋体" w:hAnsi="宋体" w:cs="宋体"/>
          <w:color w:val="auto"/>
          <w:sz w:val="24"/>
          <w:szCs w:val="24"/>
          <w:highlight w:val="none"/>
        </w:rPr>
        <w:t xml:space="preserve">    （5）</w:t>
      </w:r>
      <w:r>
        <w:rPr>
          <w:rFonts w:ascii="宋体" w:hAnsi="宋体" w:cs="宋体"/>
          <w:color w:val="auto"/>
          <w:sz w:val="24"/>
          <w:szCs w:val="24"/>
          <w:highlight w:val="none"/>
        </w:rPr>
        <w:t>中标人须完成报告内审修改、专家评审汇报及答疑工作，根据内审、专家及主管部门意见修改完善报告，直至可研</w:t>
      </w:r>
      <w:r>
        <w:rPr>
          <w:rFonts w:hint="eastAsia" w:ascii="宋体" w:hAnsi="宋体" w:cs="宋体"/>
          <w:color w:val="auto"/>
          <w:sz w:val="24"/>
          <w:szCs w:val="24"/>
          <w:highlight w:val="none"/>
          <w:lang w:val="en-US" w:eastAsia="zh-CN"/>
        </w:rPr>
        <w:t>通过采购人集团公司组织的</w:t>
      </w:r>
      <w:r>
        <w:rPr>
          <w:rFonts w:ascii="宋体" w:hAnsi="宋体" w:cs="宋体"/>
          <w:color w:val="auto"/>
          <w:sz w:val="24"/>
          <w:szCs w:val="24"/>
          <w:highlight w:val="none"/>
        </w:rPr>
        <w:t>评审；配合招标人开展项目核准相关技术对接工作</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编制核准申请报告并通过主管部门组织的审查</w:t>
      </w:r>
      <w:r>
        <w:rPr>
          <w:rFonts w:ascii="宋体" w:hAnsi="宋体" w:cs="宋体"/>
          <w:color w:val="auto"/>
          <w:sz w:val="24"/>
          <w:szCs w:val="24"/>
          <w:highlight w:val="none"/>
        </w:rPr>
        <w:t>。中标人负责统筹测绘与可研工作界面，保证报告、附图与测绘地形图成果数据一致。若成果存在重大技术错误，中标人须无偿返工，并承担相应违约责任。</w:t>
      </w:r>
    </w:p>
    <w:p>
      <w:pPr>
        <w:widowControl/>
        <w:spacing w:line="360" w:lineRule="auto"/>
        <w:ind w:firstLine="470" w:firstLineChars="196"/>
        <w:jc w:val="left"/>
        <w:rPr>
          <w:color w:val="auto"/>
          <w:kern w:val="0"/>
          <w:sz w:val="24"/>
          <w:szCs w:val="24"/>
          <w:highlight w:val="none"/>
        </w:rPr>
      </w:pPr>
      <w:r>
        <w:rPr>
          <w:rFonts w:hint="eastAsia"/>
          <w:color w:val="auto"/>
          <w:sz w:val="24"/>
          <w:highlight w:val="none"/>
          <w:u w:val="single"/>
        </w:rPr>
        <w:t>（6）项目风资源评估要符合现行国家相关规范及标准，满足采购人使用。</w:t>
      </w:r>
    </w:p>
    <w:p>
      <w:pPr>
        <w:widowControl/>
        <w:spacing w:line="360" w:lineRule="auto"/>
        <w:ind w:firstLine="480" w:firstLineChars="200"/>
        <w:jc w:val="left"/>
        <w:outlineLvl w:val="2"/>
        <w:rPr>
          <w:color w:val="auto"/>
          <w:sz w:val="24"/>
          <w:highlight w:val="none"/>
          <w:u w:val="single"/>
        </w:rPr>
      </w:pPr>
      <w:r>
        <w:rPr>
          <w:rFonts w:hint="eastAsia"/>
          <w:color w:val="auto"/>
          <w:sz w:val="24"/>
          <w:highlight w:val="none"/>
        </w:rPr>
        <w:t>（7）</w:t>
      </w:r>
      <w:r>
        <w:rPr>
          <w:color w:val="auto"/>
          <w:sz w:val="24"/>
          <w:highlight w:val="none"/>
          <w:u w:val="single"/>
        </w:rPr>
        <w:t>交付设计成果后，按规定参加有关部门组织的设计文件审查、咨询、评估会议，负责上述会议资料的准备和汇报工作，根据会议结论及时做调整补充。</w:t>
      </w:r>
    </w:p>
    <w:p>
      <w:pPr>
        <w:widowControl/>
        <w:spacing w:line="360" w:lineRule="auto"/>
        <w:ind w:firstLine="480" w:firstLineChars="200"/>
        <w:jc w:val="left"/>
        <w:outlineLvl w:val="2"/>
        <w:rPr>
          <w:color w:val="auto"/>
          <w:kern w:val="0"/>
          <w:sz w:val="24"/>
          <w:szCs w:val="24"/>
          <w:highlight w:val="none"/>
        </w:rPr>
      </w:pPr>
      <w:r>
        <w:rPr>
          <w:rFonts w:hint="eastAsia"/>
          <w:color w:val="auto"/>
          <w:sz w:val="24"/>
          <w:highlight w:val="none"/>
          <w:u w:val="single"/>
        </w:rPr>
        <w:t>（8）</w:t>
      </w:r>
      <w:r>
        <w:rPr>
          <w:color w:val="auto"/>
          <w:sz w:val="24"/>
          <w:highlight w:val="none"/>
          <w:u w:val="single"/>
        </w:rPr>
        <w:t>甲方为本工程申报、备案、施工等需要委托第三方编制相关专项报告时，若与可研报告相关，</w:t>
      </w:r>
      <w:r>
        <w:rPr>
          <w:rFonts w:hint="eastAsia"/>
          <w:color w:val="auto"/>
          <w:sz w:val="24"/>
          <w:highlight w:val="none"/>
          <w:u w:val="single"/>
        </w:rPr>
        <w:t>乙方</w:t>
      </w:r>
      <w:r>
        <w:rPr>
          <w:color w:val="auto"/>
          <w:sz w:val="24"/>
          <w:highlight w:val="none"/>
          <w:u w:val="single"/>
        </w:rPr>
        <w:t>应积极配合并提供相关资料。</w:t>
      </w:r>
    </w:p>
    <w:p>
      <w:pPr>
        <w:widowControl/>
        <w:spacing w:line="360" w:lineRule="auto"/>
        <w:ind w:firstLine="470" w:firstLineChars="196"/>
        <w:jc w:val="left"/>
        <w:rPr>
          <w:color w:val="auto"/>
          <w:sz w:val="24"/>
          <w:szCs w:val="24"/>
          <w:highlight w:val="none"/>
        </w:rPr>
      </w:pPr>
      <w:r>
        <w:rPr>
          <w:rFonts w:hint="eastAsia"/>
          <w:color w:val="auto"/>
          <w:kern w:val="0"/>
          <w:sz w:val="24"/>
          <w:szCs w:val="24"/>
          <w:highlight w:val="none"/>
        </w:rPr>
        <w:t>（9）其他：满足技术规范要求。</w:t>
      </w:r>
    </w:p>
    <w:p>
      <w:pPr>
        <w:widowControl/>
        <w:spacing w:line="360" w:lineRule="auto"/>
        <w:ind w:firstLine="482" w:firstLineChars="200"/>
        <w:jc w:val="left"/>
        <w:rPr>
          <w:b/>
          <w:color w:val="auto"/>
          <w:kern w:val="0"/>
          <w:sz w:val="24"/>
          <w:szCs w:val="24"/>
          <w:highlight w:val="none"/>
        </w:rPr>
      </w:pPr>
      <w:r>
        <w:rPr>
          <w:rFonts w:hint="eastAsia"/>
          <w:b/>
          <w:color w:val="auto"/>
          <w:kern w:val="0"/>
          <w:sz w:val="24"/>
          <w:szCs w:val="24"/>
          <w:highlight w:val="none"/>
        </w:rPr>
        <w:t>4. 供应商资格要求及报名条件</w:t>
      </w:r>
    </w:p>
    <w:p>
      <w:pPr>
        <w:widowControl/>
        <w:spacing w:line="360" w:lineRule="auto"/>
        <w:ind w:firstLine="470" w:firstLineChars="196"/>
        <w:jc w:val="left"/>
        <w:rPr>
          <w:color w:val="auto"/>
          <w:kern w:val="0"/>
          <w:sz w:val="24"/>
          <w:szCs w:val="24"/>
          <w:highlight w:val="none"/>
        </w:rPr>
      </w:pPr>
      <w:r>
        <w:rPr>
          <w:rFonts w:hint="eastAsia"/>
          <w:color w:val="auto"/>
          <w:kern w:val="0"/>
          <w:sz w:val="24"/>
          <w:szCs w:val="24"/>
          <w:highlight w:val="none"/>
        </w:rPr>
        <w:t>4.1</w:t>
      </w:r>
      <w:r>
        <w:rPr>
          <w:rFonts w:hint="eastAsia"/>
          <w:color w:val="auto"/>
          <w:sz w:val="24"/>
          <w:szCs w:val="24"/>
          <w:highlight w:val="none"/>
        </w:rPr>
        <w:t>具有独立承担民事责任的能力，应为经行政管理部门登记注册的独立企业（事业）法人，具备有效的营业执照或事业单位法人证书或其他有效的法定凭证。</w:t>
      </w:r>
    </w:p>
    <w:p>
      <w:pPr>
        <w:widowControl/>
        <w:spacing w:line="360" w:lineRule="auto"/>
        <w:ind w:firstLine="470" w:firstLineChars="196"/>
        <w:jc w:val="left"/>
        <w:rPr>
          <w:color w:val="auto"/>
          <w:kern w:val="0"/>
          <w:sz w:val="24"/>
          <w:szCs w:val="24"/>
          <w:highlight w:val="none"/>
        </w:rPr>
      </w:pPr>
      <w:r>
        <w:rPr>
          <w:rFonts w:hint="eastAsia"/>
          <w:color w:val="auto"/>
          <w:kern w:val="0"/>
          <w:sz w:val="24"/>
          <w:szCs w:val="24"/>
          <w:highlight w:val="none"/>
        </w:rPr>
        <w:t>4.2供应商信誉：没有处于被责令停业，财产被接管、冻结或破产状态；并在人员、设备、资金等方面具有承担本项目的能力；在“信用中国”网站（www.creditchina.gov.cn）无不良行为记录。（须提供相关承诺，信用中国信用信息</w:t>
      </w:r>
      <w:r>
        <w:rPr>
          <w:rFonts w:hint="eastAsia"/>
          <w:color w:val="auto"/>
          <w:kern w:val="0"/>
          <w:sz w:val="24"/>
          <w:szCs w:val="24"/>
          <w:highlight w:val="none"/>
          <w:lang w:val="en-US" w:eastAsia="zh-CN"/>
        </w:rPr>
        <w:t>查询截图须为采购公告发布至投标截止日之间的</w:t>
      </w:r>
      <w:r>
        <w:rPr>
          <w:rFonts w:hint="eastAsia"/>
          <w:color w:val="auto"/>
          <w:kern w:val="0"/>
          <w:sz w:val="24"/>
          <w:szCs w:val="24"/>
          <w:highlight w:val="none"/>
        </w:rPr>
        <w:t>）。</w:t>
      </w:r>
    </w:p>
    <w:p>
      <w:pPr>
        <w:widowControl/>
        <w:spacing w:line="360" w:lineRule="auto"/>
        <w:ind w:firstLine="470" w:firstLineChars="196"/>
        <w:jc w:val="left"/>
        <w:rPr>
          <w:rFonts w:ascii="宋体" w:hAnsi="宋体" w:cs="宋体"/>
          <w:color w:val="auto"/>
          <w:sz w:val="24"/>
          <w:szCs w:val="24"/>
          <w:highlight w:val="none"/>
        </w:rPr>
      </w:pPr>
      <w:r>
        <w:rPr>
          <w:rFonts w:hint="eastAsia"/>
          <w:color w:val="auto"/>
          <w:kern w:val="0"/>
          <w:sz w:val="24"/>
          <w:szCs w:val="24"/>
          <w:highlight w:val="none"/>
        </w:rPr>
        <w:t>4.</w:t>
      </w:r>
      <w:r>
        <w:rPr>
          <w:rFonts w:hint="eastAsia"/>
          <w:color w:val="auto"/>
          <w:kern w:val="0"/>
          <w:sz w:val="24"/>
          <w:szCs w:val="24"/>
          <w:highlight w:val="none"/>
          <w:lang w:val="en-US" w:eastAsia="zh-CN"/>
        </w:rPr>
        <w:t>3</w:t>
      </w:r>
      <w:r>
        <w:rPr>
          <w:rFonts w:hint="eastAsia"/>
          <w:color w:val="auto"/>
          <w:kern w:val="0"/>
          <w:sz w:val="24"/>
          <w:szCs w:val="24"/>
          <w:highlight w:val="none"/>
        </w:rPr>
        <w:t>业绩要求：</w:t>
      </w:r>
      <w:r>
        <w:rPr>
          <w:rFonts w:hint="eastAsia" w:ascii="宋体" w:hAnsi="宋体" w:cs="宋体"/>
          <w:color w:val="auto"/>
          <w:sz w:val="24"/>
          <w:szCs w:val="24"/>
          <w:highlight w:val="none"/>
        </w:rPr>
        <w:t>投标人</w:t>
      </w:r>
      <w:r>
        <w:rPr>
          <w:rFonts w:hint="eastAsia" w:ascii="宋体" w:hAnsi="宋体" w:cs="宋体"/>
          <w:color w:val="auto"/>
          <w:sz w:val="24"/>
          <w:szCs w:val="24"/>
          <w:highlight w:val="none"/>
          <w:lang w:val="en-US" w:eastAsia="zh-CN"/>
        </w:rPr>
        <w:t>须提供</w:t>
      </w:r>
      <w:r>
        <w:rPr>
          <w:rFonts w:hint="eastAsia" w:ascii="宋体" w:hAnsi="宋体" w:cs="宋体"/>
          <w:color w:val="auto"/>
          <w:sz w:val="24"/>
          <w:szCs w:val="24"/>
          <w:highlight w:val="none"/>
        </w:rPr>
        <w:t>近3年（2023年1月1日至今</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以合同签订日期为准</w:t>
      </w:r>
      <w:r>
        <w:rPr>
          <w:rFonts w:hint="eastAsia" w:ascii="宋体" w:hAnsi="宋体" w:cs="宋体"/>
          <w:color w:val="auto"/>
          <w:sz w:val="24"/>
          <w:szCs w:val="24"/>
          <w:highlight w:val="none"/>
        </w:rPr>
        <w:t>）至少承担过2项</w:t>
      </w:r>
      <w:r>
        <w:rPr>
          <w:rFonts w:hint="eastAsia" w:ascii="宋体" w:hAnsi="宋体" w:cs="宋体"/>
          <w:color w:val="auto"/>
          <w:sz w:val="24"/>
          <w:szCs w:val="24"/>
          <w:highlight w:val="none"/>
          <w:lang w:val="en-US" w:eastAsia="zh-CN"/>
        </w:rPr>
        <w:t>相同或</w:t>
      </w:r>
      <w:r>
        <w:rPr>
          <w:rFonts w:hint="eastAsia" w:ascii="宋体" w:hAnsi="宋体" w:cs="宋体"/>
          <w:color w:val="auto"/>
          <w:sz w:val="24"/>
          <w:szCs w:val="24"/>
          <w:highlight w:val="none"/>
        </w:rPr>
        <w:t>类似项目业绩。（证明资料：提供合同或中标通知书或验收证明或项目审批文件等有效证明材料）。</w:t>
      </w:r>
    </w:p>
    <w:p>
      <w:pPr>
        <w:widowControl/>
        <w:spacing w:line="360" w:lineRule="auto"/>
        <w:ind w:firstLine="470" w:firstLineChars="196"/>
        <w:jc w:val="left"/>
        <w:rPr>
          <w:rFonts w:hint="eastAsia"/>
          <w:color w:val="0000FF"/>
          <w:sz w:val="24"/>
          <w:szCs w:val="24"/>
          <w:highlight w:val="none"/>
          <w:lang w:val="en-US" w:eastAsia="zh-CN"/>
        </w:rPr>
      </w:pPr>
      <w:r>
        <w:rPr>
          <w:rFonts w:hint="eastAsia"/>
          <w:color w:val="auto"/>
          <w:sz w:val="24"/>
          <w:szCs w:val="24"/>
          <w:highlight w:val="none"/>
        </w:rPr>
        <w:t>4.</w:t>
      </w:r>
      <w:r>
        <w:rPr>
          <w:rFonts w:hint="eastAsia"/>
          <w:color w:val="auto"/>
          <w:sz w:val="24"/>
          <w:szCs w:val="24"/>
          <w:highlight w:val="none"/>
          <w:lang w:val="en-US" w:eastAsia="zh-CN"/>
        </w:rPr>
        <w:t>4</w:t>
      </w:r>
      <w:r>
        <w:rPr>
          <w:rFonts w:hint="eastAsia"/>
          <w:color w:val="auto"/>
          <w:sz w:val="24"/>
          <w:szCs w:val="24"/>
          <w:highlight w:val="none"/>
        </w:rPr>
        <w:t>资质要求：</w:t>
      </w:r>
      <w:r>
        <w:rPr>
          <w:rFonts w:hint="eastAsia" w:ascii="宋体" w:hAnsi="宋体" w:eastAsia="宋体" w:cs="Times New Roman"/>
          <w:sz w:val="24"/>
          <w:szCs w:val="24"/>
        </w:rPr>
        <w:t>具有电力行业工程设计甲级及以上设计资质</w:t>
      </w:r>
      <w:r>
        <w:rPr>
          <w:rFonts w:hint="eastAsia" w:ascii="宋体" w:hAnsi="宋体" w:eastAsia="宋体" w:cs="Times New Roman"/>
          <w:sz w:val="24"/>
          <w:szCs w:val="24"/>
          <w:lang w:val="en-US" w:eastAsia="zh-CN"/>
        </w:rPr>
        <w:t>和工程勘察专业甲级及以上资质</w:t>
      </w:r>
      <w:r>
        <w:rPr>
          <w:rFonts w:hint="eastAsia" w:ascii="宋体" w:hAnsi="宋体" w:eastAsia="宋体" w:cs="Times New Roman"/>
          <w:sz w:val="24"/>
          <w:szCs w:val="24"/>
        </w:rPr>
        <w:t>，并提供相关资质文件复印件。</w:t>
      </w:r>
    </w:p>
    <w:p>
      <w:pPr>
        <w:widowControl/>
        <w:spacing w:line="360" w:lineRule="auto"/>
        <w:ind w:firstLine="470" w:firstLineChars="196"/>
        <w:jc w:val="left"/>
        <w:rPr>
          <w:color w:val="auto"/>
          <w:kern w:val="0"/>
          <w:sz w:val="24"/>
          <w:szCs w:val="24"/>
          <w:highlight w:val="none"/>
        </w:rPr>
      </w:pPr>
      <w:r>
        <w:rPr>
          <w:rFonts w:hint="eastAsia"/>
          <w:color w:val="auto"/>
          <w:kern w:val="0"/>
          <w:sz w:val="24"/>
          <w:szCs w:val="24"/>
          <w:highlight w:val="none"/>
        </w:rPr>
        <w:t>4.</w:t>
      </w:r>
      <w:r>
        <w:rPr>
          <w:rFonts w:hint="eastAsia"/>
          <w:color w:val="auto"/>
          <w:kern w:val="0"/>
          <w:sz w:val="24"/>
          <w:szCs w:val="24"/>
          <w:highlight w:val="none"/>
          <w:lang w:val="en-US" w:eastAsia="zh-CN"/>
        </w:rPr>
        <w:t>5</w:t>
      </w:r>
      <w:r>
        <w:rPr>
          <w:rFonts w:hint="eastAsia"/>
          <w:color w:val="auto"/>
          <w:kern w:val="0"/>
          <w:sz w:val="24"/>
          <w:szCs w:val="24"/>
          <w:highlight w:val="none"/>
        </w:rPr>
        <w:t>本项目不接受联合体报价。</w:t>
      </w:r>
    </w:p>
    <w:p>
      <w:pPr>
        <w:widowControl/>
        <w:spacing w:line="360" w:lineRule="auto"/>
        <w:ind w:firstLine="495"/>
        <w:jc w:val="left"/>
        <w:rPr>
          <w:b/>
          <w:bCs/>
          <w:color w:val="auto"/>
          <w:kern w:val="0"/>
          <w:sz w:val="24"/>
          <w:szCs w:val="24"/>
          <w:highlight w:val="none"/>
        </w:rPr>
      </w:pPr>
      <w:bookmarkStart w:id="17" w:name="_Toc294172265"/>
      <w:r>
        <w:rPr>
          <w:rFonts w:hint="eastAsia"/>
          <w:b/>
          <w:bCs/>
          <w:color w:val="auto"/>
          <w:kern w:val="0"/>
          <w:sz w:val="24"/>
          <w:szCs w:val="24"/>
          <w:highlight w:val="none"/>
        </w:rPr>
        <w:t>5. 资格审查方法</w:t>
      </w:r>
      <w:bookmarkEnd w:id="17"/>
    </w:p>
    <w:p>
      <w:pPr>
        <w:widowControl/>
        <w:spacing w:line="360" w:lineRule="auto"/>
        <w:ind w:firstLine="495"/>
        <w:jc w:val="left"/>
        <w:rPr>
          <w:color w:val="auto"/>
          <w:kern w:val="0"/>
          <w:sz w:val="24"/>
          <w:szCs w:val="24"/>
          <w:highlight w:val="none"/>
        </w:rPr>
      </w:pPr>
      <w:r>
        <w:rPr>
          <w:rFonts w:hint="eastAsia"/>
          <w:color w:val="auto"/>
          <w:kern w:val="0"/>
          <w:sz w:val="24"/>
          <w:szCs w:val="24"/>
          <w:highlight w:val="none"/>
        </w:rPr>
        <w:t>本次报价采用</w:t>
      </w:r>
      <w:r>
        <w:rPr>
          <w:rFonts w:hint="eastAsia"/>
          <w:color w:val="auto"/>
          <w:kern w:val="0"/>
          <w:sz w:val="24"/>
          <w:szCs w:val="24"/>
          <w:highlight w:val="none"/>
          <w:u w:val="single"/>
        </w:rPr>
        <w:t>资格后审</w:t>
      </w:r>
      <w:r>
        <w:rPr>
          <w:rFonts w:hint="eastAsia"/>
          <w:color w:val="auto"/>
          <w:kern w:val="0"/>
          <w:sz w:val="24"/>
          <w:szCs w:val="24"/>
          <w:highlight w:val="none"/>
        </w:rPr>
        <w:t>，审查方式为合格制。</w:t>
      </w:r>
    </w:p>
    <w:p>
      <w:pPr>
        <w:widowControl/>
        <w:spacing w:line="360" w:lineRule="auto"/>
        <w:ind w:firstLine="482" w:firstLineChars="200"/>
        <w:jc w:val="left"/>
        <w:rPr>
          <w:color w:val="auto"/>
          <w:kern w:val="0"/>
          <w:sz w:val="24"/>
          <w:szCs w:val="24"/>
          <w:highlight w:val="none"/>
        </w:rPr>
      </w:pPr>
      <w:r>
        <w:rPr>
          <w:rFonts w:hint="eastAsia"/>
          <w:b/>
          <w:bCs/>
          <w:color w:val="auto"/>
          <w:kern w:val="0"/>
          <w:sz w:val="24"/>
          <w:szCs w:val="24"/>
          <w:highlight w:val="none"/>
        </w:rPr>
        <w:t>6. 报价文件的获取</w:t>
      </w:r>
      <w:r>
        <w:rPr>
          <w:rFonts w:hint="eastAsia"/>
          <w:color w:val="auto"/>
          <w:kern w:val="0"/>
          <w:sz w:val="24"/>
          <w:szCs w:val="24"/>
          <w:highlight w:val="none"/>
        </w:rPr>
        <w:t xml:space="preserve"> </w:t>
      </w:r>
    </w:p>
    <w:p>
      <w:pPr>
        <w:widowControl/>
        <w:spacing w:line="360" w:lineRule="auto"/>
        <w:ind w:firstLine="480" w:firstLineChars="200"/>
        <w:rPr>
          <w:color w:val="auto"/>
          <w:sz w:val="24"/>
          <w:szCs w:val="24"/>
          <w:highlight w:val="none"/>
        </w:rPr>
      </w:pPr>
      <w:bookmarkStart w:id="18" w:name="_Toc356219766"/>
      <w:bookmarkStart w:id="19" w:name="_Toc350174475"/>
      <w:bookmarkStart w:id="20" w:name="_Toc385494483"/>
      <w:bookmarkStart w:id="21" w:name="_Toc357763669"/>
      <w:bookmarkStart w:id="22" w:name="_Toc349893841"/>
      <w:bookmarkStart w:id="23" w:name="_Toc329262623"/>
      <w:bookmarkStart w:id="24" w:name="_Toc339030647"/>
      <w:bookmarkStart w:id="25" w:name="_Toc357604892"/>
      <w:bookmarkStart w:id="26" w:name="_Toc385494375"/>
      <w:r>
        <w:rPr>
          <w:rFonts w:hint="eastAsia"/>
          <w:color w:val="auto"/>
          <w:sz w:val="24"/>
          <w:szCs w:val="24"/>
          <w:highlight w:val="none"/>
        </w:rPr>
        <w:t>有意参加询价采购活动的供应商，请登录云南省能源集团有限公司</w:t>
      </w:r>
      <w:r>
        <w:rPr>
          <w:color w:val="auto"/>
          <w:sz w:val="24"/>
          <w:szCs w:val="24"/>
          <w:highlight w:val="none"/>
        </w:rPr>
        <w:t>业财一体化建设平台</w:t>
      </w:r>
      <w:r>
        <w:rPr>
          <w:rFonts w:hint="eastAsia"/>
          <w:color w:val="auto"/>
          <w:sz w:val="24"/>
          <w:szCs w:val="24"/>
          <w:highlight w:val="none"/>
        </w:rPr>
        <w:t>，注册成功后，可参加对应项目的报价，并可在网站自行下载询价采购文件及参与项目后续报价事宜。询价采购文件获取时间：电子商务平台的报价截止时间前。</w:t>
      </w:r>
    </w:p>
    <w:p>
      <w:pPr>
        <w:widowControl/>
        <w:spacing w:line="360" w:lineRule="auto"/>
        <w:ind w:firstLine="482" w:firstLineChars="200"/>
        <w:jc w:val="left"/>
        <w:rPr>
          <w:b/>
          <w:bCs/>
          <w:color w:val="auto"/>
          <w:kern w:val="0"/>
          <w:sz w:val="24"/>
          <w:szCs w:val="24"/>
          <w:highlight w:val="none"/>
        </w:rPr>
      </w:pPr>
      <w:r>
        <w:rPr>
          <w:rFonts w:hint="eastAsia"/>
          <w:b/>
          <w:bCs/>
          <w:color w:val="auto"/>
          <w:kern w:val="0"/>
          <w:sz w:val="24"/>
          <w:szCs w:val="24"/>
          <w:highlight w:val="none"/>
        </w:rPr>
        <w:t>7. 报价文件的递交</w:t>
      </w:r>
      <w:bookmarkEnd w:id="18"/>
      <w:bookmarkEnd w:id="19"/>
      <w:bookmarkEnd w:id="20"/>
      <w:bookmarkEnd w:id="21"/>
      <w:bookmarkEnd w:id="22"/>
      <w:bookmarkEnd w:id="23"/>
      <w:bookmarkEnd w:id="24"/>
      <w:bookmarkEnd w:id="25"/>
      <w:bookmarkEnd w:id="26"/>
    </w:p>
    <w:p>
      <w:pPr>
        <w:widowControl/>
        <w:spacing w:line="360" w:lineRule="auto"/>
        <w:ind w:firstLine="480" w:firstLineChars="200"/>
        <w:rPr>
          <w:color w:val="auto"/>
          <w:kern w:val="0"/>
          <w:sz w:val="24"/>
          <w:szCs w:val="24"/>
          <w:highlight w:val="none"/>
        </w:rPr>
      </w:pPr>
      <w:r>
        <w:rPr>
          <w:rFonts w:hint="eastAsia"/>
          <w:color w:val="auto"/>
          <w:kern w:val="0"/>
          <w:sz w:val="24"/>
          <w:szCs w:val="24"/>
          <w:highlight w:val="none"/>
        </w:rPr>
        <w:t>报价文件上传的截止时间：以</w:t>
      </w:r>
      <w:r>
        <w:rPr>
          <w:rFonts w:hint="eastAsia"/>
          <w:color w:val="auto"/>
          <w:sz w:val="24"/>
          <w:szCs w:val="24"/>
          <w:highlight w:val="none"/>
        </w:rPr>
        <w:t>云南省能源集团有限公司</w:t>
      </w:r>
      <w:r>
        <w:rPr>
          <w:color w:val="auto"/>
          <w:sz w:val="24"/>
          <w:szCs w:val="24"/>
          <w:highlight w:val="none"/>
        </w:rPr>
        <w:t>业财一体化建设平台</w:t>
      </w:r>
      <w:r>
        <w:rPr>
          <w:rFonts w:hint="eastAsia"/>
          <w:color w:val="auto"/>
          <w:sz w:val="24"/>
          <w:szCs w:val="24"/>
          <w:highlight w:val="none"/>
          <w:lang w:eastAsia="zh-CN"/>
        </w:rPr>
        <w:t>（</w:t>
      </w:r>
      <w:r>
        <w:rPr>
          <w:color w:val="auto"/>
          <w:sz w:val="24"/>
          <w:szCs w:val="24"/>
          <w:highlight w:val="none"/>
        </w:rPr>
        <w:t>https://ynnterpierp.cnyeig.com/pur/kingdee/pur/srmportal/srmportal.html?userId=guest&amp;accountId=2190809131303044096&amp;needReset=true#/index</w:t>
      </w:r>
      <w:r>
        <w:rPr>
          <w:rFonts w:hint="eastAsia"/>
          <w:color w:val="auto"/>
          <w:kern w:val="0"/>
          <w:sz w:val="24"/>
          <w:szCs w:val="24"/>
          <w:highlight w:val="none"/>
        </w:rPr>
        <w:t>）的报价截止时间为准，报价截止时间前，供应商能对项目进行报价及价格修改，对报价文件等相关附件进行上传、修改、撤回。到达截止时间后，供应商将无法对报价及报价文件做任何操作。</w:t>
      </w:r>
    </w:p>
    <w:p>
      <w:pPr>
        <w:pStyle w:val="32"/>
        <w:spacing w:line="360" w:lineRule="auto"/>
        <w:ind w:firstLine="482" w:firstLineChars="200"/>
        <w:rPr>
          <w:rFonts w:eastAsia="宋体"/>
          <w:bCs/>
          <w:color w:val="auto"/>
          <w:sz w:val="24"/>
          <w:szCs w:val="24"/>
          <w:highlight w:val="none"/>
          <w:lang w:val="en-US"/>
        </w:rPr>
      </w:pPr>
      <w:r>
        <w:rPr>
          <w:rFonts w:hint="eastAsia" w:eastAsia="宋体"/>
          <w:bCs/>
          <w:color w:val="auto"/>
          <w:sz w:val="24"/>
          <w:szCs w:val="24"/>
          <w:highlight w:val="none"/>
          <w:lang w:val="en-US"/>
        </w:rPr>
        <w:t>8</w:t>
      </w:r>
      <w:r>
        <w:rPr>
          <w:rFonts w:hint="eastAsia" w:eastAsia="宋体"/>
          <w:bCs/>
          <w:color w:val="auto"/>
          <w:sz w:val="24"/>
          <w:szCs w:val="24"/>
          <w:highlight w:val="none"/>
        </w:rPr>
        <w:t xml:space="preserve">. </w:t>
      </w:r>
      <w:r>
        <w:rPr>
          <w:rFonts w:hint="eastAsia" w:eastAsia="宋体"/>
          <w:bCs/>
          <w:color w:val="auto"/>
          <w:sz w:val="24"/>
          <w:szCs w:val="24"/>
          <w:highlight w:val="none"/>
          <w:lang w:val="en-US"/>
        </w:rPr>
        <w:t>报价文件的解密</w:t>
      </w:r>
    </w:p>
    <w:p>
      <w:pPr>
        <w:pStyle w:val="32"/>
        <w:spacing w:line="360" w:lineRule="auto"/>
        <w:ind w:firstLine="480" w:firstLineChars="200"/>
        <w:rPr>
          <w:rFonts w:eastAsia="宋体"/>
          <w:b w:val="0"/>
          <w:color w:val="auto"/>
          <w:sz w:val="24"/>
          <w:szCs w:val="24"/>
          <w:highlight w:val="none"/>
          <w:lang w:val="en-US"/>
        </w:rPr>
      </w:pPr>
      <w:r>
        <w:rPr>
          <w:rFonts w:hint="eastAsia" w:eastAsia="宋体"/>
          <w:b w:val="0"/>
          <w:color w:val="auto"/>
          <w:sz w:val="24"/>
          <w:szCs w:val="24"/>
          <w:highlight w:val="none"/>
          <w:lang w:val="en-US"/>
        </w:rPr>
        <w:t>报价及报价文件在到达报价截止时间时，在云南省能源集团有限公司</w:t>
      </w:r>
      <w:r>
        <w:rPr>
          <w:rFonts w:eastAsia="宋体"/>
          <w:b w:val="0"/>
          <w:color w:val="auto"/>
          <w:sz w:val="24"/>
          <w:szCs w:val="24"/>
          <w:highlight w:val="none"/>
          <w:lang w:val="en-US"/>
        </w:rPr>
        <w:t>业财一体化建设平台</w:t>
      </w:r>
      <w:r>
        <w:rPr>
          <w:rFonts w:hint="eastAsia" w:eastAsia="宋体"/>
          <w:b w:val="0"/>
          <w:color w:val="auto"/>
          <w:sz w:val="24"/>
          <w:szCs w:val="24"/>
          <w:highlight w:val="none"/>
          <w:lang w:val="en-US"/>
        </w:rPr>
        <w:t>中自动解密开启。报价截止前（其中，询价采购为报价截止两个工作日前，紧急采购为报价截止前），若供应商对询价采购文件的内容有需要进行澄清，由供应商写明需要澄清的问题，签字加盖公司公章后上传平台并电话通知采购人。</w:t>
      </w:r>
    </w:p>
    <w:p>
      <w:pPr>
        <w:pStyle w:val="32"/>
        <w:spacing w:line="360" w:lineRule="auto"/>
        <w:ind w:firstLine="482" w:firstLineChars="200"/>
        <w:rPr>
          <w:rFonts w:eastAsia="宋体"/>
          <w:bCs/>
          <w:color w:val="auto"/>
          <w:sz w:val="24"/>
          <w:szCs w:val="24"/>
          <w:highlight w:val="none"/>
        </w:rPr>
      </w:pPr>
      <w:r>
        <w:rPr>
          <w:rFonts w:hint="eastAsia" w:eastAsia="宋体"/>
          <w:bCs/>
          <w:color w:val="auto"/>
          <w:sz w:val="24"/>
          <w:szCs w:val="24"/>
          <w:highlight w:val="none"/>
          <w:lang w:val="en-US"/>
        </w:rPr>
        <w:t>9</w:t>
      </w:r>
      <w:r>
        <w:rPr>
          <w:rFonts w:hint="eastAsia" w:eastAsia="宋体"/>
          <w:bCs/>
          <w:color w:val="auto"/>
          <w:sz w:val="24"/>
          <w:szCs w:val="24"/>
          <w:highlight w:val="none"/>
        </w:rPr>
        <w:t>. 响应文件的提交</w:t>
      </w:r>
    </w:p>
    <w:p>
      <w:pPr>
        <w:pStyle w:val="32"/>
        <w:spacing w:line="360" w:lineRule="auto"/>
        <w:ind w:firstLine="480" w:firstLineChars="200"/>
        <w:rPr>
          <w:rFonts w:eastAsia="宋体"/>
          <w:b w:val="0"/>
          <w:color w:val="auto"/>
          <w:sz w:val="24"/>
          <w:szCs w:val="24"/>
          <w:highlight w:val="none"/>
        </w:rPr>
      </w:pPr>
      <w:r>
        <w:rPr>
          <w:rFonts w:hint="eastAsia" w:eastAsia="宋体"/>
          <w:b w:val="0"/>
          <w:color w:val="auto"/>
          <w:sz w:val="24"/>
          <w:szCs w:val="24"/>
          <w:highlight w:val="none"/>
        </w:rPr>
        <w:t>响应文件提交/报价截止时间：</w:t>
      </w:r>
      <w:r>
        <w:rPr>
          <w:rFonts w:hint="eastAsia" w:eastAsia="宋体"/>
          <w:b w:val="0"/>
          <w:color w:val="auto"/>
          <w:sz w:val="24"/>
          <w:szCs w:val="24"/>
          <w:highlight w:val="none"/>
          <w:lang w:val="en-US"/>
        </w:rPr>
        <w:t>2026年</w:t>
      </w:r>
      <w:r>
        <w:rPr>
          <w:rFonts w:hint="eastAsia" w:eastAsia="宋体"/>
          <w:b w:val="0"/>
          <w:color w:val="auto"/>
          <w:sz w:val="24"/>
          <w:szCs w:val="24"/>
          <w:highlight w:val="none"/>
          <w:lang w:val="en-US" w:eastAsia="zh-CN"/>
        </w:rPr>
        <w:t>10</w:t>
      </w:r>
      <w:r>
        <w:rPr>
          <w:rFonts w:hint="eastAsia" w:eastAsia="宋体"/>
          <w:b w:val="0"/>
          <w:color w:val="auto"/>
          <w:sz w:val="24"/>
          <w:szCs w:val="24"/>
          <w:highlight w:val="none"/>
          <w:lang w:val="en-US"/>
        </w:rPr>
        <w:t xml:space="preserve"> 月</w:t>
      </w:r>
      <w:r>
        <w:rPr>
          <w:rFonts w:hint="eastAsia" w:eastAsia="宋体"/>
          <w:b w:val="0"/>
          <w:color w:val="auto"/>
          <w:sz w:val="24"/>
          <w:szCs w:val="24"/>
          <w:highlight w:val="none"/>
          <w:lang w:val="en-US" w:eastAsia="zh-CN"/>
        </w:rPr>
        <w:t>16</w:t>
      </w:r>
      <w:bookmarkStart w:id="356" w:name="_GoBack"/>
      <w:bookmarkEnd w:id="356"/>
      <w:r>
        <w:rPr>
          <w:rFonts w:hint="eastAsia" w:eastAsia="宋体"/>
          <w:b w:val="0"/>
          <w:color w:val="auto"/>
          <w:sz w:val="24"/>
          <w:szCs w:val="24"/>
          <w:highlight w:val="none"/>
          <w:lang w:val="en-US"/>
        </w:rPr>
        <w:t xml:space="preserve">日10:00 </w:t>
      </w:r>
      <w:r>
        <w:rPr>
          <w:rFonts w:hint="eastAsia" w:eastAsia="宋体"/>
          <w:b w:val="0"/>
          <w:color w:val="auto"/>
          <w:sz w:val="24"/>
          <w:szCs w:val="24"/>
          <w:highlight w:val="none"/>
        </w:rPr>
        <w:t>（北京时间，若有变化另行通知）。</w:t>
      </w:r>
    </w:p>
    <w:p>
      <w:pPr>
        <w:pStyle w:val="32"/>
        <w:spacing w:line="360" w:lineRule="auto"/>
        <w:ind w:firstLine="480" w:firstLineChars="200"/>
        <w:rPr>
          <w:rFonts w:eastAsia="宋体"/>
          <w:bCs/>
          <w:color w:val="auto"/>
          <w:sz w:val="24"/>
          <w:szCs w:val="24"/>
          <w:highlight w:val="none"/>
        </w:rPr>
      </w:pPr>
      <w:r>
        <w:rPr>
          <w:rFonts w:hint="eastAsia" w:eastAsia="宋体"/>
          <w:b w:val="0"/>
          <w:color w:val="auto"/>
          <w:sz w:val="24"/>
          <w:szCs w:val="24"/>
          <w:highlight w:val="none"/>
        </w:rPr>
        <w:t>响应文件提交/报价方式：在响应文件提交/报价截止时间前，通过云南省能源集团有限公司业财一体化建设平台提交电子响应文件或报价，逾期提交将被拒收。</w:t>
      </w:r>
    </w:p>
    <w:p>
      <w:pPr>
        <w:widowControl/>
        <w:spacing w:line="360" w:lineRule="auto"/>
        <w:ind w:firstLine="482" w:firstLineChars="200"/>
        <w:jc w:val="left"/>
        <w:rPr>
          <w:b/>
          <w:bCs/>
          <w:color w:val="auto"/>
          <w:kern w:val="0"/>
          <w:sz w:val="24"/>
          <w:szCs w:val="24"/>
          <w:highlight w:val="none"/>
        </w:rPr>
      </w:pPr>
      <w:r>
        <w:rPr>
          <w:rFonts w:hint="eastAsia"/>
          <w:b/>
          <w:bCs/>
          <w:color w:val="auto"/>
          <w:kern w:val="0"/>
          <w:sz w:val="24"/>
          <w:szCs w:val="24"/>
          <w:highlight w:val="none"/>
        </w:rPr>
        <w:t>10.联系方式：</w:t>
      </w:r>
    </w:p>
    <w:bookmarkEnd w:id="14"/>
    <w:p>
      <w:pPr>
        <w:autoSpaceDE w:val="0"/>
        <w:autoSpaceDN w:val="0"/>
        <w:adjustRightInd w:val="0"/>
        <w:spacing w:line="500" w:lineRule="exact"/>
        <w:rPr>
          <w:color w:val="auto"/>
          <w:sz w:val="24"/>
          <w:szCs w:val="24"/>
          <w:highlight w:val="none"/>
        </w:rPr>
      </w:pPr>
      <w:bookmarkStart w:id="27" w:name="_Toc261599050"/>
      <w:bookmarkStart w:id="28" w:name="_Toc262206609"/>
      <w:bookmarkStart w:id="29" w:name="_Toc262199968"/>
      <w:bookmarkStart w:id="30" w:name="_Toc261613645"/>
      <w:bookmarkStart w:id="31" w:name="_Toc246171763"/>
      <w:bookmarkStart w:id="32" w:name="_Toc262124401"/>
      <w:bookmarkStart w:id="33" w:name="_Toc262199740"/>
      <w:r>
        <w:rPr>
          <w:rFonts w:hint="eastAsia"/>
          <w:color w:val="auto"/>
          <w:sz w:val="24"/>
          <w:szCs w:val="24"/>
          <w:highlight w:val="none"/>
        </w:rPr>
        <w:t xml:space="preserve">    采购人：云能（曲靖）综合能源服务有限公司</w:t>
      </w:r>
    </w:p>
    <w:p>
      <w:pPr>
        <w:autoSpaceDE w:val="0"/>
        <w:autoSpaceDN w:val="0"/>
        <w:adjustRightInd w:val="0"/>
        <w:spacing w:line="500" w:lineRule="exact"/>
        <w:rPr>
          <w:color w:val="auto"/>
          <w:sz w:val="24"/>
          <w:szCs w:val="24"/>
          <w:highlight w:val="none"/>
        </w:rPr>
      </w:pPr>
      <w:r>
        <w:rPr>
          <w:rFonts w:hint="eastAsia"/>
          <w:color w:val="auto"/>
          <w:sz w:val="24"/>
          <w:szCs w:val="24"/>
          <w:highlight w:val="none"/>
        </w:rPr>
        <w:t xml:space="preserve">    地址：云南省曲靖市沾益区白水镇</w:t>
      </w:r>
    </w:p>
    <w:p>
      <w:pPr>
        <w:autoSpaceDE w:val="0"/>
        <w:autoSpaceDN w:val="0"/>
        <w:adjustRightInd w:val="0"/>
        <w:spacing w:line="500" w:lineRule="exact"/>
        <w:rPr>
          <w:color w:val="auto"/>
          <w:sz w:val="24"/>
          <w:szCs w:val="24"/>
          <w:highlight w:val="none"/>
        </w:rPr>
      </w:pPr>
      <w:r>
        <w:rPr>
          <w:rFonts w:hint="eastAsia"/>
          <w:color w:val="auto"/>
          <w:sz w:val="24"/>
          <w:szCs w:val="24"/>
          <w:highlight w:val="none"/>
        </w:rPr>
        <w:t xml:space="preserve">    联系人：贾艳艳</w:t>
      </w:r>
    </w:p>
    <w:p>
      <w:pPr>
        <w:autoSpaceDE w:val="0"/>
        <w:autoSpaceDN w:val="0"/>
        <w:adjustRightInd w:val="0"/>
        <w:spacing w:line="500" w:lineRule="exact"/>
        <w:ind w:firstLine="480" w:firstLineChars="200"/>
        <w:rPr>
          <w:color w:val="auto"/>
          <w:sz w:val="24"/>
          <w:szCs w:val="24"/>
          <w:highlight w:val="none"/>
        </w:rPr>
      </w:pPr>
      <w:r>
        <w:rPr>
          <w:rFonts w:hint="eastAsia"/>
          <w:color w:val="auto"/>
          <w:sz w:val="24"/>
          <w:szCs w:val="24"/>
          <w:highlight w:val="none"/>
        </w:rPr>
        <w:t>联系电话：0874-3081316</w:t>
      </w:r>
    </w:p>
    <w:bookmarkEnd w:id="27"/>
    <w:bookmarkEnd w:id="28"/>
    <w:bookmarkEnd w:id="29"/>
    <w:bookmarkEnd w:id="30"/>
    <w:bookmarkEnd w:id="31"/>
    <w:bookmarkEnd w:id="32"/>
    <w:bookmarkEnd w:id="33"/>
    <w:p>
      <w:pPr>
        <w:keepNext/>
        <w:keepLines/>
        <w:spacing w:line="360" w:lineRule="auto"/>
        <w:jc w:val="center"/>
        <w:outlineLvl w:val="0"/>
        <w:rPr>
          <w:rFonts w:ascii="宋体" w:hAnsi="宋体" w:cs="宋体"/>
          <w:b/>
          <w:bCs/>
          <w:color w:val="auto"/>
          <w:w w:val="90"/>
          <w:kern w:val="44"/>
          <w:sz w:val="36"/>
          <w:szCs w:val="36"/>
          <w:highlight w:val="none"/>
        </w:rPr>
      </w:pPr>
      <w:r>
        <w:rPr>
          <w:rFonts w:hint="eastAsia" w:ascii="宋体" w:hAnsi="宋体" w:cs="宋体"/>
          <w:b/>
          <w:bCs/>
          <w:color w:val="auto"/>
          <w:kern w:val="44"/>
          <w:sz w:val="36"/>
          <w:szCs w:val="36"/>
          <w:highlight w:val="none"/>
        </w:rPr>
        <w:br w:type="page"/>
      </w:r>
      <w:bookmarkStart w:id="34" w:name="_Toc18844"/>
      <w:r>
        <w:rPr>
          <w:rFonts w:hint="eastAsia" w:ascii="宋体" w:hAnsi="宋体" w:cs="宋体"/>
          <w:b/>
          <w:bCs/>
          <w:color w:val="auto"/>
          <w:kern w:val="44"/>
          <w:sz w:val="36"/>
          <w:szCs w:val="36"/>
          <w:highlight w:val="none"/>
        </w:rPr>
        <w:t>第二章  供应商须知</w:t>
      </w:r>
      <w:bookmarkEnd w:id="34"/>
    </w:p>
    <w:p>
      <w:pPr>
        <w:keepNext/>
        <w:keepLines/>
        <w:spacing w:before="260" w:after="260" w:line="416" w:lineRule="auto"/>
        <w:jc w:val="center"/>
        <w:outlineLvl w:val="1"/>
        <w:rPr>
          <w:rFonts w:ascii="宋体" w:hAnsi="宋体" w:cs="宋体"/>
          <w:b/>
          <w:bCs/>
          <w:color w:val="auto"/>
          <w:kern w:val="0"/>
          <w:sz w:val="32"/>
          <w:szCs w:val="32"/>
          <w:highlight w:val="none"/>
        </w:rPr>
      </w:pPr>
      <w:bookmarkStart w:id="35" w:name="_Toc7575"/>
      <w:bookmarkStart w:id="36" w:name="_Toc3460"/>
      <w:r>
        <w:rPr>
          <w:rFonts w:hint="eastAsia" w:ascii="宋体" w:hAnsi="宋体" w:cs="宋体"/>
          <w:b/>
          <w:bCs/>
          <w:color w:val="auto"/>
          <w:kern w:val="0"/>
          <w:sz w:val="32"/>
          <w:szCs w:val="32"/>
          <w:highlight w:val="none"/>
        </w:rPr>
        <w:t>供应商须知前附表</w:t>
      </w:r>
      <w:bookmarkEnd w:id="35"/>
      <w:bookmarkEnd w:id="36"/>
    </w:p>
    <w:tbl>
      <w:tblPr>
        <w:tblStyle w:val="21"/>
        <w:tblW w:w="103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1507"/>
        <w:gridCol w:w="7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jc w:val="center"/>
              <w:rPr>
                <w:rFonts w:ascii="宋体" w:hAnsi="宋体" w:cs="宋体"/>
                <w:b/>
                <w:color w:val="auto"/>
                <w:sz w:val="24"/>
                <w:szCs w:val="24"/>
                <w:highlight w:val="none"/>
              </w:rPr>
            </w:pPr>
            <w:r>
              <w:rPr>
                <w:rFonts w:hint="eastAsia" w:ascii="宋体" w:hAnsi="宋体" w:cs="宋体"/>
                <w:b/>
                <w:color w:val="auto"/>
                <w:sz w:val="24"/>
                <w:szCs w:val="24"/>
                <w:highlight w:val="none"/>
              </w:rPr>
              <w:t>条款号</w:t>
            </w:r>
          </w:p>
        </w:tc>
        <w:tc>
          <w:tcPr>
            <w:tcW w:w="1507" w:type="dxa"/>
            <w:tcBorders>
              <w:tl2br w:val="nil"/>
              <w:tr2bl w:val="nil"/>
            </w:tcBorders>
            <w:tcMar>
              <w:top w:w="28" w:type="dxa"/>
              <w:left w:w="28" w:type="dxa"/>
              <w:bottom w:w="28" w:type="dxa"/>
              <w:right w:w="28" w:type="dxa"/>
            </w:tcMar>
            <w:vAlign w:val="center"/>
          </w:tcPr>
          <w:p>
            <w:pPr>
              <w:jc w:val="center"/>
              <w:rPr>
                <w:rFonts w:ascii="宋体" w:hAnsi="宋体" w:cs="宋体"/>
                <w:b/>
                <w:color w:val="auto"/>
                <w:sz w:val="24"/>
                <w:szCs w:val="24"/>
                <w:highlight w:val="none"/>
              </w:rPr>
            </w:pPr>
            <w:r>
              <w:rPr>
                <w:rFonts w:hint="eastAsia" w:ascii="宋体" w:hAnsi="宋体" w:cs="宋体"/>
                <w:b/>
                <w:color w:val="auto"/>
                <w:sz w:val="24"/>
                <w:szCs w:val="24"/>
                <w:highlight w:val="none"/>
              </w:rPr>
              <w:t>条 款 名 称</w:t>
            </w:r>
          </w:p>
        </w:tc>
        <w:tc>
          <w:tcPr>
            <w:tcW w:w="7940" w:type="dxa"/>
            <w:tcBorders>
              <w:tl2br w:val="nil"/>
              <w:tr2bl w:val="nil"/>
            </w:tcBorders>
            <w:tcMar>
              <w:top w:w="28" w:type="dxa"/>
              <w:left w:w="28" w:type="dxa"/>
              <w:bottom w:w="28" w:type="dxa"/>
              <w:right w:w="28" w:type="dxa"/>
            </w:tcMar>
            <w:vAlign w:val="center"/>
          </w:tcPr>
          <w:p>
            <w:pPr>
              <w:jc w:val="center"/>
              <w:rPr>
                <w:rFonts w:ascii="宋体" w:hAnsi="宋体" w:cs="宋体"/>
                <w:b/>
                <w:color w:val="auto"/>
                <w:sz w:val="24"/>
                <w:szCs w:val="24"/>
                <w:highlight w:val="none"/>
              </w:rPr>
            </w:pPr>
            <w:r>
              <w:rPr>
                <w:rFonts w:hint="eastAsia" w:ascii="宋体" w:hAnsi="宋体" w:cs="宋体"/>
                <w:b/>
                <w:color w:val="auto"/>
                <w:sz w:val="24"/>
                <w:szCs w:val="24"/>
                <w:highlight w:val="none"/>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color w:val="auto"/>
                <w:sz w:val="24"/>
                <w:szCs w:val="24"/>
                <w:highlight w:val="none"/>
              </w:rPr>
              <w:t>2.2.2</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供应商提出问题的截止时间</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文件递交截止时间</w:t>
            </w:r>
            <w:r>
              <w:rPr>
                <w:color w:val="auto"/>
                <w:sz w:val="24"/>
                <w:szCs w:val="24"/>
                <w:highlight w:val="none"/>
              </w:rPr>
              <w:t>3</w:t>
            </w:r>
            <w:r>
              <w:rPr>
                <w:rFonts w:hint="eastAsia" w:ascii="宋体" w:hAnsi="宋体" w:cs="宋体"/>
                <w:color w:val="auto"/>
                <w:sz w:val="24"/>
                <w:szCs w:val="24"/>
                <w:highlight w:val="none"/>
              </w:rPr>
              <w:t>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color w:val="auto"/>
                <w:sz w:val="24"/>
                <w:szCs w:val="24"/>
                <w:highlight w:val="none"/>
              </w:rPr>
              <w:t>2.2.3</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采购人书面澄清的时间</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文件递交截止时间</w:t>
            </w:r>
            <w:r>
              <w:rPr>
                <w:color w:val="auto"/>
                <w:sz w:val="24"/>
                <w:szCs w:val="24"/>
                <w:highlight w:val="none"/>
              </w:rPr>
              <w:t>3</w:t>
            </w:r>
            <w:r>
              <w:rPr>
                <w:rFonts w:hint="eastAsia" w:ascii="宋体" w:hAnsi="宋体" w:cs="宋体"/>
                <w:color w:val="auto"/>
                <w:sz w:val="24"/>
                <w:szCs w:val="24"/>
                <w:highlight w:val="none"/>
              </w:rPr>
              <w:t>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color w:val="auto"/>
                <w:sz w:val="24"/>
                <w:szCs w:val="24"/>
                <w:highlight w:val="none"/>
              </w:rPr>
            </w:pPr>
            <w:r>
              <w:rPr>
                <w:color w:val="auto"/>
                <w:sz w:val="24"/>
                <w:szCs w:val="24"/>
                <w:highlight w:val="none"/>
              </w:rPr>
              <w:t>1.7</w:t>
            </w:r>
          </w:p>
        </w:tc>
        <w:tc>
          <w:tcPr>
            <w:tcW w:w="1507" w:type="dxa"/>
            <w:tcBorders>
              <w:tl2br w:val="nil"/>
              <w:tr2bl w:val="nil"/>
            </w:tcBorders>
            <w:tcMar>
              <w:top w:w="28" w:type="dxa"/>
              <w:left w:w="28" w:type="dxa"/>
              <w:bottom w:w="28" w:type="dxa"/>
              <w:right w:w="28" w:type="dxa"/>
            </w:tcMar>
            <w:vAlign w:val="center"/>
          </w:tcPr>
          <w:p>
            <w:pPr>
              <w:spacing w:line="360" w:lineRule="auto"/>
              <w:jc w:val="center"/>
              <w:rPr>
                <w:color w:val="auto"/>
                <w:sz w:val="24"/>
                <w:szCs w:val="24"/>
                <w:highlight w:val="none"/>
              </w:rPr>
            </w:pPr>
            <w:r>
              <w:rPr>
                <w:color w:val="auto"/>
                <w:sz w:val="24"/>
                <w:szCs w:val="24"/>
                <w:highlight w:val="none"/>
              </w:rPr>
              <w:t>分包、转包</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color w:val="auto"/>
                <w:sz w:val="24"/>
                <w:szCs w:val="24"/>
                <w:highlight w:val="none"/>
              </w:rPr>
              <w:t>1.8</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偏离</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不允许负偏离，第五章 采购需求另有规定的除外。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color w:val="auto"/>
                <w:sz w:val="24"/>
                <w:szCs w:val="24"/>
                <w:highlight w:val="none"/>
              </w:rPr>
              <w:t>2.1</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构成报价文件的其他文件</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对报价文件所作的澄清、修改，构成报价文件的组成部分。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color w:val="auto"/>
                <w:sz w:val="24"/>
                <w:szCs w:val="24"/>
                <w:highlight w:val="none"/>
              </w:rPr>
              <w:t>2.2.1</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文件递交截止时间</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报价文件上传的截止时间：以云南省能源集团有限公司业财一体化建设平台的报价截止时间为准，报价截止时间前，供应商能对项目进行报价及价格修改，对报价文件等相关附件进行上传、修改、撤回。到达截止时间后，供应商将无法对报价、报价文件做任何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color w:val="auto"/>
                <w:sz w:val="24"/>
                <w:szCs w:val="24"/>
                <w:highlight w:val="none"/>
              </w:rPr>
              <w:t>3.2.1</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报价方式</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费用包干总价，除非合同中另行规定，</w:t>
            </w:r>
            <w:r>
              <w:rPr>
                <w:rFonts w:hint="eastAsia" w:ascii="宋体" w:hAnsi="宋体" w:cs="宋体"/>
                <w:color w:val="auto"/>
                <w:sz w:val="24"/>
                <w:szCs w:val="24"/>
                <w:highlight w:val="none"/>
                <w:lang w:eastAsia="zh-CN"/>
              </w:rPr>
              <w:t>报价</w:t>
            </w:r>
            <w:r>
              <w:rPr>
                <w:rFonts w:hint="eastAsia" w:ascii="宋体" w:hAnsi="宋体" w:cs="宋体"/>
                <w:color w:val="auto"/>
                <w:sz w:val="24"/>
                <w:szCs w:val="24"/>
                <w:highlight w:val="none"/>
              </w:rPr>
              <w:t>包括且不限于</w:t>
            </w:r>
            <w:r>
              <w:rPr>
                <w:rFonts w:hint="eastAsia" w:ascii="宋体" w:hAnsi="宋体" w:cs="宋体"/>
                <w:color w:val="auto"/>
                <w:sz w:val="24"/>
                <w:szCs w:val="24"/>
                <w:highlight w:val="none"/>
                <w:lang w:val="en-US" w:eastAsia="zh-CN"/>
              </w:rPr>
              <w:t>人员差旅费、报告编制费、专家评审费、</w:t>
            </w:r>
            <w:r>
              <w:rPr>
                <w:rFonts w:hint="eastAsia" w:ascii="宋体" w:hAnsi="宋体" w:cs="宋体"/>
                <w:color w:val="auto"/>
                <w:sz w:val="24"/>
                <w:szCs w:val="24"/>
                <w:highlight w:val="none"/>
              </w:rPr>
              <w:t>管理费、税费（要求开具增值税专用发票）、政策性文件规定及合同包含的所有风险、责任等完成本项目的全部费用。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color w:val="auto"/>
                <w:sz w:val="24"/>
                <w:szCs w:val="24"/>
                <w:highlight w:val="none"/>
              </w:rPr>
              <w:t>3.3.1</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报价有效期</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color w:val="auto"/>
                <w:sz w:val="24"/>
                <w:szCs w:val="24"/>
                <w:highlight w:val="none"/>
              </w:rPr>
            </w:pPr>
            <w:r>
              <w:rPr>
                <w:color w:val="auto"/>
                <w:sz w:val="24"/>
                <w:szCs w:val="24"/>
                <w:highlight w:val="none"/>
              </w:rPr>
              <w:t>90</w:t>
            </w:r>
            <w:r>
              <w:rPr>
                <w:rFonts w:hint="eastAsia" w:ascii="宋体" w:hAnsi="宋体" w:cs="宋体"/>
                <w:color w:val="auto"/>
                <w:sz w:val="24"/>
                <w:szCs w:val="24"/>
                <w:highlight w:val="none"/>
              </w:rPr>
              <w:t>日历天，从投标截止之日算起。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color w:val="auto"/>
                <w:sz w:val="24"/>
                <w:szCs w:val="24"/>
                <w:highlight w:val="none"/>
              </w:rPr>
              <w:t>3.6</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是否允许递交备选方案</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color w:val="auto"/>
                <w:sz w:val="24"/>
                <w:szCs w:val="24"/>
                <w:highlight w:val="none"/>
              </w:rPr>
              <w:t>3.8</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签字或盖章要求</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应按照报价文件要求的报价申请文件格式，在法定代表人或授权代理人签字或盖章处签名或盖其私人印章；在供应商盖章处盖单位公章。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color w:val="auto"/>
                <w:sz w:val="24"/>
                <w:szCs w:val="24"/>
                <w:highlight w:val="none"/>
              </w:rPr>
              <w:t>4.2</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报价申请文件正、副本份数</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云南省能源集团有限公司业财一体化建设平台</w:t>
            </w:r>
            <w:r>
              <w:rPr>
                <w:rFonts w:hint="eastAsia" w:ascii="宋体" w:hAnsi="宋体" w:cs="宋体"/>
                <w:color w:val="auto"/>
                <w:kern w:val="0"/>
                <w:sz w:val="24"/>
                <w:szCs w:val="24"/>
                <w:highlight w:val="none"/>
              </w:rPr>
              <w:t>（</w:t>
            </w:r>
            <w:r>
              <w:rPr>
                <w:color w:val="auto"/>
                <w:sz w:val="24"/>
                <w:highlight w:val="none"/>
              </w:rPr>
              <w:t>https://ynnterp-ierp.cnyeig.com/pur/kingdee/pur/srmportal/srmportal.html?userId=guest&amp;accountId=2190809131303044096&amp;needReset=true#/index</w:t>
            </w:r>
            <w:r>
              <w:rPr>
                <w:rFonts w:hint="eastAsia" w:ascii="宋体" w:hAnsi="宋体" w:cs="宋体"/>
                <w:color w:val="auto"/>
                <w:kern w:val="0"/>
                <w:sz w:val="24"/>
                <w:szCs w:val="24"/>
                <w:highlight w:val="none"/>
              </w:rPr>
              <w:t>）</w:t>
            </w:r>
            <w:r>
              <w:rPr>
                <w:rFonts w:hint="eastAsia" w:ascii="宋体" w:hAnsi="宋体" w:cs="宋体"/>
                <w:color w:val="auto"/>
                <w:sz w:val="24"/>
                <w:szCs w:val="24"/>
                <w:highlight w:val="none"/>
              </w:rPr>
              <w:t>递交电子版文件。</w:t>
            </w:r>
          </w:p>
          <w:p>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供应商成交后，采购单位如有需要，供应商有义务将纸版报价文件送达至采购单位指定地点以便采购单位合同谈判及资料归档。（成交供应商提交）</w:t>
            </w:r>
          </w:p>
          <w:p>
            <w:pPr>
              <w:spacing w:line="360" w:lineRule="auto"/>
              <w:jc w:val="left"/>
              <w:rPr>
                <w:rFonts w:ascii="宋体" w:hAnsi="宋体" w:cs="宋体"/>
                <w:color w:val="auto"/>
                <w:sz w:val="24"/>
                <w:szCs w:val="24"/>
                <w:highlight w:val="none"/>
              </w:rPr>
            </w:pPr>
            <w:r>
              <w:rPr>
                <w:rFonts w:hint="eastAsia" w:ascii="宋体" w:hAnsi="宋体" w:cs="宋体"/>
                <w:color w:val="auto"/>
                <w:sz w:val="24"/>
                <w:szCs w:val="24"/>
                <w:highlight w:val="none"/>
              </w:rPr>
              <w:t>（1）报价文件纸质版（正本</w:t>
            </w:r>
            <w:r>
              <w:rPr>
                <w:color w:val="auto"/>
                <w:sz w:val="24"/>
                <w:szCs w:val="24"/>
                <w:highlight w:val="none"/>
              </w:rPr>
              <w:t>1</w:t>
            </w:r>
            <w:r>
              <w:rPr>
                <w:rFonts w:hint="eastAsia" w:ascii="宋体" w:hAnsi="宋体" w:cs="宋体"/>
                <w:color w:val="auto"/>
                <w:sz w:val="24"/>
                <w:szCs w:val="24"/>
                <w:highlight w:val="none"/>
              </w:rPr>
              <w:t>份，并附可编辑电子版资料</w:t>
            </w:r>
            <w:r>
              <w:rPr>
                <w:color w:val="auto"/>
                <w:sz w:val="24"/>
                <w:szCs w:val="24"/>
                <w:highlight w:val="none"/>
              </w:rPr>
              <w:t>1</w:t>
            </w:r>
            <w:r>
              <w:rPr>
                <w:rFonts w:hint="eastAsia" w:ascii="宋体" w:hAnsi="宋体" w:cs="宋体"/>
                <w:color w:val="auto"/>
                <w:sz w:val="24"/>
                <w:szCs w:val="24"/>
                <w:highlight w:val="none"/>
              </w:rPr>
              <w:t>份U盘拷贝）在接到中选通知书</w:t>
            </w:r>
            <w:r>
              <w:rPr>
                <w:color w:val="auto"/>
                <w:sz w:val="24"/>
                <w:szCs w:val="24"/>
                <w:highlight w:val="none"/>
              </w:rPr>
              <w:t>7</w:t>
            </w:r>
            <w:r>
              <w:rPr>
                <w:rFonts w:hint="eastAsia" w:ascii="宋体" w:hAnsi="宋体" w:cs="宋体"/>
                <w:color w:val="auto"/>
                <w:sz w:val="24"/>
                <w:szCs w:val="24"/>
                <w:highlight w:val="none"/>
              </w:rPr>
              <w:t>天内送到（或邮寄到）</w:t>
            </w:r>
            <w:r>
              <w:rPr>
                <w:rFonts w:hint="eastAsia" w:ascii="宋体" w:hAnsi="宋体"/>
                <w:color w:val="auto"/>
                <w:sz w:val="24"/>
                <w:szCs w:val="24"/>
                <w:highlight w:val="none"/>
              </w:rPr>
              <w:t>云能（曲靖）综合能源服务有限公司</w:t>
            </w:r>
            <w:r>
              <w:rPr>
                <w:rFonts w:hint="eastAsia" w:ascii="宋体" w:hAnsi="宋体" w:cs="宋体"/>
                <w:color w:val="auto"/>
                <w:sz w:val="24"/>
                <w:szCs w:val="24"/>
                <w:highlight w:val="none"/>
              </w:rPr>
              <w:t>。（只需中选单位提供）</w:t>
            </w:r>
          </w:p>
          <w:p>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（2）报价文件邮寄地址及联系人联系电话：云南省曲靖市麒麟北路387号曲靖电厂生活区；收件人：贾艳艳，联系电话：</w:t>
            </w:r>
            <w:r>
              <w:rPr>
                <w:color w:val="auto"/>
                <w:sz w:val="24"/>
                <w:szCs w:val="24"/>
                <w:highlight w:val="none"/>
              </w:rPr>
              <w:t>15331582275</w:t>
            </w:r>
            <w:r>
              <w:rPr>
                <w:rFonts w:hint="eastAsia" w:ascii="宋体" w:hAnsi="宋体" w:cs="宋体"/>
                <w:color w:val="auto"/>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color w:val="auto"/>
                <w:sz w:val="24"/>
                <w:szCs w:val="24"/>
                <w:highlight w:val="none"/>
              </w:rPr>
              <w:t>4.2.1</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递交报价申请文件截止时间</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color w:val="auto"/>
                <w:sz w:val="24"/>
                <w:szCs w:val="24"/>
                <w:highlight w:val="none"/>
              </w:rPr>
            </w:pPr>
            <w:r>
              <w:rPr>
                <w:rFonts w:hint="eastAsia" w:ascii="宋体" w:hAnsi="宋体" w:cs="宋体"/>
                <w:color w:val="auto"/>
                <w:kern w:val="0"/>
                <w:sz w:val="24"/>
                <w:szCs w:val="24"/>
                <w:highlight w:val="none"/>
              </w:rPr>
              <w:t>同云南省能源集团有限公司业财一体化建设平台显示时间一致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color w:val="auto"/>
                <w:sz w:val="24"/>
                <w:szCs w:val="24"/>
                <w:highlight w:val="none"/>
              </w:rPr>
              <w:t>4.2.2</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是否退还报价申请文件</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不退还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color w:val="auto"/>
                <w:sz w:val="24"/>
                <w:szCs w:val="24"/>
                <w:highlight w:val="none"/>
              </w:rPr>
              <w:t>4.2.3</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开标时间和地点</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同云南省能源集团有限公司业财一体化建设平台显示时间一致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color w:val="auto"/>
                <w:sz w:val="24"/>
                <w:szCs w:val="24"/>
                <w:highlight w:val="none"/>
              </w:rPr>
              <w:t>7.3</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评审办法</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color w:val="auto"/>
                <w:sz w:val="24"/>
                <w:szCs w:val="24"/>
                <w:highlight w:val="none"/>
              </w:rPr>
            </w:pPr>
            <w:r>
              <w:rPr>
                <w:rFonts w:hint="eastAsia" w:ascii="宋体" w:hAnsi="宋体" w:cs="宋体"/>
                <w:bCs/>
                <w:color w:val="auto"/>
                <w:sz w:val="28"/>
                <w:szCs w:val="28"/>
                <w:highlight w:val="none"/>
                <w:lang w:val="en-US" w:eastAsia="zh-CN"/>
              </w:rPr>
              <w:t>综合评估法</w:t>
            </w:r>
            <w:r>
              <w:rPr>
                <w:rFonts w:hint="eastAsia" w:ascii="宋体" w:hAnsi="宋体" w:cs="宋体"/>
                <w:color w:val="auto"/>
                <w:sz w:val="24"/>
                <w:szCs w:val="24"/>
                <w:highlight w:val="none"/>
              </w:rPr>
              <w:t>，详见第三章“评审办法”。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color w:val="auto"/>
                <w:sz w:val="24"/>
                <w:szCs w:val="24"/>
                <w:highlight w:val="none"/>
              </w:rPr>
              <w:t>7.5</w:t>
            </w:r>
          </w:p>
        </w:tc>
        <w:tc>
          <w:tcPr>
            <w:tcW w:w="1507" w:type="dxa"/>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是否授权报价询价小组确定成交人</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否，推荐的成交候选人数：一至三名。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75" w:type="dxa"/>
            <w:gridSpan w:val="2"/>
            <w:tcBorders>
              <w:tl2br w:val="nil"/>
              <w:tr2bl w:val="nil"/>
            </w:tcBorders>
            <w:tcMar>
              <w:top w:w="28" w:type="dxa"/>
              <w:left w:w="28" w:type="dxa"/>
              <w:bottom w:w="28" w:type="dxa"/>
              <w:right w:w="28" w:type="dxa"/>
            </w:tcMar>
            <w:vAlign w:val="center"/>
          </w:tcPr>
          <w:p>
            <w:pPr>
              <w:spacing w:line="360" w:lineRule="auto"/>
              <w:jc w:val="center"/>
              <w:rPr>
                <w:rFonts w:ascii="宋体" w:hAnsi="宋体" w:cs="宋体"/>
                <w:color w:val="auto"/>
                <w:sz w:val="24"/>
                <w:szCs w:val="24"/>
                <w:highlight w:val="none"/>
              </w:rPr>
            </w:pPr>
            <w:r>
              <w:rPr>
                <w:color w:val="auto"/>
                <w:sz w:val="24"/>
                <w:szCs w:val="24"/>
                <w:highlight w:val="none"/>
              </w:rPr>
              <w:t>7.6</w:t>
            </w:r>
            <w:r>
              <w:rPr>
                <w:rFonts w:hint="eastAsia" w:ascii="宋体" w:hAnsi="宋体" w:cs="宋体"/>
                <w:color w:val="auto"/>
                <w:sz w:val="24"/>
                <w:szCs w:val="24"/>
                <w:highlight w:val="none"/>
              </w:rPr>
              <w:t>其他</w:t>
            </w:r>
          </w:p>
        </w:tc>
        <w:tc>
          <w:tcPr>
            <w:tcW w:w="7940" w:type="dxa"/>
            <w:tcBorders>
              <w:tl2br w:val="nil"/>
              <w:tr2bl w:val="nil"/>
            </w:tcBorders>
            <w:tcMar>
              <w:top w:w="28" w:type="dxa"/>
              <w:left w:w="28" w:type="dxa"/>
              <w:bottom w:w="28" w:type="dxa"/>
              <w:right w:w="28" w:type="dxa"/>
            </w:tcMar>
            <w:vAlign w:val="center"/>
          </w:tcPr>
          <w:p>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报价无效的情形：</w:t>
            </w:r>
          </w:p>
          <w:p>
            <w:pPr>
              <w:spacing w:line="360" w:lineRule="auto"/>
              <w:rPr>
                <w:rFonts w:ascii="宋体" w:hAnsi="宋体" w:cs="宋体"/>
                <w:color w:val="auto"/>
                <w:sz w:val="24"/>
                <w:szCs w:val="24"/>
                <w:highlight w:val="none"/>
              </w:rPr>
            </w:pPr>
            <w:r>
              <w:rPr>
                <w:color w:val="auto"/>
                <w:sz w:val="24"/>
                <w:szCs w:val="24"/>
                <w:highlight w:val="none"/>
              </w:rPr>
              <w:t>1.</w:t>
            </w:r>
            <w:r>
              <w:rPr>
                <w:rFonts w:ascii="宋体" w:hAnsi="宋体" w:cs="宋体"/>
                <w:color w:val="auto"/>
                <w:sz w:val="24"/>
                <w:szCs w:val="24"/>
                <w:highlight w:val="none"/>
              </w:rPr>
              <w:t>未按采购文件格式要求提供应答文件的。</w:t>
            </w:r>
          </w:p>
          <w:p>
            <w:pPr>
              <w:spacing w:line="360" w:lineRule="auto"/>
              <w:rPr>
                <w:rFonts w:ascii="宋体" w:hAnsi="宋体" w:cs="宋体"/>
                <w:color w:val="auto"/>
                <w:sz w:val="24"/>
                <w:szCs w:val="24"/>
                <w:highlight w:val="none"/>
              </w:rPr>
            </w:pPr>
            <w:r>
              <w:rPr>
                <w:color w:val="auto"/>
                <w:sz w:val="24"/>
                <w:szCs w:val="24"/>
                <w:highlight w:val="none"/>
              </w:rPr>
              <w:t>2.</w:t>
            </w:r>
            <w:r>
              <w:rPr>
                <w:rFonts w:ascii="宋体" w:hAnsi="宋体" w:cs="宋体"/>
                <w:color w:val="auto"/>
                <w:sz w:val="24"/>
                <w:szCs w:val="24"/>
                <w:highlight w:val="none"/>
              </w:rPr>
              <w:t>应答文件未进行有效签章。</w:t>
            </w:r>
          </w:p>
          <w:p>
            <w:pPr>
              <w:spacing w:line="360" w:lineRule="auto"/>
              <w:rPr>
                <w:rFonts w:ascii="宋体" w:hAnsi="宋体" w:cs="宋体"/>
                <w:color w:val="auto"/>
                <w:sz w:val="24"/>
                <w:szCs w:val="24"/>
                <w:highlight w:val="none"/>
              </w:rPr>
            </w:pPr>
            <w:r>
              <w:rPr>
                <w:color w:val="auto"/>
                <w:sz w:val="24"/>
                <w:szCs w:val="24"/>
                <w:highlight w:val="none"/>
              </w:rPr>
              <w:t>3.</w:t>
            </w:r>
            <w:r>
              <w:rPr>
                <w:rFonts w:ascii="宋体" w:hAnsi="宋体" w:cs="宋体"/>
                <w:color w:val="auto"/>
                <w:sz w:val="24"/>
                <w:szCs w:val="24"/>
                <w:highlight w:val="none"/>
              </w:rPr>
              <w:t>供应商提供的资格文件不符合第一章相关要求的；</w:t>
            </w:r>
          </w:p>
          <w:p>
            <w:pPr>
              <w:spacing w:line="360" w:lineRule="auto"/>
              <w:rPr>
                <w:rFonts w:ascii="宋体" w:hAnsi="宋体" w:cs="宋体"/>
                <w:color w:val="auto"/>
                <w:sz w:val="24"/>
                <w:szCs w:val="24"/>
                <w:highlight w:val="none"/>
              </w:rPr>
            </w:pPr>
            <w:r>
              <w:rPr>
                <w:color w:val="auto"/>
                <w:sz w:val="24"/>
                <w:szCs w:val="24"/>
                <w:highlight w:val="none"/>
              </w:rPr>
              <w:t>4.</w:t>
            </w:r>
            <w:r>
              <w:rPr>
                <w:rFonts w:ascii="宋体" w:hAnsi="宋体" w:cs="宋体"/>
                <w:color w:val="auto"/>
                <w:sz w:val="24"/>
                <w:szCs w:val="24"/>
                <w:highlight w:val="none"/>
              </w:rPr>
              <w:t>供应商有串通报价、弄虚作假、行贿等违法行为；</w:t>
            </w:r>
          </w:p>
          <w:p>
            <w:pPr>
              <w:spacing w:line="360" w:lineRule="auto"/>
              <w:rPr>
                <w:rFonts w:ascii="宋体" w:hAnsi="宋体" w:cs="宋体"/>
                <w:color w:val="auto"/>
                <w:sz w:val="24"/>
                <w:szCs w:val="24"/>
                <w:highlight w:val="none"/>
              </w:rPr>
            </w:pPr>
            <w:r>
              <w:rPr>
                <w:color w:val="auto"/>
                <w:sz w:val="24"/>
                <w:szCs w:val="24"/>
                <w:highlight w:val="none"/>
              </w:rPr>
              <w:t>5.</w:t>
            </w:r>
            <w:r>
              <w:rPr>
                <w:rFonts w:ascii="宋体" w:hAnsi="宋体" w:cs="宋体"/>
                <w:color w:val="auto"/>
                <w:sz w:val="24"/>
                <w:szCs w:val="24"/>
                <w:highlight w:val="none"/>
              </w:rPr>
              <w:t>应答文件载明的采购项目交货期限超过采购文件规定的期限；</w:t>
            </w:r>
          </w:p>
          <w:p>
            <w:pPr>
              <w:spacing w:line="360" w:lineRule="auto"/>
              <w:rPr>
                <w:rFonts w:ascii="宋体" w:hAnsi="宋体" w:cs="宋体"/>
                <w:color w:val="auto"/>
                <w:sz w:val="24"/>
                <w:szCs w:val="24"/>
                <w:highlight w:val="none"/>
              </w:rPr>
            </w:pPr>
            <w:r>
              <w:rPr>
                <w:color w:val="auto"/>
                <w:sz w:val="24"/>
                <w:szCs w:val="24"/>
                <w:highlight w:val="none"/>
              </w:rPr>
              <w:t>6.</w:t>
            </w:r>
            <w:r>
              <w:rPr>
                <w:rFonts w:ascii="宋体" w:hAnsi="宋体" w:cs="宋体"/>
                <w:color w:val="auto"/>
                <w:sz w:val="24"/>
                <w:szCs w:val="24"/>
                <w:highlight w:val="none"/>
              </w:rPr>
              <w:t>应答文件未响应采购需求和合同条款及格式中的关键条款的；</w:t>
            </w:r>
          </w:p>
          <w:p>
            <w:pPr>
              <w:spacing w:line="360" w:lineRule="auto"/>
              <w:rPr>
                <w:rFonts w:ascii="宋体" w:hAnsi="宋体" w:cs="宋体"/>
                <w:color w:val="auto"/>
                <w:sz w:val="24"/>
                <w:szCs w:val="24"/>
                <w:highlight w:val="none"/>
              </w:rPr>
            </w:pPr>
            <w:r>
              <w:rPr>
                <w:color w:val="auto"/>
                <w:sz w:val="24"/>
                <w:szCs w:val="24"/>
                <w:highlight w:val="none"/>
              </w:rPr>
              <w:t>7.</w:t>
            </w:r>
            <w:r>
              <w:rPr>
                <w:rFonts w:ascii="宋体" w:hAnsi="宋体" w:cs="宋体"/>
                <w:color w:val="auto"/>
                <w:sz w:val="24"/>
                <w:szCs w:val="24"/>
                <w:highlight w:val="none"/>
              </w:rPr>
              <w:t>应答文件附有采购单位不能接受的条件；</w:t>
            </w:r>
          </w:p>
          <w:p>
            <w:pPr>
              <w:spacing w:line="360" w:lineRule="auto"/>
              <w:rPr>
                <w:rFonts w:ascii="宋体" w:hAnsi="宋体" w:cs="宋体"/>
                <w:color w:val="auto"/>
                <w:sz w:val="24"/>
                <w:szCs w:val="24"/>
                <w:highlight w:val="none"/>
              </w:rPr>
            </w:pPr>
            <w:r>
              <w:rPr>
                <w:color w:val="auto"/>
                <w:sz w:val="24"/>
                <w:szCs w:val="24"/>
                <w:highlight w:val="none"/>
              </w:rPr>
              <w:t>8.</w:t>
            </w:r>
            <w:r>
              <w:rPr>
                <w:rFonts w:ascii="宋体" w:hAnsi="宋体" w:cs="宋体"/>
                <w:color w:val="auto"/>
                <w:sz w:val="24"/>
                <w:szCs w:val="24"/>
                <w:highlight w:val="none"/>
              </w:rPr>
              <w:t>报价的范围和工作内容对采购文件的规定有实质性的偏差；</w:t>
            </w:r>
          </w:p>
          <w:p>
            <w:pPr>
              <w:spacing w:line="360" w:lineRule="auto"/>
              <w:rPr>
                <w:rFonts w:ascii="宋体" w:hAnsi="宋体" w:cs="宋体"/>
                <w:color w:val="auto"/>
                <w:sz w:val="24"/>
                <w:szCs w:val="24"/>
                <w:highlight w:val="none"/>
              </w:rPr>
            </w:pPr>
            <w:r>
              <w:rPr>
                <w:color w:val="auto"/>
                <w:sz w:val="24"/>
                <w:szCs w:val="24"/>
                <w:highlight w:val="none"/>
              </w:rPr>
              <w:t>9.</w:t>
            </w:r>
            <w:r>
              <w:rPr>
                <w:rFonts w:ascii="宋体" w:hAnsi="宋体" w:cs="宋体"/>
                <w:color w:val="auto"/>
                <w:sz w:val="24"/>
                <w:szCs w:val="24"/>
                <w:highlight w:val="none"/>
              </w:rPr>
              <w:t>对采购文件规定的双方的权利和义务作实质性修改；</w:t>
            </w:r>
          </w:p>
          <w:p>
            <w:pPr>
              <w:spacing w:line="360" w:lineRule="auto"/>
              <w:rPr>
                <w:color w:val="auto"/>
                <w:highlight w:val="none"/>
              </w:rPr>
            </w:pPr>
            <w:r>
              <w:rPr>
                <w:color w:val="auto"/>
                <w:sz w:val="24"/>
                <w:szCs w:val="24"/>
                <w:highlight w:val="none"/>
              </w:rPr>
              <w:t>10.不</w:t>
            </w:r>
            <w:r>
              <w:rPr>
                <w:rFonts w:ascii="宋体" w:hAnsi="宋体" w:cs="宋体"/>
                <w:color w:val="auto"/>
                <w:sz w:val="24"/>
                <w:szCs w:val="24"/>
                <w:highlight w:val="none"/>
              </w:rPr>
              <w:t>符合采购文件规定的其它实质性要求；</w:t>
            </w:r>
          </w:p>
        </w:tc>
      </w:tr>
    </w:tbl>
    <w:p>
      <w:pPr>
        <w:spacing w:line="360" w:lineRule="auto"/>
        <w:ind w:firstLine="562" w:firstLineChars="200"/>
        <w:rPr>
          <w:rFonts w:ascii="宋体" w:hAnsi="宋体" w:cs="宋体"/>
          <w:color w:val="auto"/>
          <w:sz w:val="24"/>
          <w:szCs w:val="24"/>
          <w:highlight w:val="none"/>
        </w:rPr>
      </w:pPr>
      <w:r>
        <w:rPr>
          <w:rFonts w:hint="eastAsia" w:ascii="宋体" w:hAnsi="宋体" w:cs="宋体"/>
          <w:b/>
          <w:bCs/>
          <w:color w:val="auto"/>
          <w:kern w:val="0"/>
          <w:sz w:val="28"/>
          <w:szCs w:val="28"/>
          <w:highlight w:val="none"/>
        </w:rPr>
        <w:br w:type="page"/>
      </w:r>
    </w:p>
    <w:p>
      <w:pPr>
        <w:spacing w:line="520" w:lineRule="exact"/>
        <w:ind w:firstLine="3253" w:firstLineChars="900"/>
        <w:outlineLvl w:val="1"/>
        <w:rPr>
          <w:rFonts w:ascii="宋体" w:hAnsi="宋体" w:cs="宋体"/>
          <w:b/>
          <w:bCs/>
          <w:color w:val="auto"/>
          <w:sz w:val="36"/>
          <w:szCs w:val="36"/>
          <w:highlight w:val="none"/>
        </w:rPr>
      </w:pPr>
      <w:bookmarkStart w:id="37" w:name="_Toc15044"/>
      <w:bookmarkStart w:id="38" w:name="_Toc13231"/>
      <w:bookmarkStart w:id="39" w:name="_Toc81163215"/>
      <w:bookmarkStart w:id="40" w:name="_Toc31891"/>
      <w:bookmarkStart w:id="41" w:name="_Toc61968407"/>
      <w:r>
        <w:rPr>
          <w:rFonts w:hint="eastAsia" w:ascii="宋体" w:hAnsi="宋体" w:cs="宋体"/>
          <w:b/>
          <w:bCs/>
          <w:color w:val="auto"/>
          <w:sz w:val="36"/>
          <w:szCs w:val="36"/>
          <w:highlight w:val="none"/>
        </w:rPr>
        <w:t>供应商须知正文</w:t>
      </w:r>
      <w:bookmarkEnd w:id="37"/>
      <w:bookmarkEnd w:id="38"/>
    </w:p>
    <w:p>
      <w:pPr>
        <w:spacing w:line="520" w:lineRule="exact"/>
        <w:ind w:firstLine="3975" w:firstLineChars="1800"/>
        <w:outlineLvl w:val="1"/>
        <w:rPr>
          <w:rFonts w:ascii="宋体" w:hAnsi="宋体" w:cs="宋体"/>
          <w:color w:val="auto"/>
          <w:sz w:val="24"/>
          <w:szCs w:val="24"/>
          <w:highlight w:val="none"/>
        </w:rPr>
      </w:pPr>
      <w:bookmarkStart w:id="42" w:name="_Toc21595"/>
      <w:bookmarkStart w:id="43" w:name="_Toc29461"/>
      <w:r>
        <w:rPr>
          <w:rFonts w:hint="eastAsia" w:ascii="宋体" w:hAnsi="宋体" w:cs="宋体"/>
          <w:b/>
          <w:bCs/>
          <w:color w:val="auto"/>
          <w:sz w:val="22"/>
          <w:highlight w:val="none"/>
        </w:rPr>
        <w:t>1  总则</w:t>
      </w:r>
      <w:bookmarkEnd w:id="39"/>
      <w:bookmarkEnd w:id="40"/>
      <w:bookmarkEnd w:id="41"/>
      <w:bookmarkEnd w:id="42"/>
      <w:bookmarkEnd w:id="43"/>
    </w:p>
    <w:p>
      <w:pPr>
        <w:spacing w:line="520" w:lineRule="exact"/>
        <w:ind w:firstLine="480" w:firstLineChars="200"/>
        <w:rPr>
          <w:color w:val="auto"/>
          <w:sz w:val="24"/>
          <w:szCs w:val="24"/>
          <w:highlight w:val="none"/>
        </w:rPr>
      </w:pPr>
      <w:r>
        <w:rPr>
          <w:rFonts w:hint="eastAsia"/>
          <w:color w:val="auto"/>
          <w:sz w:val="24"/>
          <w:szCs w:val="24"/>
          <w:highlight w:val="none"/>
        </w:rPr>
        <w:t>1.1  采购方式</w:t>
      </w:r>
    </w:p>
    <w:p>
      <w:pPr>
        <w:spacing w:line="520" w:lineRule="exact"/>
        <w:ind w:firstLine="480" w:firstLineChars="200"/>
        <w:rPr>
          <w:color w:val="auto"/>
          <w:sz w:val="24"/>
          <w:szCs w:val="24"/>
          <w:highlight w:val="none"/>
        </w:rPr>
      </w:pPr>
      <w:r>
        <w:rPr>
          <w:rFonts w:hint="eastAsia"/>
          <w:color w:val="auto"/>
          <w:sz w:val="24"/>
          <w:szCs w:val="24"/>
          <w:highlight w:val="none"/>
        </w:rPr>
        <w:t>本项目采用询价采购方式。询价小组对响应询价的供应商按照询价采购文件规定的规则和时间上传的报价文件进行询价，采购人根据询价小组的询价结果，选择确定成交供应商。</w:t>
      </w:r>
    </w:p>
    <w:p>
      <w:pPr>
        <w:spacing w:line="520" w:lineRule="exact"/>
        <w:ind w:firstLine="480" w:firstLineChars="200"/>
        <w:rPr>
          <w:color w:val="auto"/>
          <w:sz w:val="24"/>
          <w:szCs w:val="24"/>
          <w:highlight w:val="none"/>
        </w:rPr>
      </w:pPr>
      <w:r>
        <w:rPr>
          <w:rFonts w:hint="eastAsia"/>
          <w:color w:val="auto"/>
          <w:sz w:val="24"/>
          <w:szCs w:val="24"/>
          <w:highlight w:val="none"/>
        </w:rPr>
        <w:t>1.2  采购项目概况和供应商资格要求</w:t>
      </w:r>
    </w:p>
    <w:p>
      <w:pPr>
        <w:spacing w:line="520" w:lineRule="exact"/>
        <w:ind w:firstLine="480" w:firstLineChars="200"/>
        <w:rPr>
          <w:color w:val="auto"/>
          <w:sz w:val="24"/>
          <w:szCs w:val="24"/>
          <w:highlight w:val="none"/>
        </w:rPr>
      </w:pPr>
      <w:r>
        <w:rPr>
          <w:rFonts w:hint="eastAsia"/>
          <w:color w:val="auto"/>
          <w:sz w:val="24"/>
          <w:szCs w:val="24"/>
          <w:highlight w:val="none"/>
        </w:rPr>
        <w:t>采购项目概况和供应商资格要求见第一章“询价采购公告”。</w:t>
      </w:r>
    </w:p>
    <w:p>
      <w:pPr>
        <w:spacing w:line="520" w:lineRule="exact"/>
        <w:ind w:firstLine="480" w:firstLineChars="200"/>
        <w:rPr>
          <w:color w:val="auto"/>
          <w:sz w:val="24"/>
          <w:szCs w:val="24"/>
          <w:highlight w:val="none"/>
        </w:rPr>
      </w:pPr>
      <w:r>
        <w:rPr>
          <w:rFonts w:hint="eastAsia"/>
          <w:color w:val="auto"/>
          <w:sz w:val="24"/>
          <w:szCs w:val="24"/>
          <w:highlight w:val="none"/>
        </w:rPr>
        <w:t>1.3  费用承担</w:t>
      </w:r>
    </w:p>
    <w:p>
      <w:pPr>
        <w:spacing w:line="520" w:lineRule="exact"/>
        <w:ind w:firstLine="480" w:firstLineChars="200"/>
        <w:jc w:val="left"/>
        <w:rPr>
          <w:color w:val="auto"/>
          <w:sz w:val="24"/>
          <w:szCs w:val="24"/>
          <w:highlight w:val="none"/>
        </w:rPr>
      </w:pPr>
      <w:r>
        <w:rPr>
          <w:rFonts w:hint="eastAsia"/>
          <w:color w:val="auto"/>
          <w:sz w:val="24"/>
          <w:szCs w:val="24"/>
          <w:highlight w:val="none"/>
        </w:rPr>
        <w:t>供应商准备和参加询价采购活动所发生的各种费用由供应商自行承担。若有云南省能源集团有限公司业财一体化建设平台</w:t>
      </w:r>
      <w:r>
        <w:rPr>
          <w:rFonts w:hint="eastAsia"/>
          <w:color w:val="auto"/>
          <w:kern w:val="0"/>
          <w:sz w:val="24"/>
          <w:szCs w:val="24"/>
          <w:highlight w:val="none"/>
        </w:rPr>
        <w:t>（</w:t>
      </w:r>
      <w:r>
        <w:rPr>
          <w:color w:val="auto"/>
          <w:sz w:val="24"/>
          <w:szCs w:val="24"/>
          <w:highlight w:val="none"/>
        </w:rPr>
        <w:t>https://ynnterp-ierp.cnyeig.com/pur/kingdee/pur/srmportal/srmportal.html?userId=guest&amp;accountId=2190809131303044096&amp;needReset=true#/index</w:t>
      </w:r>
      <w:r>
        <w:rPr>
          <w:rFonts w:hint="eastAsia"/>
          <w:color w:val="auto"/>
          <w:kern w:val="0"/>
          <w:sz w:val="24"/>
          <w:szCs w:val="24"/>
          <w:highlight w:val="none"/>
        </w:rPr>
        <w:t>）</w:t>
      </w:r>
      <w:r>
        <w:rPr>
          <w:rFonts w:hint="eastAsia"/>
          <w:color w:val="auto"/>
          <w:sz w:val="24"/>
          <w:szCs w:val="24"/>
          <w:highlight w:val="none"/>
        </w:rPr>
        <w:t>交易费的以平台收取费用为准。</w:t>
      </w:r>
    </w:p>
    <w:p>
      <w:pPr>
        <w:spacing w:line="520" w:lineRule="exact"/>
        <w:ind w:firstLine="480" w:firstLineChars="200"/>
        <w:rPr>
          <w:color w:val="auto"/>
          <w:sz w:val="24"/>
          <w:szCs w:val="24"/>
          <w:highlight w:val="none"/>
        </w:rPr>
      </w:pPr>
      <w:r>
        <w:rPr>
          <w:rFonts w:hint="eastAsia"/>
          <w:color w:val="auto"/>
          <w:sz w:val="24"/>
          <w:szCs w:val="24"/>
          <w:highlight w:val="none"/>
        </w:rPr>
        <w:t>1.4  参加采购活动的各方应对询价采购文件和报价文件中的商业和技术等秘密保密，否则应承担相应地法律责任。</w:t>
      </w:r>
    </w:p>
    <w:p>
      <w:pPr>
        <w:spacing w:line="520" w:lineRule="exact"/>
        <w:ind w:firstLine="480" w:firstLineChars="200"/>
        <w:rPr>
          <w:color w:val="auto"/>
          <w:sz w:val="24"/>
          <w:szCs w:val="24"/>
          <w:highlight w:val="none"/>
        </w:rPr>
      </w:pPr>
      <w:r>
        <w:rPr>
          <w:rFonts w:hint="eastAsia"/>
          <w:color w:val="auto"/>
          <w:sz w:val="24"/>
          <w:szCs w:val="24"/>
          <w:highlight w:val="none"/>
        </w:rPr>
        <w:t>1.5  语言文字</w:t>
      </w:r>
    </w:p>
    <w:p>
      <w:pPr>
        <w:spacing w:line="520" w:lineRule="exact"/>
        <w:ind w:firstLine="480" w:firstLineChars="200"/>
        <w:rPr>
          <w:color w:val="auto"/>
          <w:sz w:val="24"/>
          <w:szCs w:val="24"/>
          <w:highlight w:val="none"/>
        </w:rPr>
      </w:pPr>
      <w:r>
        <w:rPr>
          <w:rFonts w:hint="eastAsia"/>
          <w:color w:val="auto"/>
          <w:sz w:val="24"/>
          <w:szCs w:val="24"/>
          <w:highlight w:val="none"/>
        </w:rPr>
        <w:t>询价采购文件和报价文件使用的语言文字为中文。专业术语使用外文的，应附有中文注释。</w:t>
      </w:r>
    </w:p>
    <w:p>
      <w:pPr>
        <w:spacing w:line="520" w:lineRule="exact"/>
        <w:ind w:firstLine="480" w:firstLineChars="200"/>
        <w:rPr>
          <w:color w:val="auto"/>
          <w:sz w:val="24"/>
          <w:szCs w:val="24"/>
          <w:highlight w:val="none"/>
        </w:rPr>
      </w:pPr>
      <w:r>
        <w:rPr>
          <w:rFonts w:hint="eastAsia"/>
          <w:color w:val="auto"/>
          <w:sz w:val="24"/>
          <w:szCs w:val="24"/>
          <w:highlight w:val="none"/>
        </w:rPr>
        <w:t>1.6  计量单位</w:t>
      </w:r>
    </w:p>
    <w:p>
      <w:pPr>
        <w:spacing w:line="520" w:lineRule="exact"/>
        <w:ind w:firstLine="480" w:firstLineChars="200"/>
        <w:rPr>
          <w:color w:val="auto"/>
          <w:sz w:val="24"/>
          <w:szCs w:val="24"/>
          <w:highlight w:val="none"/>
        </w:rPr>
      </w:pPr>
      <w:r>
        <w:rPr>
          <w:rFonts w:hint="eastAsia"/>
          <w:color w:val="auto"/>
          <w:sz w:val="24"/>
          <w:szCs w:val="24"/>
          <w:highlight w:val="none"/>
        </w:rPr>
        <w:t>所有计量均采用中华人民共和国法定计量单位。</w:t>
      </w:r>
    </w:p>
    <w:p>
      <w:pPr>
        <w:spacing w:line="520" w:lineRule="exact"/>
        <w:ind w:firstLine="480" w:firstLineChars="200"/>
        <w:rPr>
          <w:color w:val="auto"/>
          <w:sz w:val="24"/>
          <w:szCs w:val="24"/>
          <w:highlight w:val="none"/>
        </w:rPr>
      </w:pPr>
      <w:r>
        <w:rPr>
          <w:rFonts w:hint="eastAsia"/>
          <w:color w:val="auto"/>
          <w:sz w:val="24"/>
          <w:szCs w:val="24"/>
          <w:highlight w:val="none"/>
        </w:rPr>
        <w:t>1.7  现场踏勘</w:t>
      </w:r>
    </w:p>
    <w:p>
      <w:pPr>
        <w:spacing w:line="520" w:lineRule="exact"/>
        <w:ind w:firstLine="480" w:firstLineChars="200"/>
        <w:rPr>
          <w:color w:val="auto"/>
          <w:sz w:val="24"/>
          <w:szCs w:val="24"/>
          <w:highlight w:val="none"/>
        </w:rPr>
      </w:pPr>
      <w:r>
        <w:rPr>
          <w:rFonts w:hint="eastAsia"/>
          <w:color w:val="auto"/>
          <w:sz w:val="24"/>
          <w:szCs w:val="24"/>
          <w:highlight w:val="none"/>
        </w:rPr>
        <w:t>1.7.1  供应商须知前附表规定组织现场踏勘的，采购人按供应商须知前附表规定的时间、地点组织供应商到项目现场踏勘。部分供应商未按时参加现场踏勘的，不影响现场踏勘的正常进行。</w:t>
      </w:r>
    </w:p>
    <w:p>
      <w:pPr>
        <w:spacing w:line="520" w:lineRule="exact"/>
        <w:ind w:firstLine="480" w:firstLineChars="200"/>
        <w:rPr>
          <w:color w:val="auto"/>
          <w:sz w:val="24"/>
          <w:szCs w:val="24"/>
          <w:highlight w:val="none"/>
        </w:rPr>
      </w:pPr>
      <w:r>
        <w:rPr>
          <w:rFonts w:hint="eastAsia"/>
          <w:color w:val="auto"/>
          <w:sz w:val="24"/>
          <w:szCs w:val="24"/>
          <w:highlight w:val="none"/>
        </w:rPr>
        <w:t>1.7.2  供应商可自愿参加现场踏勘活动。除采购人的原因外，采购人对供应商参加现场踏勘中所发生的人员伤亡和财产损失不承担责任。</w:t>
      </w:r>
    </w:p>
    <w:p>
      <w:pPr>
        <w:spacing w:line="520" w:lineRule="exact"/>
        <w:ind w:firstLine="480" w:firstLineChars="200"/>
        <w:rPr>
          <w:color w:val="auto"/>
          <w:sz w:val="24"/>
          <w:szCs w:val="24"/>
          <w:highlight w:val="none"/>
        </w:rPr>
      </w:pPr>
      <w:r>
        <w:rPr>
          <w:rFonts w:hint="eastAsia"/>
          <w:color w:val="auto"/>
          <w:sz w:val="24"/>
          <w:szCs w:val="24"/>
          <w:highlight w:val="none"/>
        </w:rPr>
        <w:t>1.7.3  采购人在现场踏勘中介绍的工程场地和相关的周边环境情况，仅作为供应商编制报价文件的参考，采购人不对供应商据此作出的判断和决策负责。</w:t>
      </w:r>
    </w:p>
    <w:p>
      <w:pPr>
        <w:spacing w:line="520" w:lineRule="exact"/>
        <w:ind w:firstLine="480" w:firstLineChars="200"/>
        <w:rPr>
          <w:color w:val="auto"/>
          <w:sz w:val="24"/>
          <w:szCs w:val="24"/>
          <w:highlight w:val="none"/>
        </w:rPr>
      </w:pPr>
      <w:r>
        <w:rPr>
          <w:rFonts w:hint="eastAsia"/>
          <w:color w:val="auto"/>
          <w:sz w:val="24"/>
          <w:szCs w:val="24"/>
          <w:highlight w:val="none"/>
        </w:rPr>
        <w:t>1.8  响应和偏差及转包、分包的约定</w:t>
      </w:r>
    </w:p>
    <w:p>
      <w:pPr>
        <w:spacing w:line="520" w:lineRule="exact"/>
        <w:ind w:firstLine="480" w:firstLineChars="200"/>
        <w:rPr>
          <w:color w:val="auto"/>
          <w:sz w:val="24"/>
          <w:szCs w:val="24"/>
          <w:highlight w:val="none"/>
        </w:rPr>
      </w:pPr>
      <w:r>
        <w:rPr>
          <w:rFonts w:hint="eastAsia"/>
          <w:color w:val="auto"/>
          <w:sz w:val="24"/>
          <w:szCs w:val="24"/>
          <w:highlight w:val="none"/>
        </w:rPr>
        <w:t>1.8.1不允许分包或转包。</w:t>
      </w:r>
    </w:p>
    <w:p>
      <w:pPr>
        <w:spacing w:line="520" w:lineRule="exact"/>
        <w:ind w:firstLine="480" w:firstLineChars="200"/>
        <w:rPr>
          <w:color w:val="auto"/>
          <w:sz w:val="24"/>
          <w:szCs w:val="24"/>
          <w:highlight w:val="none"/>
        </w:rPr>
      </w:pPr>
      <w:r>
        <w:rPr>
          <w:rFonts w:hint="eastAsia"/>
          <w:color w:val="auto"/>
          <w:sz w:val="24"/>
          <w:szCs w:val="24"/>
          <w:highlight w:val="none"/>
        </w:rPr>
        <w:t>1.8.2</w:t>
      </w:r>
      <w:r>
        <w:rPr>
          <w:rFonts w:hint="eastAsia"/>
          <w:b/>
          <w:bCs/>
          <w:color w:val="auto"/>
          <w:sz w:val="24"/>
          <w:szCs w:val="24"/>
          <w:highlight w:val="none"/>
        </w:rPr>
        <w:t>采购需求和合同条款及格式中的实质性要求均以“★”符号标记。</w:t>
      </w:r>
      <w:r>
        <w:rPr>
          <w:rFonts w:hint="eastAsia"/>
          <w:color w:val="auto"/>
          <w:sz w:val="24"/>
          <w:szCs w:val="24"/>
          <w:highlight w:val="none"/>
        </w:rPr>
        <w:t>报价文件应对采购需求和合同条款及格式中的关键条款作出满足性或更有利于采购人的响应，否则，供应商的报价文件将被视为无效。</w:t>
      </w:r>
    </w:p>
    <w:p>
      <w:pPr>
        <w:widowControl/>
        <w:spacing w:line="520" w:lineRule="exact"/>
        <w:jc w:val="center"/>
        <w:rPr>
          <w:rFonts w:ascii="宋体" w:hAnsi="宋体" w:cs="宋体"/>
          <w:b/>
          <w:color w:val="auto"/>
          <w:sz w:val="24"/>
          <w:szCs w:val="24"/>
          <w:highlight w:val="none"/>
        </w:rPr>
      </w:pPr>
      <w:bookmarkStart w:id="44" w:name="_Toc61968408"/>
      <w:bookmarkStart w:id="45" w:name="_Toc24587"/>
      <w:bookmarkStart w:id="46" w:name="_Toc81163216"/>
      <w:r>
        <w:rPr>
          <w:rFonts w:hint="eastAsia" w:ascii="宋体" w:hAnsi="宋体" w:cs="宋体"/>
          <w:b/>
          <w:color w:val="auto"/>
          <w:sz w:val="24"/>
          <w:szCs w:val="24"/>
          <w:highlight w:val="none"/>
        </w:rPr>
        <w:t xml:space="preserve">2  </w:t>
      </w:r>
      <w:bookmarkEnd w:id="44"/>
      <w:bookmarkEnd w:id="45"/>
      <w:bookmarkEnd w:id="46"/>
      <w:r>
        <w:rPr>
          <w:rFonts w:hint="eastAsia" w:ascii="宋体" w:hAnsi="宋体" w:cs="宋体"/>
          <w:b/>
          <w:color w:val="auto"/>
          <w:sz w:val="24"/>
          <w:szCs w:val="24"/>
          <w:highlight w:val="none"/>
        </w:rPr>
        <w:t>询价采购文件</w:t>
      </w:r>
    </w:p>
    <w:p>
      <w:pPr>
        <w:widowControl/>
        <w:spacing w:line="520" w:lineRule="exact"/>
        <w:rPr>
          <w:color w:val="auto"/>
          <w:sz w:val="24"/>
          <w:szCs w:val="24"/>
          <w:highlight w:val="none"/>
        </w:rPr>
      </w:pPr>
      <w:bookmarkStart w:id="47" w:name="_Toc81163217"/>
      <w:bookmarkStart w:id="48" w:name="_Toc61968409"/>
      <w:bookmarkStart w:id="49" w:name="_Toc21437"/>
      <w:r>
        <w:rPr>
          <w:rFonts w:hint="eastAsia"/>
          <w:color w:val="auto"/>
          <w:sz w:val="24"/>
          <w:szCs w:val="24"/>
          <w:highlight w:val="none"/>
        </w:rPr>
        <w:t>2.1  询价采购文件的组成</w:t>
      </w:r>
      <w:bookmarkEnd w:id="47"/>
      <w:bookmarkEnd w:id="48"/>
      <w:bookmarkEnd w:id="49"/>
    </w:p>
    <w:p>
      <w:pPr>
        <w:widowControl/>
        <w:spacing w:line="520" w:lineRule="exact"/>
        <w:ind w:firstLine="600" w:firstLineChars="250"/>
        <w:rPr>
          <w:color w:val="auto"/>
          <w:sz w:val="24"/>
          <w:szCs w:val="24"/>
          <w:highlight w:val="none"/>
        </w:rPr>
      </w:pPr>
      <w:r>
        <w:rPr>
          <w:rFonts w:hint="eastAsia"/>
          <w:color w:val="auto"/>
          <w:sz w:val="24"/>
          <w:szCs w:val="24"/>
          <w:highlight w:val="none"/>
        </w:rPr>
        <w:t>本询价采购文件包括：</w:t>
      </w:r>
    </w:p>
    <w:p>
      <w:pPr>
        <w:widowControl/>
        <w:spacing w:line="520" w:lineRule="exact"/>
        <w:ind w:firstLine="600" w:firstLineChars="250"/>
        <w:rPr>
          <w:color w:val="auto"/>
          <w:sz w:val="24"/>
          <w:szCs w:val="24"/>
          <w:highlight w:val="none"/>
        </w:rPr>
      </w:pPr>
      <w:r>
        <w:rPr>
          <w:rFonts w:hint="eastAsia"/>
          <w:color w:val="auto"/>
          <w:sz w:val="24"/>
          <w:szCs w:val="24"/>
          <w:highlight w:val="none"/>
        </w:rPr>
        <w:t>（1）询价采购公告；</w:t>
      </w:r>
    </w:p>
    <w:p>
      <w:pPr>
        <w:widowControl/>
        <w:spacing w:line="520" w:lineRule="exact"/>
        <w:ind w:firstLine="600" w:firstLineChars="250"/>
        <w:rPr>
          <w:color w:val="auto"/>
          <w:sz w:val="24"/>
          <w:szCs w:val="24"/>
          <w:highlight w:val="none"/>
        </w:rPr>
      </w:pPr>
      <w:r>
        <w:rPr>
          <w:rFonts w:hint="eastAsia"/>
          <w:color w:val="auto"/>
          <w:sz w:val="24"/>
          <w:szCs w:val="24"/>
          <w:highlight w:val="none"/>
        </w:rPr>
        <w:t>（2）供应商须知；</w:t>
      </w:r>
    </w:p>
    <w:p>
      <w:pPr>
        <w:widowControl/>
        <w:spacing w:line="520" w:lineRule="exact"/>
        <w:ind w:firstLine="600" w:firstLineChars="250"/>
        <w:rPr>
          <w:color w:val="auto"/>
          <w:sz w:val="24"/>
          <w:szCs w:val="24"/>
          <w:highlight w:val="none"/>
        </w:rPr>
      </w:pPr>
      <w:r>
        <w:rPr>
          <w:rFonts w:hint="eastAsia"/>
          <w:color w:val="auto"/>
          <w:sz w:val="24"/>
          <w:szCs w:val="24"/>
          <w:highlight w:val="none"/>
        </w:rPr>
        <w:t>（3）评审办法；</w:t>
      </w:r>
    </w:p>
    <w:p>
      <w:pPr>
        <w:widowControl/>
        <w:spacing w:line="520" w:lineRule="exact"/>
        <w:ind w:firstLine="600" w:firstLineChars="250"/>
        <w:rPr>
          <w:color w:val="auto"/>
          <w:sz w:val="24"/>
          <w:szCs w:val="24"/>
          <w:highlight w:val="none"/>
        </w:rPr>
      </w:pPr>
      <w:r>
        <w:rPr>
          <w:rFonts w:hint="eastAsia"/>
          <w:color w:val="auto"/>
          <w:sz w:val="24"/>
          <w:szCs w:val="24"/>
          <w:highlight w:val="none"/>
        </w:rPr>
        <w:t>（4）合同条款及格式；</w:t>
      </w:r>
    </w:p>
    <w:p>
      <w:pPr>
        <w:widowControl/>
        <w:spacing w:line="520" w:lineRule="exact"/>
        <w:ind w:firstLine="600" w:firstLineChars="250"/>
        <w:rPr>
          <w:color w:val="auto"/>
          <w:sz w:val="24"/>
          <w:szCs w:val="24"/>
          <w:highlight w:val="none"/>
        </w:rPr>
      </w:pPr>
      <w:r>
        <w:rPr>
          <w:rFonts w:hint="eastAsia"/>
          <w:color w:val="auto"/>
          <w:sz w:val="24"/>
          <w:szCs w:val="24"/>
          <w:highlight w:val="none"/>
        </w:rPr>
        <w:t>（5）技术规范书；</w:t>
      </w:r>
    </w:p>
    <w:p>
      <w:pPr>
        <w:widowControl/>
        <w:spacing w:line="520" w:lineRule="exact"/>
        <w:ind w:firstLine="600" w:firstLineChars="250"/>
        <w:rPr>
          <w:color w:val="auto"/>
          <w:sz w:val="24"/>
          <w:szCs w:val="24"/>
          <w:highlight w:val="none"/>
        </w:rPr>
      </w:pPr>
      <w:r>
        <w:rPr>
          <w:rFonts w:hint="eastAsia"/>
          <w:color w:val="auto"/>
          <w:sz w:val="24"/>
          <w:szCs w:val="24"/>
          <w:highlight w:val="none"/>
        </w:rPr>
        <w:t>（6）报价文件格式；</w:t>
      </w:r>
    </w:p>
    <w:p>
      <w:pPr>
        <w:widowControl/>
        <w:spacing w:line="520" w:lineRule="exact"/>
        <w:ind w:firstLine="600" w:firstLineChars="250"/>
        <w:rPr>
          <w:color w:val="auto"/>
          <w:sz w:val="24"/>
          <w:szCs w:val="24"/>
          <w:highlight w:val="none"/>
        </w:rPr>
      </w:pPr>
      <w:r>
        <w:rPr>
          <w:rFonts w:hint="eastAsia"/>
          <w:color w:val="auto"/>
          <w:sz w:val="24"/>
          <w:szCs w:val="24"/>
          <w:highlight w:val="none"/>
        </w:rPr>
        <w:t>（7）供应商前附表规定的其他资料。</w:t>
      </w:r>
    </w:p>
    <w:p>
      <w:pPr>
        <w:widowControl/>
        <w:spacing w:line="520" w:lineRule="exact"/>
        <w:ind w:firstLine="600" w:firstLineChars="250"/>
        <w:rPr>
          <w:color w:val="auto"/>
          <w:sz w:val="24"/>
          <w:szCs w:val="24"/>
          <w:highlight w:val="none"/>
        </w:rPr>
      </w:pPr>
      <w:r>
        <w:rPr>
          <w:rFonts w:hint="eastAsia"/>
          <w:color w:val="auto"/>
          <w:sz w:val="24"/>
          <w:szCs w:val="24"/>
          <w:highlight w:val="none"/>
        </w:rPr>
        <w:t>采购人依照本章规定，对询价采购文件所作的澄清、修改，构成询价采购文件的组成部分。</w:t>
      </w:r>
    </w:p>
    <w:p>
      <w:pPr>
        <w:widowControl/>
        <w:spacing w:line="520" w:lineRule="exact"/>
        <w:rPr>
          <w:color w:val="auto"/>
          <w:sz w:val="24"/>
          <w:szCs w:val="24"/>
          <w:highlight w:val="none"/>
        </w:rPr>
      </w:pPr>
      <w:bookmarkStart w:id="50" w:name="_Toc12300"/>
      <w:bookmarkStart w:id="51" w:name="_Toc61968410"/>
      <w:bookmarkStart w:id="52" w:name="_Toc81163218"/>
      <w:r>
        <w:rPr>
          <w:rFonts w:hint="eastAsia"/>
          <w:color w:val="auto"/>
          <w:sz w:val="24"/>
          <w:szCs w:val="24"/>
          <w:highlight w:val="none"/>
        </w:rPr>
        <w:t>2.2  询价采购文件的澄清和修改</w:t>
      </w:r>
      <w:bookmarkEnd w:id="50"/>
      <w:bookmarkEnd w:id="51"/>
      <w:bookmarkEnd w:id="52"/>
    </w:p>
    <w:p>
      <w:pPr>
        <w:widowControl/>
        <w:spacing w:line="520" w:lineRule="exact"/>
        <w:rPr>
          <w:color w:val="auto"/>
          <w:sz w:val="24"/>
          <w:szCs w:val="24"/>
          <w:highlight w:val="none"/>
        </w:rPr>
      </w:pPr>
      <w:r>
        <w:rPr>
          <w:rFonts w:hint="eastAsia"/>
          <w:color w:val="auto"/>
          <w:sz w:val="24"/>
          <w:szCs w:val="24"/>
          <w:highlight w:val="none"/>
        </w:rPr>
        <w:t>2.2.1  供应商应仔细阅读和检查询价采购文件的全部内容。如发现缺页或内容不全，应及时向采购人提出，以便补齐。如有疑问，应在供应商须知前附表规定的时间前，要求采购人对询价采购文件予以澄清。</w:t>
      </w:r>
    </w:p>
    <w:p>
      <w:pPr>
        <w:widowControl/>
        <w:spacing w:line="520" w:lineRule="exact"/>
        <w:rPr>
          <w:color w:val="auto"/>
          <w:sz w:val="24"/>
          <w:szCs w:val="24"/>
          <w:highlight w:val="none"/>
        </w:rPr>
      </w:pPr>
      <w:r>
        <w:rPr>
          <w:rFonts w:hint="eastAsia"/>
          <w:color w:val="auto"/>
          <w:sz w:val="24"/>
          <w:szCs w:val="24"/>
          <w:highlight w:val="none"/>
        </w:rPr>
        <w:t>2.2.2  采购人可根据供应商的要求或主动对询价采购文件进行澄清或修改。澄清或修改的内容以补充文件的形式发给所有获取询价采购文件的供应商。采购人可视具体情况在补充文件中通知供应商推迟上传报价文件的截止时间。澄清或修改的内容可能影响报价文件编制的，应在报价文件递交截止时间3个工作日前通知供应商，不足3个工作日的，应顺延报价文件上传的截止时间。</w:t>
      </w:r>
    </w:p>
    <w:p>
      <w:pPr>
        <w:widowControl/>
        <w:spacing w:line="520" w:lineRule="exact"/>
        <w:rPr>
          <w:color w:val="auto"/>
          <w:sz w:val="24"/>
          <w:szCs w:val="24"/>
          <w:highlight w:val="none"/>
        </w:rPr>
      </w:pPr>
      <w:r>
        <w:rPr>
          <w:rFonts w:hint="eastAsia"/>
          <w:color w:val="auto"/>
          <w:sz w:val="24"/>
          <w:szCs w:val="24"/>
          <w:highlight w:val="none"/>
        </w:rPr>
        <w:t>2.2.3  除非确有必要，采购人有权拒绝回复供应商在本章第2.2.1项规定的时间后提出地任何澄清要求。</w:t>
      </w:r>
    </w:p>
    <w:p>
      <w:pPr>
        <w:widowControl/>
        <w:spacing w:line="520" w:lineRule="exact"/>
        <w:rPr>
          <w:color w:val="auto"/>
          <w:sz w:val="24"/>
          <w:szCs w:val="24"/>
          <w:highlight w:val="none"/>
        </w:rPr>
      </w:pPr>
      <w:bookmarkStart w:id="53" w:name="_Toc81163219"/>
      <w:bookmarkStart w:id="54" w:name="_Toc61968411"/>
      <w:bookmarkStart w:id="55" w:name="_Toc32733"/>
      <w:r>
        <w:rPr>
          <w:rFonts w:hint="eastAsia"/>
          <w:color w:val="auto"/>
          <w:sz w:val="24"/>
          <w:szCs w:val="24"/>
          <w:highlight w:val="none"/>
        </w:rPr>
        <w:t xml:space="preserve">3 </w:t>
      </w:r>
      <w:bookmarkEnd w:id="53"/>
      <w:bookmarkEnd w:id="54"/>
      <w:bookmarkEnd w:id="55"/>
      <w:r>
        <w:rPr>
          <w:rFonts w:hint="eastAsia"/>
          <w:color w:val="auto"/>
          <w:sz w:val="24"/>
          <w:szCs w:val="24"/>
          <w:highlight w:val="none"/>
        </w:rPr>
        <w:t>报价文件</w:t>
      </w:r>
    </w:p>
    <w:p>
      <w:pPr>
        <w:widowControl/>
        <w:spacing w:line="520" w:lineRule="exact"/>
        <w:rPr>
          <w:color w:val="auto"/>
          <w:sz w:val="24"/>
          <w:szCs w:val="24"/>
          <w:highlight w:val="none"/>
        </w:rPr>
      </w:pPr>
      <w:bookmarkStart w:id="56" w:name="_Toc61968412"/>
      <w:bookmarkStart w:id="57" w:name="_Toc352"/>
      <w:bookmarkStart w:id="58" w:name="_Toc81163220"/>
      <w:r>
        <w:rPr>
          <w:rFonts w:hint="eastAsia"/>
          <w:color w:val="auto"/>
          <w:sz w:val="24"/>
          <w:szCs w:val="24"/>
          <w:highlight w:val="none"/>
        </w:rPr>
        <w:t>3.1 报价文件的组成</w:t>
      </w:r>
      <w:bookmarkEnd w:id="56"/>
      <w:bookmarkEnd w:id="57"/>
      <w:bookmarkEnd w:id="58"/>
    </w:p>
    <w:p>
      <w:pPr>
        <w:widowControl/>
        <w:spacing w:line="520" w:lineRule="exact"/>
        <w:rPr>
          <w:color w:val="auto"/>
          <w:sz w:val="24"/>
          <w:szCs w:val="24"/>
          <w:highlight w:val="none"/>
        </w:rPr>
      </w:pPr>
      <w:r>
        <w:rPr>
          <w:rFonts w:hint="eastAsia"/>
          <w:color w:val="auto"/>
          <w:sz w:val="24"/>
          <w:szCs w:val="24"/>
          <w:highlight w:val="none"/>
        </w:rPr>
        <w:t>3.1.1 报价文件应按包含询价采购文件要求的所有资料；供应商在询价过程中作出的符合询价采购文件要求的澄清、说明和补正，构成报价文件的组成部分。</w:t>
      </w:r>
    </w:p>
    <w:p>
      <w:pPr>
        <w:widowControl/>
        <w:spacing w:line="520" w:lineRule="exact"/>
        <w:rPr>
          <w:color w:val="auto"/>
          <w:sz w:val="24"/>
          <w:szCs w:val="24"/>
          <w:highlight w:val="none"/>
        </w:rPr>
      </w:pPr>
      <w:r>
        <w:rPr>
          <w:rFonts w:hint="eastAsia"/>
          <w:color w:val="auto"/>
          <w:sz w:val="24"/>
          <w:szCs w:val="24"/>
          <w:highlight w:val="none"/>
        </w:rPr>
        <w:t>3.1.2 供应商的法定代表人（单位负责人）或其授权委托人应签署报价文件、准时参加询价。</w:t>
      </w:r>
    </w:p>
    <w:p>
      <w:pPr>
        <w:widowControl/>
        <w:spacing w:line="520" w:lineRule="exact"/>
        <w:rPr>
          <w:color w:val="auto"/>
          <w:sz w:val="24"/>
          <w:szCs w:val="24"/>
          <w:highlight w:val="none"/>
        </w:rPr>
      </w:pPr>
      <w:bookmarkStart w:id="59" w:name="_Toc3171"/>
      <w:bookmarkStart w:id="60" w:name="_Toc81163221"/>
      <w:bookmarkStart w:id="61" w:name="_Toc61968413"/>
      <w:r>
        <w:rPr>
          <w:rFonts w:hint="eastAsia"/>
          <w:color w:val="auto"/>
          <w:sz w:val="24"/>
          <w:szCs w:val="24"/>
          <w:highlight w:val="none"/>
        </w:rPr>
        <w:t>3.2  报价</w:t>
      </w:r>
      <w:bookmarkEnd w:id="59"/>
      <w:bookmarkEnd w:id="60"/>
      <w:bookmarkEnd w:id="61"/>
    </w:p>
    <w:p>
      <w:pPr>
        <w:widowControl/>
        <w:spacing w:line="520" w:lineRule="exact"/>
        <w:rPr>
          <w:color w:val="auto"/>
          <w:sz w:val="24"/>
          <w:szCs w:val="24"/>
          <w:highlight w:val="none"/>
        </w:rPr>
      </w:pPr>
      <w:r>
        <w:rPr>
          <w:rFonts w:hint="eastAsia"/>
          <w:color w:val="auto"/>
          <w:sz w:val="24"/>
          <w:szCs w:val="24"/>
          <w:highlight w:val="none"/>
        </w:rPr>
        <w:t>3.2.1  供应商应按询价采购文件提供的格式（见第六章“报价文件格式”）在响应函和报价表中进行报价。响应函中报价应为包含国家规定的增值税在内的含税价格，同时应列明不含税价格和增值税税额。</w:t>
      </w:r>
    </w:p>
    <w:p>
      <w:pPr>
        <w:widowControl/>
        <w:spacing w:line="520" w:lineRule="exact"/>
        <w:rPr>
          <w:color w:val="auto"/>
          <w:sz w:val="24"/>
          <w:szCs w:val="24"/>
          <w:highlight w:val="none"/>
        </w:rPr>
      </w:pPr>
      <w:r>
        <w:rPr>
          <w:rFonts w:hint="eastAsia"/>
          <w:color w:val="auto"/>
          <w:sz w:val="24"/>
          <w:szCs w:val="24"/>
          <w:highlight w:val="none"/>
        </w:rPr>
        <w:t>3.2.2  供应商报价货币应为人民币。</w:t>
      </w:r>
    </w:p>
    <w:p>
      <w:pPr>
        <w:widowControl/>
        <w:spacing w:line="520" w:lineRule="exact"/>
        <w:rPr>
          <w:color w:val="auto"/>
          <w:sz w:val="24"/>
          <w:szCs w:val="24"/>
          <w:highlight w:val="none"/>
        </w:rPr>
      </w:pPr>
      <w:r>
        <w:rPr>
          <w:rFonts w:hint="eastAsia"/>
          <w:color w:val="auto"/>
          <w:sz w:val="24"/>
          <w:szCs w:val="24"/>
          <w:highlight w:val="none"/>
        </w:rPr>
        <w:t>3.2.3  供应商应充分了解采购项目的总体情况以及影响报价的其他因素。</w:t>
      </w:r>
    </w:p>
    <w:p>
      <w:pPr>
        <w:widowControl/>
        <w:spacing w:line="520" w:lineRule="exact"/>
        <w:rPr>
          <w:color w:val="auto"/>
          <w:sz w:val="24"/>
          <w:szCs w:val="24"/>
          <w:highlight w:val="none"/>
        </w:rPr>
      </w:pPr>
      <w:r>
        <w:rPr>
          <w:rFonts w:hint="eastAsia"/>
          <w:color w:val="auto"/>
          <w:sz w:val="24"/>
          <w:szCs w:val="24"/>
          <w:highlight w:val="none"/>
        </w:rPr>
        <w:t>3.2.4  采购人设有最高限价的，供应商的报价不得超过最高限价。最高限价或最高限价计算方法在供应商须知前附表中载明。</w:t>
      </w:r>
    </w:p>
    <w:p>
      <w:pPr>
        <w:widowControl/>
        <w:spacing w:line="520" w:lineRule="exact"/>
        <w:rPr>
          <w:color w:val="auto"/>
          <w:sz w:val="24"/>
          <w:szCs w:val="24"/>
          <w:highlight w:val="none"/>
        </w:rPr>
      </w:pPr>
      <w:r>
        <w:rPr>
          <w:rFonts w:hint="eastAsia"/>
          <w:color w:val="auto"/>
          <w:sz w:val="24"/>
          <w:szCs w:val="24"/>
          <w:highlight w:val="none"/>
        </w:rPr>
        <w:t>3.2.5  报价的其他要求见供应商须知前附表。</w:t>
      </w:r>
    </w:p>
    <w:p>
      <w:pPr>
        <w:widowControl/>
        <w:spacing w:line="520" w:lineRule="exact"/>
        <w:rPr>
          <w:color w:val="auto"/>
          <w:sz w:val="24"/>
          <w:szCs w:val="24"/>
          <w:highlight w:val="none"/>
        </w:rPr>
      </w:pPr>
      <w:bookmarkStart w:id="62" w:name="_Toc61968414"/>
      <w:bookmarkStart w:id="63" w:name="_Toc81163222"/>
      <w:bookmarkStart w:id="64" w:name="_Toc21855"/>
      <w:r>
        <w:rPr>
          <w:rFonts w:hint="eastAsia"/>
          <w:color w:val="auto"/>
          <w:sz w:val="24"/>
          <w:szCs w:val="24"/>
          <w:highlight w:val="none"/>
        </w:rPr>
        <w:t>3.3 报价文件有效期</w:t>
      </w:r>
      <w:bookmarkEnd w:id="62"/>
      <w:bookmarkEnd w:id="63"/>
      <w:bookmarkEnd w:id="64"/>
    </w:p>
    <w:p>
      <w:pPr>
        <w:widowControl/>
        <w:spacing w:line="520" w:lineRule="exact"/>
        <w:rPr>
          <w:color w:val="auto"/>
          <w:sz w:val="24"/>
          <w:szCs w:val="24"/>
          <w:highlight w:val="none"/>
        </w:rPr>
      </w:pPr>
      <w:r>
        <w:rPr>
          <w:rFonts w:hint="eastAsia"/>
          <w:color w:val="auto"/>
          <w:sz w:val="24"/>
          <w:szCs w:val="24"/>
          <w:highlight w:val="none"/>
        </w:rPr>
        <w:t>3.3.1  除供应商须知前附表另有规定外，报价文件有效期应为90日，从询价采购文件规定的递交报价文件的截止时间开始计算。</w:t>
      </w:r>
    </w:p>
    <w:p>
      <w:pPr>
        <w:widowControl/>
        <w:spacing w:line="520" w:lineRule="exact"/>
        <w:rPr>
          <w:color w:val="auto"/>
          <w:sz w:val="24"/>
          <w:szCs w:val="24"/>
          <w:highlight w:val="none"/>
        </w:rPr>
      </w:pPr>
      <w:r>
        <w:rPr>
          <w:rFonts w:hint="eastAsia"/>
          <w:color w:val="auto"/>
          <w:sz w:val="24"/>
          <w:szCs w:val="24"/>
          <w:highlight w:val="none"/>
        </w:rPr>
        <w:t>3.3.2  出现特殊情况需要延长报价文件有效期的，采购人通知供应商延长报价文件有效期，供应商应予以答复。同意延长的，不得修改其报价文件；供应商拒绝延长的，其报价文件在原有效期届满后失效。</w:t>
      </w:r>
    </w:p>
    <w:p>
      <w:pPr>
        <w:widowControl/>
        <w:spacing w:line="520" w:lineRule="exact"/>
        <w:rPr>
          <w:color w:val="auto"/>
          <w:sz w:val="24"/>
          <w:szCs w:val="24"/>
          <w:highlight w:val="none"/>
        </w:rPr>
      </w:pPr>
      <w:bookmarkStart w:id="65" w:name="_Toc12877"/>
      <w:bookmarkStart w:id="66" w:name="_Toc81163223"/>
      <w:bookmarkStart w:id="67" w:name="_Toc61968415"/>
      <w:r>
        <w:rPr>
          <w:rFonts w:hint="eastAsia"/>
          <w:color w:val="auto"/>
          <w:sz w:val="24"/>
          <w:szCs w:val="24"/>
          <w:highlight w:val="none"/>
        </w:rPr>
        <w:t>3.4  资格审查资料</w:t>
      </w:r>
      <w:bookmarkEnd w:id="65"/>
      <w:bookmarkEnd w:id="66"/>
      <w:bookmarkEnd w:id="67"/>
    </w:p>
    <w:p>
      <w:pPr>
        <w:widowControl/>
        <w:spacing w:line="520" w:lineRule="exact"/>
        <w:ind w:firstLine="600" w:firstLineChars="250"/>
        <w:rPr>
          <w:color w:val="auto"/>
          <w:sz w:val="24"/>
          <w:szCs w:val="24"/>
          <w:highlight w:val="none"/>
        </w:rPr>
      </w:pPr>
      <w:r>
        <w:rPr>
          <w:rFonts w:hint="eastAsia"/>
          <w:color w:val="auto"/>
          <w:sz w:val="24"/>
          <w:szCs w:val="24"/>
          <w:highlight w:val="none"/>
        </w:rPr>
        <w:t>供应商应提供“第一章 询价采购公告”中规定的资格审查资料，以证明其满足供应商的各项要求。</w:t>
      </w:r>
    </w:p>
    <w:p>
      <w:pPr>
        <w:widowControl/>
        <w:spacing w:line="520" w:lineRule="exact"/>
        <w:rPr>
          <w:color w:val="auto"/>
          <w:sz w:val="24"/>
          <w:szCs w:val="24"/>
          <w:highlight w:val="none"/>
        </w:rPr>
      </w:pPr>
      <w:bookmarkStart w:id="68" w:name="_Toc61968416"/>
      <w:bookmarkStart w:id="69" w:name="_Toc21007"/>
      <w:bookmarkStart w:id="70" w:name="_Toc81163224"/>
      <w:r>
        <w:rPr>
          <w:rFonts w:hint="eastAsia"/>
          <w:color w:val="auto"/>
          <w:sz w:val="24"/>
          <w:szCs w:val="24"/>
          <w:highlight w:val="none"/>
        </w:rPr>
        <w:t>3.5  报价方案</w:t>
      </w:r>
      <w:bookmarkEnd w:id="68"/>
      <w:bookmarkEnd w:id="69"/>
      <w:bookmarkEnd w:id="70"/>
    </w:p>
    <w:p>
      <w:pPr>
        <w:widowControl/>
        <w:spacing w:line="520" w:lineRule="exact"/>
        <w:rPr>
          <w:color w:val="auto"/>
          <w:sz w:val="24"/>
          <w:szCs w:val="24"/>
          <w:highlight w:val="none"/>
        </w:rPr>
      </w:pPr>
      <w:r>
        <w:rPr>
          <w:rFonts w:hint="eastAsia"/>
          <w:color w:val="auto"/>
          <w:sz w:val="24"/>
          <w:szCs w:val="24"/>
          <w:highlight w:val="none"/>
        </w:rPr>
        <w:t>3.5.1 报价文件应当对询价采购文件中的实质性内容作出响应。采购需求中明确为关键条款（标记“★”）的，供应商还应按照供应商须知前附表的规定提供有关证据或证明材料。</w:t>
      </w:r>
    </w:p>
    <w:p>
      <w:pPr>
        <w:widowControl/>
        <w:spacing w:line="520" w:lineRule="exact"/>
        <w:rPr>
          <w:color w:val="auto"/>
          <w:sz w:val="24"/>
          <w:szCs w:val="24"/>
          <w:highlight w:val="none"/>
        </w:rPr>
      </w:pPr>
      <w:r>
        <w:rPr>
          <w:rFonts w:hint="eastAsia"/>
          <w:color w:val="auto"/>
          <w:sz w:val="24"/>
          <w:szCs w:val="24"/>
          <w:highlight w:val="none"/>
        </w:rPr>
        <w:t>3.5.2  供应商只能提出唯一的应答方案。供应商在报价文件中提出多个应答方案的，其报价文件将被视为无效。</w:t>
      </w:r>
    </w:p>
    <w:p>
      <w:pPr>
        <w:widowControl/>
        <w:spacing w:line="520" w:lineRule="exact"/>
        <w:rPr>
          <w:color w:val="auto"/>
          <w:sz w:val="24"/>
          <w:szCs w:val="24"/>
          <w:highlight w:val="none"/>
        </w:rPr>
      </w:pPr>
      <w:r>
        <w:rPr>
          <w:rFonts w:hint="eastAsia"/>
          <w:color w:val="auto"/>
          <w:sz w:val="24"/>
          <w:szCs w:val="24"/>
          <w:highlight w:val="none"/>
        </w:rPr>
        <w:t>3.5.3 报价文件对询价采购文件的全部偏差，均应在报价文件的商务和技术偏差表中列明。报价文件偏差表中未列明的内容，将视为响应询价采购文件的要求；但如发现报价文件的其他部分与商务和技术偏差表的描述不一致或供应商的响应缺乏支持性文件，则询价小组有权要求供应商对相关问题进行澄清，并根据澄清结果对供应商的报价文件进行询价。</w:t>
      </w:r>
    </w:p>
    <w:p>
      <w:pPr>
        <w:widowControl/>
        <w:spacing w:line="520" w:lineRule="exact"/>
        <w:rPr>
          <w:color w:val="auto"/>
          <w:sz w:val="24"/>
          <w:szCs w:val="24"/>
          <w:highlight w:val="none"/>
        </w:rPr>
      </w:pPr>
      <w:bookmarkStart w:id="71" w:name="_Toc61968417"/>
      <w:bookmarkStart w:id="72" w:name="_Toc81163225"/>
      <w:bookmarkStart w:id="73" w:name="_Toc29849"/>
      <w:r>
        <w:rPr>
          <w:rFonts w:hint="eastAsia"/>
          <w:color w:val="auto"/>
          <w:sz w:val="24"/>
          <w:szCs w:val="24"/>
          <w:highlight w:val="none"/>
        </w:rPr>
        <w:t>3.6 报价文件的编制</w:t>
      </w:r>
      <w:bookmarkEnd w:id="71"/>
      <w:bookmarkEnd w:id="72"/>
      <w:bookmarkEnd w:id="73"/>
    </w:p>
    <w:p>
      <w:pPr>
        <w:widowControl/>
        <w:spacing w:line="520" w:lineRule="exact"/>
        <w:rPr>
          <w:color w:val="auto"/>
          <w:sz w:val="24"/>
          <w:szCs w:val="24"/>
          <w:highlight w:val="none"/>
        </w:rPr>
      </w:pPr>
      <w:r>
        <w:rPr>
          <w:rFonts w:hint="eastAsia"/>
          <w:color w:val="auto"/>
          <w:sz w:val="24"/>
          <w:szCs w:val="24"/>
          <w:highlight w:val="none"/>
        </w:rPr>
        <w:t>3.6.1 报价文件应按本范本的“报价文件格式”进行编写，如有必要，可以增加附页，作为报价文件的组成部分。</w:t>
      </w:r>
    </w:p>
    <w:p>
      <w:pPr>
        <w:widowControl/>
        <w:spacing w:line="520" w:lineRule="exact"/>
        <w:rPr>
          <w:color w:val="auto"/>
          <w:sz w:val="24"/>
          <w:szCs w:val="24"/>
          <w:highlight w:val="none"/>
        </w:rPr>
      </w:pPr>
      <w:r>
        <w:rPr>
          <w:rFonts w:hint="eastAsia"/>
          <w:color w:val="auto"/>
          <w:sz w:val="24"/>
          <w:szCs w:val="24"/>
          <w:highlight w:val="none"/>
        </w:rPr>
        <w:t>3.6.2</w:t>
      </w:r>
      <w:r>
        <w:rPr>
          <w:rFonts w:hint="eastAsia"/>
          <w:color w:val="auto"/>
          <w:sz w:val="24"/>
          <w:szCs w:val="24"/>
          <w:highlight w:val="none"/>
        </w:rPr>
        <w:tab/>
      </w:r>
      <w:r>
        <w:rPr>
          <w:rFonts w:hint="eastAsia"/>
          <w:color w:val="auto"/>
          <w:sz w:val="24"/>
          <w:szCs w:val="24"/>
          <w:highlight w:val="none"/>
        </w:rPr>
        <w:t xml:space="preserve">报价文件盖有响应函或联合体协议书（如有）由代理人签字的，应在报价文件中附授权委托书。 </w:t>
      </w:r>
    </w:p>
    <w:p>
      <w:pPr>
        <w:widowControl/>
        <w:spacing w:line="520" w:lineRule="exact"/>
        <w:rPr>
          <w:color w:val="auto"/>
          <w:sz w:val="24"/>
          <w:szCs w:val="24"/>
          <w:highlight w:val="none"/>
        </w:rPr>
      </w:pPr>
      <w:r>
        <w:rPr>
          <w:rFonts w:hint="eastAsia"/>
          <w:color w:val="auto"/>
          <w:sz w:val="24"/>
          <w:szCs w:val="24"/>
          <w:highlight w:val="none"/>
        </w:rPr>
        <w:t>3.7询价过程中供应商对报价文件的澄清、说明和补正应由供应商的法定代表人（单位负责人）或其授权的代理人签字或加盖单位章。</w:t>
      </w:r>
    </w:p>
    <w:p>
      <w:pPr>
        <w:widowControl/>
        <w:spacing w:line="520" w:lineRule="exact"/>
        <w:rPr>
          <w:color w:val="auto"/>
          <w:sz w:val="24"/>
          <w:szCs w:val="24"/>
          <w:highlight w:val="none"/>
        </w:rPr>
      </w:pPr>
      <w:r>
        <w:rPr>
          <w:rFonts w:hint="eastAsia"/>
          <w:color w:val="auto"/>
          <w:sz w:val="24"/>
          <w:szCs w:val="24"/>
          <w:highlight w:val="none"/>
        </w:rPr>
        <w:t>3.8 签字盖章的合格性判断</w:t>
      </w:r>
    </w:p>
    <w:p>
      <w:pPr>
        <w:widowControl/>
        <w:spacing w:line="520" w:lineRule="exact"/>
        <w:rPr>
          <w:color w:val="auto"/>
          <w:sz w:val="24"/>
          <w:szCs w:val="24"/>
          <w:highlight w:val="none"/>
        </w:rPr>
      </w:pPr>
      <w:r>
        <w:rPr>
          <w:rFonts w:hint="eastAsia"/>
          <w:color w:val="auto"/>
          <w:sz w:val="24"/>
          <w:szCs w:val="24"/>
          <w:highlight w:val="none"/>
        </w:rPr>
        <w:t>3.8.1电子公章：文件中任意位置推荐电子公章盖封面页）盖有有效的电子公章即视为文件中的签字盖章合格。</w:t>
      </w:r>
    </w:p>
    <w:p>
      <w:pPr>
        <w:widowControl/>
        <w:spacing w:line="520" w:lineRule="exact"/>
        <w:rPr>
          <w:color w:val="auto"/>
          <w:sz w:val="24"/>
          <w:szCs w:val="24"/>
          <w:highlight w:val="none"/>
        </w:rPr>
      </w:pPr>
      <w:r>
        <w:rPr>
          <w:rFonts w:hint="eastAsia"/>
          <w:color w:val="auto"/>
          <w:sz w:val="24"/>
          <w:szCs w:val="24"/>
          <w:highlight w:val="none"/>
        </w:rPr>
        <w:t>3.8.2 非电子公章：在文件中要求的位置进行有效签字及有效盖章的，才能视为文件中的签字盖章合格。</w:t>
      </w:r>
      <w:bookmarkStart w:id="74" w:name="_Toc61968418"/>
      <w:bookmarkStart w:id="75" w:name="_Toc22330"/>
      <w:bookmarkStart w:id="76" w:name="_Toc81163226"/>
    </w:p>
    <w:p>
      <w:pPr>
        <w:widowControl/>
        <w:spacing w:line="520" w:lineRule="exact"/>
        <w:rPr>
          <w:color w:val="auto"/>
          <w:sz w:val="24"/>
          <w:szCs w:val="24"/>
          <w:highlight w:val="none"/>
        </w:rPr>
      </w:pPr>
      <w:r>
        <w:rPr>
          <w:rFonts w:hint="eastAsia"/>
          <w:color w:val="auto"/>
          <w:sz w:val="24"/>
          <w:szCs w:val="24"/>
          <w:highlight w:val="none"/>
        </w:rPr>
        <w:t>4 报价文件的上传</w:t>
      </w:r>
      <w:bookmarkEnd w:id="74"/>
      <w:bookmarkEnd w:id="75"/>
      <w:bookmarkEnd w:id="76"/>
      <w:bookmarkStart w:id="77" w:name="_Toc8585"/>
      <w:bookmarkStart w:id="78" w:name="_Toc61968419"/>
      <w:bookmarkStart w:id="79" w:name="_Toc81163227"/>
    </w:p>
    <w:p>
      <w:pPr>
        <w:widowControl/>
        <w:spacing w:line="520" w:lineRule="exact"/>
        <w:rPr>
          <w:color w:val="auto"/>
          <w:sz w:val="24"/>
          <w:szCs w:val="24"/>
          <w:highlight w:val="none"/>
        </w:rPr>
      </w:pPr>
      <w:r>
        <w:rPr>
          <w:rFonts w:hint="eastAsia"/>
          <w:color w:val="auto"/>
          <w:sz w:val="24"/>
          <w:szCs w:val="24"/>
          <w:highlight w:val="none"/>
        </w:rPr>
        <w:t>4.1 报价文件的上传、修改与撤回</w:t>
      </w:r>
      <w:bookmarkEnd w:id="77"/>
      <w:bookmarkEnd w:id="78"/>
      <w:bookmarkEnd w:id="79"/>
    </w:p>
    <w:p>
      <w:pPr>
        <w:widowControl/>
        <w:spacing w:line="520" w:lineRule="exact"/>
        <w:ind w:firstLine="480" w:firstLineChars="200"/>
        <w:rPr>
          <w:color w:val="auto"/>
          <w:sz w:val="24"/>
          <w:szCs w:val="24"/>
          <w:highlight w:val="none"/>
        </w:rPr>
      </w:pPr>
      <w:r>
        <w:rPr>
          <w:rFonts w:hint="eastAsia"/>
          <w:color w:val="auto"/>
          <w:sz w:val="24"/>
          <w:szCs w:val="24"/>
          <w:highlight w:val="none"/>
        </w:rPr>
        <w:t>操作流程请参考云南省能源集团有限公司业财一体化建设平台供应商须知发布的“供应商投标操作手册”。</w:t>
      </w:r>
    </w:p>
    <w:p>
      <w:pPr>
        <w:widowControl/>
        <w:spacing w:line="520" w:lineRule="exact"/>
        <w:rPr>
          <w:color w:val="auto"/>
          <w:sz w:val="24"/>
          <w:szCs w:val="24"/>
          <w:highlight w:val="none"/>
        </w:rPr>
      </w:pPr>
      <w:r>
        <w:rPr>
          <w:rFonts w:hint="eastAsia"/>
          <w:color w:val="auto"/>
          <w:sz w:val="24"/>
          <w:szCs w:val="24"/>
          <w:highlight w:val="none"/>
        </w:rPr>
        <w:t>4.2 报价文件其他约定</w:t>
      </w:r>
    </w:p>
    <w:p>
      <w:pPr>
        <w:widowControl/>
        <w:spacing w:line="520" w:lineRule="exact"/>
        <w:rPr>
          <w:color w:val="auto"/>
          <w:sz w:val="24"/>
          <w:szCs w:val="24"/>
          <w:highlight w:val="none"/>
        </w:rPr>
      </w:pPr>
      <w:r>
        <w:rPr>
          <w:rFonts w:hint="eastAsia"/>
          <w:color w:val="auto"/>
          <w:sz w:val="24"/>
          <w:szCs w:val="24"/>
          <w:highlight w:val="none"/>
        </w:rPr>
        <w:t xml:space="preserve">    供应商成交后，采购单位如有需要，供应商有义务将纸版报价文件送达至采购单位指定地点以便采购单位合同谈判及资料归档。</w:t>
      </w:r>
    </w:p>
    <w:p>
      <w:pPr>
        <w:widowControl/>
        <w:spacing w:line="520" w:lineRule="exact"/>
        <w:ind w:firstLine="600" w:firstLineChars="250"/>
        <w:rPr>
          <w:color w:val="auto"/>
          <w:sz w:val="24"/>
          <w:szCs w:val="24"/>
          <w:highlight w:val="none"/>
        </w:rPr>
      </w:pPr>
      <w:r>
        <w:rPr>
          <w:rFonts w:hint="eastAsia"/>
          <w:color w:val="auto"/>
          <w:sz w:val="24"/>
          <w:szCs w:val="24"/>
          <w:highlight w:val="none"/>
        </w:rPr>
        <w:t>（1）报价文件纸质版（正本1份，并附可编辑电子版资料1 份U盘拷贝）在接到中选通知书7天内送到（或邮寄到）云能（曲靖）综合能源服务有限公司。（只需中选单位提供）；</w:t>
      </w:r>
    </w:p>
    <w:p>
      <w:pPr>
        <w:widowControl/>
        <w:spacing w:line="520" w:lineRule="exact"/>
        <w:ind w:firstLine="600" w:firstLineChars="250"/>
        <w:rPr>
          <w:color w:val="auto"/>
          <w:sz w:val="24"/>
          <w:szCs w:val="24"/>
          <w:highlight w:val="none"/>
        </w:rPr>
      </w:pPr>
      <w:r>
        <w:rPr>
          <w:rFonts w:hint="eastAsia"/>
          <w:color w:val="auto"/>
          <w:sz w:val="24"/>
          <w:szCs w:val="24"/>
          <w:highlight w:val="none"/>
        </w:rPr>
        <w:t>（2）报价文件邮寄地址及联系人联系电话详见供应商须知前附表。</w:t>
      </w:r>
    </w:p>
    <w:p>
      <w:pPr>
        <w:widowControl/>
        <w:spacing w:line="520" w:lineRule="exact"/>
        <w:rPr>
          <w:color w:val="auto"/>
          <w:sz w:val="24"/>
          <w:szCs w:val="24"/>
          <w:highlight w:val="none"/>
        </w:rPr>
      </w:pPr>
      <w:r>
        <w:rPr>
          <w:rFonts w:hint="eastAsia"/>
          <w:color w:val="auto"/>
          <w:sz w:val="24"/>
          <w:szCs w:val="24"/>
          <w:highlight w:val="none"/>
        </w:rPr>
        <w:t>4.2.1递交报价申请文件截止时间：同云南省能源集团有限公司业财一体化建设平台显示时间一致。</w:t>
      </w:r>
    </w:p>
    <w:p>
      <w:pPr>
        <w:widowControl/>
        <w:spacing w:line="520" w:lineRule="exact"/>
        <w:rPr>
          <w:color w:val="auto"/>
          <w:sz w:val="24"/>
          <w:szCs w:val="24"/>
          <w:highlight w:val="none"/>
        </w:rPr>
      </w:pPr>
      <w:r>
        <w:rPr>
          <w:rFonts w:hint="eastAsia"/>
          <w:color w:val="auto"/>
          <w:sz w:val="24"/>
          <w:szCs w:val="24"/>
          <w:highlight w:val="none"/>
        </w:rPr>
        <w:t>4.2.2 是否退还报价申请文件：不退还。</w:t>
      </w:r>
    </w:p>
    <w:p>
      <w:pPr>
        <w:widowControl/>
        <w:spacing w:line="520" w:lineRule="exact"/>
        <w:rPr>
          <w:color w:val="auto"/>
          <w:sz w:val="24"/>
          <w:szCs w:val="24"/>
          <w:highlight w:val="none"/>
        </w:rPr>
      </w:pPr>
      <w:r>
        <w:rPr>
          <w:rFonts w:hint="eastAsia"/>
          <w:color w:val="auto"/>
          <w:sz w:val="24"/>
          <w:szCs w:val="24"/>
          <w:highlight w:val="none"/>
        </w:rPr>
        <w:t xml:space="preserve">4.2.3 </w:t>
      </w:r>
      <w:r>
        <w:rPr>
          <w:color w:val="auto"/>
          <w:sz w:val="24"/>
          <w:szCs w:val="24"/>
          <w:highlight w:val="none"/>
        </w:rPr>
        <w:t>开标时间和地点</w:t>
      </w:r>
      <w:r>
        <w:rPr>
          <w:rFonts w:hint="eastAsia"/>
          <w:color w:val="auto"/>
          <w:sz w:val="24"/>
          <w:szCs w:val="24"/>
          <w:highlight w:val="none"/>
        </w:rPr>
        <w:t>：同云南省能源集团有限公司业财一体化建设平台显示时间一致。</w:t>
      </w:r>
    </w:p>
    <w:p>
      <w:pPr>
        <w:widowControl/>
        <w:spacing w:line="520" w:lineRule="exact"/>
        <w:rPr>
          <w:color w:val="auto"/>
          <w:sz w:val="24"/>
          <w:szCs w:val="24"/>
          <w:highlight w:val="none"/>
        </w:rPr>
      </w:pPr>
      <w:bookmarkStart w:id="80" w:name="_Toc14648"/>
      <w:bookmarkStart w:id="81" w:name="_Toc61968420"/>
      <w:bookmarkStart w:id="82" w:name="_Toc81163228"/>
      <w:r>
        <w:rPr>
          <w:rFonts w:hint="eastAsia"/>
          <w:color w:val="auto"/>
          <w:sz w:val="24"/>
          <w:szCs w:val="24"/>
          <w:highlight w:val="none"/>
        </w:rPr>
        <w:t xml:space="preserve">5  </w:t>
      </w:r>
      <w:bookmarkEnd w:id="80"/>
      <w:bookmarkEnd w:id="81"/>
      <w:bookmarkEnd w:id="82"/>
      <w:r>
        <w:rPr>
          <w:rFonts w:hint="eastAsia"/>
          <w:color w:val="auto"/>
          <w:sz w:val="24"/>
          <w:szCs w:val="24"/>
          <w:highlight w:val="none"/>
        </w:rPr>
        <w:t>询价</w:t>
      </w:r>
    </w:p>
    <w:p>
      <w:pPr>
        <w:widowControl/>
        <w:spacing w:line="520" w:lineRule="exact"/>
        <w:rPr>
          <w:color w:val="auto"/>
          <w:sz w:val="24"/>
          <w:szCs w:val="24"/>
          <w:highlight w:val="none"/>
        </w:rPr>
      </w:pPr>
      <w:bookmarkStart w:id="83" w:name="_Toc81163229"/>
      <w:bookmarkStart w:id="84" w:name="_Toc61968421"/>
      <w:bookmarkStart w:id="85" w:name="_Toc26313"/>
      <w:r>
        <w:rPr>
          <w:rFonts w:hint="eastAsia"/>
          <w:color w:val="auto"/>
          <w:sz w:val="24"/>
          <w:szCs w:val="24"/>
          <w:highlight w:val="none"/>
        </w:rPr>
        <w:t xml:space="preserve">5.1  </w:t>
      </w:r>
      <w:bookmarkEnd w:id="83"/>
      <w:bookmarkEnd w:id="84"/>
      <w:bookmarkEnd w:id="85"/>
      <w:r>
        <w:rPr>
          <w:rFonts w:hint="eastAsia"/>
          <w:color w:val="auto"/>
          <w:sz w:val="24"/>
          <w:szCs w:val="24"/>
          <w:highlight w:val="none"/>
        </w:rPr>
        <w:t>询价小组（评标小组）</w:t>
      </w:r>
    </w:p>
    <w:p>
      <w:pPr>
        <w:widowControl/>
        <w:spacing w:line="520" w:lineRule="exact"/>
        <w:rPr>
          <w:color w:val="auto"/>
          <w:sz w:val="24"/>
          <w:szCs w:val="24"/>
          <w:highlight w:val="none"/>
        </w:rPr>
      </w:pPr>
      <w:r>
        <w:rPr>
          <w:rFonts w:hint="eastAsia"/>
          <w:color w:val="auto"/>
          <w:sz w:val="24"/>
          <w:szCs w:val="24"/>
          <w:highlight w:val="none"/>
        </w:rPr>
        <w:t>5.1.1  询价由采购人组建的询价小组负责。</w:t>
      </w:r>
    </w:p>
    <w:p>
      <w:pPr>
        <w:widowControl/>
        <w:spacing w:line="520" w:lineRule="exact"/>
        <w:rPr>
          <w:color w:val="auto"/>
          <w:sz w:val="24"/>
          <w:szCs w:val="24"/>
          <w:highlight w:val="none"/>
        </w:rPr>
      </w:pPr>
      <w:r>
        <w:rPr>
          <w:rFonts w:hint="eastAsia"/>
          <w:color w:val="auto"/>
          <w:sz w:val="24"/>
          <w:szCs w:val="24"/>
          <w:highlight w:val="none"/>
        </w:rPr>
        <w:t>5.1.2  询价小组成员有下列情形之一的，应当回避：</w:t>
      </w:r>
    </w:p>
    <w:p>
      <w:pPr>
        <w:widowControl/>
        <w:spacing w:line="520" w:lineRule="exact"/>
        <w:ind w:firstLine="600" w:firstLineChars="250"/>
        <w:rPr>
          <w:color w:val="auto"/>
          <w:sz w:val="24"/>
          <w:szCs w:val="24"/>
          <w:highlight w:val="none"/>
        </w:rPr>
      </w:pPr>
      <w:r>
        <w:rPr>
          <w:rFonts w:hint="eastAsia"/>
          <w:color w:val="auto"/>
          <w:sz w:val="24"/>
          <w:szCs w:val="24"/>
          <w:highlight w:val="none"/>
        </w:rPr>
        <w:t>（1）供应商主要负责人或供应商主要负责人的近亲属；</w:t>
      </w:r>
    </w:p>
    <w:p>
      <w:pPr>
        <w:widowControl/>
        <w:spacing w:line="520" w:lineRule="exact"/>
        <w:ind w:firstLine="600" w:firstLineChars="250"/>
        <w:rPr>
          <w:color w:val="auto"/>
          <w:sz w:val="24"/>
          <w:szCs w:val="24"/>
          <w:highlight w:val="none"/>
        </w:rPr>
      </w:pPr>
      <w:r>
        <w:rPr>
          <w:rFonts w:hint="eastAsia"/>
          <w:color w:val="auto"/>
          <w:sz w:val="24"/>
          <w:szCs w:val="24"/>
          <w:highlight w:val="none"/>
        </w:rPr>
        <w:t>（2）与供应商有经济利益关系或其他利害关系，可能影响公正询价的。</w:t>
      </w:r>
    </w:p>
    <w:p>
      <w:pPr>
        <w:widowControl/>
        <w:spacing w:line="520" w:lineRule="exact"/>
        <w:rPr>
          <w:color w:val="auto"/>
          <w:sz w:val="24"/>
          <w:szCs w:val="24"/>
          <w:highlight w:val="none"/>
        </w:rPr>
      </w:pPr>
      <w:r>
        <w:rPr>
          <w:rFonts w:hint="eastAsia"/>
          <w:color w:val="auto"/>
          <w:sz w:val="24"/>
          <w:szCs w:val="24"/>
          <w:highlight w:val="none"/>
        </w:rPr>
        <w:t>5.1.3  询价小组组建后，询价小组成员共同推选询价小组组长，询价小组组长负责组织询价工作。</w:t>
      </w:r>
    </w:p>
    <w:p>
      <w:pPr>
        <w:widowControl/>
        <w:spacing w:line="520" w:lineRule="exact"/>
        <w:rPr>
          <w:color w:val="auto"/>
          <w:sz w:val="24"/>
          <w:szCs w:val="24"/>
          <w:highlight w:val="none"/>
        </w:rPr>
      </w:pPr>
      <w:r>
        <w:rPr>
          <w:rFonts w:hint="eastAsia"/>
          <w:color w:val="auto"/>
          <w:sz w:val="24"/>
          <w:szCs w:val="24"/>
          <w:highlight w:val="none"/>
        </w:rPr>
        <w:t>5.1.4  在询价过程中，询价小组成员对需要共同认定的事项存在争议的，将按照少数服从多数的原则作出结论。持不同意见的询价小组成员应当在询价报告上签署不同意见及理由，否则视为同意询价报告。</w:t>
      </w:r>
    </w:p>
    <w:p>
      <w:pPr>
        <w:widowControl/>
        <w:spacing w:line="520" w:lineRule="exact"/>
        <w:rPr>
          <w:color w:val="auto"/>
          <w:sz w:val="24"/>
          <w:szCs w:val="24"/>
          <w:highlight w:val="none"/>
        </w:rPr>
      </w:pPr>
      <w:bookmarkStart w:id="86" w:name="_Toc81163230"/>
      <w:bookmarkStart w:id="87" w:name="_Toc61968422"/>
      <w:bookmarkStart w:id="88" w:name="_Toc14059"/>
      <w:r>
        <w:rPr>
          <w:rFonts w:hint="eastAsia"/>
          <w:color w:val="auto"/>
          <w:sz w:val="24"/>
          <w:szCs w:val="24"/>
          <w:highlight w:val="none"/>
        </w:rPr>
        <w:t xml:space="preserve">5.2  </w:t>
      </w:r>
      <w:bookmarkEnd w:id="86"/>
      <w:bookmarkEnd w:id="87"/>
      <w:bookmarkEnd w:id="88"/>
      <w:r>
        <w:rPr>
          <w:rFonts w:hint="eastAsia"/>
          <w:color w:val="auto"/>
          <w:sz w:val="24"/>
          <w:szCs w:val="24"/>
          <w:highlight w:val="none"/>
        </w:rPr>
        <w:t>询价</w:t>
      </w:r>
    </w:p>
    <w:p>
      <w:pPr>
        <w:widowControl/>
        <w:spacing w:line="520" w:lineRule="exact"/>
        <w:rPr>
          <w:color w:val="auto"/>
          <w:sz w:val="24"/>
          <w:szCs w:val="24"/>
          <w:highlight w:val="none"/>
        </w:rPr>
      </w:pPr>
      <w:r>
        <w:rPr>
          <w:rFonts w:hint="eastAsia"/>
          <w:color w:val="auto"/>
          <w:sz w:val="24"/>
          <w:szCs w:val="24"/>
          <w:highlight w:val="none"/>
        </w:rPr>
        <w:t>5.2.1  询价小组按照第三章“评审办法”规定的询价标准和程序对报价文件进行询价和比较。</w:t>
      </w:r>
    </w:p>
    <w:p>
      <w:pPr>
        <w:widowControl/>
        <w:spacing w:line="520" w:lineRule="exact"/>
        <w:rPr>
          <w:color w:val="auto"/>
          <w:sz w:val="24"/>
          <w:szCs w:val="24"/>
          <w:highlight w:val="none"/>
        </w:rPr>
      </w:pPr>
      <w:r>
        <w:rPr>
          <w:rFonts w:hint="eastAsia"/>
          <w:color w:val="auto"/>
          <w:sz w:val="24"/>
          <w:szCs w:val="24"/>
          <w:highlight w:val="none"/>
        </w:rPr>
        <w:t>5.2.2  询价完成后，询价小组应提交询价报告和候选成交供应商名单。</w:t>
      </w:r>
    </w:p>
    <w:p>
      <w:pPr>
        <w:widowControl/>
        <w:spacing w:line="520" w:lineRule="exact"/>
        <w:rPr>
          <w:color w:val="auto"/>
          <w:sz w:val="24"/>
          <w:szCs w:val="24"/>
          <w:highlight w:val="none"/>
        </w:rPr>
      </w:pPr>
      <w:bookmarkStart w:id="89" w:name="_Toc81163231"/>
      <w:bookmarkStart w:id="90" w:name="_Toc61968423"/>
      <w:bookmarkStart w:id="91" w:name="_Toc22514"/>
      <w:r>
        <w:rPr>
          <w:rFonts w:hint="eastAsia"/>
          <w:color w:val="auto"/>
          <w:sz w:val="24"/>
          <w:szCs w:val="24"/>
          <w:highlight w:val="none"/>
        </w:rPr>
        <w:t>5.3  特殊情形处理</w:t>
      </w:r>
      <w:bookmarkEnd w:id="89"/>
      <w:bookmarkEnd w:id="90"/>
      <w:bookmarkEnd w:id="91"/>
    </w:p>
    <w:p>
      <w:pPr>
        <w:widowControl/>
        <w:spacing w:line="520" w:lineRule="exact"/>
        <w:ind w:firstLine="600" w:firstLineChars="250"/>
        <w:rPr>
          <w:color w:val="auto"/>
          <w:sz w:val="24"/>
          <w:szCs w:val="24"/>
          <w:highlight w:val="none"/>
        </w:rPr>
      </w:pPr>
      <w:r>
        <w:rPr>
          <w:rFonts w:hint="eastAsia"/>
          <w:color w:val="auto"/>
          <w:sz w:val="24"/>
          <w:szCs w:val="24"/>
          <w:highlight w:val="none"/>
        </w:rPr>
        <w:t>通过初步询价的供应商数量不足三家时，应重新组织采购。若第二次通过初步询价的供应商数量仍不足三家，经采购人确认后可以继续询价。</w:t>
      </w:r>
    </w:p>
    <w:p>
      <w:pPr>
        <w:widowControl/>
        <w:spacing w:line="520" w:lineRule="exact"/>
        <w:rPr>
          <w:color w:val="auto"/>
          <w:sz w:val="24"/>
          <w:szCs w:val="24"/>
          <w:highlight w:val="none"/>
        </w:rPr>
      </w:pPr>
      <w:bookmarkStart w:id="92" w:name="_Toc61968424"/>
      <w:bookmarkStart w:id="93" w:name="_Toc81163232"/>
      <w:bookmarkStart w:id="94" w:name="_Toc11461"/>
      <w:r>
        <w:rPr>
          <w:rFonts w:hint="eastAsia"/>
          <w:color w:val="auto"/>
          <w:sz w:val="24"/>
          <w:szCs w:val="24"/>
          <w:highlight w:val="none"/>
        </w:rPr>
        <w:t>6  合同授予</w:t>
      </w:r>
      <w:bookmarkEnd w:id="92"/>
      <w:bookmarkEnd w:id="93"/>
      <w:bookmarkEnd w:id="94"/>
    </w:p>
    <w:p>
      <w:pPr>
        <w:widowControl/>
        <w:spacing w:line="520" w:lineRule="exact"/>
        <w:rPr>
          <w:color w:val="auto"/>
          <w:sz w:val="24"/>
          <w:szCs w:val="24"/>
          <w:highlight w:val="none"/>
        </w:rPr>
      </w:pPr>
      <w:bookmarkStart w:id="95" w:name="_Toc517"/>
      <w:bookmarkStart w:id="96" w:name="_Toc61968425"/>
      <w:bookmarkStart w:id="97" w:name="_Toc81163233"/>
      <w:r>
        <w:rPr>
          <w:rFonts w:hint="eastAsia"/>
          <w:color w:val="auto"/>
          <w:sz w:val="24"/>
          <w:szCs w:val="24"/>
          <w:highlight w:val="none"/>
        </w:rPr>
        <w:t>6.1  成交供应商履约能力核查</w:t>
      </w:r>
      <w:bookmarkEnd w:id="95"/>
      <w:bookmarkEnd w:id="96"/>
      <w:bookmarkEnd w:id="97"/>
    </w:p>
    <w:p>
      <w:pPr>
        <w:widowControl/>
        <w:spacing w:line="520" w:lineRule="exact"/>
        <w:ind w:firstLine="600" w:firstLineChars="250"/>
        <w:rPr>
          <w:color w:val="auto"/>
          <w:sz w:val="24"/>
          <w:szCs w:val="24"/>
          <w:highlight w:val="none"/>
        </w:rPr>
      </w:pPr>
      <w:r>
        <w:rPr>
          <w:rFonts w:hint="eastAsia"/>
          <w:color w:val="auto"/>
          <w:sz w:val="24"/>
          <w:szCs w:val="24"/>
          <w:highlight w:val="none"/>
        </w:rPr>
        <w:t>采购人可对成交供应商的相关证明材料原件进行核验或组织现场考察，以确认候选成交供应商的生产经营、财务等实际状况与报价文件是否一致以及是否存在其他可能影响供应商履约能力的情况。若采购人发现成交供应商与报价文件不一致的，有权解除成交供应商的成交资格并顺延下一家或重新组织询价。</w:t>
      </w:r>
    </w:p>
    <w:p>
      <w:pPr>
        <w:widowControl/>
        <w:spacing w:line="520" w:lineRule="exact"/>
        <w:rPr>
          <w:color w:val="auto"/>
          <w:sz w:val="24"/>
          <w:szCs w:val="24"/>
          <w:highlight w:val="none"/>
        </w:rPr>
      </w:pPr>
      <w:bookmarkStart w:id="98" w:name="_Toc61968426"/>
      <w:bookmarkStart w:id="99" w:name="_Toc81163234"/>
      <w:bookmarkStart w:id="100" w:name="_Toc21708"/>
      <w:r>
        <w:rPr>
          <w:rFonts w:hint="eastAsia"/>
          <w:color w:val="auto"/>
          <w:sz w:val="24"/>
          <w:szCs w:val="24"/>
          <w:highlight w:val="none"/>
        </w:rPr>
        <w:t>6.2  成交结果</w:t>
      </w:r>
      <w:bookmarkEnd w:id="98"/>
      <w:bookmarkEnd w:id="99"/>
      <w:bookmarkEnd w:id="100"/>
      <w:r>
        <w:rPr>
          <w:rFonts w:hint="eastAsia"/>
          <w:color w:val="auto"/>
          <w:sz w:val="24"/>
          <w:szCs w:val="24"/>
          <w:highlight w:val="none"/>
        </w:rPr>
        <w:t>通知</w:t>
      </w:r>
    </w:p>
    <w:p>
      <w:pPr>
        <w:widowControl/>
        <w:spacing w:line="520" w:lineRule="exact"/>
        <w:ind w:firstLine="600" w:firstLineChars="250"/>
        <w:rPr>
          <w:color w:val="auto"/>
          <w:sz w:val="24"/>
          <w:szCs w:val="24"/>
          <w:highlight w:val="none"/>
        </w:rPr>
      </w:pPr>
      <w:r>
        <w:rPr>
          <w:rFonts w:hint="eastAsia"/>
          <w:color w:val="auto"/>
          <w:sz w:val="24"/>
          <w:szCs w:val="24"/>
          <w:highlight w:val="none"/>
        </w:rPr>
        <w:t>云南省能源集团有限公司业财一体化建设平台，供应商登陆账号后，可查看报名成功项目的成交结果。</w:t>
      </w:r>
    </w:p>
    <w:p>
      <w:pPr>
        <w:widowControl/>
        <w:spacing w:line="520" w:lineRule="exact"/>
        <w:rPr>
          <w:color w:val="auto"/>
          <w:sz w:val="24"/>
          <w:szCs w:val="24"/>
          <w:highlight w:val="none"/>
        </w:rPr>
      </w:pPr>
      <w:bookmarkStart w:id="101" w:name="_Toc61968427"/>
      <w:bookmarkStart w:id="102" w:name="_Toc81163235"/>
      <w:bookmarkStart w:id="103" w:name="_Toc15309"/>
      <w:r>
        <w:rPr>
          <w:rFonts w:hint="eastAsia"/>
          <w:color w:val="auto"/>
          <w:sz w:val="24"/>
          <w:szCs w:val="24"/>
          <w:highlight w:val="none"/>
        </w:rPr>
        <w:t>6.3  发出成交通知书</w:t>
      </w:r>
      <w:bookmarkEnd w:id="101"/>
      <w:bookmarkEnd w:id="102"/>
      <w:bookmarkEnd w:id="103"/>
    </w:p>
    <w:p>
      <w:pPr>
        <w:widowControl/>
        <w:spacing w:line="520" w:lineRule="exact"/>
        <w:ind w:firstLine="600" w:firstLineChars="250"/>
        <w:rPr>
          <w:color w:val="auto"/>
          <w:sz w:val="24"/>
          <w:szCs w:val="24"/>
          <w:highlight w:val="none"/>
        </w:rPr>
      </w:pPr>
      <w:r>
        <w:rPr>
          <w:rFonts w:hint="eastAsia"/>
          <w:color w:val="auto"/>
          <w:sz w:val="24"/>
          <w:szCs w:val="24"/>
          <w:highlight w:val="none"/>
        </w:rPr>
        <w:t>发布成交结果公示的同时，成交通知书将以电子的形式发送至成交供应商。</w:t>
      </w:r>
    </w:p>
    <w:p>
      <w:pPr>
        <w:widowControl/>
        <w:spacing w:line="520" w:lineRule="exact"/>
        <w:rPr>
          <w:color w:val="auto"/>
          <w:sz w:val="24"/>
          <w:szCs w:val="24"/>
          <w:highlight w:val="none"/>
        </w:rPr>
      </w:pPr>
      <w:bookmarkStart w:id="104" w:name="_Toc9212"/>
      <w:bookmarkStart w:id="105" w:name="_Toc81163236"/>
      <w:bookmarkStart w:id="106" w:name="_Toc61968428"/>
      <w:r>
        <w:rPr>
          <w:rFonts w:hint="eastAsia"/>
          <w:color w:val="auto"/>
          <w:sz w:val="24"/>
          <w:szCs w:val="24"/>
          <w:highlight w:val="none"/>
        </w:rPr>
        <w:t>6.4  签订合同</w:t>
      </w:r>
      <w:bookmarkEnd w:id="104"/>
      <w:bookmarkEnd w:id="105"/>
      <w:bookmarkEnd w:id="106"/>
    </w:p>
    <w:p>
      <w:pPr>
        <w:widowControl/>
        <w:spacing w:line="520" w:lineRule="exact"/>
        <w:rPr>
          <w:color w:val="auto"/>
          <w:sz w:val="24"/>
          <w:szCs w:val="24"/>
          <w:highlight w:val="none"/>
        </w:rPr>
      </w:pPr>
      <w:r>
        <w:rPr>
          <w:rFonts w:hint="eastAsia"/>
          <w:color w:val="auto"/>
          <w:sz w:val="24"/>
          <w:szCs w:val="24"/>
          <w:highlight w:val="none"/>
        </w:rPr>
        <w:t>6.4.1 采购人和成交供应商应当在成交通知书规定的期限内，根据询价采购文件和成交供应商的报价文件订立合同。成交供应商无正当理由拒绝签订合同，在签订合同时向采购人提出附加条件的，采购人取消其成交资格；给采购人造成损失的，成交供应商还应当对采购人予以赔偿。</w:t>
      </w:r>
    </w:p>
    <w:p>
      <w:pPr>
        <w:widowControl/>
        <w:spacing w:line="520" w:lineRule="exact"/>
        <w:rPr>
          <w:color w:val="auto"/>
          <w:sz w:val="24"/>
          <w:szCs w:val="24"/>
          <w:highlight w:val="none"/>
        </w:rPr>
      </w:pPr>
      <w:r>
        <w:rPr>
          <w:rFonts w:hint="eastAsia"/>
          <w:color w:val="auto"/>
          <w:sz w:val="24"/>
          <w:szCs w:val="24"/>
          <w:highlight w:val="none"/>
        </w:rPr>
        <w:t>6.4.2  发出成交通知书后，采购人无正当理由拒绝签订合同，或者在签订合同时向成交供应商提出附加条件的，给成交供应商造成损失的，应当赔偿损失。</w:t>
      </w:r>
    </w:p>
    <w:p>
      <w:pPr>
        <w:widowControl/>
        <w:spacing w:line="520" w:lineRule="exact"/>
        <w:rPr>
          <w:color w:val="auto"/>
          <w:sz w:val="24"/>
          <w:szCs w:val="24"/>
          <w:highlight w:val="none"/>
        </w:rPr>
      </w:pPr>
      <w:r>
        <w:rPr>
          <w:rFonts w:hint="eastAsia"/>
          <w:color w:val="auto"/>
          <w:sz w:val="24"/>
          <w:szCs w:val="24"/>
          <w:highlight w:val="none"/>
        </w:rPr>
        <w:t>6.4.3  除供应商须知前附表另有规定外，按照第三章“评审办法”规定对响应报价进行修正后，若修正后的响应报价小于按照第三章“评审办法”规定确定的询价价格，则签订合同时以修正后的响应报价为准；若修正后的响应报价大于询价价格，则签订合同时以询价价格为准，同时按比例修正相应子目的单价或合价（询价采购文件不允许调整的费率和金额除外）。</w:t>
      </w:r>
    </w:p>
    <w:p>
      <w:pPr>
        <w:widowControl/>
        <w:spacing w:line="520" w:lineRule="exact"/>
        <w:rPr>
          <w:color w:val="auto"/>
          <w:sz w:val="24"/>
          <w:szCs w:val="24"/>
          <w:highlight w:val="none"/>
        </w:rPr>
      </w:pPr>
      <w:bookmarkStart w:id="107" w:name="_Toc81163237"/>
      <w:bookmarkStart w:id="108" w:name="_Toc61968429"/>
      <w:bookmarkStart w:id="109" w:name="_Toc8779"/>
      <w:r>
        <w:rPr>
          <w:rFonts w:hint="eastAsia"/>
          <w:color w:val="auto"/>
          <w:sz w:val="24"/>
          <w:szCs w:val="24"/>
          <w:highlight w:val="none"/>
        </w:rPr>
        <w:t>6.5  特殊情形处理</w:t>
      </w:r>
      <w:bookmarkEnd w:id="107"/>
      <w:bookmarkEnd w:id="108"/>
      <w:bookmarkEnd w:id="109"/>
    </w:p>
    <w:p>
      <w:pPr>
        <w:widowControl/>
        <w:spacing w:line="520" w:lineRule="exact"/>
        <w:ind w:firstLine="600" w:firstLineChars="250"/>
        <w:rPr>
          <w:color w:val="auto"/>
          <w:sz w:val="24"/>
          <w:szCs w:val="24"/>
          <w:highlight w:val="none"/>
        </w:rPr>
      </w:pPr>
      <w:r>
        <w:rPr>
          <w:rFonts w:hint="eastAsia"/>
          <w:color w:val="auto"/>
          <w:sz w:val="24"/>
          <w:szCs w:val="24"/>
          <w:highlight w:val="none"/>
        </w:rPr>
        <w:t>成交供应商无正当理由拒绝签订合同、成交供应商在签订合同时向采购人提出附加条件或者不按照询价采购文件要求递交履约保证金等导致采购人变更成交结果的，采购人应按照规定的程序重新选择确定成交供应商并进行公示。</w:t>
      </w:r>
    </w:p>
    <w:p>
      <w:pPr>
        <w:widowControl/>
        <w:spacing w:line="520" w:lineRule="exact"/>
        <w:rPr>
          <w:color w:val="auto"/>
          <w:sz w:val="24"/>
          <w:szCs w:val="24"/>
          <w:highlight w:val="none"/>
        </w:rPr>
      </w:pPr>
      <w:bookmarkStart w:id="110" w:name="_Toc6005"/>
      <w:bookmarkStart w:id="111" w:name="_Toc81163238"/>
      <w:r>
        <w:rPr>
          <w:rFonts w:hint="eastAsia"/>
          <w:color w:val="auto"/>
          <w:sz w:val="24"/>
          <w:szCs w:val="24"/>
          <w:highlight w:val="none"/>
        </w:rPr>
        <w:t>7  需要补充的其他内容</w:t>
      </w:r>
      <w:bookmarkEnd w:id="110"/>
      <w:bookmarkEnd w:id="111"/>
    </w:p>
    <w:p>
      <w:pPr>
        <w:widowControl/>
        <w:spacing w:line="520" w:lineRule="exact"/>
        <w:rPr>
          <w:color w:val="auto"/>
          <w:sz w:val="24"/>
          <w:szCs w:val="24"/>
          <w:highlight w:val="none"/>
        </w:rPr>
      </w:pPr>
      <w:bookmarkStart w:id="112" w:name="_Toc61968431"/>
      <w:bookmarkStart w:id="113" w:name="_Toc6228"/>
      <w:bookmarkStart w:id="114" w:name="_Toc81163240"/>
      <w:r>
        <w:rPr>
          <w:rFonts w:hint="eastAsia"/>
          <w:color w:val="auto"/>
          <w:sz w:val="24"/>
          <w:szCs w:val="24"/>
          <w:highlight w:val="none"/>
        </w:rPr>
        <w:t>7.1  电子商务平台交易费</w:t>
      </w:r>
      <w:bookmarkEnd w:id="112"/>
      <w:bookmarkEnd w:id="113"/>
      <w:bookmarkEnd w:id="114"/>
    </w:p>
    <w:p>
      <w:pPr>
        <w:widowControl/>
        <w:spacing w:line="520" w:lineRule="exact"/>
        <w:ind w:firstLine="600" w:firstLineChars="250"/>
        <w:rPr>
          <w:color w:val="auto"/>
          <w:sz w:val="24"/>
          <w:szCs w:val="24"/>
          <w:highlight w:val="none"/>
        </w:rPr>
      </w:pPr>
      <w:r>
        <w:rPr>
          <w:rFonts w:hint="eastAsia"/>
          <w:color w:val="auto"/>
          <w:sz w:val="24"/>
          <w:szCs w:val="24"/>
          <w:highlight w:val="none"/>
        </w:rPr>
        <w:t>按电子平台相关规定执行。</w:t>
      </w:r>
    </w:p>
    <w:p>
      <w:pPr>
        <w:widowControl/>
        <w:spacing w:line="520" w:lineRule="exact"/>
        <w:rPr>
          <w:color w:val="auto"/>
          <w:sz w:val="24"/>
          <w:szCs w:val="24"/>
          <w:highlight w:val="none"/>
        </w:rPr>
      </w:pPr>
      <w:bookmarkStart w:id="115" w:name="_Toc11784"/>
      <w:bookmarkStart w:id="116" w:name="_Toc81163241"/>
      <w:r>
        <w:rPr>
          <w:rFonts w:hint="eastAsia"/>
          <w:color w:val="auto"/>
          <w:sz w:val="24"/>
          <w:szCs w:val="24"/>
          <w:highlight w:val="none"/>
        </w:rPr>
        <w:t>7.2  履约保证金</w:t>
      </w:r>
      <w:bookmarkEnd w:id="115"/>
      <w:bookmarkEnd w:id="116"/>
    </w:p>
    <w:p>
      <w:pPr>
        <w:widowControl/>
        <w:spacing w:line="520" w:lineRule="exact"/>
        <w:ind w:firstLine="600" w:firstLineChars="250"/>
        <w:rPr>
          <w:color w:val="auto"/>
          <w:sz w:val="24"/>
          <w:szCs w:val="24"/>
          <w:highlight w:val="none"/>
        </w:rPr>
      </w:pPr>
      <w:r>
        <w:rPr>
          <w:rFonts w:hint="eastAsia"/>
          <w:color w:val="auto"/>
          <w:sz w:val="24"/>
          <w:szCs w:val="24"/>
          <w:highlight w:val="none"/>
        </w:rPr>
        <w:t>按照供应商须知前附表规定执行。</w:t>
      </w:r>
    </w:p>
    <w:p>
      <w:pPr>
        <w:widowControl/>
        <w:spacing w:line="520" w:lineRule="exact"/>
        <w:rPr>
          <w:color w:val="auto"/>
          <w:sz w:val="24"/>
          <w:szCs w:val="24"/>
          <w:highlight w:val="none"/>
        </w:rPr>
      </w:pPr>
      <w:r>
        <w:rPr>
          <w:rFonts w:hint="eastAsia"/>
          <w:color w:val="auto"/>
          <w:sz w:val="24"/>
          <w:szCs w:val="24"/>
          <w:highlight w:val="none"/>
        </w:rPr>
        <w:t>7.3  评审办法</w:t>
      </w:r>
    </w:p>
    <w:p>
      <w:pPr>
        <w:widowControl/>
        <w:spacing w:line="520" w:lineRule="exact"/>
        <w:ind w:firstLine="600" w:firstLineChars="250"/>
        <w:rPr>
          <w:color w:val="auto"/>
          <w:sz w:val="24"/>
          <w:szCs w:val="24"/>
          <w:highlight w:val="none"/>
        </w:rPr>
      </w:pPr>
      <w:r>
        <w:rPr>
          <w:rFonts w:hint="eastAsia"/>
          <w:color w:val="auto"/>
          <w:sz w:val="24"/>
          <w:szCs w:val="24"/>
          <w:highlight w:val="none"/>
          <w:lang w:val="en-US" w:eastAsia="zh-CN"/>
        </w:rPr>
        <w:t>综合评估法</w:t>
      </w:r>
      <w:r>
        <w:rPr>
          <w:rFonts w:hint="eastAsia"/>
          <w:color w:val="auto"/>
          <w:sz w:val="24"/>
          <w:szCs w:val="24"/>
          <w:highlight w:val="none"/>
        </w:rPr>
        <w:t>，详见第三章“评审办法”。</w:t>
      </w:r>
    </w:p>
    <w:p>
      <w:pPr>
        <w:widowControl/>
        <w:spacing w:line="520" w:lineRule="exact"/>
        <w:rPr>
          <w:color w:val="auto"/>
          <w:sz w:val="24"/>
          <w:szCs w:val="24"/>
          <w:highlight w:val="none"/>
        </w:rPr>
      </w:pPr>
      <w:r>
        <w:rPr>
          <w:rFonts w:hint="eastAsia"/>
          <w:color w:val="auto"/>
          <w:sz w:val="24"/>
          <w:szCs w:val="24"/>
          <w:highlight w:val="none"/>
        </w:rPr>
        <w:t>7.5  是否授权报价询价小组确定成交人</w:t>
      </w:r>
    </w:p>
    <w:p>
      <w:pPr>
        <w:widowControl/>
        <w:spacing w:line="520" w:lineRule="exact"/>
        <w:ind w:firstLine="600" w:firstLineChars="250"/>
        <w:rPr>
          <w:color w:val="auto"/>
          <w:sz w:val="24"/>
          <w:szCs w:val="24"/>
          <w:highlight w:val="none"/>
        </w:rPr>
      </w:pPr>
      <w:r>
        <w:rPr>
          <w:rFonts w:hint="eastAsia"/>
          <w:color w:val="auto"/>
          <w:sz w:val="24"/>
          <w:szCs w:val="24"/>
          <w:highlight w:val="none"/>
        </w:rPr>
        <w:t>否，推荐的成交候选人数：一至三名。</w:t>
      </w:r>
    </w:p>
    <w:p>
      <w:pPr>
        <w:widowControl/>
        <w:spacing w:line="520" w:lineRule="exact"/>
        <w:rPr>
          <w:color w:val="auto"/>
          <w:sz w:val="24"/>
          <w:szCs w:val="24"/>
          <w:highlight w:val="none"/>
        </w:rPr>
      </w:pPr>
      <w:bookmarkStart w:id="117" w:name="_Toc4912"/>
      <w:bookmarkStart w:id="118" w:name="_Toc61968432"/>
      <w:bookmarkStart w:id="119" w:name="_Toc81163242"/>
      <w:r>
        <w:rPr>
          <w:rFonts w:hint="eastAsia"/>
          <w:color w:val="auto"/>
          <w:sz w:val="24"/>
          <w:szCs w:val="24"/>
          <w:highlight w:val="none"/>
        </w:rPr>
        <w:t>7.6  其他</w:t>
      </w:r>
      <w:bookmarkEnd w:id="117"/>
      <w:bookmarkEnd w:id="118"/>
      <w:bookmarkEnd w:id="119"/>
    </w:p>
    <w:p>
      <w:pPr>
        <w:widowControl/>
        <w:spacing w:line="520" w:lineRule="exact"/>
        <w:ind w:firstLine="600" w:firstLineChars="250"/>
        <w:rPr>
          <w:color w:val="auto"/>
          <w:sz w:val="24"/>
          <w:szCs w:val="24"/>
          <w:highlight w:val="none"/>
        </w:rPr>
      </w:pPr>
      <w:r>
        <w:rPr>
          <w:rFonts w:hint="eastAsia"/>
          <w:color w:val="auto"/>
          <w:sz w:val="24"/>
          <w:szCs w:val="24"/>
          <w:highlight w:val="none"/>
        </w:rPr>
        <w:t>需要补充的其他内容：见供应商须知前附表。</w:t>
      </w:r>
      <w:bookmarkStart w:id="120" w:name="_Toc2184"/>
      <w:bookmarkStart w:id="121" w:name="_Toc62485373"/>
      <w:bookmarkStart w:id="122" w:name="_Hlk105522354"/>
      <w:bookmarkStart w:id="123" w:name="_Hlk105523021"/>
    </w:p>
    <w:p>
      <w:pPr>
        <w:pStyle w:val="32"/>
        <w:rPr>
          <w:rFonts w:eastAsia="宋体"/>
          <w:color w:val="auto"/>
          <w:sz w:val="24"/>
          <w:szCs w:val="24"/>
          <w:highlight w:val="none"/>
          <w:lang w:val="en-US"/>
        </w:rPr>
      </w:pPr>
    </w:p>
    <w:p>
      <w:pPr>
        <w:rPr>
          <w:color w:val="auto"/>
          <w:sz w:val="24"/>
          <w:szCs w:val="24"/>
          <w:highlight w:val="none"/>
        </w:rPr>
        <w:sectPr>
          <w:pgSz w:w="11906" w:h="16838"/>
          <w:pgMar w:top="1440" w:right="1080" w:bottom="1440" w:left="1080" w:header="851" w:footer="992" w:gutter="0"/>
          <w:pgNumType w:fmt="numberInDash"/>
          <w:cols w:space="425" w:num="1"/>
          <w:docGrid w:type="lines" w:linePitch="312" w:charSpace="0"/>
        </w:sectPr>
      </w:pPr>
      <w:r>
        <w:rPr>
          <w:rFonts w:hint="eastAsia"/>
          <w:color w:val="auto"/>
          <w:sz w:val="24"/>
          <w:szCs w:val="24"/>
          <w:highlight w:val="none"/>
        </w:rPr>
        <w:t>7.7特别说明：见供应商须知前附表。</w:t>
      </w:r>
    </w:p>
    <w:p>
      <w:pPr>
        <w:pStyle w:val="5"/>
        <w:spacing w:before="0" w:after="0"/>
        <w:rPr>
          <w:color w:val="auto"/>
          <w:sz w:val="28"/>
          <w:szCs w:val="28"/>
          <w:highlight w:val="none"/>
        </w:rPr>
      </w:pPr>
      <w:bookmarkStart w:id="124" w:name="_Toc18694"/>
      <w:r>
        <w:rPr>
          <w:rFonts w:hint="eastAsia" w:ascii="宋体" w:hAnsi="宋体" w:cs="宋体"/>
          <w:color w:val="auto"/>
          <w:sz w:val="36"/>
          <w:szCs w:val="36"/>
          <w:highlight w:val="none"/>
        </w:rPr>
        <w:t xml:space="preserve">第三章  </w:t>
      </w:r>
      <w:bookmarkEnd w:id="120"/>
      <w:bookmarkEnd w:id="121"/>
      <w:bookmarkStart w:id="125" w:name="_Toc129157535"/>
      <w:bookmarkStart w:id="126" w:name="_Toc129597038"/>
      <w:r>
        <w:rPr>
          <w:rFonts w:hint="eastAsia"/>
          <w:color w:val="auto"/>
          <w:sz w:val="36"/>
          <w:szCs w:val="36"/>
          <w:highlight w:val="none"/>
        </w:rPr>
        <w:t>评审办法（综合评估法）</w:t>
      </w:r>
      <w:bookmarkEnd w:id="125"/>
      <w:bookmarkEnd w:id="126"/>
    </w:p>
    <w:p>
      <w:pPr>
        <w:pStyle w:val="6"/>
        <w:snapToGrid w:val="0"/>
        <w:spacing w:before="120" w:after="120"/>
        <w:jc w:val="center"/>
        <w:rPr>
          <w:color w:val="auto"/>
          <w:sz w:val="24"/>
          <w:szCs w:val="24"/>
          <w:highlight w:val="none"/>
        </w:rPr>
      </w:pPr>
      <w:bookmarkStart w:id="127" w:name="_Toc503688357"/>
      <w:bookmarkStart w:id="128" w:name="_Toc508119158"/>
      <w:bookmarkStart w:id="129" w:name="_Toc129157536"/>
      <w:bookmarkStart w:id="130" w:name="_Toc503689450"/>
      <w:bookmarkStart w:id="131" w:name="_Toc503688900"/>
      <w:bookmarkStart w:id="132" w:name="_Toc129597039"/>
      <w:bookmarkStart w:id="133" w:name="_Toc503689172"/>
      <w:bookmarkStart w:id="134" w:name="_Toc526848771"/>
      <w:r>
        <w:rPr>
          <w:rFonts w:hint="eastAsia"/>
          <w:color w:val="auto"/>
          <w:sz w:val="24"/>
          <w:szCs w:val="24"/>
          <w:highlight w:val="none"/>
        </w:rPr>
        <w:t>评审</w:t>
      </w:r>
      <w:r>
        <w:rPr>
          <w:color w:val="auto"/>
          <w:sz w:val="24"/>
          <w:szCs w:val="24"/>
          <w:highlight w:val="none"/>
        </w:rPr>
        <w:t>办法前附表</w:t>
      </w:r>
      <w:bookmarkEnd w:id="127"/>
      <w:bookmarkEnd w:id="128"/>
      <w:bookmarkEnd w:id="129"/>
      <w:bookmarkEnd w:id="130"/>
      <w:bookmarkEnd w:id="131"/>
      <w:bookmarkEnd w:id="132"/>
      <w:bookmarkEnd w:id="133"/>
      <w:bookmarkEnd w:id="134"/>
    </w:p>
    <w:bookmarkEnd w:id="124"/>
    <w:tbl>
      <w:tblPr>
        <w:tblStyle w:val="21"/>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591"/>
        <w:gridCol w:w="6"/>
        <w:gridCol w:w="1055"/>
        <w:gridCol w:w="6"/>
        <w:gridCol w:w="1067"/>
        <w:gridCol w:w="4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698" w:type="dxa"/>
            <w:gridSpan w:val="3"/>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条款号及名称</w:t>
            </w:r>
          </w:p>
        </w:tc>
        <w:tc>
          <w:tcPr>
            <w:tcW w:w="2128" w:type="dxa"/>
            <w:gridSpan w:val="3"/>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评审因素</w:t>
            </w:r>
          </w:p>
        </w:tc>
        <w:tc>
          <w:tcPr>
            <w:tcW w:w="4638" w:type="dxa"/>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1</w:t>
            </w:r>
          </w:p>
        </w:tc>
        <w:tc>
          <w:tcPr>
            <w:tcW w:w="1591" w:type="dxa"/>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评审方法</w:t>
            </w:r>
          </w:p>
        </w:tc>
        <w:tc>
          <w:tcPr>
            <w:tcW w:w="2134" w:type="dxa"/>
            <w:gridSpan w:val="4"/>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评审方法</w:t>
            </w:r>
          </w:p>
        </w:tc>
        <w:tc>
          <w:tcPr>
            <w:tcW w:w="4638" w:type="dxa"/>
            <w:vAlign w:val="center"/>
          </w:tcPr>
          <w:p>
            <w:pPr>
              <w:pStyle w:val="9"/>
              <w:ind w:firstLine="0" w:firstLineChars="0"/>
              <w:jc w:val="center"/>
              <w:rPr>
                <w:rFonts w:ascii="宋体" w:hAnsi="宋体" w:cs="宋体"/>
                <w:b/>
                <w:color w:val="auto"/>
                <w:sz w:val="21"/>
                <w:szCs w:val="21"/>
                <w:highlight w:val="none"/>
              </w:rPr>
            </w:pPr>
            <w:r>
              <w:rPr>
                <w:rFonts w:hint="eastAsia" w:ascii="宋体" w:hAnsi="宋体" w:cs="宋体"/>
                <w:b/>
                <w:color w:val="auto"/>
                <w:sz w:val="21"/>
                <w:szCs w:val="21"/>
                <w:highlight w:val="none"/>
              </w:rPr>
              <w:t>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restart"/>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2.1.1</w:t>
            </w:r>
          </w:p>
        </w:tc>
        <w:tc>
          <w:tcPr>
            <w:tcW w:w="1591" w:type="dxa"/>
            <w:vMerge w:val="restart"/>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形式评审标准</w:t>
            </w:r>
          </w:p>
        </w:tc>
        <w:tc>
          <w:tcPr>
            <w:tcW w:w="2134" w:type="dxa"/>
            <w:gridSpan w:val="4"/>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供应商名称</w:t>
            </w:r>
          </w:p>
        </w:tc>
        <w:tc>
          <w:tcPr>
            <w:tcW w:w="4638" w:type="dxa"/>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与市场监管部门或其他行政机关颁发的可以合法开展业务的执照或证书一致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9"/>
              <w:jc w:val="center"/>
              <w:rPr>
                <w:rFonts w:ascii="宋体" w:hAnsi="宋体" w:cs="宋体"/>
                <w:color w:val="auto"/>
                <w:sz w:val="21"/>
                <w:szCs w:val="21"/>
                <w:highlight w:val="none"/>
              </w:rPr>
            </w:pPr>
          </w:p>
        </w:tc>
        <w:tc>
          <w:tcPr>
            <w:tcW w:w="1591" w:type="dxa"/>
            <w:vMerge w:val="continue"/>
            <w:vAlign w:val="center"/>
          </w:tcPr>
          <w:p>
            <w:pPr>
              <w:pStyle w:val="9"/>
              <w:jc w:val="center"/>
              <w:rPr>
                <w:rFonts w:ascii="宋体" w:hAnsi="宋体" w:cs="宋体"/>
                <w:color w:val="auto"/>
                <w:sz w:val="21"/>
                <w:szCs w:val="21"/>
                <w:highlight w:val="none"/>
              </w:rPr>
            </w:pPr>
          </w:p>
        </w:tc>
        <w:tc>
          <w:tcPr>
            <w:tcW w:w="2134" w:type="dxa"/>
            <w:gridSpan w:val="4"/>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应答文件签字盖章</w:t>
            </w:r>
          </w:p>
        </w:tc>
        <w:tc>
          <w:tcPr>
            <w:tcW w:w="4638" w:type="dxa"/>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符合第二章“供应商须知”规定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9"/>
              <w:jc w:val="center"/>
              <w:rPr>
                <w:rFonts w:ascii="宋体" w:hAnsi="宋体" w:cs="宋体"/>
                <w:color w:val="auto"/>
                <w:sz w:val="21"/>
                <w:szCs w:val="21"/>
                <w:highlight w:val="none"/>
              </w:rPr>
            </w:pPr>
          </w:p>
        </w:tc>
        <w:tc>
          <w:tcPr>
            <w:tcW w:w="1591" w:type="dxa"/>
            <w:vMerge w:val="continue"/>
            <w:vAlign w:val="center"/>
          </w:tcPr>
          <w:p>
            <w:pPr>
              <w:pStyle w:val="9"/>
              <w:jc w:val="center"/>
              <w:rPr>
                <w:rFonts w:ascii="宋体" w:hAnsi="宋体" w:cs="宋体"/>
                <w:color w:val="auto"/>
                <w:sz w:val="21"/>
                <w:szCs w:val="21"/>
                <w:highlight w:val="none"/>
              </w:rPr>
            </w:pPr>
          </w:p>
        </w:tc>
        <w:tc>
          <w:tcPr>
            <w:tcW w:w="2134" w:type="dxa"/>
            <w:gridSpan w:val="4"/>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响应函中实质性内容</w:t>
            </w:r>
          </w:p>
        </w:tc>
        <w:tc>
          <w:tcPr>
            <w:tcW w:w="4638" w:type="dxa"/>
            <w:vAlign w:val="center"/>
          </w:tcPr>
          <w:p>
            <w:pPr>
              <w:pStyle w:val="9"/>
              <w:jc w:val="center"/>
              <w:rPr>
                <w:rFonts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restart"/>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2.1.2</w:t>
            </w:r>
          </w:p>
        </w:tc>
        <w:tc>
          <w:tcPr>
            <w:tcW w:w="1591" w:type="dxa"/>
            <w:vMerge w:val="restart"/>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资格评审标准</w:t>
            </w:r>
          </w:p>
        </w:tc>
        <w:tc>
          <w:tcPr>
            <w:tcW w:w="2134" w:type="dxa"/>
            <w:gridSpan w:val="4"/>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依法设立</w:t>
            </w:r>
          </w:p>
        </w:tc>
        <w:tc>
          <w:tcPr>
            <w:tcW w:w="4638" w:type="dxa"/>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符合第一章“询价采购公告”规定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9"/>
              <w:jc w:val="center"/>
              <w:rPr>
                <w:rFonts w:ascii="宋体" w:hAnsi="宋体" w:cs="宋体"/>
                <w:color w:val="auto"/>
                <w:sz w:val="21"/>
                <w:szCs w:val="21"/>
                <w:highlight w:val="none"/>
              </w:rPr>
            </w:pPr>
          </w:p>
        </w:tc>
        <w:tc>
          <w:tcPr>
            <w:tcW w:w="1591" w:type="dxa"/>
            <w:vMerge w:val="continue"/>
            <w:vAlign w:val="center"/>
          </w:tcPr>
          <w:p>
            <w:pPr>
              <w:pStyle w:val="9"/>
              <w:jc w:val="center"/>
              <w:rPr>
                <w:rFonts w:ascii="宋体" w:hAnsi="宋体" w:cs="宋体"/>
                <w:color w:val="auto"/>
                <w:sz w:val="21"/>
                <w:szCs w:val="21"/>
                <w:highlight w:val="none"/>
              </w:rPr>
            </w:pPr>
          </w:p>
        </w:tc>
        <w:tc>
          <w:tcPr>
            <w:tcW w:w="2134" w:type="dxa"/>
            <w:gridSpan w:val="4"/>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资质要求</w:t>
            </w:r>
          </w:p>
        </w:tc>
        <w:tc>
          <w:tcPr>
            <w:tcW w:w="4638" w:type="dxa"/>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符合第一章“询价采购公告”规定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9"/>
              <w:jc w:val="center"/>
              <w:rPr>
                <w:rFonts w:ascii="宋体" w:hAnsi="宋体" w:cs="宋体"/>
                <w:color w:val="auto"/>
                <w:sz w:val="21"/>
                <w:szCs w:val="21"/>
                <w:highlight w:val="none"/>
              </w:rPr>
            </w:pPr>
          </w:p>
        </w:tc>
        <w:tc>
          <w:tcPr>
            <w:tcW w:w="1591" w:type="dxa"/>
            <w:vMerge w:val="continue"/>
            <w:vAlign w:val="center"/>
          </w:tcPr>
          <w:p>
            <w:pPr>
              <w:pStyle w:val="9"/>
              <w:jc w:val="center"/>
              <w:rPr>
                <w:rFonts w:ascii="宋体" w:hAnsi="宋体" w:cs="宋体"/>
                <w:color w:val="auto"/>
                <w:sz w:val="21"/>
                <w:szCs w:val="21"/>
                <w:highlight w:val="none"/>
              </w:rPr>
            </w:pPr>
          </w:p>
        </w:tc>
        <w:tc>
          <w:tcPr>
            <w:tcW w:w="2134" w:type="dxa"/>
            <w:gridSpan w:val="4"/>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业绩要求</w:t>
            </w:r>
          </w:p>
        </w:tc>
        <w:tc>
          <w:tcPr>
            <w:tcW w:w="4638" w:type="dxa"/>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符合第一章“询价采购公告”规定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9"/>
              <w:jc w:val="center"/>
              <w:rPr>
                <w:rFonts w:ascii="宋体" w:hAnsi="宋体" w:cs="宋体"/>
                <w:color w:val="auto"/>
                <w:sz w:val="21"/>
                <w:szCs w:val="21"/>
                <w:highlight w:val="none"/>
              </w:rPr>
            </w:pPr>
          </w:p>
        </w:tc>
        <w:tc>
          <w:tcPr>
            <w:tcW w:w="1591" w:type="dxa"/>
            <w:vMerge w:val="continue"/>
            <w:vAlign w:val="center"/>
          </w:tcPr>
          <w:p>
            <w:pPr>
              <w:pStyle w:val="9"/>
              <w:jc w:val="center"/>
              <w:rPr>
                <w:rFonts w:ascii="宋体" w:hAnsi="宋体" w:cs="宋体"/>
                <w:color w:val="auto"/>
                <w:sz w:val="21"/>
                <w:szCs w:val="21"/>
                <w:highlight w:val="none"/>
              </w:rPr>
            </w:pPr>
          </w:p>
        </w:tc>
        <w:tc>
          <w:tcPr>
            <w:tcW w:w="2134" w:type="dxa"/>
            <w:gridSpan w:val="4"/>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其他要求</w:t>
            </w:r>
          </w:p>
        </w:tc>
        <w:tc>
          <w:tcPr>
            <w:tcW w:w="4638" w:type="dxa"/>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符合第一章“询价采购公告”规定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9"/>
              <w:jc w:val="center"/>
              <w:rPr>
                <w:rFonts w:ascii="宋体" w:hAnsi="宋体" w:cs="宋体"/>
                <w:color w:val="auto"/>
                <w:sz w:val="21"/>
                <w:szCs w:val="21"/>
                <w:highlight w:val="none"/>
              </w:rPr>
            </w:pPr>
          </w:p>
        </w:tc>
        <w:tc>
          <w:tcPr>
            <w:tcW w:w="1591" w:type="dxa"/>
            <w:vMerge w:val="continue"/>
            <w:vAlign w:val="center"/>
          </w:tcPr>
          <w:p>
            <w:pPr>
              <w:pStyle w:val="9"/>
              <w:jc w:val="center"/>
              <w:rPr>
                <w:rFonts w:ascii="宋体" w:hAnsi="宋体" w:cs="宋体"/>
                <w:color w:val="auto"/>
                <w:sz w:val="21"/>
                <w:szCs w:val="21"/>
                <w:highlight w:val="none"/>
              </w:rPr>
            </w:pPr>
          </w:p>
        </w:tc>
        <w:tc>
          <w:tcPr>
            <w:tcW w:w="2134" w:type="dxa"/>
            <w:gridSpan w:val="4"/>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不存在第一章第4款情形</w:t>
            </w:r>
          </w:p>
        </w:tc>
        <w:tc>
          <w:tcPr>
            <w:tcW w:w="4638" w:type="dxa"/>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符合第一章“询价采购公告”规定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9"/>
              <w:jc w:val="center"/>
              <w:rPr>
                <w:rFonts w:ascii="宋体" w:hAnsi="宋体" w:cs="宋体"/>
                <w:color w:val="auto"/>
                <w:sz w:val="21"/>
                <w:szCs w:val="21"/>
                <w:highlight w:val="none"/>
              </w:rPr>
            </w:pPr>
          </w:p>
        </w:tc>
        <w:tc>
          <w:tcPr>
            <w:tcW w:w="1591" w:type="dxa"/>
            <w:vMerge w:val="continue"/>
            <w:vAlign w:val="center"/>
          </w:tcPr>
          <w:p>
            <w:pPr>
              <w:pStyle w:val="9"/>
              <w:jc w:val="center"/>
              <w:rPr>
                <w:rFonts w:ascii="宋体" w:hAnsi="宋体" w:cs="宋体"/>
                <w:color w:val="auto"/>
                <w:sz w:val="21"/>
                <w:szCs w:val="21"/>
                <w:highlight w:val="none"/>
              </w:rPr>
            </w:pPr>
          </w:p>
        </w:tc>
        <w:tc>
          <w:tcPr>
            <w:tcW w:w="2134" w:type="dxa"/>
            <w:gridSpan w:val="4"/>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联合体</w:t>
            </w:r>
          </w:p>
        </w:tc>
        <w:tc>
          <w:tcPr>
            <w:tcW w:w="4638" w:type="dxa"/>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符合第一章“询价采购公告”对联合体的规定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restart"/>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2.1.3</w:t>
            </w:r>
          </w:p>
        </w:tc>
        <w:tc>
          <w:tcPr>
            <w:tcW w:w="1591" w:type="dxa"/>
            <w:vMerge w:val="restart"/>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响应性评审标准</w:t>
            </w:r>
          </w:p>
        </w:tc>
        <w:tc>
          <w:tcPr>
            <w:tcW w:w="2134" w:type="dxa"/>
            <w:gridSpan w:val="4"/>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报价</w:t>
            </w:r>
          </w:p>
        </w:tc>
        <w:tc>
          <w:tcPr>
            <w:tcW w:w="4638" w:type="dxa"/>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符合第二章“供应商须知”规定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9"/>
              <w:jc w:val="center"/>
              <w:rPr>
                <w:rFonts w:ascii="宋体" w:hAnsi="宋体" w:cs="宋体"/>
                <w:color w:val="auto"/>
                <w:sz w:val="21"/>
                <w:szCs w:val="21"/>
                <w:highlight w:val="none"/>
              </w:rPr>
            </w:pPr>
          </w:p>
        </w:tc>
        <w:tc>
          <w:tcPr>
            <w:tcW w:w="1591" w:type="dxa"/>
            <w:vMerge w:val="continue"/>
            <w:vAlign w:val="center"/>
          </w:tcPr>
          <w:p>
            <w:pPr>
              <w:pStyle w:val="9"/>
              <w:jc w:val="center"/>
              <w:rPr>
                <w:rFonts w:ascii="宋体" w:hAnsi="宋体" w:cs="宋体"/>
                <w:color w:val="auto"/>
                <w:sz w:val="21"/>
                <w:szCs w:val="21"/>
                <w:highlight w:val="none"/>
              </w:rPr>
            </w:pPr>
          </w:p>
        </w:tc>
        <w:tc>
          <w:tcPr>
            <w:tcW w:w="2134" w:type="dxa"/>
            <w:gridSpan w:val="4"/>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应答文件有效期</w:t>
            </w:r>
          </w:p>
        </w:tc>
        <w:tc>
          <w:tcPr>
            <w:tcW w:w="4638" w:type="dxa"/>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符合第二章“供应商须知”规定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9"/>
              <w:jc w:val="center"/>
              <w:rPr>
                <w:rFonts w:ascii="宋体" w:hAnsi="宋体" w:cs="宋体"/>
                <w:color w:val="auto"/>
                <w:sz w:val="21"/>
                <w:szCs w:val="21"/>
                <w:highlight w:val="none"/>
              </w:rPr>
            </w:pPr>
          </w:p>
        </w:tc>
        <w:tc>
          <w:tcPr>
            <w:tcW w:w="1591" w:type="dxa"/>
            <w:vMerge w:val="continue"/>
            <w:vAlign w:val="center"/>
          </w:tcPr>
          <w:p>
            <w:pPr>
              <w:pStyle w:val="9"/>
              <w:jc w:val="center"/>
              <w:rPr>
                <w:rFonts w:ascii="宋体" w:hAnsi="宋体" w:cs="宋体"/>
                <w:color w:val="auto"/>
                <w:sz w:val="21"/>
                <w:szCs w:val="21"/>
                <w:highlight w:val="none"/>
              </w:rPr>
            </w:pPr>
          </w:p>
        </w:tc>
        <w:tc>
          <w:tcPr>
            <w:tcW w:w="2134" w:type="dxa"/>
            <w:gridSpan w:val="4"/>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应答方案</w:t>
            </w:r>
          </w:p>
        </w:tc>
        <w:tc>
          <w:tcPr>
            <w:tcW w:w="4638" w:type="dxa"/>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符合第二章“供应商须知”规定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9"/>
              <w:jc w:val="center"/>
              <w:rPr>
                <w:rFonts w:ascii="宋体" w:hAnsi="宋体" w:cs="宋体"/>
                <w:color w:val="auto"/>
                <w:sz w:val="21"/>
                <w:szCs w:val="21"/>
                <w:highlight w:val="none"/>
              </w:rPr>
            </w:pPr>
          </w:p>
        </w:tc>
        <w:tc>
          <w:tcPr>
            <w:tcW w:w="1591" w:type="dxa"/>
            <w:vMerge w:val="continue"/>
            <w:vAlign w:val="center"/>
          </w:tcPr>
          <w:p>
            <w:pPr>
              <w:pStyle w:val="9"/>
              <w:jc w:val="center"/>
              <w:rPr>
                <w:rFonts w:ascii="宋体" w:hAnsi="宋体" w:cs="宋体"/>
                <w:color w:val="auto"/>
                <w:sz w:val="21"/>
                <w:szCs w:val="21"/>
                <w:highlight w:val="none"/>
              </w:rPr>
            </w:pPr>
          </w:p>
        </w:tc>
        <w:tc>
          <w:tcPr>
            <w:tcW w:w="2134" w:type="dxa"/>
            <w:gridSpan w:val="4"/>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质量标准</w:t>
            </w:r>
          </w:p>
        </w:tc>
        <w:tc>
          <w:tcPr>
            <w:tcW w:w="4638" w:type="dxa"/>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符合第一章“供应商须知”规定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9"/>
              <w:jc w:val="center"/>
              <w:rPr>
                <w:rFonts w:ascii="宋体" w:hAnsi="宋体" w:cs="宋体"/>
                <w:color w:val="auto"/>
                <w:sz w:val="21"/>
                <w:szCs w:val="21"/>
                <w:highlight w:val="none"/>
              </w:rPr>
            </w:pPr>
          </w:p>
        </w:tc>
        <w:tc>
          <w:tcPr>
            <w:tcW w:w="1591" w:type="dxa"/>
            <w:vMerge w:val="continue"/>
            <w:vAlign w:val="center"/>
          </w:tcPr>
          <w:p>
            <w:pPr>
              <w:pStyle w:val="9"/>
              <w:jc w:val="center"/>
              <w:rPr>
                <w:rFonts w:ascii="宋体" w:hAnsi="宋体" w:cs="宋体"/>
                <w:color w:val="auto"/>
                <w:sz w:val="21"/>
                <w:szCs w:val="21"/>
                <w:highlight w:val="none"/>
              </w:rPr>
            </w:pPr>
          </w:p>
        </w:tc>
        <w:tc>
          <w:tcPr>
            <w:tcW w:w="2134" w:type="dxa"/>
            <w:gridSpan w:val="4"/>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完成期限</w:t>
            </w:r>
          </w:p>
        </w:tc>
        <w:tc>
          <w:tcPr>
            <w:tcW w:w="4638" w:type="dxa"/>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符合第一章“供应商须知”规定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9"/>
              <w:jc w:val="center"/>
              <w:rPr>
                <w:rFonts w:ascii="宋体" w:hAnsi="宋体" w:cs="宋体"/>
                <w:color w:val="auto"/>
                <w:sz w:val="21"/>
                <w:szCs w:val="21"/>
                <w:highlight w:val="none"/>
              </w:rPr>
            </w:pPr>
          </w:p>
        </w:tc>
        <w:tc>
          <w:tcPr>
            <w:tcW w:w="1591" w:type="dxa"/>
            <w:vMerge w:val="continue"/>
            <w:vAlign w:val="center"/>
          </w:tcPr>
          <w:p>
            <w:pPr>
              <w:pStyle w:val="9"/>
              <w:jc w:val="center"/>
              <w:rPr>
                <w:rFonts w:ascii="宋体" w:hAnsi="宋体" w:cs="宋体"/>
                <w:color w:val="auto"/>
                <w:sz w:val="21"/>
                <w:szCs w:val="21"/>
                <w:highlight w:val="none"/>
              </w:rPr>
            </w:pPr>
          </w:p>
        </w:tc>
        <w:tc>
          <w:tcPr>
            <w:tcW w:w="2134" w:type="dxa"/>
            <w:gridSpan w:val="4"/>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合同条款</w:t>
            </w:r>
          </w:p>
        </w:tc>
        <w:tc>
          <w:tcPr>
            <w:tcW w:w="4638" w:type="dxa"/>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符合第二章“供应商须知”规定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8" w:type="dxa"/>
            <w:gridSpan w:val="3"/>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2.2.2</w:t>
            </w:r>
          </w:p>
        </w:tc>
        <w:tc>
          <w:tcPr>
            <w:tcW w:w="2128" w:type="dxa"/>
            <w:gridSpan w:val="3"/>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评审价格</w:t>
            </w:r>
          </w:p>
        </w:tc>
        <w:tc>
          <w:tcPr>
            <w:tcW w:w="4638" w:type="dxa"/>
            <w:vAlign w:val="center"/>
          </w:tcPr>
          <w:p>
            <w:pPr>
              <w:pStyle w:val="9"/>
              <w:jc w:val="center"/>
              <w:rPr>
                <w:rFonts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8" w:type="dxa"/>
            <w:gridSpan w:val="3"/>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条款号</w:t>
            </w:r>
          </w:p>
        </w:tc>
        <w:tc>
          <w:tcPr>
            <w:tcW w:w="2128" w:type="dxa"/>
            <w:gridSpan w:val="3"/>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条款内容</w:t>
            </w:r>
          </w:p>
        </w:tc>
        <w:tc>
          <w:tcPr>
            <w:tcW w:w="4638" w:type="dxa"/>
            <w:vAlign w:val="center"/>
          </w:tcPr>
          <w:p>
            <w:pPr>
              <w:pStyle w:val="9"/>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4" w:type="dxa"/>
            <w:gridSpan w:val="7"/>
            <w:vAlign w:val="center"/>
          </w:tcPr>
          <w:p>
            <w:pPr>
              <w:pStyle w:val="9"/>
              <w:spacing w:line="320" w:lineRule="exact"/>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3  详细评审标准和程序（综合评分法）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8" w:type="dxa"/>
            <w:gridSpan w:val="3"/>
            <w:vAlign w:val="center"/>
          </w:tcPr>
          <w:p>
            <w:pPr>
              <w:pStyle w:val="9"/>
              <w:spacing w:line="320" w:lineRule="exact"/>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3.1</w:t>
            </w:r>
          </w:p>
        </w:tc>
        <w:tc>
          <w:tcPr>
            <w:tcW w:w="2128" w:type="dxa"/>
            <w:gridSpan w:val="3"/>
            <w:vAlign w:val="center"/>
          </w:tcPr>
          <w:p>
            <w:pPr>
              <w:pStyle w:val="9"/>
              <w:spacing w:line="320" w:lineRule="exact"/>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分值构成</w:t>
            </w:r>
          </w:p>
          <w:p>
            <w:pPr>
              <w:pStyle w:val="9"/>
              <w:spacing w:line="320" w:lineRule="exact"/>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（总分100分）</w:t>
            </w:r>
          </w:p>
        </w:tc>
        <w:tc>
          <w:tcPr>
            <w:tcW w:w="4638" w:type="dxa"/>
            <w:vAlign w:val="center"/>
          </w:tcPr>
          <w:p>
            <w:pPr>
              <w:pStyle w:val="9"/>
              <w:spacing w:line="320" w:lineRule="exact"/>
              <w:ind w:firstLine="0" w:firstLineChars="0"/>
              <w:jc w:val="both"/>
              <w:rPr>
                <w:rFonts w:ascii="宋体" w:hAnsi="宋体" w:cs="宋体"/>
                <w:color w:val="auto"/>
                <w:sz w:val="21"/>
                <w:szCs w:val="21"/>
                <w:highlight w:val="none"/>
              </w:rPr>
            </w:pPr>
            <w:r>
              <w:rPr>
                <w:rFonts w:hint="eastAsia" w:ascii="宋体" w:hAnsi="宋体" w:cs="宋体"/>
                <w:color w:val="auto"/>
                <w:sz w:val="21"/>
                <w:szCs w:val="21"/>
                <w:highlight w:val="none"/>
              </w:rPr>
              <w:t>（1）商务部分：10分</w:t>
            </w:r>
          </w:p>
          <w:p>
            <w:pPr>
              <w:pStyle w:val="9"/>
              <w:spacing w:line="320" w:lineRule="exact"/>
              <w:ind w:firstLine="0" w:firstLineChars="0"/>
              <w:jc w:val="both"/>
              <w:rPr>
                <w:rFonts w:ascii="宋体" w:hAnsi="宋体" w:cs="宋体"/>
                <w:color w:val="auto"/>
                <w:sz w:val="21"/>
                <w:szCs w:val="21"/>
                <w:highlight w:val="none"/>
              </w:rPr>
            </w:pPr>
            <w:r>
              <w:rPr>
                <w:rFonts w:hint="eastAsia" w:ascii="宋体" w:hAnsi="宋体" w:cs="宋体"/>
                <w:color w:val="auto"/>
                <w:sz w:val="21"/>
                <w:szCs w:val="21"/>
                <w:highlight w:val="none"/>
              </w:rPr>
              <w:t>（2）技术部分：40分</w:t>
            </w:r>
          </w:p>
          <w:p>
            <w:pPr>
              <w:pStyle w:val="9"/>
              <w:spacing w:line="320" w:lineRule="exact"/>
              <w:ind w:firstLine="0" w:firstLineChars="0"/>
              <w:jc w:val="both"/>
              <w:rPr>
                <w:rFonts w:ascii="宋体" w:hAnsi="宋体" w:cs="宋体"/>
                <w:color w:val="auto"/>
                <w:sz w:val="21"/>
                <w:szCs w:val="21"/>
                <w:highlight w:val="none"/>
              </w:rPr>
            </w:pPr>
            <w:r>
              <w:rPr>
                <w:rFonts w:hint="eastAsia" w:ascii="宋体" w:hAnsi="宋体" w:cs="宋体"/>
                <w:color w:val="auto"/>
                <w:sz w:val="21"/>
                <w:szCs w:val="21"/>
                <w:highlight w:val="none"/>
              </w:rPr>
              <w:t>（3）报价：50分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8" w:type="dxa"/>
            <w:gridSpan w:val="3"/>
            <w:vAlign w:val="center"/>
          </w:tcPr>
          <w:p>
            <w:pPr>
              <w:pStyle w:val="9"/>
              <w:spacing w:line="320" w:lineRule="exact"/>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3.2</w:t>
            </w:r>
          </w:p>
        </w:tc>
        <w:tc>
          <w:tcPr>
            <w:tcW w:w="2128" w:type="dxa"/>
            <w:gridSpan w:val="3"/>
            <w:vAlign w:val="center"/>
          </w:tcPr>
          <w:p>
            <w:pPr>
              <w:pStyle w:val="9"/>
              <w:spacing w:line="320" w:lineRule="exact"/>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评审基准价计算方法</w:t>
            </w:r>
          </w:p>
        </w:tc>
        <w:tc>
          <w:tcPr>
            <w:tcW w:w="4638" w:type="dxa"/>
            <w:vAlign w:val="center"/>
          </w:tcPr>
          <w:p>
            <w:pPr>
              <w:pStyle w:val="9"/>
              <w:spacing w:line="320" w:lineRule="exact"/>
              <w:ind w:firstLine="0" w:firstLineChars="0"/>
              <w:jc w:val="left"/>
              <w:rPr>
                <w:rFonts w:ascii="宋体" w:hAnsi="宋体" w:cs="宋体"/>
                <w:bCs/>
                <w:color w:val="auto"/>
                <w:sz w:val="21"/>
                <w:szCs w:val="21"/>
                <w:highlight w:val="none"/>
              </w:rPr>
            </w:pPr>
            <w:r>
              <w:rPr>
                <w:rFonts w:hint="eastAsia" w:ascii="宋体" w:hAnsi="宋体" w:cs="宋体"/>
                <w:bCs/>
                <w:color w:val="auto"/>
                <w:sz w:val="21"/>
                <w:szCs w:val="21"/>
                <w:highlight w:val="none"/>
              </w:rPr>
              <w:fldChar w:fldCharType="begin"/>
            </w:r>
            <w:r>
              <w:rPr>
                <w:rFonts w:hint="eastAsia" w:ascii="宋体" w:hAnsi="宋体" w:cs="宋体"/>
                <w:bCs/>
                <w:color w:val="auto"/>
                <w:sz w:val="21"/>
                <w:szCs w:val="21"/>
                <w:highlight w:val="none"/>
              </w:rPr>
              <w:instrText xml:space="preserve"> eq \o\ac(</w:instrText>
            </w:r>
            <w:r>
              <w:rPr>
                <w:rFonts w:hint="eastAsia" w:ascii="宋体" w:hAnsi="宋体" w:cs="宋体"/>
                <w:bCs/>
                <w:color w:val="auto"/>
                <w:position w:val="-4"/>
                <w:sz w:val="31"/>
                <w:szCs w:val="21"/>
                <w:highlight w:val="none"/>
              </w:rPr>
              <w:instrText xml:space="preserve">○</w:instrText>
            </w:r>
            <w:r>
              <w:rPr>
                <w:rFonts w:hint="eastAsia" w:ascii="宋体" w:hAnsi="宋体" w:cs="宋体"/>
                <w:bCs/>
                <w:color w:val="auto"/>
                <w:sz w:val="21"/>
                <w:szCs w:val="21"/>
                <w:highlight w:val="none"/>
              </w:rPr>
              <w:instrText xml:space="preserve">,1)</w:instrText>
            </w:r>
            <w:r>
              <w:rPr>
                <w:rFonts w:hint="eastAsia" w:ascii="宋体" w:hAnsi="宋体" w:cs="宋体"/>
                <w:bCs/>
                <w:color w:val="auto"/>
                <w:sz w:val="21"/>
                <w:szCs w:val="21"/>
                <w:highlight w:val="none"/>
              </w:rPr>
              <w:fldChar w:fldCharType="end"/>
            </w:r>
            <w:r>
              <w:rPr>
                <w:rFonts w:hint="eastAsia" w:ascii="宋体" w:hAnsi="宋体" w:cs="宋体"/>
                <w:bCs/>
                <w:color w:val="auto"/>
                <w:sz w:val="21"/>
                <w:szCs w:val="21"/>
                <w:highlight w:val="none"/>
              </w:rPr>
              <w:t>若递交最终报价的供应商数量为5家以下时，则所有供应商评审价格的算术平均值为评审基准价。</w:t>
            </w:r>
          </w:p>
          <w:p>
            <w:pPr>
              <w:pStyle w:val="9"/>
              <w:spacing w:line="320" w:lineRule="exact"/>
              <w:ind w:firstLine="0" w:firstLineChars="0"/>
              <w:jc w:val="left"/>
              <w:rPr>
                <w:rFonts w:ascii="宋体" w:hAnsi="宋体" w:cs="宋体"/>
                <w:bCs/>
                <w:color w:val="auto"/>
                <w:sz w:val="21"/>
                <w:szCs w:val="21"/>
                <w:highlight w:val="none"/>
              </w:rPr>
            </w:pPr>
            <w:r>
              <w:rPr>
                <w:rFonts w:hint="eastAsia" w:ascii="宋体" w:hAnsi="宋体" w:cs="宋体"/>
                <w:bCs/>
                <w:color w:val="auto"/>
                <w:sz w:val="21"/>
                <w:szCs w:val="21"/>
                <w:highlight w:val="none"/>
              </w:rPr>
              <w:fldChar w:fldCharType="begin"/>
            </w:r>
            <w:r>
              <w:rPr>
                <w:rFonts w:hint="eastAsia" w:ascii="宋体" w:hAnsi="宋体" w:cs="宋体"/>
                <w:bCs/>
                <w:color w:val="auto"/>
                <w:sz w:val="21"/>
                <w:szCs w:val="21"/>
                <w:highlight w:val="none"/>
              </w:rPr>
              <w:instrText xml:space="preserve"> eq \o\ac(</w:instrText>
            </w:r>
            <w:r>
              <w:rPr>
                <w:rFonts w:hint="eastAsia" w:ascii="宋体" w:hAnsi="宋体" w:cs="宋体"/>
                <w:bCs/>
                <w:color w:val="auto"/>
                <w:position w:val="-4"/>
                <w:sz w:val="31"/>
                <w:szCs w:val="21"/>
                <w:highlight w:val="none"/>
              </w:rPr>
              <w:instrText xml:space="preserve">○</w:instrText>
            </w:r>
            <w:r>
              <w:rPr>
                <w:rFonts w:hint="eastAsia" w:ascii="宋体" w:hAnsi="宋体" w:cs="宋体"/>
                <w:bCs/>
                <w:color w:val="auto"/>
                <w:sz w:val="21"/>
                <w:szCs w:val="21"/>
                <w:highlight w:val="none"/>
              </w:rPr>
              <w:instrText xml:space="preserve">,2)</w:instrText>
            </w:r>
            <w:r>
              <w:rPr>
                <w:rFonts w:hint="eastAsia" w:ascii="宋体" w:hAnsi="宋体" w:cs="宋体"/>
                <w:bCs/>
                <w:color w:val="auto"/>
                <w:sz w:val="21"/>
                <w:szCs w:val="21"/>
                <w:highlight w:val="none"/>
              </w:rPr>
              <w:fldChar w:fldCharType="end"/>
            </w:r>
            <w:r>
              <w:rPr>
                <w:rFonts w:hint="eastAsia" w:ascii="宋体" w:hAnsi="宋体" w:cs="宋体"/>
                <w:bCs/>
                <w:color w:val="auto"/>
                <w:sz w:val="21"/>
                <w:szCs w:val="21"/>
                <w:highlight w:val="none"/>
              </w:rPr>
              <w:t>若递交最终报价的供应商数量为5家（含5家）以上时，则去掉最高评审价格和最低评审价格后其余供应商评审价格的算术平均值为评审基准价。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8" w:type="dxa"/>
            <w:gridSpan w:val="3"/>
            <w:vAlign w:val="center"/>
          </w:tcPr>
          <w:p>
            <w:pPr>
              <w:pStyle w:val="9"/>
              <w:spacing w:line="320" w:lineRule="exact"/>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条款号及名称</w:t>
            </w:r>
          </w:p>
        </w:tc>
        <w:tc>
          <w:tcPr>
            <w:tcW w:w="1061" w:type="dxa"/>
            <w:gridSpan w:val="2"/>
            <w:vAlign w:val="center"/>
          </w:tcPr>
          <w:p>
            <w:pPr>
              <w:pStyle w:val="9"/>
              <w:spacing w:line="320" w:lineRule="exact"/>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评分因素</w:t>
            </w:r>
          </w:p>
        </w:tc>
        <w:tc>
          <w:tcPr>
            <w:tcW w:w="1067" w:type="dxa"/>
            <w:vAlign w:val="center"/>
          </w:tcPr>
          <w:p>
            <w:pPr>
              <w:pStyle w:val="9"/>
              <w:spacing w:line="320" w:lineRule="exact"/>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分值</w:t>
            </w:r>
          </w:p>
        </w:tc>
        <w:tc>
          <w:tcPr>
            <w:tcW w:w="4638" w:type="dxa"/>
            <w:vAlign w:val="center"/>
          </w:tcPr>
          <w:p>
            <w:pPr>
              <w:pStyle w:val="9"/>
              <w:spacing w:line="320" w:lineRule="exact"/>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restart"/>
            <w:vAlign w:val="center"/>
          </w:tcPr>
          <w:p>
            <w:pPr>
              <w:pStyle w:val="9"/>
              <w:spacing w:line="320" w:lineRule="exact"/>
              <w:ind w:firstLine="0" w:firstLineChars="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3.3</w:t>
            </w:r>
          </w:p>
          <w:p>
            <w:pPr>
              <w:pStyle w:val="9"/>
              <w:spacing w:line="320" w:lineRule="exact"/>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（1）</w:t>
            </w:r>
          </w:p>
        </w:tc>
        <w:tc>
          <w:tcPr>
            <w:tcW w:w="1591" w:type="dxa"/>
            <w:vMerge w:val="restart"/>
            <w:vAlign w:val="center"/>
          </w:tcPr>
          <w:p>
            <w:pPr>
              <w:widowControl/>
              <w:spacing w:line="32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商务部分</w:t>
            </w:r>
          </w:p>
          <w:p>
            <w:pPr>
              <w:pStyle w:val="9"/>
              <w:spacing w:line="320" w:lineRule="exact"/>
              <w:ind w:firstLine="0" w:firstLineChars="0"/>
              <w:jc w:val="center"/>
              <w:rPr>
                <w:rFonts w:ascii="宋体" w:hAnsi="宋体" w:cs="宋体"/>
                <w:color w:val="auto"/>
                <w:sz w:val="21"/>
                <w:szCs w:val="21"/>
                <w:highlight w:val="none"/>
              </w:rPr>
            </w:pPr>
            <w:r>
              <w:rPr>
                <w:rFonts w:hint="eastAsia" w:ascii="宋体" w:hAnsi="宋体" w:cs="宋体"/>
                <w:color w:val="auto"/>
                <w:kern w:val="0"/>
                <w:sz w:val="21"/>
                <w:szCs w:val="21"/>
                <w:highlight w:val="none"/>
              </w:rPr>
              <w:t>（100分，权重10%）</w:t>
            </w:r>
          </w:p>
        </w:tc>
        <w:tc>
          <w:tcPr>
            <w:tcW w:w="1061" w:type="dxa"/>
            <w:gridSpan w:val="2"/>
            <w:vAlign w:val="center"/>
          </w:tcPr>
          <w:p>
            <w:pPr>
              <w:spacing w:line="320" w:lineRule="exact"/>
              <w:jc w:val="center"/>
              <w:rPr>
                <w:rFonts w:ascii="宋体" w:hAnsi="宋体" w:cs="宋体"/>
                <w:color w:val="auto"/>
                <w:szCs w:val="21"/>
                <w:highlight w:val="none"/>
              </w:rPr>
            </w:pPr>
            <w:r>
              <w:rPr>
                <w:rFonts w:hint="eastAsia" w:ascii="宋体" w:hAnsi="宋体" w:cs="宋体"/>
                <w:bCs/>
                <w:color w:val="auto"/>
                <w:kern w:val="0"/>
                <w:szCs w:val="21"/>
                <w:highlight w:val="none"/>
              </w:rPr>
              <w:t>对询价文件的响应</w:t>
            </w:r>
          </w:p>
        </w:tc>
        <w:tc>
          <w:tcPr>
            <w:tcW w:w="1073" w:type="dxa"/>
            <w:gridSpan w:val="2"/>
            <w:vAlign w:val="center"/>
          </w:tcPr>
          <w:p>
            <w:pPr>
              <w:spacing w:line="320" w:lineRule="exact"/>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20</w:t>
            </w:r>
          </w:p>
        </w:tc>
        <w:tc>
          <w:tcPr>
            <w:tcW w:w="4638" w:type="dxa"/>
            <w:vAlign w:val="center"/>
          </w:tcPr>
          <w:p>
            <w:pPr>
              <w:widowControl/>
              <w:spacing w:line="320" w:lineRule="exact"/>
              <w:jc w:val="center"/>
              <w:rPr>
                <w:rFonts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内容响应（</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分）：应答文件清晰完整、无缺漏项得满分；每有一处内容缺漏扣 1分，扣完为止；</w:t>
            </w:r>
          </w:p>
          <w:p>
            <w:pPr>
              <w:spacing w:line="320" w:lineRule="exact"/>
              <w:jc w:val="center"/>
              <w:rPr>
                <w:rFonts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格式响应（</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分）：应答文件按询价文件要求格式、顺序编制，得满分，每有一处格式偏差扣 1 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9"/>
              <w:spacing w:line="320" w:lineRule="exact"/>
              <w:jc w:val="center"/>
              <w:rPr>
                <w:rFonts w:ascii="宋体" w:hAnsi="宋体" w:cs="宋体"/>
                <w:color w:val="auto"/>
                <w:sz w:val="21"/>
                <w:szCs w:val="21"/>
                <w:highlight w:val="none"/>
              </w:rPr>
            </w:pPr>
          </w:p>
        </w:tc>
        <w:tc>
          <w:tcPr>
            <w:tcW w:w="1591" w:type="dxa"/>
            <w:vMerge w:val="continue"/>
            <w:vAlign w:val="center"/>
          </w:tcPr>
          <w:p>
            <w:pPr>
              <w:pStyle w:val="9"/>
              <w:spacing w:line="320" w:lineRule="exact"/>
              <w:jc w:val="center"/>
              <w:rPr>
                <w:rFonts w:ascii="宋体" w:hAnsi="宋体" w:cs="宋体"/>
                <w:color w:val="auto"/>
                <w:sz w:val="21"/>
                <w:szCs w:val="21"/>
                <w:highlight w:val="none"/>
              </w:rPr>
            </w:pPr>
          </w:p>
        </w:tc>
        <w:tc>
          <w:tcPr>
            <w:tcW w:w="1061" w:type="dxa"/>
            <w:gridSpan w:val="2"/>
            <w:vAlign w:val="center"/>
          </w:tcPr>
          <w:p>
            <w:pPr>
              <w:spacing w:line="320" w:lineRule="exact"/>
              <w:jc w:val="center"/>
              <w:rPr>
                <w:rFonts w:ascii="宋体" w:hAnsi="宋体" w:cs="宋体"/>
                <w:b w:val="0"/>
                <w:bCs w:val="0"/>
                <w:color w:val="auto"/>
                <w:szCs w:val="21"/>
                <w:highlight w:val="none"/>
              </w:rPr>
            </w:pPr>
            <w:r>
              <w:rPr>
                <w:rFonts w:hint="eastAsia" w:ascii="宋体" w:hAnsi="宋体" w:cs="宋体"/>
                <w:b w:val="0"/>
                <w:bCs w:val="0"/>
                <w:color w:val="auto"/>
                <w:szCs w:val="21"/>
                <w:highlight w:val="none"/>
              </w:rPr>
              <w:t>质量体系认证</w:t>
            </w:r>
          </w:p>
          <w:p>
            <w:pPr>
              <w:spacing w:line="320" w:lineRule="exact"/>
              <w:jc w:val="center"/>
              <w:rPr>
                <w:rFonts w:ascii="宋体" w:hAnsi="宋体" w:cs="宋体"/>
                <w:color w:val="auto"/>
                <w:szCs w:val="21"/>
                <w:highlight w:val="none"/>
              </w:rPr>
            </w:pPr>
          </w:p>
        </w:tc>
        <w:tc>
          <w:tcPr>
            <w:tcW w:w="1073" w:type="dxa"/>
            <w:gridSpan w:val="2"/>
            <w:vAlign w:val="center"/>
          </w:tcPr>
          <w:p>
            <w:pPr>
              <w:spacing w:line="320" w:lineRule="exact"/>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30</w:t>
            </w:r>
          </w:p>
        </w:tc>
        <w:tc>
          <w:tcPr>
            <w:tcW w:w="4638" w:type="dxa"/>
            <w:vAlign w:val="center"/>
          </w:tcPr>
          <w:p>
            <w:pPr>
              <w:spacing w:line="320" w:lineRule="exact"/>
              <w:jc w:val="center"/>
              <w:rPr>
                <w:rFonts w:ascii="宋体" w:hAnsi="宋体" w:cs="宋体"/>
                <w:b w:val="0"/>
                <w:bCs w:val="0"/>
                <w:color w:val="auto"/>
                <w:szCs w:val="21"/>
                <w:highlight w:val="none"/>
              </w:rPr>
            </w:pPr>
            <w:r>
              <w:rPr>
                <w:rFonts w:hint="eastAsia" w:ascii="宋体" w:hAnsi="宋体" w:cs="宋体"/>
                <w:b w:val="0"/>
                <w:bCs w:val="0"/>
                <w:color w:val="auto"/>
                <w:szCs w:val="21"/>
                <w:highlight w:val="none"/>
              </w:rPr>
              <w:t>质量、环境、职业健康安全管理体系认证：</w:t>
            </w:r>
          </w:p>
          <w:p>
            <w:pPr>
              <w:pStyle w:val="13"/>
              <w:adjustRightInd/>
              <w:spacing w:before="62" w:beforeLines="20" w:after="62" w:afterLines="20" w:line="320" w:lineRule="exact"/>
              <w:jc w:val="center"/>
              <w:textAlignment w:val="auto"/>
              <w:rPr>
                <w:rFonts w:ascii="宋体" w:hAnsi="宋体" w:cs="宋体"/>
                <w:color w:val="auto"/>
                <w:sz w:val="21"/>
                <w:szCs w:val="21"/>
                <w:highlight w:val="none"/>
              </w:rPr>
            </w:pPr>
            <w:r>
              <w:rPr>
                <w:rFonts w:hint="eastAsia" w:ascii="宋体" w:hAnsi="宋体" w:cs="宋体"/>
                <w:color w:val="auto"/>
                <w:sz w:val="21"/>
                <w:szCs w:val="21"/>
                <w:highlight w:val="none"/>
              </w:rPr>
              <w:t>无0分，有一项</w:t>
            </w:r>
            <w:r>
              <w:rPr>
                <w:rFonts w:hint="eastAsia" w:ascii="宋体" w:hAnsi="宋体" w:cs="宋体"/>
                <w:color w:val="auto"/>
                <w:sz w:val="21"/>
                <w:szCs w:val="21"/>
                <w:highlight w:val="none"/>
                <w:lang w:val="en-US" w:eastAsia="zh-CN"/>
              </w:rPr>
              <w:t>10</w:t>
            </w:r>
            <w:r>
              <w:rPr>
                <w:rFonts w:hint="eastAsia" w:ascii="宋体" w:hAnsi="宋体" w:cs="宋体"/>
                <w:color w:val="auto"/>
                <w:sz w:val="21"/>
                <w:szCs w:val="21"/>
                <w:highlight w:val="none"/>
              </w:rPr>
              <w:t>分，有两项</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0分，有三项</w:t>
            </w:r>
            <w:r>
              <w:rPr>
                <w:rFonts w:hint="eastAsia" w:ascii="宋体" w:hAnsi="宋体" w:cs="宋体"/>
                <w:color w:val="auto"/>
                <w:sz w:val="21"/>
                <w:szCs w:val="21"/>
                <w:highlight w:val="none"/>
                <w:lang w:val="en-US" w:eastAsia="zh-CN"/>
              </w:rPr>
              <w:t>30</w:t>
            </w:r>
            <w:r>
              <w:rPr>
                <w:rFonts w:hint="eastAsia" w:ascii="宋体" w:hAnsi="宋体" w:cs="宋体"/>
                <w:color w:val="auto"/>
                <w:sz w:val="21"/>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vMerge w:val="continue"/>
            <w:vAlign w:val="center"/>
          </w:tcPr>
          <w:p>
            <w:pPr>
              <w:pStyle w:val="9"/>
              <w:spacing w:line="320" w:lineRule="exact"/>
              <w:jc w:val="center"/>
              <w:rPr>
                <w:rFonts w:ascii="宋体" w:hAnsi="宋体" w:cs="宋体"/>
                <w:color w:val="auto"/>
                <w:sz w:val="21"/>
                <w:szCs w:val="21"/>
                <w:highlight w:val="none"/>
              </w:rPr>
            </w:pPr>
          </w:p>
        </w:tc>
        <w:tc>
          <w:tcPr>
            <w:tcW w:w="1591" w:type="dxa"/>
            <w:vMerge w:val="continue"/>
            <w:vAlign w:val="center"/>
          </w:tcPr>
          <w:p>
            <w:pPr>
              <w:pStyle w:val="9"/>
              <w:spacing w:line="320" w:lineRule="exact"/>
              <w:jc w:val="center"/>
              <w:rPr>
                <w:rFonts w:ascii="宋体" w:hAnsi="宋体" w:cs="宋体"/>
                <w:color w:val="auto"/>
                <w:sz w:val="21"/>
                <w:szCs w:val="21"/>
                <w:highlight w:val="none"/>
              </w:rPr>
            </w:pPr>
          </w:p>
        </w:tc>
        <w:tc>
          <w:tcPr>
            <w:tcW w:w="1061" w:type="dxa"/>
            <w:gridSpan w:val="2"/>
            <w:vAlign w:val="center"/>
          </w:tcPr>
          <w:p>
            <w:pPr>
              <w:spacing w:line="320" w:lineRule="exact"/>
              <w:jc w:val="center"/>
              <w:rPr>
                <w:rFonts w:ascii="宋体" w:hAnsi="宋体" w:cs="宋体"/>
                <w:color w:val="auto"/>
                <w:szCs w:val="21"/>
                <w:highlight w:val="none"/>
              </w:rPr>
            </w:pPr>
            <w:r>
              <w:rPr>
                <w:rFonts w:hint="eastAsia" w:ascii="宋体" w:hAnsi="宋体" w:cs="宋体"/>
                <w:bCs/>
                <w:color w:val="auto"/>
                <w:kern w:val="0"/>
                <w:szCs w:val="21"/>
                <w:highlight w:val="none"/>
              </w:rPr>
              <w:t>业绩</w:t>
            </w:r>
          </w:p>
        </w:tc>
        <w:tc>
          <w:tcPr>
            <w:tcW w:w="1073" w:type="dxa"/>
            <w:gridSpan w:val="2"/>
            <w:vAlign w:val="center"/>
          </w:tcPr>
          <w:p>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50</w:t>
            </w:r>
          </w:p>
        </w:tc>
        <w:tc>
          <w:tcPr>
            <w:tcW w:w="4638" w:type="dxa"/>
            <w:vAlign w:val="center"/>
          </w:tcPr>
          <w:p>
            <w:pPr>
              <w:pStyle w:val="13"/>
              <w:adjustRightInd/>
              <w:spacing w:before="62" w:beforeLines="20" w:after="62" w:afterLines="20" w:line="320" w:lineRule="exact"/>
              <w:jc w:val="left"/>
              <w:textAlignment w:val="auto"/>
              <w:rPr>
                <w:rFonts w:ascii="宋体" w:hAnsi="宋体" w:cs="宋体"/>
                <w:color w:val="auto"/>
                <w:sz w:val="21"/>
                <w:szCs w:val="21"/>
                <w:highlight w:val="none"/>
              </w:rPr>
            </w:pPr>
            <w:r>
              <w:rPr>
                <w:rFonts w:hint="eastAsia" w:ascii="宋体" w:hAnsi="宋体" w:cs="宋体"/>
                <w:color w:val="auto"/>
                <w:sz w:val="21"/>
                <w:szCs w:val="21"/>
                <w:highlight w:val="none"/>
                <w:lang w:val="en-US" w:eastAsia="zh-CN"/>
              </w:rPr>
              <w:t>在满足资格条件的基础上，投标人每提供近3年（2023年1月1日至今，以合同签订日期为准）承担过1项相同或类似项目业绩得25</w:t>
            </w:r>
            <w:r>
              <w:rPr>
                <w:rFonts w:hint="eastAsia" w:ascii="宋体" w:hAnsi="宋体" w:cs="宋体"/>
                <w:color w:val="auto"/>
                <w:sz w:val="21"/>
                <w:szCs w:val="21"/>
                <w:highlight w:val="none"/>
              </w:rPr>
              <w:t>分，最</w:t>
            </w:r>
            <w:r>
              <w:rPr>
                <w:rFonts w:hint="eastAsia" w:ascii="宋体" w:hAnsi="宋体" w:cs="宋体"/>
                <w:color w:val="auto"/>
                <w:sz w:val="21"/>
                <w:szCs w:val="21"/>
                <w:highlight w:val="none"/>
                <w:lang w:val="en-US" w:eastAsia="zh-CN"/>
              </w:rPr>
              <w:t>得</w:t>
            </w:r>
            <w:r>
              <w:rPr>
                <w:rFonts w:hint="eastAsia" w:ascii="宋体" w:hAnsi="宋体" w:cs="宋体"/>
                <w:color w:val="auto"/>
                <w:sz w:val="21"/>
                <w:szCs w:val="21"/>
                <w:highlight w:val="none"/>
              </w:rPr>
              <w:t>分50分。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101" w:type="dxa"/>
            <w:vMerge w:val="restart"/>
            <w:vAlign w:val="center"/>
          </w:tcPr>
          <w:p>
            <w:pPr>
              <w:pStyle w:val="9"/>
              <w:spacing w:line="320" w:lineRule="exact"/>
              <w:ind w:firstLine="0" w:firstLineChars="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3.3</w:t>
            </w:r>
          </w:p>
          <w:p>
            <w:pPr>
              <w:pStyle w:val="9"/>
              <w:spacing w:line="320" w:lineRule="exact"/>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（2）</w:t>
            </w:r>
          </w:p>
        </w:tc>
        <w:tc>
          <w:tcPr>
            <w:tcW w:w="1591" w:type="dxa"/>
            <w:vMerge w:val="restart"/>
            <w:vAlign w:val="center"/>
          </w:tcPr>
          <w:p>
            <w:pPr>
              <w:widowControl/>
              <w:spacing w:line="32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技术部分</w:t>
            </w:r>
          </w:p>
          <w:p>
            <w:pPr>
              <w:pStyle w:val="9"/>
              <w:spacing w:line="320" w:lineRule="exact"/>
              <w:ind w:firstLine="0" w:firstLineChars="0"/>
              <w:jc w:val="center"/>
              <w:rPr>
                <w:rFonts w:ascii="宋体" w:hAnsi="宋体" w:cs="宋体"/>
                <w:color w:val="auto"/>
                <w:sz w:val="21"/>
                <w:szCs w:val="21"/>
                <w:highlight w:val="none"/>
              </w:rPr>
            </w:pPr>
            <w:r>
              <w:rPr>
                <w:rFonts w:hint="eastAsia" w:ascii="宋体" w:hAnsi="宋体" w:cs="宋体"/>
                <w:color w:val="auto"/>
                <w:kern w:val="0"/>
                <w:sz w:val="21"/>
                <w:szCs w:val="21"/>
                <w:highlight w:val="none"/>
              </w:rPr>
              <w:t>（100分，权重40%）</w:t>
            </w:r>
          </w:p>
        </w:tc>
        <w:tc>
          <w:tcPr>
            <w:tcW w:w="1061" w:type="dxa"/>
            <w:gridSpan w:val="2"/>
            <w:vAlign w:val="center"/>
          </w:tcPr>
          <w:p>
            <w:pPr>
              <w:pStyle w:val="13"/>
              <w:numPr>
                <w:ilvl w:val="0"/>
                <w:numId w:val="0"/>
              </w:numPr>
              <w:adjustRightInd/>
              <w:spacing w:before="0" w:beforeLines="0" w:after="0" w:afterLines="0" w:line="320" w:lineRule="exact"/>
              <w:jc w:val="left"/>
              <w:textAlignment w:val="auto"/>
              <w:rPr>
                <w:rFonts w:ascii="宋体" w:hAnsi="宋体" w:cs="宋体"/>
                <w:b w:val="0"/>
                <w:bCs w:val="0"/>
                <w:color w:val="auto"/>
                <w:sz w:val="21"/>
                <w:szCs w:val="21"/>
                <w:highlight w:val="none"/>
              </w:rPr>
            </w:pPr>
            <w:r>
              <w:rPr>
                <w:rFonts w:ascii="宋体" w:hAnsi="宋体" w:eastAsia="宋体" w:cs="宋体"/>
                <w:b w:val="0"/>
                <w:bCs w:val="0"/>
                <w:color w:val="auto"/>
                <w:sz w:val="21"/>
                <w:szCs w:val="21"/>
              </w:rPr>
              <w:t>项目理解与工作总体思路</w:t>
            </w:r>
          </w:p>
          <w:p>
            <w:pPr>
              <w:spacing w:line="320" w:lineRule="exact"/>
              <w:jc w:val="center"/>
              <w:rPr>
                <w:rFonts w:ascii="宋体" w:hAnsi="宋体" w:cs="宋体"/>
                <w:color w:val="auto"/>
                <w:szCs w:val="21"/>
                <w:highlight w:val="none"/>
              </w:rPr>
            </w:pPr>
          </w:p>
        </w:tc>
        <w:tc>
          <w:tcPr>
            <w:tcW w:w="1073" w:type="dxa"/>
            <w:gridSpan w:val="2"/>
            <w:vAlign w:val="center"/>
          </w:tcPr>
          <w:p>
            <w:pPr>
              <w:spacing w:line="320" w:lineRule="exact"/>
              <w:jc w:val="center"/>
              <w:rPr>
                <w:rFonts w:ascii="宋体" w:hAnsi="宋体" w:cs="宋体"/>
                <w:color w:val="auto"/>
                <w:szCs w:val="21"/>
                <w:highlight w:val="none"/>
              </w:rPr>
            </w:pPr>
            <w:r>
              <w:rPr>
                <w:rFonts w:hint="eastAsia" w:ascii="宋体" w:hAnsi="宋体" w:cs="宋体"/>
                <w:b w:val="0"/>
                <w:bCs w:val="0"/>
                <w:color w:val="auto"/>
                <w:sz w:val="21"/>
                <w:szCs w:val="21"/>
                <w:lang w:val="en-US" w:eastAsia="zh-CN"/>
              </w:rPr>
              <w:t>20</w:t>
            </w:r>
          </w:p>
        </w:tc>
        <w:tc>
          <w:tcPr>
            <w:tcW w:w="4638" w:type="dxa"/>
            <w:vAlign w:val="center"/>
          </w:tcPr>
          <w:p>
            <w:pPr>
              <w:pStyle w:val="13"/>
              <w:numPr>
                <w:ilvl w:val="0"/>
                <w:numId w:val="0"/>
              </w:numPr>
              <w:adjustRightInd/>
              <w:spacing w:before="0" w:beforeLines="0" w:after="0" w:afterLines="0" w:line="320" w:lineRule="exact"/>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cs="宋体"/>
                <w:b w:val="0"/>
                <w:bCs w:val="0"/>
                <w:color w:val="auto"/>
                <w:kern w:val="2"/>
                <w:sz w:val="21"/>
                <w:szCs w:val="21"/>
                <w:lang w:val="en-US" w:eastAsia="zh-CN" w:bidi="ar-SA"/>
              </w:rPr>
              <w:t>（1）</w:t>
            </w:r>
            <w:r>
              <w:rPr>
                <w:rFonts w:hint="eastAsia" w:ascii="宋体" w:hAnsi="宋体" w:eastAsia="宋体" w:cs="宋体"/>
                <w:b w:val="0"/>
                <w:bCs w:val="0"/>
                <w:color w:val="auto"/>
                <w:kern w:val="2"/>
                <w:sz w:val="21"/>
                <w:szCs w:val="21"/>
                <w:lang w:val="en-US" w:eastAsia="zh-CN" w:bidi="ar-SA"/>
              </w:rPr>
              <w:t>优秀（</w:t>
            </w:r>
            <w:r>
              <w:rPr>
                <w:rFonts w:hint="eastAsia" w:ascii="宋体" w:hAnsi="宋体" w:cs="宋体"/>
                <w:b w:val="0"/>
                <w:bCs w:val="0"/>
                <w:color w:val="auto"/>
                <w:kern w:val="2"/>
                <w:sz w:val="21"/>
                <w:szCs w:val="21"/>
                <w:lang w:val="en-US" w:eastAsia="zh-CN" w:bidi="ar-SA"/>
              </w:rPr>
              <w:t>15-20</w:t>
            </w:r>
            <w:r>
              <w:rPr>
                <w:rFonts w:hint="eastAsia" w:ascii="宋体" w:hAnsi="宋体" w:eastAsia="宋体" w:cs="宋体"/>
                <w:b w:val="0"/>
                <w:bCs w:val="0"/>
                <w:color w:val="auto"/>
                <w:kern w:val="2"/>
                <w:sz w:val="21"/>
                <w:szCs w:val="21"/>
                <w:lang w:val="en-US" w:eastAsia="zh-CN" w:bidi="ar-SA"/>
              </w:rPr>
              <w:t>分）：充分理解两个风电场全部工作任务边界，准确把握地形图测绘、风电可行性研究报告、项目核准申请报告相关工作满足国家/行业规范要求；对场址特点、测绘、可研、核准申报之间工作逻辑、衔接关系认识到位，精准识别项目工作重难点，工作目标清晰，针对性强；</w:t>
            </w:r>
          </w:p>
          <w:p>
            <w:pPr>
              <w:pStyle w:val="13"/>
              <w:numPr>
                <w:ilvl w:val="0"/>
                <w:numId w:val="0"/>
              </w:numPr>
              <w:adjustRightInd/>
              <w:spacing w:before="0" w:beforeLines="0" w:after="0" w:afterLines="0" w:line="320" w:lineRule="exact"/>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cs="宋体"/>
                <w:b w:val="0"/>
                <w:bCs w:val="0"/>
                <w:color w:val="auto"/>
                <w:kern w:val="2"/>
                <w:sz w:val="21"/>
                <w:szCs w:val="21"/>
                <w:lang w:val="en-US" w:eastAsia="zh-CN" w:bidi="ar-SA"/>
              </w:rPr>
              <w:t>（2）</w:t>
            </w:r>
            <w:r>
              <w:rPr>
                <w:rFonts w:hint="eastAsia" w:ascii="宋体" w:hAnsi="宋体" w:eastAsia="宋体" w:cs="宋体"/>
                <w:b w:val="0"/>
                <w:bCs w:val="0"/>
                <w:color w:val="auto"/>
                <w:kern w:val="2"/>
                <w:sz w:val="21"/>
                <w:szCs w:val="21"/>
                <w:lang w:val="en-US" w:eastAsia="zh-CN" w:bidi="ar-SA"/>
              </w:rPr>
              <w:t>良好（</w:t>
            </w:r>
            <w:r>
              <w:rPr>
                <w:rFonts w:hint="eastAsia" w:ascii="宋体" w:hAnsi="宋体" w:cs="宋体"/>
                <w:b w:val="0"/>
                <w:bCs w:val="0"/>
                <w:color w:val="auto"/>
                <w:kern w:val="2"/>
                <w:sz w:val="21"/>
                <w:szCs w:val="21"/>
                <w:lang w:val="en-US" w:eastAsia="zh-CN" w:bidi="ar-SA"/>
              </w:rPr>
              <w:t>11-15</w:t>
            </w:r>
            <w:r>
              <w:rPr>
                <w:rFonts w:hint="eastAsia" w:ascii="宋体" w:hAnsi="宋体" w:eastAsia="宋体" w:cs="宋体"/>
                <w:b w:val="0"/>
                <w:bCs w:val="0"/>
                <w:color w:val="auto"/>
                <w:kern w:val="2"/>
                <w:sz w:val="21"/>
                <w:szCs w:val="21"/>
                <w:lang w:val="en-US" w:eastAsia="zh-CN" w:bidi="ar-SA"/>
              </w:rPr>
              <w:t>分）：理解项目主要工作内容，明确三项服务工作，目标基本清晰，具备一定针对性；</w:t>
            </w:r>
          </w:p>
          <w:p>
            <w:pPr>
              <w:pStyle w:val="13"/>
              <w:numPr>
                <w:ilvl w:val="0"/>
                <w:numId w:val="0"/>
              </w:numPr>
              <w:adjustRightInd/>
              <w:spacing w:before="0" w:beforeLines="0" w:after="0" w:afterLines="0" w:line="320" w:lineRule="exact"/>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cs="宋体"/>
                <w:b w:val="0"/>
                <w:bCs w:val="0"/>
                <w:color w:val="auto"/>
                <w:kern w:val="2"/>
                <w:sz w:val="21"/>
                <w:szCs w:val="21"/>
                <w:lang w:val="en-US" w:eastAsia="zh-CN" w:bidi="ar-SA"/>
              </w:rPr>
              <w:t>（3）</w:t>
            </w:r>
            <w:r>
              <w:rPr>
                <w:rFonts w:hint="eastAsia" w:ascii="宋体" w:hAnsi="宋体" w:eastAsia="宋体" w:cs="宋体"/>
                <w:b w:val="0"/>
                <w:bCs w:val="0"/>
                <w:color w:val="auto"/>
                <w:kern w:val="2"/>
                <w:sz w:val="21"/>
                <w:szCs w:val="21"/>
                <w:lang w:val="en-US" w:eastAsia="zh-CN" w:bidi="ar-SA"/>
              </w:rPr>
              <w:t>一般（</w:t>
            </w:r>
            <w:r>
              <w:rPr>
                <w:rFonts w:hint="eastAsia" w:ascii="宋体" w:hAnsi="宋体" w:cs="宋体"/>
                <w:b w:val="0"/>
                <w:bCs w:val="0"/>
                <w:color w:val="auto"/>
                <w:kern w:val="2"/>
                <w:sz w:val="21"/>
                <w:szCs w:val="21"/>
                <w:lang w:val="en-US" w:eastAsia="zh-CN" w:bidi="ar-SA"/>
              </w:rPr>
              <w:t>6-10</w:t>
            </w:r>
            <w:r>
              <w:rPr>
                <w:rFonts w:hint="eastAsia" w:ascii="宋体" w:hAnsi="宋体" w:eastAsia="宋体" w:cs="宋体"/>
                <w:b w:val="0"/>
                <w:bCs w:val="0"/>
                <w:color w:val="auto"/>
                <w:kern w:val="2"/>
                <w:sz w:val="21"/>
                <w:szCs w:val="21"/>
                <w:lang w:val="en-US" w:eastAsia="zh-CN" w:bidi="ar-SA"/>
              </w:rPr>
              <w:t>分）：对项目理解较浅，多为通用模板，对可研与核准申请报告的工作边界区分不清，针对性不足；</w:t>
            </w:r>
          </w:p>
          <w:p>
            <w:pPr>
              <w:pStyle w:val="13"/>
              <w:numPr>
                <w:ilvl w:val="0"/>
                <w:numId w:val="0"/>
              </w:numPr>
              <w:adjustRightInd/>
              <w:spacing w:before="0" w:beforeLines="0" w:after="0" w:afterLines="0" w:line="320" w:lineRule="exact"/>
              <w:jc w:val="left"/>
              <w:textAlignment w:val="auto"/>
              <w:rPr>
                <w:rFonts w:ascii="宋体" w:hAnsi="宋体" w:cs="宋体"/>
                <w:color w:val="auto"/>
                <w:sz w:val="21"/>
                <w:szCs w:val="21"/>
                <w:highlight w:val="none"/>
              </w:rPr>
            </w:pPr>
            <w:r>
              <w:rPr>
                <w:rFonts w:hint="eastAsia" w:ascii="宋体" w:hAnsi="宋体" w:cs="宋体"/>
                <w:b w:val="0"/>
                <w:bCs w:val="0"/>
                <w:color w:val="auto"/>
                <w:kern w:val="2"/>
                <w:sz w:val="21"/>
                <w:szCs w:val="21"/>
                <w:lang w:val="en-US" w:eastAsia="zh-CN" w:bidi="ar-SA"/>
              </w:rPr>
              <w:t>（4）</w:t>
            </w:r>
            <w:r>
              <w:rPr>
                <w:rFonts w:hint="eastAsia" w:ascii="宋体" w:hAnsi="宋体" w:eastAsia="宋体" w:cs="宋体"/>
                <w:b w:val="0"/>
                <w:bCs w:val="0"/>
                <w:color w:val="auto"/>
                <w:kern w:val="2"/>
                <w:sz w:val="21"/>
                <w:szCs w:val="21"/>
                <w:lang w:val="en-US" w:eastAsia="zh-CN" w:bidi="ar-SA"/>
              </w:rPr>
              <w:t>较差（</w:t>
            </w:r>
            <w:r>
              <w:rPr>
                <w:rFonts w:hint="eastAsia" w:ascii="宋体" w:hAnsi="宋体" w:cs="宋体"/>
                <w:b w:val="0"/>
                <w:bCs w:val="0"/>
                <w:color w:val="auto"/>
                <w:kern w:val="2"/>
                <w:sz w:val="21"/>
                <w:szCs w:val="21"/>
                <w:lang w:val="en-US" w:eastAsia="zh-CN" w:bidi="ar-SA"/>
              </w:rPr>
              <w:t>0-5</w:t>
            </w:r>
            <w:r>
              <w:rPr>
                <w:rFonts w:hint="eastAsia" w:ascii="宋体" w:hAnsi="宋体" w:eastAsia="宋体" w:cs="宋体"/>
                <w:b w:val="0"/>
                <w:bCs w:val="0"/>
                <w:color w:val="auto"/>
                <w:kern w:val="2"/>
                <w:sz w:val="21"/>
                <w:szCs w:val="21"/>
                <w:lang w:val="en-US" w:eastAsia="zh-CN" w:bidi="ar-SA"/>
              </w:rPr>
              <w:t>分）：对测绘、可研、核准申请编制工作内容理解存在明显偏差。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01" w:type="dxa"/>
            <w:vMerge w:val="continue"/>
            <w:vAlign w:val="center"/>
          </w:tcPr>
          <w:p>
            <w:pPr>
              <w:pStyle w:val="9"/>
              <w:spacing w:line="320" w:lineRule="exact"/>
              <w:ind w:firstLine="0" w:firstLineChars="0"/>
              <w:jc w:val="center"/>
              <w:rPr>
                <w:rFonts w:hint="eastAsia" w:ascii="宋体" w:hAnsi="宋体" w:cs="宋体"/>
                <w:color w:val="auto"/>
                <w:sz w:val="21"/>
                <w:szCs w:val="21"/>
                <w:highlight w:val="none"/>
              </w:rPr>
            </w:pPr>
          </w:p>
        </w:tc>
        <w:tc>
          <w:tcPr>
            <w:tcW w:w="1591" w:type="dxa"/>
            <w:vMerge w:val="continue"/>
            <w:vAlign w:val="center"/>
          </w:tcPr>
          <w:p>
            <w:pPr>
              <w:pStyle w:val="9"/>
              <w:spacing w:line="320" w:lineRule="exact"/>
              <w:ind w:firstLine="0" w:firstLineChars="0"/>
              <w:jc w:val="center"/>
              <w:rPr>
                <w:rFonts w:hint="eastAsia" w:ascii="宋体" w:hAnsi="宋体" w:cs="宋体"/>
                <w:color w:val="auto"/>
                <w:kern w:val="0"/>
                <w:sz w:val="21"/>
                <w:szCs w:val="21"/>
                <w:highlight w:val="none"/>
              </w:rPr>
            </w:pPr>
          </w:p>
        </w:tc>
        <w:tc>
          <w:tcPr>
            <w:tcW w:w="1061" w:type="dxa"/>
            <w:gridSpan w:val="2"/>
            <w:vAlign w:val="center"/>
          </w:tcPr>
          <w:p>
            <w:pPr>
              <w:pStyle w:val="13"/>
              <w:numPr>
                <w:ilvl w:val="0"/>
                <w:numId w:val="0"/>
              </w:numPr>
              <w:adjustRightInd/>
              <w:spacing w:before="0" w:beforeLines="0" w:after="0" w:afterLines="0" w:line="320" w:lineRule="exact"/>
              <w:jc w:val="left"/>
              <w:textAlignment w:val="auto"/>
              <w:rPr>
                <w:rFonts w:hint="eastAsia" w:ascii="宋体" w:hAnsi="宋体" w:eastAsia="宋体" w:cs="宋体"/>
                <w:b w:val="0"/>
                <w:bCs w:val="0"/>
                <w:color w:val="auto"/>
                <w:sz w:val="21"/>
                <w:szCs w:val="21"/>
                <w:lang w:val="en-US" w:eastAsia="zh-CN"/>
              </w:rPr>
            </w:pPr>
            <w:r>
              <w:rPr>
                <w:rFonts w:ascii="宋体" w:hAnsi="宋体" w:eastAsia="宋体" w:cs="宋体"/>
                <w:b w:val="0"/>
                <w:bCs w:val="0"/>
                <w:color w:val="auto"/>
                <w:sz w:val="21"/>
                <w:szCs w:val="21"/>
              </w:rPr>
              <w:t>地形图测绘</w:t>
            </w:r>
            <w:r>
              <w:rPr>
                <w:rFonts w:hint="eastAsia" w:ascii="宋体" w:hAnsi="宋体" w:cs="宋体"/>
                <w:b w:val="0"/>
                <w:bCs w:val="0"/>
                <w:color w:val="auto"/>
                <w:sz w:val="21"/>
                <w:szCs w:val="21"/>
                <w:lang w:eastAsia="zh-CN"/>
              </w:rPr>
              <w:t>、</w:t>
            </w:r>
            <w:r>
              <w:rPr>
                <w:rFonts w:ascii="宋体" w:hAnsi="宋体" w:eastAsia="宋体" w:cs="宋体"/>
                <w:b w:val="0"/>
                <w:bCs w:val="0"/>
                <w:color w:val="auto"/>
                <w:sz w:val="21"/>
                <w:szCs w:val="21"/>
              </w:rPr>
              <w:t>可行性研究报告编制</w:t>
            </w:r>
            <w:r>
              <w:rPr>
                <w:rFonts w:hint="eastAsia" w:ascii="宋体" w:hAnsi="宋体" w:cs="宋体"/>
                <w:b w:val="0"/>
                <w:bCs w:val="0"/>
                <w:color w:val="auto"/>
                <w:sz w:val="21"/>
                <w:szCs w:val="21"/>
                <w:lang w:val="en-US" w:eastAsia="zh-CN"/>
              </w:rPr>
              <w:t>方案</w:t>
            </w:r>
          </w:p>
          <w:p>
            <w:pPr>
              <w:spacing w:line="320" w:lineRule="exact"/>
              <w:jc w:val="center"/>
              <w:rPr>
                <w:rFonts w:hint="eastAsia" w:ascii="宋体" w:hAnsi="宋体" w:cs="宋体"/>
                <w:color w:val="auto"/>
                <w:szCs w:val="21"/>
                <w:highlight w:val="none"/>
              </w:rPr>
            </w:pPr>
          </w:p>
        </w:tc>
        <w:tc>
          <w:tcPr>
            <w:tcW w:w="1073" w:type="dxa"/>
            <w:gridSpan w:val="2"/>
            <w:vAlign w:val="center"/>
          </w:tcPr>
          <w:p>
            <w:pPr>
              <w:spacing w:line="320" w:lineRule="exact"/>
              <w:jc w:val="center"/>
              <w:rPr>
                <w:rFonts w:hint="eastAsia" w:ascii="宋体" w:hAnsi="宋体" w:cs="宋体"/>
                <w:color w:val="auto"/>
                <w:szCs w:val="21"/>
                <w:highlight w:val="none"/>
              </w:rPr>
            </w:pPr>
            <w:r>
              <w:rPr>
                <w:rFonts w:hint="eastAsia" w:ascii="宋体" w:hAnsi="宋体" w:cs="宋体"/>
                <w:b w:val="0"/>
                <w:bCs w:val="0"/>
                <w:color w:val="auto"/>
                <w:sz w:val="21"/>
                <w:szCs w:val="21"/>
                <w:lang w:val="en-US" w:eastAsia="zh-CN"/>
              </w:rPr>
              <w:t>30</w:t>
            </w:r>
          </w:p>
        </w:tc>
        <w:tc>
          <w:tcPr>
            <w:tcW w:w="4638" w:type="dxa"/>
            <w:vAlign w:val="center"/>
          </w:tcPr>
          <w:p>
            <w:pPr>
              <w:pStyle w:val="13"/>
              <w:numPr>
                <w:ilvl w:val="-1"/>
                <w:numId w:val="0"/>
              </w:numPr>
              <w:adjustRightInd/>
              <w:spacing w:before="0" w:beforeLines="0" w:after="0" w:afterLines="0" w:line="320" w:lineRule="exact"/>
              <w:jc w:val="left"/>
              <w:textAlignment w:val="auto"/>
              <w:rPr>
                <w:rFonts w:ascii="宋体" w:hAnsi="宋体" w:eastAsia="宋体" w:cs="宋体"/>
                <w:color w:val="auto"/>
                <w:sz w:val="21"/>
                <w:szCs w:val="21"/>
              </w:rPr>
            </w:pP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1</w:t>
            </w:r>
            <w:r>
              <w:rPr>
                <w:rFonts w:hint="eastAsia" w:ascii="宋体" w:hAnsi="宋体" w:cs="宋体"/>
                <w:color w:val="auto"/>
                <w:sz w:val="21"/>
                <w:szCs w:val="21"/>
                <w:lang w:eastAsia="zh-CN"/>
              </w:rPr>
              <w:t>）</w:t>
            </w:r>
            <w:r>
              <w:rPr>
                <w:rFonts w:ascii="宋体" w:hAnsi="宋体" w:eastAsia="宋体" w:cs="宋体"/>
                <w:color w:val="auto"/>
                <w:sz w:val="21"/>
                <w:szCs w:val="21"/>
              </w:rPr>
              <w:t>优秀（</w:t>
            </w:r>
            <w:r>
              <w:rPr>
                <w:rFonts w:hint="eastAsia" w:ascii="宋体" w:hAnsi="宋体" w:cs="宋体"/>
                <w:color w:val="auto"/>
                <w:sz w:val="21"/>
                <w:szCs w:val="21"/>
                <w:lang w:val="en-US" w:eastAsia="zh-CN"/>
              </w:rPr>
              <w:t>23-30</w:t>
            </w:r>
            <w:r>
              <w:rPr>
                <w:rFonts w:ascii="宋体" w:hAnsi="宋体" w:eastAsia="宋体" w:cs="宋体"/>
                <w:color w:val="auto"/>
                <w:sz w:val="21"/>
                <w:szCs w:val="21"/>
              </w:rPr>
              <w:t>分）：测绘工作流程完整，测绘基准、比例尺、外业采集、内业处理、成果校验、质量自检流程齐全；明确满足风电项目地形图成果交付要求，针对山地风电场外业作业难点有具体技术处置措施，方案可落地；可研编制工作内容完整覆盖风能资源、工程地质、接入系统、总图布置、投资估算、财务评价、环保水保等风电可研核心章节；工作分工、资料收集、多方案比选、内部评审校核机制完整，贴合两个风电场开发实际；</w:t>
            </w:r>
          </w:p>
          <w:p>
            <w:pPr>
              <w:pStyle w:val="13"/>
              <w:numPr>
                <w:ilvl w:val="-1"/>
                <w:numId w:val="0"/>
              </w:numPr>
              <w:adjustRightInd/>
              <w:spacing w:before="0" w:beforeLines="0" w:after="0" w:afterLines="0" w:line="320" w:lineRule="exact"/>
              <w:jc w:val="left"/>
              <w:textAlignment w:val="auto"/>
              <w:rPr>
                <w:rFonts w:ascii="宋体" w:hAnsi="宋体" w:eastAsia="宋体" w:cs="宋体"/>
                <w:color w:val="auto"/>
                <w:sz w:val="21"/>
                <w:szCs w:val="21"/>
              </w:rPr>
            </w:pP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2</w:t>
            </w:r>
            <w:r>
              <w:rPr>
                <w:rFonts w:hint="eastAsia" w:ascii="宋体" w:hAnsi="宋体" w:cs="宋体"/>
                <w:color w:val="auto"/>
                <w:sz w:val="21"/>
                <w:szCs w:val="21"/>
                <w:lang w:eastAsia="zh-CN"/>
              </w:rPr>
              <w:t>）</w:t>
            </w:r>
            <w:r>
              <w:rPr>
                <w:rFonts w:ascii="宋体" w:hAnsi="宋体" w:eastAsia="宋体" w:cs="宋体"/>
                <w:color w:val="auto"/>
                <w:sz w:val="21"/>
                <w:szCs w:val="21"/>
              </w:rPr>
              <w:t>良好（</w:t>
            </w:r>
            <w:r>
              <w:rPr>
                <w:rFonts w:hint="eastAsia" w:ascii="宋体" w:hAnsi="宋体" w:cs="宋体"/>
                <w:color w:val="auto"/>
                <w:sz w:val="21"/>
                <w:szCs w:val="21"/>
                <w:lang w:val="en-US" w:eastAsia="zh-CN"/>
              </w:rPr>
              <w:t>15-22</w:t>
            </w:r>
            <w:r>
              <w:rPr>
                <w:rFonts w:ascii="宋体" w:hAnsi="宋体" w:eastAsia="宋体" w:cs="宋体"/>
                <w:color w:val="auto"/>
                <w:sz w:val="21"/>
                <w:szCs w:val="21"/>
              </w:rPr>
              <w:t>分）：测绘流程基本完整，主要技术要求响应到位，措施较合理；可研编制主要章节齐全，工作流程基本合理；</w:t>
            </w:r>
          </w:p>
          <w:p>
            <w:pPr>
              <w:pStyle w:val="13"/>
              <w:numPr>
                <w:ilvl w:val="-1"/>
                <w:numId w:val="0"/>
              </w:numPr>
              <w:adjustRightInd/>
              <w:spacing w:before="0" w:beforeLines="0" w:after="0" w:afterLines="0" w:line="320" w:lineRule="exact"/>
              <w:jc w:val="left"/>
              <w:textAlignment w:val="auto"/>
              <w:rPr>
                <w:rFonts w:ascii="宋体" w:hAnsi="宋体" w:eastAsia="宋体" w:cs="宋体"/>
                <w:color w:val="auto"/>
                <w:sz w:val="21"/>
                <w:szCs w:val="21"/>
              </w:rPr>
            </w:pP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3</w:t>
            </w:r>
            <w:r>
              <w:rPr>
                <w:rFonts w:hint="eastAsia" w:ascii="宋体" w:hAnsi="宋体" w:cs="宋体"/>
                <w:color w:val="auto"/>
                <w:sz w:val="21"/>
                <w:szCs w:val="21"/>
                <w:lang w:eastAsia="zh-CN"/>
              </w:rPr>
              <w:t>）</w:t>
            </w:r>
            <w:r>
              <w:rPr>
                <w:rFonts w:ascii="宋体" w:hAnsi="宋体" w:eastAsia="宋体" w:cs="宋体"/>
                <w:color w:val="auto"/>
                <w:sz w:val="21"/>
                <w:szCs w:val="21"/>
              </w:rPr>
              <w:t>一般（</w:t>
            </w:r>
            <w:r>
              <w:rPr>
                <w:rFonts w:hint="eastAsia" w:ascii="宋体" w:hAnsi="宋体" w:cs="宋体"/>
                <w:color w:val="auto"/>
                <w:sz w:val="21"/>
                <w:szCs w:val="21"/>
                <w:lang w:val="en-US" w:eastAsia="zh-CN"/>
              </w:rPr>
              <w:t>7-14</w:t>
            </w:r>
            <w:r>
              <w:rPr>
                <w:rFonts w:ascii="宋体" w:hAnsi="宋体" w:eastAsia="宋体" w:cs="宋体"/>
                <w:color w:val="auto"/>
                <w:sz w:val="21"/>
                <w:szCs w:val="21"/>
              </w:rPr>
              <w:t>分）：流程有缺项，技术措施较为笼统；编制内容存在缺项，方案偏通用，缺少风电项目针对性；</w:t>
            </w:r>
          </w:p>
          <w:p>
            <w:pPr>
              <w:pStyle w:val="13"/>
              <w:numPr>
                <w:ilvl w:val="-1"/>
                <w:numId w:val="0"/>
              </w:numPr>
              <w:adjustRightInd/>
              <w:spacing w:before="0" w:beforeLines="0" w:after="0" w:afterLines="0" w:line="320" w:lineRule="exact"/>
              <w:jc w:val="left"/>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4</w:t>
            </w:r>
            <w:r>
              <w:rPr>
                <w:rFonts w:hint="eastAsia" w:ascii="宋体" w:hAnsi="宋体" w:cs="宋体"/>
                <w:color w:val="auto"/>
                <w:sz w:val="21"/>
                <w:szCs w:val="21"/>
                <w:lang w:eastAsia="zh-CN"/>
              </w:rPr>
              <w:t>）</w:t>
            </w:r>
            <w:r>
              <w:rPr>
                <w:rFonts w:ascii="宋体" w:hAnsi="宋体" w:eastAsia="宋体" w:cs="宋体"/>
                <w:color w:val="auto"/>
                <w:sz w:val="21"/>
                <w:szCs w:val="21"/>
              </w:rPr>
              <w:t>较差（</w:t>
            </w:r>
            <w:r>
              <w:rPr>
                <w:rFonts w:hint="eastAsia" w:ascii="宋体" w:hAnsi="宋体" w:cs="宋体"/>
                <w:color w:val="auto"/>
                <w:sz w:val="21"/>
                <w:szCs w:val="21"/>
                <w:lang w:eastAsia="zh-CN"/>
              </w:rPr>
              <w:t>0</w:t>
            </w:r>
            <w:r>
              <w:rPr>
                <w:rFonts w:hint="eastAsia" w:ascii="宋体" w:hAnsi="宋体" w:cs="宋体"/>
                <w:color w:val="auto"/>
                <w:sz w:val="21"/>
                <w:szCs w:val="21"/>
                <w:lang w:val="en-US" w:eastAsia="zh-CN"/>
              </w:rPr>
              <w:t>-6</w:t>
            </w:r>
            <w:r>
              <w:rPr>
                <w:rFonts w:ascii="宋体" w:hAnsi="宋体" w:eastAsia="宋体" w:cs="宋体"/>
                <w:color w:val="auto"/>
                <w:sz w:val="21"/>
                <w:szCs w:val="21"/>
              </w:rPr>
              <w:t>分）：测绘实施方案关键环节缺失，无法满足项目需求</w:t>
            </w:r>
            <w:r>
              <w:rPr>
                <w:rFonts w:hint="eastAsia" w:ascii="宋体" w:hAnsi="宋体" w:cs="宋体"/>
                <w:color w:val="auto"/>
                <w:sz w:val="21"/>
                <w:szCs w:val="21"/>
                <w:lang w:eastAsia="zh-CN"/>
              </w:rPr>
              <w:t>；</w:t>
            </w:r>
            <w:r>
              <w:rPr>
                <w:rFonts w:ascii="宋体" w:hAnsi="宋体" w:eastAsia="宋体" w:cs="宋体"/>
                <w:color w:val="auto"/>
                <w:sz w:val="21"/>
                <w:szCs w:val="21"/>
              </w:rPr>
              <w:t>可研编制方案关键内容缺失</w:t>
            </w:r>
            <w:r>
              <w:rPr>
                <w:rFonts w:hint="eastAsia" w:ascii="宋体" w:hAnsi="宋体" w:cs="宋体"/>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101" w:type="dxa"/>
            <w:vMerge w:val="continue"/>
            <w:vAlign w:val="center"/>
          </w:tcPr>
          <w:p>
            <w:pPr>
              <w:pStyle w:val="9"/>
              <w:spacing w:line="320" w:lineRule="exact"/>
              <w:ind w:firstLine="0" w:firstLineChars="0"/>
              <w:jc w:val="center"/>
              <w:rPr>
                <w:rFonts w:hint="eastAsia" w:ascii="宋体" w:hAnsi="宋体" w:cs="宋体"/>
                <w:color w:val="auto"/>
                <w:sz w:val="21"/>
                <w:szCs w:val="21"/>
                <w:highlight w:val="none"/>
              </w:rPr>
            </w:pPr>
          </w:p>
        </w:tc>
        <w:tc>
          <w:tcPr>
            <w:tcW w:w="1591" w:type="dxa"/>
            <w:vMerge w:val="continue"/>
            <w:vAlign w:val="center"/>
          </w:tcPr>
          <w:p>
            <w:pPr>
              <w:pStyle w:val="9"/>
              <w:spacing w:line="320" w:lineRule="exact"/>
              <w:ind w:firstLine="0" w:firstLineChars="0"/>
              <w:jc w:val="center"/>
              <w:rPr>
                <w:rFonts w:hint="eastAsia" w:ascii="宋体" w:hAnsi="宋体" w:cs="宋体"/>
                <w:color w:val="auto"/>
                <w:kern w:val="0"/>
                <w:sz w:val="21"/>
                <w:szCs w:val="21"/>
                <w:highlight w:val="none"/>
              </w:rPr>
            </w:pPr>
          </w:p>
        </w:tc>
        <w:tc>
          <w:tcPr>
            <w:tcW w:w="1061" w:type="dxa"/>
            <w:gridSpan w:val="2"/>
            <w:vAlign w:val="center"/>
          </w:tcPr>
          <w:p>
            <w:pPr>
              <w:pStyle w:val="13"/>
              <w:numPr>
                <w:ilvl w:val="0"/>
                <w:numId w:val="0"/>
              </w:numPr>
              <w:adjustRightInd/>
              <w:spacing w:before="0" w:beforeLines="0" w:after="0" w:afterLines="0" w:line="320" w:lineRule="exact"/>
              <w:jc w:val="left"/>
              <w:textAlignment w:val="auto"/>
              <w:rPr>
                <w:rFonts w:ascii="宋体" w:hAnsi="宋体" w:cs="宋体"/>
                <w:b w:val="0"/>
                <w:bCs w:val="0"/>
                <w:color w:val="auto"/>
                <w:sz w:val="21"/>
                <w:szCs w:val="21"/>
                <w:highlight w:val="none"/>
              </w:rPr>
            </w:pPr>
            <w:r>
              <w:rPr>
                <w:rFonts w:ascii="宋体" w:hAnsi="宋体" w:eastAsia="宋体" w:cs="宋体"/>
                <w:b w:val="0"/>
                <w:bCs w:val="0"/>
                <w:color w:val="auto"/>
                <w:sz w:val="21"/>
                <w:szCs w:val="21"/>
              </w:rPr>
              <w:t>进度计划及工期保障措施</w:t>
            </w:r>
          </w:p>
          <w:p>
            <w:pPr>
              <w:spacing w:line="320" w:lineRule="exact"/>
              <w:jc w:val="center"/>
              <w:rPr>
                <w:rFonts w:hint="eastAsia" w:ascii="宋体" w:hAnsi="宋体" w:cs="宋体"/>
                <w:color w:val="auto"/>
                <w:szCs w:val="21"/>
                <w:highlight w:val="none"/>
              </w:rPr>
            </w:pPr>
          </w:p>
        </w:tc>
        <w:tc>
          <w:tcPr>
            <w:tcW w:w="1073" w:type="dxa"/>
            <w:gridSpan w:val="2"/>
            <w:vAlign w:val="center"/>
          </w:tcPr>
          <w:p>
            <w:pPr>
              <w:pStyle w:val="13"/>
              <w:numPr>
                <w:ilvl w:val="0"/>
                <w:numId w:val="0"/>
              </w:numPr>
              <w:adjustRightInd/>
              <w:spacing w:before="0" w:beforeLines="0" w:after="0" w:afterLines="0" w:line="320" w:lineRule="exact"/>
              <w:jc w:val="left"/>
              <w:textAlignment w:val="auto"/>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10</w:t>
            </w:r>
          </w:p>
          <w:p>
            <w:pPr>
              <w:spacing w:line="320" w:lineRule="exact"/>
              <w:jc w:val="center"/>
              <w:rPr>
                <w:rFonts w:hint="eastAsia" w:ascii="宋体" w:hAnsi="宋体" w:cs="宋体"/>
                <w:color w:val="auto"/>
                <w:szCs w:val="21"/>
                <w:highlight w:val="none"/>
              </w:rPr>
            </w:pPr>
          </w:p>
        </w:tc>
        <w:tc>
          <w:tcPr>
            <w:tcW w:w="4638" w:type="dxa"/>
            <w:vAlign w:val="center"/>
          </w:tcPr>
          <w:p>
            <w:pPr>
              <w:pStyle w:val="13"/>
              <w:numPr>
                <w:ilvl w:val="0"/>
                <w:numId w:val="0"/>
              </w:numPr>
              <w:adjustRightInd/>
              <w:spacing w:before="0" w:beforeLines="0" w:after="0" w:afterLines="0" w:line="320" w:lineRule="exact"/>
              <w:jc w:val="left"/>
              <w:textAlignment w:val="auto"/>
              <w:rPr>
                <w:rFonts w:ascii="宋体" w:hAnsi="宋体" w:cs="宋体"/>
                <w:color w:val="auto"/>
                <w:sz w:val="21"/>
                <w:szCs w:val="21"/>
                <w:highlight w:val="none"/>
              </w:rPr>
            </w:pP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1</w:t>
            </w:r>
            <w:r>
              <w:rPr>
                <w:rFonts w:hint="eastAsia" w:ascii="宋体" w:hAnsi="宋体" w:cs="宋体"/>
                <w:color w:val="auto"/>
                <w:sz w:val="21"/>
                <w:szCs w:val="21"/>
                <w:lang w:eastAsia="zh-CN"/>
              </w:rPr>
              <w:t>）</w:t>
            </w:r>
            <w:r>
              <w:rPr>
                <w:rFonts w:ascii="宋体" w:hAnsi="宋体" w:eastAsia="宋体" w:cs="宋体"/>
                <w:color w:val="auto"/>
                <w:sz w:val="21"/>
                <w:szCs w:val="21"/>
              </w:rPr>
              <w:t>优秀（</w:t>
            </w:r>
            <w:r>
              <w:rPr>
                <w:rFonts w:hint="eastAsia" w:ascii="宋体" w:hAnsi="宋体" w:cs="宋体"/>
                <w:color w:val="auto"/>
                <w:sz w:val="21"/>
                <w:szCs w:val="21"/>
                <w:lang w:val="en-US" w:eastAsia="zh-CN"/>
              </w:rPr>
              <w:t>8-10</w:t>
            </w:r>
            <w:r>
              <w:rPr>
                <w:rFonts w:ascii="宋体" w:hAnsi="宋体" w:eastAsia="宋体" w:cs="宋体"/>
                <w:color w:val="auto"/>
                <w:sz w:val="21"/>
                <w:szCs w:val="21"/>
              </w:rPr>
              <w:t>分）：针对两个项目分别制定清晰的节点计划，明确测绘、中间成果、可研初稿、可研终稿交付时间；工期保障、人员配置、风险预判及赶工预案具体可行；</w:t>
            </w:r>
          </w:p>
          <w:p>
            <w:pPr>
              <w:pStyle w:val="13"/>
              <w:numPr>
                <w:ilvl w:val="0"/>
                <w:numId w:val="0"/>
              </w:numPr>
              <w:adjustRightInd/>
              <w:spacing w:before="0" w:beforeLines="0" w:after="0" w:afterLines="0" w:line="320" w:lineRule="exact"/>
              <w:jc w:val="left"/>
              <w:textAlignment w:val="auto"/>
              <w:rPr>
                <w:rFonts w:ascii="宋体" w:hAnsi="宋体" w:cs="宋体"/>
                <w:color w:val="auto"/>
                <w:sz w:val="21"/>
                <w:szCs w:val="21"/>
                <w:highlight w:val="none"/>
              </w:rPr>
            </w:pP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2</w:t>
            </w:r>
            <w:r>
              <w:rPr>
                <w:rFonts w:hint="eastAsia" w:ascii="宋体" w:hAnsi="宋体" w:cs="宋体"/>
                <w:color w:val="auto"/>
                <w:sz w:val="21"/>
                <w:szCs w:val="21"/>
                <w:lang w:eastAsia="zh-CN"/>
              </w:rPr>
              <w:t>）</w:t>
            </w:r>
            <w:r>
              <w:rPr>
                <w:rFonts w:ascii="宋体" w:hAnsi="宋体" w:eastAsia="宋体" w:cs="宋体"/>
                <w:color w:val="auto"/>
                <w:sz w:val="21"/>
                <w:szCs w:val="21"/>
              </w:rPr>
              <w:t>良好（</w:t>
            </w:r>
            <w:r>
              <w:rPr>
                <w:rFonts w:hint="eastAsia" w:ascii="宋体" w:hAnsi="宋体" w:cs="宋体"/>
                <w:color w:val="auto"/>
                <w:sz w:val="21"/>
                <w:szCs w:val="21"/>
                <w:lang w:val="en-US" w:eastAsia="zh-CN"/>
              </w:rPr>
              <w:t>4-6</w:t>
            </w:r>
            <w:r>
              <w:rPr>
                <w:rFonts w:ascii="宋体" w:hAnsi="宋体" w:eastAsia="宋体" w:cs="宋体"/>
                <w:color w:val="auto"/>
                <w:sz w:val="21"/>
                <w:szCs w:val="21"/>
              </w:rPr>
              <w:t>分）：进度节点完整，保障措施基本到位；</w:t>
            </w:r>
          </w:p>
          <w:p>
            <w:pPr>
              <w:pStyle w:val="13"/>
              <w:numPr>
                <w:ilvl w:val="0"/>
                <w:numId w:val="0"/>
              </w:numPr>
              <w:adjustRightInd/>
              <w:spacing w:before="0" w:beforeLines="0" w:after="0" w:afterLines="0" w:line="320" w:lineRule="exact"/>
              <w:jc w:val="left"/>
              <w:textAlignment w:val="auto"/>
              <w:rPr>
                <w:rFonts w:ascii="宋体" w:hAnsi="宋体" w:cs="宋体"/>
                <w:color w:val="auto"/>
                <w:sz w:val="21"/>
                <w:szCs w:val="21"/>
                <w:highlight w:val="none"/>
              </w:rPr>
            </w:pP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3</w:t>
            </w:r>
            <w:r>
              <w:rPr>
                <w:rFonts w:hint="eastAsia" w:ascii="宋体" w:hAnsi="宋体" w:cs="宋体"/>
                <w:color w:val="auto"/>
                <w:sz w:val="21"/>
                <w:szCs w:val="21"/>
                <w:lang w:eastAsia="zh-CN"/>
              </w:rPr>
              <w:t>）</w:t>
            </w:r>
            <w:r>
              <w:rPr>
                <w:rFonts w:ascii="宋体" w:hAnsi="宋体" w:eastAsia="宋体" w:cs="宋体"/>
                <w:color w:val="auto"/>
                <w:sz w:val="21"/>
                <w:szCs w:val="21"/>
              </w:rPr>
              <w:t>一般（</w:t>
            </w:r>
            <w:r>
              <w:rPr>
                <w:rFonts w:hint="eastAsia" w:ascii="宋体" w:hAnsi="宋体" w:cs="宋体"/>
                <w:color w:val="auto"/>
                <w:sz w:val="21"/>
                <w:szCs w:val="21"/>
                <w:lang w:val="en-US" w:eastAsia="zh-CN"/>
              </w:rPr>
              <w:t>1-3</w:t>
            </w:r>
            <w:r>
              <w:rPr>
                <w:rFonts w:ascii="宋体" w:hAnsi="宋体" w:eastAsia="宋体" w:cs="宋体"/>
                <w:color w:val="auto"/>
                <w:sz w:val="21"/>
                <w:szCs w:val="21"/>
              </w:rPr>
              <w:t>分）：计划笼统，缺少风险应对措施；</w:t>
            </w:r>
          </w:p>
          <w:p>
            <w:pPr>
              <w:pStyle w:val="13"/>
              <w:numPr>
                <w:ilvl w:val="0"/>
                <w:numId w:val="0"/>
              </w:numPr>
              <w:adjustRightInd/>
              <w:spacing w:before="0" w:beforeLines="0" w:after="0" w:afterLines="0" w:line="320" w:lineRule="exact"/>
              <w:jc w:val="left"/>
              <w:textAlignment w:val="auto"/>
              <w:rPr>
                <w:rFonts w:hint="eastAsia" w:ascii="宋体" w:hAnsi="宋体" w:cs="宋体"/>
                <w:color w:val="auto"/>
                <w:sz w:val="21"/>
                <w:szCs w:val="21"/>
                <w:highlight w:val="none"/>
              </w:rPr>
            </w:pP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4</w:t>
            </w:r>
            <w:r>
              <w:rPr>
                <w:rFonts w:hint="eastAsia" w:ascii="宋体" w:hAnsi="宋体" w:cs="宋体"/>
                <w:color w:val="auto"/>
                <w:sz w:val="21"/>
                <w:szCs w:val="21"/>
                <w:lang w:eastAsia="zh-CN"/>
              </w:rPr>
              <w:t>）</w:t>
            </w:r>
            <w:r>
              <w:rPr>
                <w:rFonts w:ascii="宋体" w:hAnsi="宋体" w:eastAsia="宋体" w:cs="宋体"/>
                <w:color w:val="auto"/>
                <w:sz w:val="21"/>
                <w:szCs w:val="21"/>
              </w:rPr>
              <w:t>较差（</w:t>
            </w:r>
            <w:r>
              <w:rPr>
                <w:rFonts w:hint="eastAsia" w:ascii="宋体" w:hAnsi="宋体" w:cs="宋体"/>
                <w:color w:val="auto"/>
                <w:sz w:val="21"/>
                <w:szCs w:val="21"/>
                <w:lang w:eastAsia="zh-CN"/>
              </w:rPr>
              <w:t>0</w:t>
            </w:r>
            <w:r>
              <w:rPr>
                <w:rFonts w:ascii="宋体" w:hAnsi="宋体" w:eastAsia="宋体" w:cs="宋体"/>
                <w:color w:val="auto"/>
                <w:sz w:val="21"/>
                <w:szCs w:val="21"/>
              </w:rPr>
              <w:t>分）：无明确节点或工期安排不满足询价文件要求。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101" w:type="dxa"/>
            <w:vMerge w:val="continue"/>
            <w:vAlign w:val="center"/>
          </w:tcPr>
          <w:p>
            <w:pPr>
              <w:pStyle w:val="9"/>
              <w:spacing w:line="320" w:lineRule="exact"/>
              <w:ind w:firstLine="0" w:firstLineChars="0"/>
              <w:jc w:val="center"/>
              <w:rPr>
                <w:rFonts w:hint="eastAsia" w:ascii="宋体" w:hAnsi="宋体" w:cs="宋体"/>
                <w:color w:val="auto"/>
                <w:sz w:val="21"/>
                <w:szCs w:val="21"/>
                <w:highlight w:val="none"/>
              </w:rPr>
            </w:pPr>
          </w:p>
        </w:tc>
        <w:tc>
          <w:tcPr>
            <w:tcW w:w="1591" w:type="dxa"/>
            <w:vMerge w:val="continue"/>
            <w:vAlign w:val="center"/>
          </w:tcPr>
          <w:p>
            <w:pPr>
              <w:pStyle w:val="9"/>
              <w:spacing w:line="320" w:lineRule="exact"/>
              <w:ind w:firstLine="0" w:firstLineChars="0"/>
              <w:jc w:val="center"/>
              <w:rPr>
                <w:rFonts w:hint="eastAsia" w:ascii="宋体" w:hAnsi="宋体" w:cs="宋体"/>
                <w:color w:val="auto"/>
                <w:kern w:val="0"/>
                <w:sz w:val="21"/>
                <w:szCs w:val="21"/>
                <w:highlight w:val="none"/>
              </w:rPr>
            </w:pPr>
          </w:p>
        </w:tc>
        <w:tc>
          <w:tcPr>
            <w:tcW w:w="1061" w:type="dxa"/>
            <w:gridSpan w:val="2"/>
            <w:vAlign w:val="center"/>
          </w:tcPr>
          <w:p>
            <w:pPr>
              <w:spacing w:line="320" w:lineRule="exact"/>
              <w:jc w:val="center"/>
              <w:rPr>
                <w:rFonts w:hint="eastAsia" w:ascii="宋体" w:hAnsi="宋体" w:cs="宋体"/>
                <w:color w:val="auto"/>
                <w:szCs w:val="21"/>
                <w:highlight w:val="none"/>
              </w:rPr>
            </w:pPr>
            <w:r>
              <w:rPr>
                <w:rFonts w:ascii="宋体" w:hAnsi="宋体" w:eastAsia="宋体" w:cs="宋体"/>
                <w:b w:val="0"/>
                <w:bCs w:val="0"/>
                <w:color w:val="auto"/>
                <w:sz w:val="21"/>
                <w:szCs w:val="21"/>
              </w:rPr>
              <w:t>质量管控、成果交付及后续技术服务保障</w:t>
            </w:r>
          </w:p>
        </w:tc>
        <w:tc>
          <w:tcPr>
            <w:tcW w:w="1073" w:type="dxa"/>
            <w:gridSpan w:val="2"/>
            <w:vAlign w:val="center"/>
          </w:tcPr>
          <w:p>
            <w:pPr>
              <w:pStyle w:val="13"/>
              <w:numPr>
                <w:ilvl w:val="0"/>
                <w:numId w:val="0"/>
              </w:numPr>
              <w:adjustRightInd/>
              <w:spacing w:before="0" w:beforeLines="0" w:after="0" w:afterLines="0" w:line="320" w:lineRule="exact"/>
              <w:jc w:val="left"/>
              <w:textAlignment w:val="auto"/>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10</w:t>
            </w:r>
          </w:p>
          <w:p>
            <w:pPr>
              <w:spacing w:line="320" w:lineRule="exact"/>
              <w:jc w:val="center"/>
              <w:rPr>
                <w:rFonts w:hint="eastAsia" w:ascii="宋体" w:hAnsi="宋体" w:cs="宋体"/>
                <w:color w:val="auto"/>
                <w:szCs w:val="21"/>
                <w:highlight w:val="none"/>
              </w:rPr>
            </w:pPr>
          </w:p>
        </w:tc>
        <w:tc>
          <w:tcPr>
            <w:tcW w:w="4638" w:type="dxa"/>
            <w:vAlign w:val="center"/>
          </w:tcPr>
          <w:p>
            <w:pPr>
              <w:pStyle w:val="13"/>
              <w:numPr>
                <w:ilvl w:val="0"/>
                <w:numId w:val="0"/>
              </w:numPr>
              <w:adjustRightInd/>
              <w:spacing w:before="0" w:beforeLines="0" w:after="0" w:afterLines="0" w:line="320" w:lineRule="exact"/>
              <w:jc w:val="left"/>
              <w:textAlignment w:val="auto"/>
              <w:rPr>
                <w:rFonts w:ascii="宋体" w:hAnsi="宋体" w:cs="宋体"/>
                <w:color w:val="auto"/>
                <w:sz w:val="21"/>
                <w:szCs w:val="21"/>
                <w:highlight w:val="none"/>
              </w:rPr>
            </w:pP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1</w:t>
            </w:r>
            <w:r>
              <w:rPr>
                <w:rFonts w:hint="eastAsia" w:ascii="宋体" w:hAnsi="宋体" w:cs="宋体"/>
                <w:color w:val="auto"/>
                <w:sz w:val="21"/>
                <w:szCs w:val="21"/>
                <w:lang w:eastAsia="zh-CN"/>
              </w:rPr>
              <w:t>）</w:t>
            </w:r>
            <w:r>
              <w:rPr>
                <w:rFonts w:ascii="宋体" w:hAnsi="宋体" w:eastAsia="宋体" w:cs="宋体"/>
                <w:color w:val="auto"/>
                <w:sz w:val="21"/>
                <w:szCs w:val="21"/>
              </w:rPr>
              <w:t>优秀（</w:t>
            </w:r>
            <w:r>
              <w:rPr>
                <w:rFonts w:hint="eastAsia" w:ascii="宋体" w:hAnsi="宋体" w:cs="宋体"/>
                <w:color w:val="auto"/>
                <w:sz w:val="21"/>
                <w:szCs w:val="21"/>
                <w:lang w:val="en-US" w:eastAsia="zh-CN"/>
              </w:rPr>
              <w:t>8-10</w:t>
            </w:r>
            <w:r>
              <w:rPr>
                <w:rFonts w:ascii="宋体" w:hAnsi="宋体" w:eastAsia="宋体" w:cs="宋体"/>
                <w:color w:val="auto"/>
                <w:sz w:val="21"/>
                <w:szCs w:val="21"/>
              </w:rPr>
              <w:t>分）：建立测绘、可研两级内部审核制度，明确成果自检、互审、终审流程；成果交付清单完整，包含纸质、电子版；针对主管部门、集团内部评审修改、答疑、配合报批等后续技术服务有明确保障措施；</w:t>
            </w:r>
          </w:p>
          <w:p>
            <w:pPr>
              <w:pStyle w:val="13"/>
              <w:numPr>
                <w:ilvl w:val="0"/>
                <w:numId w:val="0"/>
              </w:numPr>
              <w:adjustRightInd/>
              <w:spacing w:before="0" w:beforeLines="0" w:after="0" w:afterLines="0" w:line="320" w:lineRule="exact"/>
              <w:jc w:val="left"/>
              <w:textAlignment w:val="auto"/>
              <w:rPr>
                <w:rFonts w:ascii="宋体" w:hAnsi="宋体" w:cs="宋体"/>
                <w:color w:val="auto"/>
                <w:sz w:val="21"/>
                <w:szCs w:val="21"/>
                <w:highlight w:val="none"/>
              </w:rPr>
            </w:pP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2</w:t>
            </w:r>
            <w:r>
              <w:rPr>
                <w:rFonts w:hint="eastAsia" w:ascii="宋体" w:hAnsi="宋体" w:cs="宋体"/>
                <w:color w:val="auto"/>
                <w:sz w:val="21"/>
                <w:szCs w:val="21"/>
                <w:lang w:eastAsia="zh-CN"/>
              </w:rPr>
              <w:t>）</w:t>
            </w:r>
            <w:r>
              <w:rPr>
                <w:rFonts w:ascii="宋体" w:hAnsi="宋体" w:eastAsia="宋体" w:cs="宋体"/>
                <w:color w:val="auto"/>
                <w:sz w:val="21"/>
                <w:szCs w:val="21"/>
              </w:rPr>
              <w:t>良好</w:t>
            </w:r>
            <w:r>
              <w:rPr>
                <w:rFonts w:hint="eastAsia" w:ascii="宋体" w:hAnsi="宋体" w:cs="宋体"/>
                <w:color w:val="auto"/>
                <w:sz w:val="21"/>
                <w:szCs w:val="21"/>
                <w:lang w:val="en-US" w:eastAsia="zh-CN"/>
              </w:rPr>
              <w:t>4-6</w:t>
            </w:r>
            <w:r>
              <w:rPr>
                <w:rFonts w:ascii="宋体" w:hAnsi="宋体" w:eastAsia="宋体" w:cs="宋体"/>
                <w:color w:val="auto"/>
                <w:sz w:val="21"/>
                <w:szCs w:val="21"/>
              </w:rPr>
              <w:t>分）：质量管控、交付、服务内容基本齐全；</w:t>
            </w:r>
          </w:p>
          <w:p>
            <w:pPr>
              <w:pStyle w:val="13"/>
              <w:numPr>
                <w:ilvl w:val="0"/>
                <w:numId w:val="0"/>
              </w:numPr>
              <w:adjustRightInd/>
              <w:spacing w:before="0" w:beforeLines="0" w:after="0" w:afterLines="0" w:line="320" w:lineRule="exact"/>
              <w:jc w:val="left"/>
              <w:textAlignment w:val="auto"/>
              <w:rPr>
                <w:rFonts w:ascii="宋体" w:hAnsi="宋体" w:cs="宋体"/>
                <w:color w:val="auto"/>
                <w:sz w:val="21"/>
                <w:szCs w:val="21"/>
                <w:highlight w:val="none"/>
              </w:rPr>
            </w:pP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3</w:t>
            </w:r>
            <w:r>
              <w:rPr>
                <w:rFonts w:hint="eastAsia" w:ascii="宋体" w:hAnsi="宋体" w:cs="宋体"/>
                <w:color w:val="auto"/>
                <w:sz w:val="21"/>
                <w:szCs w:val="21"/>
                <w:lang w:eastAsia="zh-CN"/>
              </w:rPr>
              <w:t>）</w:t>
            </w:r>
            <w:r>
              <w:rPr>
                <w:rFonts w:ascii="宋体" w:hAnsi="宋体" w:eastAsia="宋体" w:cs="宋体"/>
                <w:color w:val="auto"/>
                <w:sz w:val="21"/>
                <w:szCs w:val="21"/>
              </w:rPr>
              <w:t>一般（</w:t>
            </w:r>
            <w:r>
              <w:rPr>
                <w:rFonts w:hint="eastAsia" w:ascii="宋体" w:hAnsi="宋体" w:cs="宋体"/>
                <w:color w:val="auto"/>
                <w:sz w:val="21"/>
                <w:szCs w:val="21"/>
                <w:lang w:eastAsia="zh-CN"/>
              </w:rPr>
              <w:t>1</w:t>
            </w:r>
            <w:r>
              <w:rPr>
                <w:rFonts w:hint="eastAsia" w:ascii="宋体" w:hAnsi="宋体" w:cs="宋体"/>
                <w:color w:val="auto"/>
                <w:sz w:val="21"/>
                <w:szCs w:val="21"/>
                <w:lang w:val="en-US" w:eastAsia="zh-CN"/>
              </w:rPr>
              <w:t>-3</w:t>
            </w:r>
            <w:r>
              <w:rPr>
                <w:rFonts w:ascii="宋体" w:hAnsi="宋体" w:eastAsia="宋体" w:cs="宋体"/>
                <w:color w:val="auto"/>
                <w:sz w:val="21"/>
                <w:szCs w:val="21"/>
              </w:rPr>
              <w:t>分）：管控措施笼统，后续服务描述简单；</w:t>
            </w:r>
          </w:p>
          <w:p>
            <w:pPr>
              <w:pStyle w:val="13"/>
              <w:numPr>
                <w:ilvl w:val="0"/>
                <w:numId w:val="0"/>
              </w:numPr>
              <w:adjustRightInd/>
              <w:spacing w:before="0" w:beforeLines="0" w:after="0" w:afterLines="0" w:line="320" w:lineRule="exact"/>
              <w:jc w:val="left"/>
              <w:textAlignment w:val="auto"/>
              <w:rPr>
                <w:rFonts w:ascii="宋体" w:hAnsi="宋体" w:eastAsia="宋体" w:cs="宋体"/>
                <w:color w:val="auto"/>
                <w:sz w:val="21"/>
                <w:szCs w:val="21"/>
              </w:rPr>
            </w:pP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4</w:t>
            </w:r>
            <w:r>
              <w:rPr>
                <w:rFonts w:hint="eastAsia" w:ascii="宋体" w:hAnsi="宋体" w:cs="宋体"/>
                <w:color w:val="auto"/>
                <w:sz w:val="21"/>
                <w:szCs w:val="21"/>
                <w:lang w:eastAsia="zh-CN"/>
              </w:rPr>
              <w:t>）</w:t>
            </w:r>
            <w:r>
              <w:rPr>
                <w:rFonts w:ascii="宋体" w:hAnsi="宋体" w:eastAsia="宋体" w:cs="宋体"/>
                <w:color w:val="auto"/>
                <w:sz w:val="21"/>
                <w:szCs w:val="21"/>
              </w:rPr>
              <w:t>较差（0分）：质量管控、后续服务关键内容缺失。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jc w:val="center"/>
        </w:trPr>
        <w:tc>
          <w:tcPr>
            <w:tcW w:w="1101" w:type="dxa"/>
            <w:vMerge w:val="continue"/>
            <w:vAlign w:val="center"/>
          </w:tcPr>
          <w:p>
            <w:pPr>
              <w:pStyle w:val="9"/>
              <w:spacing w:line="320" w:lineRule="exact"/>
              <w:jc w:val="center"/>
              <w:rPr>
                <w:rFonts w:ascii="宋体" w:hAnsi="宋体" w:cs="宋体"/>
                <w:color w:val="auto"/>
                <w:sz w:val="21"/>
                <w:szCs w:val="21"/>
                <w:highlight w:val="none"/>
              </w:rPr>
            </w:pPr>
          </w:p>
        </w:tc>
        <w:tc>
          <w:tcPr>
            <w:tcW w:w="1591" w:type="dxa"/>
            <w:vMerge w:val="continue"/>
            <w:vAlign w:val="center"/>
          </w:tcPr>
          <w:p>
            <w:pPr>
              <w:pStyle w:val="9"/>
              <w:spacing w:line="320" w:lineRule="exact"/>
              <w:jc w:val="center"/>
              <w:rPr>
                <w:rFonts w:ascii="宋体" w:hAnsi="宋体" w:cs="宋体"/>
                <w:color w:val="auto"/>
                <w:sz w:val="21"/>
                <w:szCs w:val="21"/>
                <w:highlight w:val="none"/>
              </w:rPr>
            </w:pPr>
          </w:p>
        </w:tc>
        <w:tc>
          <w:tcPr>
            <w:tcW w:w="1061" w:type="dxa"/>
            <w:gridSpan w:val="2"/>
            <w:vAlign w:val="center"/>
          </w:tcPr>
          <w:p>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项目资源配置</w:t>
            </w:r>
          </w:p>
        </w:tc>
        <w:tc>
          <w:tcPr>
            <w:tcW w:w="1073" w:type="dxa"/>
            <w:gridSpan w:val="2"/>
            <w:vAlign w:val="center"/>
          </w:tcPr>
          <w:p>
            <w:pPr>
              <w:spacing w:line="320" w:lineRule="exact"/>
              <w:jc w:val="center"/>
              <w:rPr>
                <w:rFonts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0</w:t>
            </w:r>
          </w:p>
        </w:tc>
        <w:tc>
          <w:tcPr>
            <w:tcW w:w="4638" w:type="dxa"/>
            <w:vAlign w:val="center"/>
          </w:tcPr>
          <w:p>
            <w:pPr>
              <w:pStyle w:val="13"/>
              <w:adjustRightInd/>
              <w:spacing w:before="62" w:beforeLines="20" w:after="62" w:afterLines="20" w:line="320" w:lineRule="exact"/>
              <w:jc w:val="left"/>
              <w:textAlignment w:val="auto"/>
              <w:rPr>
                <w:rFonts w:ascii="宋体" w:hAnsi="宋体" w:cs="宋体"/>
                <w:color w:val="auto"/>
                <w:sz w:val="21"/>
                <w:szCs w:val="21"/>
                <w:highlight w:val="none"/>
              </w:rPr>
            </w:pPr>
            <w:r>
              <w:rPr>
                <w:rFonts w:hint="eastAsia" w:ascii="宋体" w:hAnsi="宋体" w:cs="宋体"/>
                <w:color w:val="auto"/>
                <w:sz w:val="21"/>
                <w:szCs w:val="21"/>
                <w:highlight w:val="none"/>
                <w:lang w:val="en-US" w:eastAsia="zh-CN"/>
              </w:rPr>
              <w:t>（1）优秀（13-20分）：</w:t>
            </w:r>
            <w:r>
              <w:rPr>
                <w:rFonts w:hint="eastAsia" w:ascii="宋体" w:hAnsi="宋体" w:cs="宋体"/>
                <w:color w:val="auto"/>
                <w:sz w:val="21"/>
                <w:szCs w:val="21"/>
                <w:highlight w:val="none"/>
              </w:rPr>
              <w:t>项目</w:t>
            </w:r>
            <w:r>
              <w:rPr>
                <w:rFonts w:hint="eastAsia" w:ascii="宋体" w:hAnsi="宋体" w:cs="宋体"/>
                <w:color w:val="auto"/>
                <w:sz w:val="21"/>
                <w:szCs w:val="21"/>
                <w:highlight w:val="none"/>
                <w:lang w:val="en-US" w:eastAsia="zh-CN"/>
              </w:rPr>
              <w:t>负责人、项目团队</w:t>
            </w:r>
            <w:r>
              <w:rPr>
                <w:rFonts w:hint="eastAsia" w:ascii="宋体" w:hAnsi="宋体" w:cs="宋体"/>
                <w:color w:val="auto"/>
                <w:sz w:val="21"/>
                <w:szCs w:val="21"/>
                <w:highlight w:val="none"/>
              </w:rPr>
              <w:t>配置人员结构合理、数量满足本项目要求</w:t>
            </w:r>
            <w:r>
              <w:rPr>
                <w:rFonts w:hint="eastAsia" w:ascii="宋体" w:hAnsi="宋体" w:cs="宋体"/>
                <w:color w:val="auto"/>
                <w:sz w:val="21"/>
                <w:szCs w:val="21"/>
                <w:highlight w:val="none"/>
                <w:lang w:eastAsia="zh-CN"/>
              </w:rPr>
              <w:t>；</w:t>
            </w:r>
          </w:p>
          <w:p>
            <w:pPr>
              <w:pStyle w:val="13"/>
              <w:adjustRightInd/>
              <w:spacing w:before="62" w:beforeLines="20" w:after="62" w:afterLines="20" w:line="320" w:lineRule="exact"/>
              <w:jc w:val="left"/>
              <w:textAlignment w:val="auto"/>
              <w:rPr>
                <w:rFonts w:ascii="宋体" w:hAnsi="宋体" w:cs="宋体"/>
                <w:color w:val="auto"/>
                <w:sz w:val="21"/>
                <w:szCs w:val="21"/>
                <w:highlight w:val="none"/>
              </w:rPr>
            </w:pPr>
            <w:r>
              <w:rPr>
                <w:rFonts w:hint="eastAsia" w:ascii="宋体" w:hAnsi="宋体" w:cs="宋体"/>
                <w:color w:val="auto"/>
                <w:sz w:val="21"/>
                <w:szCs w:val="21"/>
                <w:highlight w:val="none"/>
                <w:lang w:val="en-US" w:eastAsia="zh-CN"/>
              </w:rPr>
              <w:t>（2）良好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7-12</w:t>
            </w:r>
            <w:r>
              <w:rPr>
                <w:rFonts w:hint="eastAsia" w:ascii="宋体" w:hAnsi="宋体" w:cs="宋体"/>
                <w:color w:val="auto"/>
                <w:sz w:val="21"/>
                <w:szCs w:val="21"/>
                <w:highlight w:val="none"/>
              </w:rPr>
              <w:t>分</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项目</w:t>
            </w:r>
            <w:r>
              <w:rPr>
                <w:rFonts w:hint="eastAsia" w:ascii="宋体" w:hAnsi="宋体" w:cs="宋体"/>
                <w:color w:val="auto"/>
                <w:sz w:val="21"/>
                <w:szCs w:val="21"/>
                <w:highlight w:val="none"/>
                <w:lang w:val="en-US" w:eastAsia="zh-CN"/>
              </w:rPr>
              <w:t>负责人、项目团队</w:t>
            </w:r>
            <w:r>
              <w:rPr>
                <w:rFonts w:hint="eastAsia" w:ascii="宋体" w:hAnsi="宋体" w:cs="宋体"/>
                <w:color w:val="auto"/>
                <w:sz w:val="21"/>
                <w:szCs w:val="21"/>
                <w:highlight w:val="none"/>
              </w:rPr>
              <w:t>配置人员结构合理、数量</w:t>
            </w:r>
            <w:r>
              <w:rPr>
                <w:rFonts w:hint="eastAsia" w:ascii="宋体" w:hAnsi="宋体" w:cs="宋体"/>
                <w:color w:val="auto"/>
                <w:sz w:val="21"/>
                <w:szCs w:val="21"/>
                <w:highlight w:val="none"/>
                <w:lang w:val="en-US" w:eastAsia="zh-CN"/>
              </w:rPr>
              <w:t>基本</w:t>
            </w:r>
            <w:r>
              <w:rPr>
                <w:rFonts w:hint="eastAsia" w:ascii="宋体" w:hAnsi="宋体" w:cs="宋体"/>
                <w:color w:val="auto"/>
                <w:sz w:val="21"/>
                <w:szCs w:val="21"/>
                <w:highlight w:val="none"/>
              </w:rPr>
              <w:t>满足本项目要求；</w:t>
            </w:r>
          </w:p>
          <w:p>
            <w:pPr>
              <w:pStyle w:val="13"/>
              <w:adjustRightInd/>
              <w:spacing w:before="62" w:beforeLines="20" w:after="62" w:afterLines="20" w:line="320" w:lineRule="exact"/>
              <w:ind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一般</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0-6</w:t>
            </w:r>
            <w:r>
              <w:rPr>
                <w:rFonts w:hint="eastAsia" w:ascii="宋体" w:hAnsi="宋体" w:cs="宋体"/>
                <w:color w:val="auto"/>
                <w:sz w:val="21"/>
                <w:szCs w:val="21"/>
                <w:highlight w:val="none"/>
              </w:rPr>
              <w:t>分</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未按要求配置相关人员</w:t>
            </w:r>
            <w:r>
              <w:rPr>
                <w:rFonts w:hint="eastAsia" w:ascii="宋体" w:hAnsi="宋体" w:cs="宋体"/>
                <w:color w:val="auto"/>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101" w:type="dxa"/>
            <w:vMerge w:val="continue"/>
            <w:vAlign w:val="center"/>
          </w:tcPr>
          <w:p>
            <w:pPr>
              <w:pStyle w:val="9"/>
              <w:spacing w:line="320" w:lineRule="exact"/>
              <w:jc w:val="center"/>
              <w:rPr>
                <w:rFonts w:ascii="宋体" w:hAnsi="宋体" w:cs="宋体"/>
                <w:color w:val="auto"/>
                <w:sz w:val="21"/>
                <w:szCs w:val="21"/>
                <w:highlight w:val="none"/>
              </w:rPr>
            </w:pPr>
          </w:p>
        </w:tc>
        <w:tc>
          <w:tcPr>
            <w:tcW w:w="1591" w:type="dxa"/>
            <w:vMerge w:val="continue"/>
            <w:vAlign w:val="center"/>
          </w:tcPr>
          <w:p>
            <w:pPr>
              <w:pStyle w:val="9"/>
              <w:spacing w:line="320" w:lineRule="exact"/>
              <w:jc w:val="center"/>
              <w:rPr>
                <w:rFonts w:ascii="宋体" w:hAnsi="宋体" w:cs="宋体"/>
                <w:color w:val="auto"/>
                <w:sz w:val="21"/>
                <w:szCs w:val="21"/>
                <w:highlight w:val="none"/>
              </w:rPr>
            </w:pPr>
          </w:p>
        </w:tc>
        <w:tc>
          <w:tcPr>
            <w:tcW w:w="1061" w:type="dxa"/>
            <w:gridSpan w:val="2"/>
            <w:vAlign w:val="center"/>
          </w:tcPr>
          <w:p>
            <w:pPr>
              <w:spacing w:line="320" w:lineRule="exact"/>
              <w:jc w:val="center"/>
              <w:rPr>
                <w:rFonts w:hint="eastAsia" w:ascii="宋体" w:hAnsi="宋体" w:cs="宋体"/>
                <w:color w:val="auto"/>
                <w:szCs w:val="21"/>
                <w:highlight w:val="none"/>
              </w:rPr>
            </w:pPr>
            <w:r>
              <w:rPr>
                <w:rFonts w:ascii="宋体" w:hAnsi="宋体" w:eastAsia="宋体" w:cs="宋体"/>
                <w:b/>
                <w:bCs/>
                <w:color w:val="auto"/>
                <w:kern w:val="0"/>
                <w:sz w:val="21"/>
                <w:szCs w:val="21"/>
                <w:lang w:val="en-US" w:eastAsia="zh-CN" w:bidi="ar"/>
              </w:rPr>
              <w:t>项目重难点分析及应对措施</w:t>
            </w:r>
          </w:p>
        </w:tc>
        <w:tc>
          <w:tcPr>
            <w:tcW w:w="1073" w:type="dxa"/>
            <w:gridSpan w:val="2"/>
            <w:vAlign w:val="center"/>
          </w:tcPr>
          <w:p>
            <w:pPr>
              <w:spacing w:line="320" w:lineRule="exact"/>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10</w:t>
            </w:r>
          </w:p>
        </w:tc>
        <w:tc>
          <w:tcPr>
            <w:tcW w:w="4638" w:type="dxa"/>
            <w:vAlign w:val="center"/>
          </w:tcPr>
          <w:p>
            <w:pPr>
              <w:pStyle w:val="13"/>
              <w:keepNext w:val="0"/>
              <w:keepLines w:val="0"/>
              <w:widowControl/>
              <w:suppressLineNumbers w:val="0"/>
              <w:spacing w:before="62" w:beforeLines="20" w:after="62" w:afterLines="20" w:line="320" w:lineRule="exact"/>
              <w:jc w:val="left"/>
              <w:rPr>
                <w:rFonts w:ascii="宋体" w:hAnsi="宋体" w:eastAsia="宋体" w:cs="宋体"/>
                <w:color w:val="auto"/>
                <w:kern w:val="0"/>
                <w:sz w:val="21"/>
                <w:szCs w:val="21"/>
                <w:lang w:val="en-US" w:eastAsia="zh-CN" w:bidi="ar"/>
              </w:rPr>
            </w:pPr>
            <w:r>
              <w:rPr>
                <w:rStyle w:val="24"/>
                <w:rFonts w:hint="eastAsia" w:ascii="宋体" w:hAnsi="宋体" w:cs="宋体"/>
                <w:b w:val="0"/>
                <w:color w:val="auto"/>
                <w:kern w:val="0"/>
                <w:sz w:val="21"/>
                <w:szCs w:val="21"/>
                <w:lang w:val="en-US" w:eastAsia="zh-CN" w:bidi="ar"/>
              </w:rPr>
              <w:t>（1）</w:t>
            </w:r>
            <w:r>
              <w:rPr>
                <w:rStyle w:val="24"/>
                <w:rFonts w:ascii="宋体" w:hAnsi="宋体" w:eastAsia="宋体" w:cs="宋体"/>
                <w:b w:val="0"/>
                <w:color w:val="auto"/>
                <w:kern w:val="0"/>
                <w:sz w:val="21"/>
                <w:szCs w:val="21"/>
                <w:lang w:val="en-US" w:eastAsia="zh-CN" w:bidi="ar"/>
              </w:rPr>
              <w:t>优秀（</w:t>
            </w:r>
            <w:r>
              <w:rPr>
                <w:rStyle w:val="24"/>
                <w:rFonts w:hint="eastAsia" w:ascii="宋体" w:hAnsi="宋体" w:eastAsia="宋体" w:cs="宋体"/>
                <w:b w:val="0"/>
                <w:color w:val="auto"/>
                <w:kern w:val="0"/>
                <w:sz w:val="21"/>
                <w:szCs w:val="21"/>
                <w:lang w:val="en-US" w:eastAsia="zh-CN" w:bidi="ar"/>
              </w:rPr>
              <w:t>8-10</w:t>
            </w:r>
            <w:r>
              <w:rPr>
                <w:rStyle w:val="24"/>
                <w:rFonts w:ascii="宋体" w:hAnsi="宋体" w:eastAsia="宋体" w:cs="宋体"/>
                <w:b w:val="0"/>
                <w:color w:val="auto"/>
                <w:kern w:val="0"/>
                <w:sz w:val="21"/>
                <w:szCs w:val="21"/>
                <w:lang w:val="en-US" w:eastAsia="zh-CN" w:bidi="ar"/>
              </w:rPr>
              <w:t>分）</w:t>
            </w:r>
            <w:r>
              <w:rPr>
                <w:rFonts w:ascii="宋体" w:hAnsi="宋体" w:eastAsia="宋体" w:cs="宋体"/>
                <w:color w:val="auto"/>
                <w:kern w:val="0"/>
                <w:sz w:val="21"/>
                <w:szCs w:val="21"/>
                <w:lang w:val="en-US" w:eastAsia="zh-CN" w:bidi="ar"/>
              </w:rPr>
              <w:t>：精准识别本项目山地风电场测绘作业、双项目同步推进、可研数据校核、报审整改等核心重难点问题，结合项目场地、行业政策、报批要求制定针对性、可落地的专项应对方案，措施具体、贴合实际、可有效规避项目实施风险。</w:t>
            </w:r>
          </w:p>
          <w:p>
            <w:pPr>
              <w:pStyle w:val="13"/>
              <w:keepNext w:val="0"/>
              <w:keepLines w:val="0"/>
              <w:widowControl/>
              <w:suppressLineNumbers w:val="0"/>
              <w:spacing w:before="62" w:beforeLines="20" w:after="62" w:afterLines="20" w:line="320" w:lineRule="exact"/>
              <w:jc w:val="left"/>
              <w:rPr>
                <w:rFonts w:ascii="宋体" w:hAnsi="宋体" w:eastAsia="宋体" w:cs="宋体"/>
                <w:color w:val="auto"/>
                <w:kern w:val="0"/>
                <w:sz w:val="21"/>
                <w:szCs w:val="21"/>
                <w:lang w:val="en-US" w:eastAsia="zh-CN" w:bidi="ar"/>
              </w:rPr>
            </w:pPr>
            <w:r>
              <w:rPr>
                <w:rStyle w:val="24"/>
                <w:rFonts w:hint="eastAsia" w:ascii="宋体" w:hAnsi="宋体" w:cs="宋体"/>
                <w:b w:val="0"/>
                <w:color w:val="auto"/>
                <w:kern w:val="0"/>
                <w:sz w:val="21"/>
                <w:szCs w:val="21"/>
                <w:lang w:val="en-US" w:eastAsia="zh-CN" w:bidi="ar"/>
              </w:rPr>
              <w:t>（2）</w:t>
            </w:r>
            <w:r>
              <w:rPr>
                <w:rStyle w:val="24"/>
                <w:rFonts w:ascii="宋体" w:hAnsi="宋体" w:eastAsia="宋体" w:cs="宋体"/>
                <w:b w:val="0"/>
                <w:color w:val="auto"/>
                <w:kern w:val="0"/>
                <w:sz w:val="21"/>
                <w:szCs w:val="21"/>
                <w:lang w:val="en-US" w:eastAsia="zh-CN" w:bidi="ar"/>
              </w:rPr>
              <w:t>良好（</w:t>
            </w:r>
            <w:r>
              <w:rPr>
                <w:rStyle w:val="24"/>
                <w:rFonts w:hint="eastAsia" w:ascii="宋体" w:hAnsi="宋体" w:eastAsia="宋体" w:cs="宋体"/>
                <w:b w:val="0"/>
                <w:color w:val="auto"/>
                <w:kern w:val="0"/>
                <w:sz w:val="21"/>
                <w:szCs w:val="21"/>
                <w:lang w:val="en-US" w:eastAsia="zh-CN" w:bidi="ar"/>
              </w:rPr>
              <w:t>4-</w:t>
            </w:r>
            <w:r>
              <w:rPr>
                <w:rStyle w:val="24"/>
                <w:rFonts w:hint="eastAsia" w:ascii="宋体" w:hAnsi="宋体" w:cs="宋体"/>
                <w:b w:val="0"/>
                <w:color w:val="auto"/>
                <w:kern w:val="0"/>
                <w:sz w:val="21"/>
                <w:szCs w:val="21"/>
                <w:lang w:val="en-US" w:eastAsia="zh-CN" w:bidi="ar"/>
              </w:rPr>
              <w:t>6</w:t>
            </w:r>
            <w:r>
              <w:rPr>
                <w:rStyle w:val="24"/>
                <w:rFonts w:ascii="宋体" w:hAnsi="宋体" w:eastAsia="宋体" w:cs="宋体"/>
                <w:b w:val="0"/>
                <w:color w:val="auto"/>
                <w:kern w:val="0"/>
                <w:sz w:val="21"/>
                <w:szCs w:val="21"/>
                <w:lang w:val="en-US" w:eastAsia="zh-CN" w:bidi="ar"/>
              </w:rPr>
              <w:t>分）</w:t>
            </w:r>
            <w:r>
              <w:rPr>
                <w:rFonts w:ascii="宋体" w:hAnsi="宋体" w:eastAsia="宋体" w:cs="宋体"/>
                <w:color w:val="auto"/>
                <w:kern w:val="0"/>
                <w:sz w:val="21"/>
                <w:szCs w:val="21"/>
                <w:lang w:val="en-US" w:eastAsia="zh-CN" w:bidi="ar"/>
              </w:rPr>
              <w:t>：可识别项目主要重难点，应对措施基本可行，可应对大部分实施风险，措施细化程度不足。</w:t>
            </w:r>
          </w:p>
          <w:p>
            <w:pPr>
              <w:pStyle w:val="13"/>
              <w:keepNext w:val="0"/>
              <w:keepLines w:val="0"/>
              <w:widowControl/>
              <w:suppressLineNumbers w:val="0"/>
              <w:spacing w:before="62" w:beforeLines="20" w:after="62" w:afterLines="20" w:line="320" w:lineRule="exact"/>
              <w:jc w:val="left"/>
              <w:rPr>
                <w:rFonts w:ascii="宋体" w:hAnsi="宋体" w:eastAsia="宋体" w:cs="宋体"/>
                <w:color w:val="auto"/>
                <w:kern w:val="0"/>
                <w:sz w:val="21"/>
                <w:szCs w:val="21"/>
                <w:lang w:val="en-US" w:eastAsia="zh-CN" w:bidi="ar"/>
              </w:rPr>
            </w:pPr>
            <w:r>
              <w:rPr>
                <w:rStyle w:val="24"/>
                <w:rFonts w:hint="eastAsia" w:ascii="宋体" w:hAnsi="宋体" w:cs="宋体"/>
                <w:b w:val="0"/>
                <w:color w:val="auto"/>
                <w:kern w:val="0"/>
                <w:sz w:val="21"/>
                <w:szCs w:val="21"/>
                <w:lang w:val="en-US" w:eastAsia="zh-CN" w:bidi="ar"/>
              </w:rPr>
              <w:t>（3）</w:t>
            </w:r>
            <w:r>
              <w:rPr>
                <w:rStyle w:val="24"/>
                <w:rFonts w:ascii="宋体" w:hAnsi="宋体" w:eastAsia="宋体" w:cs="宋体"/>
                <w:b w:val="0"/>
                <w:color w:val="auto"/>
                <w:kern w:val="0"/>
                <w:sz w:val="21"/>
                <w:szCs w:val="21"/>
                <w:lang w:val="en-US" w:eastAsia="zh-CN" w:bidi="ar"/>
              </w:rPr>
              <w:t>一般（</w:t>
            </w:r>
            <w:r>
              <w:rPr>
                <w:rStyle w:val="24"/>
                <w:rFonts w:hint="eastAsia" w:ascii="宋体" w:hAnsi="宋体" w:eastAsia="宋体" w:cs="宋体"/>
                <w:b w:val="0"/>
                <w:color w:val="auto"/>
                <w:kern w:val="0"/>
                <w:sz w:val="21"/>
                <w:szCs w:val="21"/>
                <w:lang w:val="en-US" w:eastAsia="zh-CN" w:bidi="ar"/>
              </w:rPr>
              <w:t>1-3</w:t>
            </w:r>
            <w:r>
              <w:rPr>
                <w:rStyle w:val="24"/>
                <w:rFonts w:ascii="宋体" w:hAnsi="宋体" w:eastAsia="宋体" w:cs="宋体"/>
                <w:b w:val="0"/>
                <w:color w:val="auto"/>
                <w:kern w:val="0"/>
                <w:sz w:val="21"/>
                <w:szCs w:val="21"/>
                <w:lang w:val="en-US" w:eastAsia="zh-CN" w:bidi="ar"/>
              </w:rPr>
              <w:t>分）</w:t>
            </w:r>
            <w:r>
              <w:rPr>
                <w:rFonts w:ascii="宋体" w:hAnsi="宋体" w:eastAsia="宋体" w:cs="宋体"/>
                <w:color w:val="auto"/>
                <w:kern w:val="0"/>
                <w:sz w:val="21"/>
                <w:szCs w:val="21"/>
                <w:lang w:val="en-US" w:eastAsia="zh-CN" w:bidi="ar"/>
              </w:rPr>
              <w:t>：重难点识别不全面，应对措施笼统、针对性不足，仅具备基础防控框架。</w:t>
            </w:r>
          </w:p>
          <w:p>
            <w:pPr>
              <w:pStyle w:val="13"/>
              <w:adjustRightInd/>
              <w:spacing w:before="62" w:beforeLines="20" w:after="62" w:afterLines="20" w:line="320" w:lineRule="exact"/>
              <w:ind w:firstLine="0" w:firstLineChars="0"/>
              <w:jc w:val="left"/>
              <w:textAlignment w:val="auto"/>
              <w:rPr>
                <w:rFonts w:hint="eastAsia" w:ascii="宋体" w:hAnsi="宋体" w:cs="宋体"/>
                <w:color w:val="auto"/>
                <w:sz w:val="21"/>
                <w:szCs w:val="21"/>
                <w:highlight w:val="none"/>
              </w:rPr>
            </w:pPr>
            <w:r>
              <w:rPr>
                <w:rStyle w:val="24"/>
                <w:rFonts w:hint="eastAsia" w:ascii="宋体" w:hAnsi="宋体" w:cs="宋体"/>
                <w:b w:val="0"/>
                <w:color w:val="auto"/>
                <w:kern w:val="0"/>
                <w:sz w:val="21"/>
                <w:szCs w:val="21"/>
                <w:lang w:val="en-US" w:eastAsia="zh-CN" w:bidi="ar"/>
              </w:rPr>
              <w:t>（4）</w:t>
            </w:r>
            <w:r>
              <w:rPr>
                <w:rStyle w:val="24"/>
                <w:rFonts w:ascii="宋体" w:hAnsi="宋体" w:eastAsia="宋体" w:cs="宋体"/>
                <w:b w:val="0"/>
                <w:color w:val="auto"/>
                <w:kern w:val="0"/>
                <w:sz w:val="21"/>
                <w:szCs w:val="21"/>
                <w:lang w:val="en-US" w:eastAsia="zh-CN" w:bidi="ar"/>
              </w:rPr>
              <w:t>较差（0分）</w:t>
            </w:r>
            <w:r>
              <w:rPr>
                <w:rFonts w:ascii="宋体" w:hAnsi="宋体" w:eastAsia="宋体" w:cs="宋体"/>
                <w:color w:val="auto"/>
                <w:kern w:val="0"/>
                <w:sz w:val="21"/>
                <w:szCs w:val="21"/>
                <w:lang w:val="en-US" w:eastAsia="zh-CN" w:bidi="ar"/>
              </w:rPr>
              <w:t>：未识别项目重难点，无有效风险应对措施，无法保障项目平稳实施。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0" w:hRule="atLeast"/>
          <w:jc w:val="center"/>
        </w:trPr>
        <w:tc>
          <w:tcPr>
            <w:tcW w:w="1101" w:type="dxa"/>
            <w:vAlign w:val="center"/>
          </w:tcPr>
          <w:p>
            <w:pPr>
              <w:pStyle w:val="9"/>
              <w:spacing w:line="320" w:lineRule="exact"/>
              <w:ind w:firstLine="0" w:firstLineChars="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3.3</w:t>
            </w:r>
          </w:p>
          <w:p>
            <w:pPr>
              <w:pStyle w:val="9"/>
              <w:spacing w:line="320" w:lineRule="exact"/>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（3）</w:t>
            </w:r>
          </w:p>
        </w:tc>
        <w:tc>
          <w:tcPr>
            <w:tcW w:w="1591" w:type="dxa"/>
            <w:vAlign w:val="center"/>
          </w:tcPr>
          <w:p>
            <w:pPr>
              <w:widowControl/>
              <w:spacing w:line="32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报价部分</w:t>
            </w:r>
          </w:p>
          <w:p>
            <w:pPr>
              <w:pStyle w:val="9"/>
              <w:spacing w:line="320" w:lineRule="exact"/>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（100分，权重50%）</w:t>
            </w:r>
          </w:p>
        </w:tc>
        <w:tc>
          <w:tcPr>
            <w:tcW w:w="6772" w:type="dxa"/>
            <w:gridSpan w:val="5"/>
            <w:vAlign w:val="center"/>
          </w:tcPr>
          <w:p>
            <w:pPr>
              <w:spacing w:line="320" w:lineRule="exact"/>
              <w:ind w:right="0"/>
              <w:jc w:val="left"/>
              <w:rPr>
                <w:rFonts w:ascii="宋体" w:hAnsi="宋体" w:cs="宋体"/>
                <w:bCs/>
                <w:color w:val="auto"/>
                <w:szCs w:val="21"/>
                <w:highlight w:val="none"/>
              </w:rPr>
            </w:pPr>
            <w:r>
              <w:rPr>
                <w:rFonts w:hint="eastAsia" w:ascii="宋体" w:hAnsi="宋体" w:cs="宋体"/>
                <w:bCs/>
                <w:color w:val="auto"/>
                <w:szCs w:val="21"/>
                <w:highlight w:val="none"/>
              </w:rPr>
              <w:t>报价分满分100分，</w:t>
            </w:r>
            <w:r>
              <w:rPr>
                <w:rFonts w:ascii="宋体" w:hAnsi="宋体" w:eastAsia="宋体" w:cs="宋体"/>
                <w:color w:val="auto"/>
                <w:sz w:val="21"/>
                <w:szCs w:val="21"/>
              </w:rPr>
              <w:t>评审基准价为全部通过符合性审查的供应商评审价格的算术平均值</w:t>
            </w:r>
            <w:r>
              <w:rPr>
                <w:rFonts w:hint="eastAsia" w:ascii="宋体" w:hAnsi="宋体" w:eastAsia="宋体" w:cs="宋体"/>
                <w:color w:val="auto"/>
                <w:sz w:val="21"/>
                <w:szCs w:val="21"/>
                <w:lang w:eastAsia="zh-CN"/>
              </w:rPr>
              <w:t>，</w:t>
            </w:r>
            <w:r>
              <w:rPr>
                <w:rFonts w:hint="eastAsia" w:ascii="宋体" w:hAnsi="宋体" w:cs="宋体"/>
                <w:bCs/>
                <w:color w:val="auto"/>
                <w:szCs w:val="21"/>
                <w:highlight w:val="none"/>
              </w:rPr>
              <w:t>评分标准如下：</w:t>
            </w:r>
          </w:p>
          <w:p>
            <w:pPr>
              <w:keepNext w:val="0"/>
              <w:keepLines w:val="0"/>
              <w:widowControl/>
              <w:numPr>
                <w:ilvl w:val="-1"/>
                <w:numId w:val="0"/>
              </w:numPr>
              <w:suppressLineNumbers w:val="0"/>
              <w:spacing w:before="0" w:beforeAutospacing="0" w:after="0" w:afterAutospacing="0" w:line="320" w:lineRule="exact"/>
              <w:ind w:left="0" w:firstLine="0"/>
              <w:jc w:val="left"/>
              <w:rPr>
                <w:color w:val="auto"/>
              </w:rPr>
            </w:pPr>
            <w:r>
              <w:rPr>
                <w:rFonts w:hint="eastAsia" w:cs="Times New Roman"/>
                <w:color w:val="auto"/>
                <w:kern w:val="2"/>
                <w:sz w:val="24"/>
                <w:szCs w:val="24"/>
                <w:lang w:val="en-US" w:eastAsia="zh-CN" w:bidi="ar-SA"/>
              </w:rPr>
              <w:t>（一）</w:t>
            </w:r>
            <w:r>
              <w:rPr>
                <w:color w:val="auto"/>
              </w:rPr>
              <w:t>供应商评审价格等于评审基准价时，得基准分 90 分。</w:t>
            </w:r>
          </w:p>
          <w:p>
            <w:pPr>
              <w:keepNext w:val="0"/>
              <w:keepLines w:val="0"/>
              <w:widowControl/>
              <w:numPr>
                <w:ilvl w:val="-1"/>
                <w:numId w:val="0"/>
              </w:numPr>
              <w:suppressLineNumbers w:val="0"/>
              <w:spacing w:before="0" w:beforeAutospacing="0" w:after="0" w:afterAutospacing="0" w:line="320" w:lineRule="exact"/>
              <w:ind w:left="0" w:firstLine="0"/>
              <w:jc w:val="left"/>
              <w:rPr>
                <w:color w:val="auto"/>
              </w:rPr>
            </w:pPr>
            <w:r>
              <w:rPr>
                <w:rFonts w:hint="eastAsia" w:cs="Times New Roman"/>
                <w:color w:val="auto"/>
                <w:kern w:val="2"/>
                <w:sz w:val="24"/>
                <w:szCs w:val="24"/>
                <w:lang w:val="en-US" w:eastAsia="zh-CN" w:bidi="ar-SA"/>
              </w:rPr>
              <w:t>（二）</w:t>
            </w:r>
            <w:r>
              <w:rPr>
                <w:color w:val="auto"/>
              </w:rPr>
              <w:t>评审价格高于评审基准价的，每高出基准价 1%，在基准分基础上扣 1 分；最低不低于 60 分。</w:t>
            </w:r>
          </w:p>
          <w:p>
            <w:pPr>
              <w:keepNext w:val="0"/>
              <w:keepLines w:val="0"/>
              <w:widowControl/>
              <w:numPr>
                <w:ilvl w:val="-1"/>
                <w:numId w:val="0"/>
              </w:numPr>
              <w:suppressLineNumbers w:val="0"/>
              <w:spacing w:before="0" w:beforeAutospacing="0" w:after="0" w:afterAutospacing="0" w:line="320" w:lineRule="exact"/>
              <w:ind w:left="0" w:firstLine="0"/>
              <w:jc w:val="left"/>
              <w:rPr>
                <w:color w:val="auto"/>
              </w:rPr>
            </w:pPr>
            <w:r>
              <w:rPr>
                <w:rFonts w:hint="eastAsia"/>
                <w:color w:val="auto"/>
                <w:lang w:eastAsia="zh-CN"/>
              </w:rPr>
              <w:t>（</w:t>
            </w:r>
            <w:r>
              <w:rPr>
                <w:rFonts w:hint="eastAsia"/>
                <w:color w:val="auto"/>
                <w:lang w:val="en-US" w:eastAsia="zh-CN"/>
              </w:rPr>
              <w:t>三</w:t>
            </w:r>
            <w:r>
              <w:rPr>
                <w:rFonts w:hint="eastAsia"/>
                <w:color w:val="auto"/>
                <w:lang w:eastAsia="zh-CN"/>
              </w:rPr>
              <w:t>）</w:t>
            </w:r>
            <w:r>
              <w:rPr>
                <w:color w:val="auto"/>
              </w:rPr>
              <w:t>评审价格低于评审基准价</w:t>
            </w:r>
            <w:r>
              <w:rPr>
                <w:rFonts w:hint="eastAsia"/>
                <w:color w:val="auto"/>
                <w:lang w:val="en-US" w:eastAsia="zh-CN"/>
              </w:rPr>
              <w:t>10%及以内</w:t>
            </w:r>
            <w:r>
              <w:rPr>
                <w:color w:val="auto"/>
              </w:rPr>
              <w:t>的，每低于基准价 1%，在基准分基础上加 1 分；最高</w:t>
            </w:r>
            <w:r>
              <w:rPr>
                <w:rFonts w:hint="eastAsia"/>
                <w:color w:val="auto"/>
                <w:lang w:val="en-US" w:eastAsia="zh-CN"/>
              </w:rPr>
              <w:t>为</w:t>
            </w:r>
            <w:r>
              <w:rPr>
                <w:color w:val="auto"/>
              </w:rPr>
              <w:t>100分。</w:t>
            </w:r>
          </w:p>
          <w:p>
            <w:pPr>
              <w:keepNext w:val="0"/>
              <w:keepLines w:val="0"/>
              <w:widowControl/>
              <w:numPr>
                <w:ilvl w:val="-1"/>
                <w:numId w:val="0"/>
              </w:numPr>
              <w:suppressLineNumbers w:val="0"/>
              <w:spacing w:before="0" w:beforeAutospacing="0" w:after="0" w:afterAutospacing="0" w:line="320" w:lineRule="exact"/>
              <w:ind w:left="0" w:firstLine="0"/>
              <w:jc w:val="left"/>
              <w:rPr>
                <w:rFonts w:hint="eastAsia" w:cs="Times New Roman"/>
                <w:color w:val="auto"/>
                <w:kern w:val="2"/>
                <w:sz w:val="24"/>
                <w:szCs w:val="24"/>
                <w:lang w:val="en-US" w:eastAsia="zh-CN" w:bidi="ar-SA"/>
              </w:rPr>
            </w:pPr>
            <w:r>
              <w:rPr>
                <w:rFonts w:hint="eastAsia" w:cs="Times New Roman"/>
                <w:color w:val="auto"/>
                <w:kern w:val="2"/>
                <w:sz w:val="24"/>
                <w:szCs w:val="24"/>
                <w:lang w:val="en-US" w:eastAsia="zh-CN" w:bidi="ar-SA"/>
              </w:rPr>
              <w:t>（四）</w:t>
            </w:r>
            <w:r>
              <w:rPr>
                <w:color w:val="auto"/>
              </w:rPr>
              <w:t>评审价格低于评审基准价</w:t>
            </w:r>
            <w:r>
              <w:rPr>
                <w:rFonts w:hint="eastAsia"/>
                <w:color w:val="auto"/>
                <w:lang w:val="en-US" w:eastAsia="zh-CN"/>
              </w:rPr>
              <w:t>10%以外</w:t>
            </w:r>
            <w:r>
              <w:rPr>
                <w:color w:val="auto"/>
              </w:rPr>
              <w:t>的，每低于基准价1%，在</w:t>
            </w:r>
            <w:r>
              <w:rPr>
                <w:rFonts w:hint="eastAsia"/>
                <w:color w:val="auto"/>
                <w:lang w:val="en-US" w:eastAsia="zh-CN"/>
              </w:rPr>
              <w:t>满分</w:t>
            </w:r>
            <w:r>
              <w:rPr>
                <w:color w:val="auto"/>
              </w:rPr>
              <w:t>基础上</w:t>
            </w:r>
            <w:r>
              <w:rPr>
                <w:rFonts w:hint="eastAsia"/>
                <w:color w:val="auto"/>
                <w:lang w:val="en-US" w:eastAsia="zh-CN"/>
              </w:rPr>
              <w:t>扣</w:t>
            </w:r>
            <w:r>
              <w:rPr>
                <w:color w:val="auto"/>
              </w:rPr>
              <w:t xml:space="preserve"> 1 分；最低不低于 60 分。</w:t>
            </w:r>
          </w:p>
          <w:p>
            <w:pPr>
              <w:keepNext w:val="0"/>
              <w:keepLines w:val="0"/>
              <w:widowControl/>
              <w:numPr>
                <w:ilvl w:val="-1"/>
                <w:numId w:val="0"/>
              </w:numPr>
              <w:suppressLineNumbers w:val="0"/>
              <w:spacing w:before="0" w:beforeAutospacing="0" w:after="0" w:afterAutospacing="0" w:line="320" w:lineRule="exact"/>
              <w:ind w:left="0" w:firstLine="0"/>
              <w:jc w:val="left"/>
              <w:rPr>
                <w:color w:val="auto"/>
              </w:rPr>
            </w:pPr>
            <w:r>
              <w:rPr>
                <w:rFonts w:hint="eastAsia" w:cs="Times New Roman"/>
                <w:color w:val="auto"/>
                <w:kern w:val="2"/>
                <w:sz w:val="24"/>
                <w:szCs w:val="24"/>
                <w:lang w:val="en-US" w:eastAsia="zh-CN" w:bidi="ar-SA"/>
              </w:rPr>
              <w:t>（五）</w:t>
            </w:r>
            <w:r>
              <w:rPr>
                <w:color w:val="auto"/>
              </w:rPr>
              <w:t>报价与基准价偏离不足 1% 的，采用</w:t>
            </w:r>
            <w:r>
              <w:rPr>
                <w:rStyle w:val="24"/>
                <w:color w:val="auto"/>
              </w:rPr>
              <w:t>线性插值法（插入法）</w:t>
            </w:r>
            <w:r>
              <w:rPr>
                <w:color w:val="auto"/>
              </w:rPr>
              <w:t>计算得分。</w:t>
            </w:r>
          </w:p>
          <w:p>
            <w:pPr>
              <w:keepNext w:val="0"/>
              <w:keepLines w:val="0"/>
              <w:widowControl/>
              <w:numPr>
                <w:ilvl w:val="-1"/>
                <w:numId w:val="0"/>
              </w:numPr>
              <w:suppressLineNumbers w:val="0"/>
              <w:spacing w:before="0" w:beforeAutospacing="0" w:after="0" w:afterAutospacing="0" w:line="320" w:lineRule="exact"/>
              <w:ind w:left="0" w:firstLine="0"/>
              <w:jc w:val="left"/>
              <w:rPr>
                <w:color w:val="auto"/>
              </w:rPr>
            </w:pPr>
            <w:r>
              <w:rPr>
                <w:rFonts w:hint="eastAsia" w:cs="Times New Roman"/>
                <w:color w:val="auto"/>
                <w:kern w:val="2"/>
                <w:sz w:val="24"/>
                <w:szCs w:val="24"/>
                <w:lang w:val="en-US" w:eastAsia="zh-CN" w:bidi="ar-SA"/>
              </w:rPr>
              <w:t>（六）</w:t>
            </w:r>
            <w:r>
              <w:rPr>
                <w:color w:val="auto"/>
              </w:rPr>
              <w:t>分值计算结果保留小数点后两位，小数点后第三位四舍五入。</w:t>
            </w:r>
          </w:p>
          <w:p>
            <w:pPr>
              <w:spacing w:line="320" w:lineRule="exact"/>
              <w:ind w:right="0"/>
              <w:jc w:val="left"/>
              <w:rPr>
                <w:rFonts w:ascii="宋体" w:hAnsi="宋体" w:eastAsia="宋体" w:cs="宋体"/>
                <w:color w:val="auto"/>
                <w:sz w:val="21"/>
                <w:szCs w:val="21"/>
              </w:rPr>
            </w:pPr>
            <w:r>
              <w:rPr>
                <w:rFonts w:hint="eastAsia" w:ascii="宋体" w:hAnsi="宋体" w:eastAsia="宋体" w:cs="宋体"/>
                <w:color w:val="auto"/>
                <w:sz w:val="21"/>
                <w:szCs w:val="21"/>
                <w:lang w:val="en-US" w:eastAsia="zh-CN"/>
              </w:rPr>
              <w:t>注：</w:t>
            </w:r>
            <w:r>
              <w:rPr>
                <w:rFonts w:ascii="宋体" w:hAnsi="宋体" w:eastAsia="宋体" w:cs="宋体"/>
                <w:color w:val="auto"/>
                <w:sz w:val="21"/>
                <w:szCs w:val="21"/>
              </w:rPr>
              <w:t>偏差率=（供应商评审价格−评审基准价）÷评审基准价 ×100%</w:t>
            </w:r>
          </w:p>
          <w:p>
            <w:pPr>
              <w:spacing w:line="320" w:lineRule="exact"/>
              <w:ind w:right="0"/>
              <w:jc w:val="left"/>
              <w:rPr>
                <w:rFonts w:ascii="宋体" w:hAnsi="宋体" w:cs="宋体"/>
                <w:bCs/>
                <w:color w:val="auto"/>
                <w:szCs w:val="21"/>
                <w:highlight w:val="none"/>
              </w:rPr>
            </w:pPr>
            <w:r>
              <w:rPr>
                <w:rFonts w:ascii="宋体" w:hAnsi="宋体" w:eastAsia="宋体" w:cs="宋体"/>
                <w:color w:val="auto"/>
                <w:sz w:val="21"/>
                <w:szCs w:val="21"/>
              </w:rPr>
              <w:t>正偏差：报价高于基准价；负偏差：报价低于基准价。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8" w:type="dxa"/>
            <w:gridSpan w:val="3"/>
            <w:vAlign w:val="center"/>
          </w:tcPr>
          <w:p>
            <w:pPr>
              <w:pStyle w:val="9"/>
              <w:spacing w:line="32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条款号</w:t>
            </w:r>
          </w:p>
        </w:tc>
        <w:tc>
          <w:tcPr>
            <w:tcW w:w="2128" w:type="dxa"/>
            <w:gridSpan w:val="3"/>
            <w:vAlign w:val="center"/>
          </w:tcPr>
          <w:p>
            <w:pPr>
              <w:pStyle w:val="9"/>
              <w:spacing w:line="32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条款内容</w:t>
            </w:r>
          </w:p>
        </w:tc>
        <w:tc>
          <w:tcPr>
            <w:tcW w:w="4638" w:type="dxa"/>
            <w:vAlign w:val="center"/>
          </w:tcPr>
          <w:p>
            <w:pPr>
              <w:pStyle w:val="9"/>
              <w:spacing w:line="32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8" w:type="dxa"/>
            <w:gridSpan w:val="3"/>
            <w:vAlign w:val="center"/>
          </w:tcPr>
          <w:p>
            <w:pPr>
              <w:pStyle w:val="9"/>
              <w:spacing w:line="32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3.6</w:t>
            </w:r>
          </w:p>
        </w:tc>
        <w:tc>
          <w:tcPr>
            <w:tcW w:w="2128" w:type="dxa"/>
            <w:gridSpan w:val="3"/>
            <w:vAlign w:val="center"/>
          </w:tcPr>
          <w:p>
            <w:pPr>
              <w:pStyle w:val="9"/>
              <w:spacing w:line="320" w:lineRule="exact"/>
              <w:ind w:firstLine="0" w:firstLineChars="0"/>
              <w:jc w:val="both"/>
              <w:rPr>
                <w:rFonts w:ascii="宋体" w:hAnsi="宋体" w:cs="宋体"/>
                <w:color w:val="auto"/>
                <w:sz w:val="21"/>
                <w:szCs w:val="21"/>
                <w:highlight w:val="none"/>
              </w:rPr>
            </w:pPr>
            <w:r>
              <w:rPr>
                <w:rFonts w:hint="eastAsia" w:ascii="宋体" w:hAnsi="宋体" w:cs="宋体"/>
                <w:color w:val="auto"/>
                <w:sz w:val="21"/>
                <w:szCs w:val="21"/>
                <w:highlight w:val="none"/>
              </w:rPr>
              <w:t>供应商并列时确定供应商优先顺序的规则</w:t>
            </w:r>
          </w:p>
        </w:tc>
        <w:tc>
          <w:tcPr>
            <w:tcW w:w="4638" w:type="dxa"/>
            <w:vAlign w:val="center"/>
          </w:tcPr>
          <w:p>
            <w:pPr>
              <w:pStyle w:val="9"/>
              <w:spacing w:line="32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综合评分相同时，以评审价格低者为优先；评审价格也相同时，以技术评审评分较高为优先。</w:t>
            </w:r>
          </w:p>
        </w:tc>
      </w:tr>
    </w:tbl>
    <w:p>
      <w:pPr>
        <w:pStyle w:val="9"/>
        <w:ind w:firstLine="560"/>
        <w:rPr>
          <w:rFonts w:ascii="宋体" w:hAnsi="宋体" w:cs="宋体"/>
          <w:color w:val="auto"/>
          <w:highlight w:val="none"/>
        </w:rPr>
      </w:pPr>
    </w:p>
    <w:bookmarkEnd w:id="122"/>
    <w:p>
      <w:pPr>
        <w:rPr>
          <w:rFonts w:ascii="宋体" w:hAnsi="宋体" w:cs="宋体"/>
          <w:color w:val="auto"/>
          <w:highlight w:val="none"/>
        </w:rPr>
      </w:pPr>
      <w:r>
        <w:rPr>
          <w:rFonts w:hint="eastAsia" w:ascii="宋体" w:hAnsi="宋体" w:cs="宋体"/>
          <w:color w:val="auto"/>
          <w:highlight w:val="none"/>
        </w:rPr>
        <w:br w:type="page"/>
      </w:r>
      <w:bookmarkStart w:id="135" w:name="_Toc17838"/>
    </w:p>
    <w:p>
      <w:pPr>
        <w:spacing w:line="520" w:lineRule="exact"/>
        <w:jc w:val="center"/>
        <w:outlineLvl w:val="1"/>
        <w:rPr>
          <w:rFonts w:ascii="宋体" w:hAnsi="宋体" w:cs="宋体"/>
          <w:color w:val="auto"/>
          <w:sz w:val="24"/>
          <w:szCs w:val="24"/>
          <w:highlight w:val="none"/>
        </w:rPr>
      </w:pPr>
      <w:bookmarkStart w:id="136" w:name="_Toc22168"/>
      <w:bookmarkStart w:id="137" w:name="_Toc26079"/>
      <w:r>
        <w:rPr>
          <w:rFonts w:hint="eastAsia" w:ascii="宋体" w:hAnsi="宋体" w:cs="宋体"/>
          <w:b/>
          <w:color w:val="auto"/>
          <w:sz w:val="36"/>
          <w:szCs w:val="36"/>
          <w:highlight w:val="none"/>
        </w:rPr>
        <w:t>评审办法正文</w:t>
      </w:r>
      <w:bookmarkEnd w:id="136"/>
      <w:bookmarkEnd w:id="137"/>
    </w:p>
    <w:p>
      <w:pPr>
        <w:pStyle w:val="9"/>
        <w:spacing w:line="360" w:lineRule="auto"/>
        <w:ind w:firstLine="480"/>
        <w:outlineLvl w:val="1"/>
        <w:rPr>
          <w:color w:val="auto"/>
          <w:sz w:val="24"/>
          <w:highlight w:val="none"/>
        </w:rPr>
      </w:pPr>
      <w:bookmarkStart w:id="138" w:name="_Toc11783"/>
      <w:bookmarkStart w:id="139" w:name="_Toc129597028"/>
      <w:bookmarkStart w:id="140" w:name="_Toc15565"/>
      <w:bookmarkStart w:id="141" w:name="_Toc23976"/>
      <w:r>
        <w:rPr>
          <w:color w:val="auto"/>
          <w:sz w:val="24"/>
          <w:highlight w:val="none"/>
        </w:rPr>
        <w:t>1  评审方法（综合评分法）</w:t>
      </w:r>
      <w:bookmarkEnd w:id="138"/>
    </w:p>
    <w:p>
      <w:pPr>
        <w:pStyle w:val="9"/>
        <w:spacing w:line="360" w:lineRule="auto"/>
        <w:ind w:firstLine="480"/>
        <w:rPr>
          <w:color w:val="auto"/>
          <w:sz w:val="24"/>
          <w:szCs w:val="24"/>
          <w:highlight w:val="none"/>
        </w:rPr>
      </w:pPr>
      <w:r>
        <w:rPr>
          <w:color w:val="auto"/>
          <w:sz w:val="24"/>
          <w:szCs w:val="24"/>
          <w:highlight w:val="none"/>
        </w:rPr>
        <w:t>本次评审采用综合评分法。采购小组对满足采购文件实质性要求的应答文件，按照本章第3条规定的评分标准进行打分，并按得分由高到低的顺序推荐候选成交供应商。</w:t>
      </w:r>
    </w:p>
    <w:p>
      <w:pPr>
        <w:pStyle w:val="9"/>
        <w:spacing w:line="360" w:lineRule="auto"/>
        <w:ind w:firstLine="480"/>
        <w:outlineLvl w:val="1"/>
        <w:rPr>
          <w:color w:val="auto"/>
          <w:sz w:val="24"/>
          <w:highlight w:val="none"/>
        </w:rPr>
      </w:pPr>
      <w:bookmarkStart w:id="142" w:name="_Toc7944"/>
      <w:r>
        <w:rPr>
          <w:color w:val="auto"/>
          <w:sz w:val="24"/>
          <w:highlight w:val="none"/>
        </w:rPr>
        <w:t>2  初步评审标准和程序</w:t>
      </w:r>
      <w:bookmarkEnd w:id="142"/>
    </w:p>
    <w:p>
      <w:pPr>
        <w:pStyle w:val="9"/>
        <w:spacing w:line="360" w:lineRule="auto"/>
        <w:ind w:firstLine="480"/>
        <w:outlineLvl w:val="2"/>
        <w:rPr>
          <w:color w:val="auto"/>
          <w:sz w:val="24"/>
          <w:szCs w:val="24"/>
          <w:highlight w:val="none"/>
        </w:rPr>
      </w:pPr>
      <w:bookmarkStart w:id="143" w:name="_Toc31301"/>
      <w:r>
        <w:rPr>
          <w:color w:val="auto"/>
          <w:sz w:val="24"/>
          <w:szCs w:val="24"/>
          <w:highlight w:val="none"/>
        </w:rPr>
        <w:t>2.1  初步评审标准</w:t>
      </w:r>
      <w:bookmarkEnd w:id="143"/>
    </w:p>
    <w:p>
      <w:pPr>
        <w:pStyle w:val="9"/>
        <w:spacing w:line="360" w:lineRule="auto"/>
        <w:ind w:firstLine="480"/>
        <w:rPr>
          <w:color w:val="auto"/>
          <w:sz w:val="24"/>
          <w:szCs w:val="24"/>
          <w:highlight w:val="none"/>
        </w:rPr>
      </w:pPr>
      <w:r>
        <w:rPr>
          <w:color w:val="auto"/>
          <w:sz w:val="24"/>
          <w:szCs w:val="24"/>
          <w:highlight w:val="none"/>
        </w:rPr>
        <w:t>2.1.1  形式评审标准：见评审办法前附表。</w:t>
      </w:r>
    </w:p>
    <w:p>
      <w:pPr>
        <w:pStyle w:val="9"/>
        <w:spacing w:line="360" w:lineRule="auto"/>
        <w:ind w:firstLine="480"/>
        <w:rPr>
          <w:color w:val="auto"/>
          <w:sz w:val="24"/>
          <w:szCs w:val="24"/>
          <w:highlight w:val="none"/>
        </w:rPr>
      </w:pPr>
      <w:r>
        <w:rPr>
          <w:color w:val="auto"/>
          <w:sz w:val="24"/>
          <w:szCs w:val="24"/>
          <w:highlight w:val="none"/>
        </w:rPr>
        <w:t>2.1.2  资格评审标准：见评审办法前附表。</w:t>
      </w:r>
    </w:p>
    <w:p>
      <w:pPr>
        <w:pStyle w:val="9"/>
        <w:spacing w:line="360" w:lineRule="auto"/>
        <w:ind w:firstLine="480"/>
        <w:rPr>
          <w:color w:val="auto"/>
          <w:sz w:val="24"/>
          <w:szCs w:val="24"/>
          <w:highlight w:val="none"/>
        </w:rPr>
      </w:pPr>
      <w:r>
        <w:rPr>
          <w:color w:val="auto"/>
          <w:sz w:val="24"/>
          <w:szCs w:val="24"/>
          <w:highlight w:val="none"/>
        </w:rPr>
        <w:t>2.1.3  响应性评审标准：见评审办法前附表。</w:t>
      </w:r>
    </w:p>
    <w:p>
      <w:pPr>
        <w:pStyle w:val="9"/>
        <w:spacing w:line="360" w:lineRule="auto"/>
        <w:ind w:firstLine="480"/>
        <w:outlineLvl w:val="2"/>
        <w:rPr>
          <w:color w:val="auto"/>
          <w:sz w:val="24"/>
          <w:szCs w:val="24"/>
          <w:highlight w:val="none"/>
        </w:rPr>
      </w:pPr>
      <w:bookmarkStart w:id="144" w:name="_Toc14653"/>
      <w:r>
        <w:rPr>
          <w:color w:val="auto"/>
          <w:sz w:val="24"/>
          <w:szCs w:val="24"/>
          <w:highlight w:val="none"/>
        </w:rPr>
        <w:t>2.2  初步评审程序</w:t>
      </w:r>
      <w:bookmarkEnd w:id="144"/>
    </w:p>
    <w:p>
      <w:pPr>
        <w:pStyle w:val="9"/>
        <w:spacing w:line="360" w:lineRule="auto"/>
        <w:ind w:firstLine="480"/>
        <w:rPr>
          <w:color w:val="auto"/>
          <w:sz w:val="24"/>
          <w:szCs w:val="24"/>
          <w:highlight w:val="none"/>
        </w:rPr>
      </w:pPr>
      <w:r>
        <w:rPr>
          <w:color w:val="auto"/>
          <w:sz w:val="24"/>
          <w:szCs w:val="24"/>
          <w:highlight w:val="none"/>
        </w:rPr>
        <w:t>2.2.1  采购小组依据本章第2.1款规定的标准对供应商递交的应答文件进行初步评审，判断应答文件的形式是否符合要求、供应商是否符合资格条件、应答文件是否实质性响应采购文件的要求。只有以上评审合格的应答文件才可通过初步评审。</w:t>
      </w:r>
    </w:p>
    <w:p>
      <w:pPr>
        <w:pStyle w:val="9"/>
        <w:spacing w:line="360" w:lineRule="auto"/>
        <w:ind w:firstLine="480"/>
        <w:rPr>
          <w:color w:val="auto"/>
          <w:sz w:val="24"/>
          <w:szCs w:val="24"/>
          <w:highlight w:val="none"/>
        </w:rPr>
      </w:pPr>
      <w:r>
        <w:rPr>
          <w:color w:val="auto"/>
          <w:sz w:val="24"/>
          <w:szCs w:val="24"/>
          <w:highlight w:val="none"/>
        </w:rPr>
        <w:t>2.2.2  除评审办法前附表另有规定，评审价格为供应商在响应函中填报的大写含税价格。</w:t>
      </w:r>
    </w:p>
    <w:p>
      <w:pPr>
        <w:pStyle w:val="9"/>
        <w:spacing w:line="360" w:lineRule="auto"/>
        <w:ind w:firstLine="480"/>
        <w:rPr>
          <w:color w:val="auto"/>
          <w:sz w:val="24"/>
          <w:szCs w:val="24"/>
          <w:highlight w:val="none"/>
        </w:rPr>
      </w:pPr>
      <w:r>
        <w:rPr>
          <w:color w:val="auto"/>
          <w:sz w:val="24"/>
          <w:szCs w:val="24"/>
          <w:highlight w:val="none"/>
        </w:rPr>
        <w:t>评审价格若超过最高限价（如有），其应答文件将被视为无效。</w:t>
      </w:r>
    </w:p>
    <w:p>
      <w:pPr>
        <w:pStyle w:val="9"/>
        <w:spacing w:line="360" w:lineRule="auto"/>
        <w:ind w:firstLine="480"/>
        <w:rPr>
          <w:color w:val="auto"/>
          <w:sz w:val="24"/>
          <w:szCs w:val="24"/>
          <w:highlight w:val="none"/>
        </w:rPr>
      </w:pPr>
      <w:r>
        <w:rPr>
          <w:color w:val="auto"/>
          <w:sz w:val="24"/>
          <w:szCs w:val="24"/>
          <w:highlight w:val="none"/>
        </w:rPr>
        <w:t>采购小组经过对供应商的报价进行比较或基于专业经验认为某一供应商的报价过低，可能对其履约造成影响时，应当要求该供应商作出说明并提供相应的证明材料。供应商不能合理说明或者不能提供相应证明材料的，其应答文件将被视为无效。</w:t>
      </w:r>
    </w:p>
    <w:p>
      <w:pPr>
        <w:pStyle w:val="9"/>
        <w:spacing w:line="360" w:lineRule="auto"/>
        <w:ind w:firstLine="480"/>
        <w:rPr>
          <w:color w:val="auto"/>
          <w:sz w:val="24"/>
          <w:szCs w:val="24"/>
          <w:highlight w:val="none"/>
        </w:rPr>
      </w:pPr>
      <w:r>
        <w:rPr>
          <w:color w:val="auto"/>
          <w:sz w:val="24"/>
          <w:szCs w:val="24"/>
          <w:highlight w:val="none"/>
        </w:rPr>
        <w:t>2.2.3  应答文件中有含义不明确、同类问题表述不一致或有明显文字和计算错误的内容，采购小组可要求供应商在规定时间内进行澄清、说明和补正。供应商澄清、说明和补正的内容应由法定代表人（单位负责人）或其授权的代理人签字或加盖单位章。澄清、说明和补正不得超出应答文件的范围且不得改变应答文件的实质性内容，并构成应答文件的组成部分。</w:t>
      </w:r>
    </w:p>
    <w:p>
      <w:pPr>
        <w:pStyle w:val="9"/>
        <w:spacing w:line="360" w:lineRule="auto"/>
        <w:ind w:firstLine="480"/>
        <w:rPr>
          <w:color w:val="auto"/>
          <w:sz w:val="24"/>
          <w:szCs w:val="24"/>
          <w:highlight w:val="none"/>
        </w:rPr>
      </w:pPr>
      <w:r>
        <w:rPr>
          <w:color w:val="auto"/>
          <w:sz w:val="24"/>
          <w:szCs w:val="24"/>
          <w:highlight w:val="none"/>
        </w:rPr>
        <w:t>响应报价有算术错误或其他错误的，采购小组按以下原则要求供应商对响应报价进行修正，并要求供应商澄清确认。供应商拒不澄清确认的，其应答文件将被视为无效：</w:t>
      </w:r>
    </w:p>
    <w:p>
      <w:pPr>
        <w:pStyle w:val="9"/>
        <w:spacing w:line="360" w:lineRule="auto"/>
        <w:ind w:firstLine="480"/>
        <w:rPr>
          <w:color w:val="auto"/>
          <w:sz w:val="24"/>
          <w:szCs w:val="24"/>
          <w:highlight w:val="none"/>
        </w:rPr>
      </w:pPr>
      <w:r>
        <w:rPr>
          <w:color w:val="auto"/>
          <w:sz w:val="24"/>
          <w:szCs w:val="24"/>
          <w:highlight w:val="none"/>
        </w:rPr>
        <w:t>（1）大写金额与小写金额不一致的，以大写金额为准；</w:t>
      </w:r>
    </w:p>
    <w:p>
      <w:pPr>
        <w:pStyle w:val="9"/>
        <w:spacing w:line="360" w:lineRule="auto"/>
        <w:ind w:firstLine="480"/>
        <w:rPr>
          <w:color w:val="auto"/>
          <w:sz w:val="24"/>
          <w:szCs w:val="24"/>
          <w:highlight w:val="none"/>
        </w:rPr>
      </w:pPr>
      <w:r>
        <w:rPr>
          <w:color w:val="auto"/>
          <w:sz w:val="24"/>
          <w:szCs w:val="24"/>
          <w:highlight w:val="none"/>
        </w:rPr>
        <w:t>（2）总价金额与单价金额不一致的，单价金额为准，但单价金额小数点有明显错误的除外；</w:t>
      </w:r>
    </w:p>
    <w:p>
      <w:pPr>
        <w:pStyle w:val="9"/>
        <w:spacing w:line="360" w:lineRule="auto"/>
        <w:ind w:firstLine="480"/>
        <w:rPr>
          <w:color w:val="auto"/>
          <w:sz w:val="24"/>
          <w:szCs w:val="24"/>
          <w:highlight w:val="none"/>
        </w:rPr>
      </w:pPr>
      <w:r>
        <w:rPr>
          <w:color w:val="auto"/>
          <w:sz w:val="24"/>
          <w:szCs w:val="24"/>
          <w:highlight w:val="none"/>
        </w:rPr>
        <w:t>（3）报价表中合计报价与分项报价的合价不一致的，以各分项报价的合价累计数为准；</w:t>
      </w:r>
    </w:p>
    <w:p>
      <w:pPr>
        <w:pStyle w:val="9"/>
        <w:spacing w:line="360" w:lineRule="auto"/>
        <w:ind w:firstLine="480"/>
        <w:rPr>
          <w:color w:val="auto"/>
          <w:sz w:val="24"/>
          <w:szCs w:val="24"/>
          <w:highlight w:val="none"/>
        </w:rPr>
      </w:pPr>
      <w:r>
        <w:rPr>
          <w:color w:val="auto"/>
          <w:sz w:val="24"/>
          <w:szCs w:val="24"/>
          <w:highlight w:val="none"/>
        </w:rPr>
        <w:t>（4）如果分项报价中存在缺漏项，且缺漏项内容不属于实质性偏差的，则视为缺漏项内容的价格已包含在其他分项报价之中。</w:t>
      </w:r>
    </w:p>
    <w:p>
      <w:pPr>
        <w:pStyle w:val="9"/>
        <w:spacing w:line="360" w:lineRule="auto"/>
        <w:ind w:firstLine="480"/>
        <w:rPr>
          <w:color w:val="auto"/>
          <w:sz w:val="24"/>
          <w:szCs w:val="24"/>
          <w:highlight w:val="none"/>
        </w:rPr>
      </w:pPr>
      <w:r>
        <w:rPr>
          <w:color w:val="auto"/>
          <w:sz w:val="24"/>
          <w:szCs w:val="24"/>
          <w:highlight w:val="none"/>
        </w:rPr>
        <w:t>响应报价的算术错误修正不改变评审依据的响应总报价。当修正后的总报价高于原响应报价时，视同供应商响应报价错误产生少漏计费用，签订合同时由供应商承担，如采购小组认为供应商无法承受少漏计费用，可以将响应报价作为异常低价处理；当修正后的总报价低于原响应报价时，签订合同时以修正后的报价为准。</w:t>
      </w:r>
    </w:p>
    <w:p>
      <w:pPr>
        <w:pStyle w:val="9"/>
        <w:spacing w:line="360" w:lineRule="auto"/>
        <w:ind w:firstLine="480"/>
        <w:rPr>
          <w:color w:val="auto"/>
          <w:sz w:val="24"/>
          <w:szCs w:val="24"/>
          <w:highlight w:val="none"/>
        </w:rPr>
      </w:pPr>
      <w:r>
        <w:rPr>
          <w:color w:val="auto"/>
          <w:sz w:val="24"/>
          <w:szCs w:val="24"/>
          <w:highlight w:val="none"/>
        </w:rPr>
        <w:t>2.2.4  供应商有串通、弄虚作假、行贿等违法行为的，其应答文件将被视为无效。</w:t>
      </w:r>
    </w:p>
    <w:p>
      <w:pPr>
        <w:pStyle w:val="9"/>
        <w:spacing w:line="360" w:lineRule="auto"/>
        <w:ind w:firstLine="480"/>
        <w:rPr>
          <w:color w:val="auto"/>
          <w:sz w:val="24"/>
          <w:szCs w:val="24"/>
          <w:highlight w:val="none"/>
        </w:rPr>
      </w:pPr>
      <w:r>
        <w:rPr>
          <w:color w:val="auto"/>
          <w:sz w:val="24"/>
          <w:szCs w:val="24"/>
          <w:highlight w:val="none"/>
        </w:rPr>
        <w:t>2.2.5  特殊情形处理</w:t>
      </w:r>
    </w:p>
    <w:p>
      <w:pPr>
        <w:pStyle w:val="9"/>
        <w:spacing w:line="360" w:lineRule="auto"/>
        <w:ind w:firstLine="480"/>
        <w:rPr>
          <w:color w:val="auto"/>
          <w:sz w:val="24"/>
          <w:szCs w:val="24"/>
          <w:highlight w:val="none"/>
        </w:rPr>
      </w:pPr>
      <w:r>
        <w:rPr>
          <w:color w:val="auto"/>
          <w:sz w:val="24"/>
          <w:szCs w:val="24"/>
          <w:highlight w:val="none"/>
        </w:rPr>
        <w:t>初步评审后，如采购小组认为所有应答文件均无效，或者所有响应报价竞争性不足，高于市场预期价格，采购小组应当终止评审。</w:t>
      </w:r>
    </w:p>
    <w:p>
      <w:pPr>
        <w:pStyle w:val="9"/>
        <w:spacing w:line="360" w:lineRule="auto"/>
        <w:ind w:firstLine="480"/>
        <w:outlineLvl w:val="1"/>
        <w:rPr>
          <w:color w:val="auto"/>
          <w:sz w:val="24"/>
          <w:highlight w:val="none"/>
        </w:rPr>
      </w:pPr>
      <w:bookmarkStart w:id="145" w:name="_Toc14326"/>
      <w:r>
        <w:rPr>
          <w:color w:val="auto"/>
          <w:sz w:val="24"/>
          <w:highlight w:val="none"/>
        </w:rPr>
        <w:t>3  详细评审标准和程序（综合评分法）</w:t>
      </w:r>
      <w:bookmarkEnd w:id="145"/>
    </w:p>
    <w:p>
      <w:pPr>
        <w:pStyle w:val="9"/>
        <w:spacing w:line="360" w:lineRule="auto"/>
        <w:ind w:firstLine="480"/>
        <w:outlineLvl w:val="2"/>
        <w:rPr>
          <w:color w:val="auto"/>
          <w:sz w:val="24"/>
          <w:szCs w:val="24"/>
          <w:highlight w:val="none"/>
        </w:rPr>
      </w:pPr>
      <w:bookmarkStart w:id="146" w:name="_Toc16345"/>
      <w:r>
        <w:rPr>
          <w:color w:val="auto"/>
          <w:sz w:val="24"/>
          <w:szCs w:val="24"/>
          <w:highlight w:val="none"/>
        </w:rPr>
        <w:t>3.1 分值构成</w:t>
      </w:r>
      <w:bookmarkEnd w:id="146"/>
    </w:p>
    <w:p>
      <w:pPr>
        <w:pStyle w:val="9"/>
        <w:spacing w:line="360" w:lineRule="auto"/>
        <w:ind w:firstLine="240" w:firstLineChars="100"/>
        <w:rPr>
          <w:color w:val="auto"/>
          <w:sz w:val="24"/>
          <w:szCs w:val="24"/>
          <w:highlight w:val="none"/>
        </w:rPr>
      </w:pPr>
      <w:r>
        <w:rPr>
          <w:color w:val="auto"/>
          <w:sz w:val="24"/>
          <w:szCs w:val="24"/>
          <w:highlight w:val="none"/>
        </w:rPr>
        <w:t>（1）商务部分：见评审办法前附表；</w:t>
      </w:r>
    </w:p>
    <w:p>
      <w:pPr>
        <w:pStyle w:val="9"/>
        <w:spacing w:line="360" w:lineRule="auto"/>
        <w:ind w:firstLine="240" w:firstLineChars="100"/>
        <w:rPr>
          <w:color w:val="auto"/>
          <w:sz w:val="24"/>
          <w:szCs w:val="24"/>
          <w:highlight w:val="none"/>
        </w:rPr>
      </w:pPr>
      <w:r>
        <w:rPr>
          <w:color w:val="auto"/>
          <w:sz w:val="24"/>
          <w:szCs w:val="24"/>
          <w:highlight w:val="none"/>
        </w:rPr>
        <w:t>（2）技术部分：见评审办法前附表；</w:t>
      </w:r>
    </w:p>
    <w:p>
      <w:pPr>
        <w:pStyle w:val="9"/>
        <w:spacing w:line="360" w:lineRule="auto"/>
        <w:ind w:firstLine="240" w:firstLineChars="100"/>
        <w:rPr>
          <w:color w:val="auto"/>
          <w:sz w:val="24"/>
          <w:szCs w:val="24"/>
          <w:highlight w:val="none"/>
        </w:rPr>
      </w:pPr>
      <w:r>
        <w:rPr>
          <w:color w:val="auto"/>
          <w:sz w:val="24"/>
          <w:szCs w:val="24"/>
          <w:highlight w:val="none"/>
        </w:rPr>
        <w:t>（3）报价：见评审办法前附表；</w:t>
      </w:r>
    </w:p>
    <w:p>
      <w:pPr>
        <w:pStyle w:val="9"/>
        <w:spacing w:line="360" w:lineRule="auto"/>
        <w:ind w:firstLine="240" w:firstLineChars="100"/>
        <w:rPr>
          <w:color w:val="auto"/>
          <w:sz w:val="24"/>
          <w:szCs w:val="24"/>
          <w:highlight w:val="none"/>
        </w:rPr>
      </w:pPr>
      <w:r>
        <w:rPr>
          <w:color w:val="auto"/>
          <w:sz w:val="24"/>
          <w:szCs w:val="24"/>
          <w:highlight w:val="none"/>
        </w:rPr>
        <w:t>（4）其他评分因素：见评审办法前附表。</w:t>
      </w:r>
    </w:p>
    <w:p>
      <w:pPr>
        <w:pStyle w:val="9"/>
        <w:spacing w:line="360" w:lineRule="auto"/>
        <w:ind w:firstLine="480"/>
        <w:outlineLvl w:val="2"/>
        <w:rPr>
          <w:color w:val="auto"/>
          <w:sz w:val="24"/>
          <w:szCs w:val="24"/>
          <w:highlight w:val="none"/>
        </w:rPr>
      </w:pPr>
      <w:bookmarkStart w:id="147" w:name="_Toc4719"/>
      <w:r>
        <w:rPr>
          <w:color w:val="auto"/>
          <w:sz w:val="24"/>
          <w:szCs w:val="24"/>
          <w:highlight w:val="none"/>
        </w:rPr>
        <w:t>3.2  评审基准价计算</w:t>
      </w:r>
      <w:bookmarkEnd w:id="147"/>
    </w:p>
    <w:p>
      <w:pPr>
        <w:pStyle w:val="9"/>
        <w:spacing w:line="360" w:lineRule="auto"/>
        <w:ind w:firstLine="240" w:firstLineChars="100"/>
        <w:rPr>
          <w:color w:val="auto"/>
          <w:sz w:val="24"/>
          <w:szCs w:val="24"/>
          <w:highlight w:val="none"/>
        </w:rPr>
      </w:pPr>
      <w:r>
        <w:rPr>
          <w:color w:val="auto"/>
          <w:sz w:val="24"/>
          <w:szCs w:val="24"/>
          <w:highlight w:val="none"/>
        </w:rPr>
        <w:t>（1）评审价格：评审价格为按照本章第2.2.2项规定确定的价格。</w:t>
      </w:r>
    </w:p>
    <w:p>
      <w:pPr>
        <w:pStyle w:val="9"/>
        <w:spacing w:line="360" w:lineRule="auto"/>
        <w:ind w:firstLine="240" w:firstLineChars="100"/>
        <w:rPr>
          <w:color w:val="auto"/>
          <w:sz w:val="24"/>
          <w:szCs w:val="24"/>
          <w:highlight w:val="none"/>
        </w:rPr>
      </w:pPr>
      <w:r>
        <w:rPr>
          <w:color w:val="auto"/>
          <w:sz w:val="24"/>
          <w:szCs w:val="24"/>
          <w:highlight w:val="none"/>
        </w:rPr>
        <w:t>（2）评审基准价计算方法：</w:t>
      </w:r>
    </w:p>
    <w:p>
      <w:pPr>
        <w:pStyle w:val="9"/>
        <w:spacing w:line="360" w:lineRule="auto"/>
        <w:ind w:firstLine="960" w:firstLineChars="400"/>
        <w:rPr>
          <w:color w:val="auto"/>
          <w:sz w:val="24"/>
          <w:szCs w:val="24"/>
          <w:highlight w:val="none"/>
        </w:rPr>
      </w:pPr>
      <w:r>
        <w:rPr>
          <w:color w:val="auto"/>
          <w:sz w:val="24"/>
          <w:szCs w:val="24"/>
          <w:highlight w:val="none"/>
        </w:rPr>
        <w:t>详见评审办法前附表。</w:t>
      </w:r>
    </w:p>
    <w:p>
      <w:pPr>
        <w:pStyle w:val="9"/>
        <w:spacing w:line="360" w:lineRule="auto"/>
        <w:ind w:firstLine="480"/>
        <w:outlineLvl w:val="2"/>
        <w:rPr>
          <w:color w:val="auto"/>
          <w:sz w:val="24"/>
          <w:szCs w:val="24"/>
          <w:highlight w:val="none"/>
        </w:rPr>
      </w:pPr>
      <w:bookmarkStart w:id="148" w:name="_Toc12667"/>
      <w:r>
        <w:rPr>
          <w:color w:val="auto"/>
          <w:sz w:val="24"/>
          <w:szCs w:val="24"/>
          <w:highlight w:val="none"/>
        </w:rPr>
        <w:t>3.3  评分标准</w:t>
      </w:r>
      <w:bookmarkEnd w:id="148"/>
    </w:p>
    <w:p>
      <w:pPr>
        <w:pStyle w:val="9"/>
        <w:spacing w:line="360" w:lineRule="auto"/>
        <w:ind w:firstLine="240" w:firstLineChars="100"/>
        <w:rPr>
          <w:color w:val="auto"/>
          <w:sz w:val="24"/>
          <w:szCs w:val="24"/>
          <w:highlight w:val="none"/>
        </w:rPr>
      </w:pPr>
      <w:r>
        <w:rPr>
          <w:color w:val="auto"/>
          <w:sz w:val="24"/>
          <w:szCs w:val="24"/>
          <w:highlight w:val="none"/>
        </w:rPr>
        <w:t>（1）商务评分标准：见评审办法前附表；</w:t>
      </w:r>
    </w:p>
    <w:p>
      <w:pPr>
        <w:pStyle w:val="9"/>
        <w:spacing w:line="360" w:lineRule="auto"/>
        <w:ind w:firstLine="240" w:firstLineChars="100"/>
        <w:rPr>
          <w:color w:val="auto"/>
          <w:sz w:val="24"/>
          <w:szCs w:val="24"/>
          <w:highlight w:val="none"/>
        </w:rPr>
      </w:pPr>
      <w:r>
        <w:rPr>
          <w:color w:val="auto"/>
          <w:sz w:val="24"/>
          <w:szCs w:val="24"/>
          <w:highlight w:val="none"/>
        </w:rPr>
        <w:t>（2）技术评分标准：见评审办法前附表；</w:t>
      </w:r>
    </w:p>
    <w:p>
      <w:pPr>
        <w:pStyle w:val="9"/>
        <w:spacing w:line="360" w:lineRule="auto"/>
        <w:ind w:firstLine="240" w:firstLineChars="100"/>
        <w:rPr>
          <w:color w:val="auto"/>
          <w:sz w:val="24"/>
          <w:szCs w:val="24"/>
          <w:highlight w:val="none"/>
        </w:rPr>
      </w:pPr>
      <w:r>
        <w:rPr>
          <w:color w:val="auto"/>
          <w:sz w:val="24"/>
          <w:szCs w:val="24"/>
          <w:highlight w:val="none"/>
        </w:rPr>
        <w:t>（3）报价评分标准：</w:t>
      </w:r>
    </w:p>
    <w:p>
      <w:pPr>
        <w:pStyle w:val="9"/>
        <w:spacing w:line="360" w:lineRule="auto"/>
        <w:ind w:firstLine="480"/>
        <w:rPr>
          <w:color w:val="auto"/>
          <w:sz w:val="24"/>
          <w:szCs w:val="24"/>
          <w:highlight w:val="none"/>
        </w:rPr>
      </w:pPr>
      <w:r>
        <w:rPr>
          <w:color w:val="auto"/>
          <w:sz w:val="24"/>
          <w:szCs w:val="24"/>
          <w:highlight w:val="none"/>
        </w:rPr>
        <w:t>报价得分采用如下方法计算：</w:t>
      </w:r>
    </w:p>
    <w:p>
      <w:pPr>
        <w:pStyle w:val="9"/>
        <w:spacing w:line="360" w:lineRule="auto"/>
        <w:ind w:firstLine="960" w:firstLineChars="400"/>
        <w:rPr>
          <w:color w:val="auto"/>
          <w:sz w:val="24"/>
          <w:szCs w:val="24"/>
          <w:highlight w:val="none"/>
        </w:rPr>
      </w:pPr>
      <w:r>
        <w:rPr>
          <w:color w:val="auto"/>
          <w:sz w:val="24"/>
          <w:szCs w:val="24"/>
          <w:highlight w:val="none"/>
        </w:rPr>
        <w:t>详见评审办法前附表。</w:t>
      </w:r>
    </w:p>
    <w:p>
      <w:pPr>
        <w:pStyle w:val="9"/>
        <w:spacing w:line="360" w:lineRule="auto"/>
        <w:ind w:firstLine="480"/>
        <w:outlineLvl w:val="2"/>
        <w:rPr>
          <w:color w:val="auto"/>
          <w:sz w:val="24"/>
          <w:szCs w:val="24"/>
          <w:highlight w:val="none"/>
        </w:rPr>
      </w:pPr>
      <w:bookmarkStart w:id="149" w:name="_Toc9272"/>
      <w:r>
        <w:rPr>
          <w:color w:val="auto"/>
          <w:sz w:val="24"/>
          <w:szCs w:val="24"/>
          <w:highlight w:val="none"/>
        </w:rPr>
        <w:t>3.4  评分</w:t>
      </w:r>
      <w:bookmarkEnd w:id="149"/>
    </w:p>
    <w:p>
      <w:pPr>
        <w:pStyle w:val="9"/>
        <w:spacing w:line="360" w:lineRule="auto"/>
        <w:ind w:firstLine="480"/>
        <w:rPr>
          <w:color w:val="auto"/>
          <w:sz w:val="24"/>
          <w:szCs w:val="24"/>
          <w:highlight w:val="none"/>
        </w:rPr>
      </w:pPr>
      <w:r>
        <w:rPr>
          <w:color w:val="auto"/>
          <w:sz w:val="24"/>
          <w:szCs w:val="24"/>
          <w:highlight w:val="none"/>
        </w:rPr>
        <w:t>采购小组成员按照评分标准独立对供应商的商务、技术和其他因素进行评分。报价评分由采购小组统一计算。各项得分汇总后为该成员给供应商的评分总分。评分分值计算保留小数点后两位，小数点后第三位“四舍五入”。</w:t>
      </w:r>
    </w:p>
    <w:p>
      <w:pPr>
        <w:pStyle w:val="9"/>
        <w:spacing w:line="360" w:lineRule="auto"/>
        <w:ind w:firstLine="480"/>
        <w:outlineLvl w:val="2"/>
        <w:rPr>
          <w:color w:val="auto"/>
          <w:sz w:val="24"/>
          <w:szCs w:val="24"/>
          <w:highlight w:val="none"/>
        </w:rPr>
      </w:pPr>
      <w:bookmarkStart w:id="150" w:name="_Toc30352"/>
      <w:r>
        <w:rPr>
          <w:color w:val="auto"/>
          <w:sz w:val="24"/>
          <w:szCs w:val="24"/>
          <w:highlight w:val="none"/>
        </w:rPr>
        <w:t>3.5  汇总</w:t>
      </w:r>
      <w:bookmarkEnd w:id="150"/>
    </w:p>
    <w:p>
      <w:pPr>
        <w:pStyle w:val="9"/>
        <w:spacing w:line="360" w:lineRule="auto"/>
        <w:ind w:firstLine="480"/>
        <w:rPr>
          <w:color w:val="auto"/>
          <w:sz w:val="24"/>
          <w:szCs w:val="24"/>
          <w:highlight w:val="none"/>
        </w:rPr>
      </w:pPr>
      <w:r>
        <w:rPr>
          <w:color w:val="auto"/>
          <w:sz w:val="24"/>
          <w:szCs w:val="24"/>
          <w:highlight w:val="none"/>
        </w:rPr>
        <w:t>采购小组汇总每个成员对供应商的评分总分，每个供应商的评分总分的算术平均值为供应商最终得分。</w:t>
      </w:r>
    </w:p>
    <w:p>
      <w:pPr>
        <w:pStyle w:val="9"/>
        <w:spacing w:line="360" w:lineRule="auto"/>
        <w:ind w:firstLine="480"/>
        <w:outlineLvl w:val="2"/>
        <w:rPr>
          <w:color w:val="auto"/>
          <w:sz w:val="24"/>
          <w:szCs w:val="24"/>
          <w:highlight w:val="none"/>
        </w:rPr>
      </w:pPr>
      <w:bookmarkStart w:id="151" w:name="_Toc29008"/>
      <w:r>
        <w:rPr>
          <w:color w:val="auto"/>
          <w:sz w:val="24"/>
          <w:szCs w:val="24"/>
          <w:highlight w:val="none"/>
        </w:rPr>
        <w:t>3.6  排序</w:t>
      </w:r>
      <w:bookmarkEnd w:id="151"/>
    </w:p>
    <w:p>
      <w:pPr>
        <w:pStyle w:val="9"/>
        <w:spacing w:line="360" w:lineRule="auto"/>
        <w:ind w:firstLine="480"/>
        <w:rPr>
          <w:color w:val="auto"/>
          <w:sz w:val="24"/>
          <w:szCs w:val="24"/>
          <w:highlight w:val="none"/>
        </w:rPr>
      </w:pPr>
      <w:r>
        <w:rPr>
          <w:color w:val="auto"/>
          <w:sz w:val="24"/>
          <w:szCs w:val="24"/>
          <w:highlight w:val="none"/>
        </w:rPr>
        <w:t xml:space="preserve">采购小组对供应商最终得分进行比较后，按照供应商最终得分由高到低的顺序对供应商排序。最终得分相等时，以评审价格低的优先；评审价格也相等的，以技术得分高的优先；如果技术得分也相等，按照评审办法前附表的规定确定供应商优先顺序。 </w:t>
      </w:r>
    </w:p>
    <w:p>
      <w:pPr>
        <w:pStyle w:val="9"/>
        <w:spacing w:line="360" w:lineRule="auto"/>
        <w:ind w:firstLine="480"/>
        <w:outlineLvl w:val="1"/>
        <w:rPr>
          <w:color w:val="auto"/>
          <w:sz w:val="24"/>
          <w:highlight w:val="none"/>
        </w:rPr>
      </w:pPr>
      <w:bookmarkStart w:id="152" w:name="_Toc5993"/>
      <w:r>
        <w:rPr>
          <w:color w:val="auto"/>
          <w:sz w:val="24"/>
          <w:highlight w:val="none"/>
        </w:rPr>
        <w:t>4 评审结果</w:t>
      </w:r>
      <w:bookmarkEnd w:id="152"/>
    </w:p>
    <w:p>
      <w:pPr>
        <w:pStyle w:val="9"/>
        <w:spacing w:line="360" w:lineRule="auto"/>
        <w:ind w:firstLine="480"/>
        <w:outlineLvl w:val="2"/>
        <w:rPr>
          <w:color w:val="auto"/>
          <w:sz w:val="24"/>
          <w:szCs w:val="24"/>
          <w:highlight w:val="none"/>
        </w:rPr>
      </w:pPr>
      <w:bookmarkStart w:id="153" w:name="_Toc24319"/>
      <w:r>
        <w:rPr>
          <w:color w:val="auto"/>
          <w:sz w:val="24"/>
          <w:szCs w:val="24"/>
          <w:highlight w:val="none"/>
        </w:rPr>
        <w:t>4.1  提交评审报告</w:t>
      </w:r>
      <w:bookmarkEnd w:id="153"/>
    </w:p>
    <w:p>
      <w:pPr>
        <w:pStyle w:val="9"/>
        <w:spacing w:line="360" w:lineRule="auto"/>
        <w:ind w:firstLine="480"/>
        <w:rPr>
          <w:color w:val="auto"/>
          <w:sz w:val="24"/>
          <w:szCs w:val="24"/>
          <w:highlight w:val="none"/>
        </w:rPr>
      </w:pPr>
      <w:r>
        <w:rPr>
          <w:color w:val="auto"/>
          <w:sz w:val="24"/>
          <w:szCs w:val="24"/>
          <w:highlight w:val="none"/>
        </w:rPr>
        <w:t>采购小组完成评审后，应当向采购人提交评审报告。</w:t>
      </w:r>
    </w:p>
    <w:p>
      <w:pPr>
        <w:pStyle w:val="9"/>
        <w:spacing w:line="360" w:lineRule="auto"/>
        <w:ind w:firstLine="480"/>
        <w:outlineLvl w:val="2"/>
        <w:rPr>
          <w:color w:val="auto"/>
          <w:sz w:val="24"/>
          <w:szCs w:val="24"/>
          <w:highlight w:val="none"/>
        </w:rPr>
      </w:pPr>
      <w:bookmarkStart w:id="154" w:name="_Toc9165"/>
      <w:r>
        <w:rPr>
          <w:color w:val="auto"/>
          <w:sz w:val="24"/>
          <w:szCs w:val="24"/>
          <w:highlight w:val="none"/>
        </w:rPr>
        <w:t>4.2  推荐候选成交供应商</w:t>
      </w:r>
      <w:bookmarkEnd w:id="154"/>
    </w:p>
    <w:p>
      <w:pPr>
        <w:pStyle w:val="9"/>
        <w:spacing w:line="360" w:lineRule="auto"/>
        <w:ind w:firstLine="480"/>
        <w:rPr>
          <w:color w:val="auto"/>
          <w:sz w:val="24"/>
          <w:szCs w:val="24"/>
          <w:highlight w:val="none"/>
        </w:rPr>
      </w:pPr>
      <w:r>
        <w:rPr>
          <w:color w:val="auto"/>
          <w:sz w:val="24"/>
          <w:szCs w:val="24"/>
          <w:highlight w:val="none"/>
        </w:rPr>
        <w:t>采购小组应在评审报告中按照供应商排列的优先顺序向采购人推荐候选成供应商（排序或不排序）。</w:t>
      </w:r>
    </w:p>
    <w:bookmarkEnd w:id="139"/>
    <w:p>
      <w:pPr>
        <w:spacing w:line="520" w:lineRule="exact"/>
        <w:outlineLvl w:val="9"/>
        <w:rPr>
          <w:rFonts w:ascii="宋体" w:hAnsi="宋体" w:cs="宋体"/>
          <w:color w:val="auto"/>
          <w:szCs w:val="21"/>
          <w:highlight w:val="none"/>
        </w:rPr>
      </w:pPr>
    </w:p>
    <w:p>
      <w:pPr>
        <w:spacing w:line="520" w:lineRule="exact"/>
        <w:outlineLvl w:val="9"/>
        <w:rPr>
          <w:rFonts w:ascii="宋体" w:hAnsi="宋体" w:cs="宋体"/>
          <w:color w:val="auto"/>
          <w:szCs w:val="21"/>
          <w:highlight w:val="none"/>
        </w:rPr>
      </w:pPr>
    </w:p>
    <w:p>
      <w:pPr>
        <w:spacing w:line="520" w:lineRule="exact"/>
        <w:outlineLvl w:val="9"/>
        <w:rPr>
          <w:rFonts w:ascii="宋体" w:hAnsi="宋体" w:cs="宋体"/>
          <w:color w:val="auto"/>
          <w:szCs w:val="21"/>
          <w:highlight w:val="none"/>
        </w:rPr>
      </w:pPr>
    </w:p>
    <w:p>
      <w:pPr>
        <w:spacing w:line="520" w:lineRule="exact"/>
        <w:outlineLvl w:val="9"/>
        <w:rPr>
          <w:rFonts w:ascii="宋体" w:hAnsi="宋体" w:cs="宋体"/>
          <w:color w:val="auto"/>
          <w:szCs w:val="21"/>
          <w:highlight w:val="none"/>
        </w:rPr>
      </w:pPr>
    </w:p>
    <w:p>
      <w:pPr>
        <w:spacing w:line="520" w:lineRule="exact"/>
        <w:outlineLvl w:val="9"/>
        <w:rPr>
          <w:rFonts w:ascii="宋体" w:hAnsi="宋体" w:cs="宋体"/>
          <w:color w:val="auto"/>
          <w:szCs w:val="21"/>
          <w:highlight w:val="none"/>
        </w:rPr>
      </w:pPr>
    </w:p>
    <w:p>
      <w:pPr>
        <w:spacing w:line="520" w:lineRule="exact"/>
        <w:outlineLvl w:val="9"/>
        <w:rPr>
          <w:rFonts w:ascii="宋体" w:hAnsi="宋体" w:cs="宋体"/>
          <w:color w:val="auto"/>
          <w:szCs w:val="21"/>
          <w:highlight w:val="none"/>
        </w:rPr>
      </w:pPr>
    </w:p>
    <w:p>
      <w:pPr>
        <w:spacing w:line="520" w:lineRule="exact"/>
        <w:outlineLvl w:val="9"/>
        <w:rPr>
          <w:rFonts w:ascii="宋体" w:hAnsi="宋体" w:cs="宋体"/>
          <w:color w:val="auto"/>
          <w:szCs w:val="21"/>
          <w:highlight w:val="none"/>
        </w:rPr>
      </w:pPr>
    </w:p>
    <w:p>
      <w:pPr>
        <w:spacing w:line="520" w:lineRule="exact"/>
        <w:outlineLvl w:val="9"/>
        <w:rPr>
          <w:rFonts w:ascii="宋体" w:hAnsi="宋体" w:cs="宋体"/>
          <w:color w:val="auto"/>
          <w:szCs w:val="21"/>
          <w:highlight w:val="none"/>
        </w:rPr>
      </w:pPr>
    </w:p>
    <w:p>
      <w:pPr>
        <w:spacing w:line="520" w:lineRule="exact"/>
        <w:outlineLvl w:val="9"/>
        <w:rPr>
          <w:rFonts w:ascii="宋体" w:hAnsi="宋体" w:cs="宋体"/>
          <w:color w:val="auto"/>
          <w:szCs w:val="21"/>
          <w:highlight w:val="none"/>
        </w:rPr>
      </w:pPr>
    </w:p>
    <w:p>
      <w:pPr>
        <w:spacing w:line="520" w:lineRule="exact"/>
        <w:outlineLvl w:val="9"/>
        <w:rPr>
          <w:rFonts w:ascii="宋体" w:hAnsi="宋体" w:cs="宋体"/>
          <w:color w:val="auto"/>
          <w:szCs w:val="21"/>
          <w:highlight w:val="none"/>
        </w:rPr>
      </w:pPr>
    </w:p>
    <w:p>
      <w:pPr>
        <w:spacing w:line="520" w:lineRule="exact"/>
        <w:outlineLvl w:val="9"/>
        <w:rPr>
          <w:rFonts w:ascii="宋体" w:hAnsi="宋体" w:cs="宋体"/>
          <w:color w:val="auto"/>
          <w:szCs w:val="21"/>
          <w:highlight w:val="none"/>
        </w:rPr>
      </w:pPr>
    </w:p>
    <w:p>
      <w:pPr>
        <w:spacing w:line="520" w:lineRule="exact"/>
        <w:outlineLvl w:val="9"/>
        <w:rPr>
          <w:rFonts w:ascii="宋体" w:hAnsi="宋体" w:cs="宋体"/>
          <w:color w:val="auto"/>
          <w:szCs w:val="21"/>
          <w:highlight w:val="none"/>
        </w:rPr>
      </w:pPr>
    </w:p>
    <w:p>
      <w:pPr>
        <w:spacing w:line="520" w:lineRule="exact"/>
        <w:outlineLvl w:val="9"/>
        <w:rPr>
          <w:rFonts w:ascii="宋体" w:hAnsi="宋体" w:cs="宋体"/>
          <w:color w:val="auto"/>
          <w:szCs w:val="21"/>
          <w:highlight w:val="none"/>
        </w:rPr>
      </w:pPr>
    </w:p>
    <w:p>
      <w:pPr>
        <w:spacing w:line="520" w:lineRule="exact"/>
        <w:outlineLvl w:val="9"/>
        <w:rPr>
          <w:rFonts w:ascii="宋体" w:hAnsi="宋体" w:cs="宋体"/>
          <w:color w:val="auto"/>
          <w:szCs w:val="21"/>
          <w:highlight w:val="none"/>
        </w:rPr>
      </w:pPr>
    </w:p>
    <w:p>
      <w:pPr>
        <w:spacing w:line="520" w:lineRule="exact"/>
        <w:outlineLvl w:val="9"/>
        <w:rPr>
          <w:rFonts w:ascii="宋体" w:hAnsi="宋体" w:cs="宋体"/>
          <w:color w:val="auto"/>
          <w:szCs w:val="21"/>
          <w:highlight w:val="none"/>
        </w:rPr>
      </w:pPr>
    </w:p>
    <w:bookmarkEnd w:id="123"/>
    <w:bookmarkEnd w:id="135"/>
    <w:bookmarkEnd w:id="140"/>
    <w:bookmarkEnd w:id="141"/>
    <w:p>
      <w:pPr>
        <w:adjustRightInd w:val="0"/>
        <w:snapToGrid w:val="0"/>
        <w:spacing w:line="360" w:lineRule="auto"/>
        <w:ind w:firstLine="562" w:firstLineChars="200"/>
        <w:rPr>
          <w:rFonts w:ascii="宋体" w:hAnsi="宋体" w:cs="宋体"/>
          <w:b/>
          <w:color w:val="auto"/>
          <w:sz w:val="24"/>
          <w:highlight w:val="none"/>
        </w:rPr>
      </w:pPr>
      <w:r>
        <w:rPr>
          <w:rFonts w:hint="eastAsia" w:ascii="宋体" w:hAnsi="宋体" w:cs="宋体"/>
          <w:b/>
          <w:color w:val="auto"/>
          <w:sz w:val="28"/>
          <w:highlight w:val="none"/>
        </w:rPr>
        <w:t>附件：否决报价申请条件</w:t>
      </w:r>
    </w:p>
    <w:p>
      <w:pPr>
        <w:adjustRightInd w:val="0"/>
        <w:snapToGrid w:val="0"/>
        <w:spacing w:line="360" w:lineRule="auto"/>
        <w:ind w:firstLine="480" w:firstLineChars="200"/>
        <w:rPr>
          <w:rFonts w:ascii="宋体" w:hAnsi="宋体" w:cs="宋体"/>
          <w:color w:val="auto"/>
          <w:sz w:val="24"/>
          <w:highlight w:val="none"/>
        </w:rPr>
      </w:pPr>
    </w:p>
    <w:p>
      <w:pPr>
        <w:adjustRightInd w:val="0"/>
        <w:snapToGrid w:val="0"/>
        <w:spacing w:line="360" w:lineRule="auto"/>
        <w:ind w:firstLine="562" w:firstLineChars="200"/>
        <w:jc w:val="center"/>
        <w:rPr>
          <w:rFonts w:ascii="宋体" w:hAnsi="宋体" w:cs="宋体"/>
          <w:b/>
          <w:color w:val="auto"/>
          <w:sz w:val="28"/>
          <w:highlight w:val="none"/>
        </w:rPr>
      </w:pPr>
      <w:r>
        <w:rPr>
          <w:rFonts w:hint="eastAsia" w:ascii="宋体" w:hAnsi="宋体" w:cs="宋体"/>
          <w:b/>
          <w:color w:val="auto"/>
          <w:sz w:val="28"/>
          <w:highlight w:val="none"/>
        </w:rPr>
        <w:t>否决报价申请条件</w:t>
      </w:r>
    </w:p>
    <w:p>
      <w:pPr>
        <w:adjustRightInd w:val="0"/>
        <w:snapToGrid w:val="0"/>
        <w:spacing w:line="360" w:lineRule="auto"/>
        <w:ind w:firstLine="480" w:firstLineChars="200"/>
        <w:rPr>
          <w:color w:val="auto"/>
          <w:sz w:val="24"/>
          <w:szCs w:val="24"/>
          <w:highlight w:val="none"/>
        </w:rPr>
      </w:pPr>
      <w:r>
        <w:rPr>
          <w:rFonts w:hint="eastAsia"/>
          <w:color w:val="auto"/>
          <w:sz w:val="24"/>
          <w:szCs w:val="24"/>
          <w:highlight w:val="none"/>
        </w:rPr>
        <w:t>1.总则</w:t>
      </w:r>
    </w:p>
    <w:p>
      <w:pPr>
        <w:adjustRightInd w:val="0"/>
        <w:snapToGrid w:val="0"/>
        <w:spacing w:line="360" w:lineRule="auto"/>
        <w:ind w:firstLine="480" w:firstLineChars="200"/>
        <w:rPr>
          <w:color w:val="auto"/>
          <w:sz w:val="24"/>
          <w:szCs w:val="24"/>
          <w:highlight w:val="none"/>
        </w:rPr>
      </w:pPr>
      <w:r>
        <w:rPr>
          <w:rFonts w:hint="eastAsia"/>
          <w:color w:val="auto"/>
          <w:sz w:val="24"/>
          <w:szCs w:val="24"/>
          <w:highlight w:val="none"/>
        </w:rPr>
        <w:t>本附件所集中列示的否决报价申请条件，是本章“评审办法”的组成部分，是对第二章“供应商须知”和本章附件所规定的否决报价申请条件的总结和补充，如果出现相互矛盾的情况，以本章附件的规定为准。其他地方列出的条款无效，询价小组不得根据本章“否决报价申请条件”之外的条款否决报价申请。</w:t>
      </w:r>
    </w:p>
    <w:p>
      <w:pPr>
        <w:adjustRightInd w:val="0"/>
        <w:snapToGrid w:val="0"/>
        <w:spacing w:line="360" w:lineRule="auto"/>
        <w:ind w:firstLine="480" w:firstLineChars="200"/>
        <w:rPr>
          <w:color w:val="auto"/>
          <w:sz w:val="24"/>
          <w:szCs w:val="24"/>
          <w:highlight w:val="none"/>
        </w:rPr>
      </w:pPr>
      <w:r>
        <w:rPr>
          <w:rFonts w:hint="eastAsia"/>
          <w:color w:val="auto"/>
          <w:sz w:val="24"/>
          <w:szCs w:val="24"/>
          <w:highlight w:val="none"/>
        </w:rPr>
        <w:t>2．否决报价申请条件</w:t>
      </w:r>
    </w:p>
    <w:p>
      <w:pPr>
        <w:adjustRightInd w:val="0"/>
        <w:snapToGrid w:val="0"/>
        <w:spacing w:line="360" w:lineRule="auto"/>
        <w:ind w:firstLine="480" w:firstLineChars="200"/>
        <w:rPr>
          <w:color w:val="auto"/>
          <w:sz w:val="24"/>
          <w:szCs w:val="24"/>
          <w:highlight w:val="none"/>
        </w:rPr>
      </w:pPr>
      <w:r>
        <w:rPr>
          <w:rFonts w:hint="eastAsia"/>
          <w:color w:val="auto"/>
          <w:sz w:val="24"/>
          <w:szCs w:val="24"/>
          <w:highlight w:val="none"/>
        </w:rPr>
        <w:t>供应商或报价申请文件有下列情形之一的，询价小组应当否决其报价申请：</w:t>
      </w:r>
    </w:p>
    <w:p>
      <w:pPr>
        <w:adjustRightInd w:val="0"/>
        <w:snapToGrid w:val="0"/>
        <w:spacing w:line="360" w:lineRule="auto"/>
        <w:ind w:firstLine="480" w:firstLineChars="200"/>
        <w:rPr>
          <w:color w:val="auto"/>
          <w:sz w:val="24"/>
          <w:szCs w:val="24"/>
          <w:highlight w:val="none"/>
        </w:rPr>
      </w:pPr>
      <w:r>
        <w:rPr>
          <w:rFonts w:hint="eastAsia"/>
          <w:color w:val="auto"/>
          <w:sz w:val="24"/>
          <w:szCs w:val="24"/>
          <w:highlight w:val="none"/>
        </w:rPr>
        <w:t>2.1有串通投标或弄虚作假或有其他违法行为的；</w:t>
      </w:r>
    </w:p>
    <w:p>
      <w:pPr>
        <w:adjustRightInd w:val="0"/>
        <w:snapToGrid w:val="0"/>
        <w:spacing w:line="360" w:lineRule="auto"/>
        <w:ind w:firstLine="480" w:firstLineChars="200"/>
        <w:rPr>
          <w:color w:val="auto"/>
          <w:sz w:val="24"/>
          <w:szCs w:val="24"/>
          <w:highlight w:val="none"/>
        </w:rPr>
      </w:pPr>
      <w:r>
        <w:rPr>
          <w:rFonts w:hint="eastAsia"/>
          <w:color w:val="auto"/>
          <w:sz w:val="24"/>
          <w:szCs w:val="24"/>
          <w:highlight w:val="none"/>
        </w:rPr>
        <w:t>2.2在形式询价、资格询价、响应性询价中，询价小组认定供应商的报价不符合评审办法前附表中规定的任何一项标准的；</w:t>
      </w:r>
    </w:p>
    <w:p>
      <w:pPr>
        <w:adjustRightInd w:val="0"/>
        <w:snapToGrid w:val="0"/>
        <w:spacing w:line="360" w:lineRule="auto"/>
        <w:ind w:firstLine="480" w:firstLineChars="200"/>
        <w:rPr>
          <w:color w:val="auto"/>
          <w:sz w:val="24"/>
          <w:szCs w:val="24"/>
          <w:highlight w:val="none"/>
        </w:rPr>
      </w:pPr>
      <w:r>
        <w:rPr>
          <w:rFonts w:hint="eastAsia"/>
          <w:color w:val="auto"/>
          <w:sz w:val="24"/>
          <w:szCs w:val="24"/>
          <w:highlight w:val="none"/>
        </w:rPr>
        <w:t>2.3 不按询价小组要求澄清、说明或补正的；</w:t>
      </w:r>
    </w:p>
    <w:p>
      <w:pPr>
        <w:adjustRightInd w:val="0"/>
        <w:snapToGrid w:val="0"/>
        <w:spacing w:line="360" w:lineRule="auto"/>
        <w:ind w:firstLine="480" w:firstLineChars="200"/>
        <w:rPr>
          <w:color w:val="auto"/>
          <w:sz w:val="24"/>
          <w:szCs w:val="24"/>
          <w:highlight w:val="none"/>
        </w:rPr>
      </w:pPr>
      <w:r>
        <w:rPr>
          <w:rFonts w:hint="eastAsia"/>
          <w:color w:val="auto"/>
          <w:sz w:val="24"/>
          <w:szCs w:val="24"/>
          <w:highlight w:val="none"/>
        </w:rPr>
        <w:t>2.4 未按报价文件要求签字盖章的；</w:t>
      </w:r>
    </w:p>
    <w:p>
      <w:pPr>
        <w:adjustRightInd w:val="0"/>
        <w:snapToGrid w:val="0"/>
        <w:spacing w:line="360" w:lineRule="auto"/>
        <w:ind w:firstLine="480" w:firstLineChars="200"/>
        <w:rPr>
          <w:color w:val="auto"/>
          <w:sz w:val="24"/>
          <w:szCs w:val="24"/>
          <w:highlight w:val="none"/>
        </w:rPr>
      </w:pPr>
      <w:r>
        <w:rPr>
          <w:rFonts w:hint="eastAsia"/>
          <w:color w:val="auto"/>
          <w:sz w:val="24"/>
          <w:szCs w:val="24"/>
          <w:highlight w:val="none"/>
        </w:rPr>
        <w:t>2.5 未按规定的格式填写,内容不全或关键内容字迹模糊、无法辨认的；</w:t>
      </w:r>
    </w:p>
    <w:p>
      <w:pPr>
        <w:adjustRightInd w:val="0"/>
        <w:snapToGrid w:val="0"/>
        <w:spacing w:line="360" w:lineRule="auto"/>
        <w:ind w:firstLine="480" w:firstLineChars="200"/>
        <w:rPr>
          <w:color w:val="auto"/>
          <w:sz w:val="24"/>
          <w:szCs w:val="24"/>
          <w:highlight w:val="none"/>
        </w:rPr>
      </w:pPr>
      <w:r>
        <w:rPr>
          <w:rFonts w:hint="eastAsia"/>
          <w:color w:val="auto"/>
          <w:sz w:val="24"/>
          <w:szCs w:val="24"/>
          <w:highlight w:val="none"/>
        </w:rPr>
        <w:t>2.6 报价申请文件无质量承诺或质量承诺不满足报价文件的；</w:t>
      </w:r>
    </w:p>
    <w:p>
      <w:pPr>
        <w:adjustRightInd w:val="0"/>
        <w:snapToGrid w:val="0"/>
        <w:spacing w:line="360" w:lineRule="auto"/>
        <w:ind w:firstLine="480" w:firstLineChars="200"/>
        <w:rPr>
          <w:color w:val="auto"/>
          <w:sz w:val="24"/>
          <w:szCs w:val="24"/>
          <w:highlight w:val="none"/>
        </w:rPr>
      </w:pPr>
      <w:r>
        <w:rPr>
          <w:rFonts w:hint="eastAsia"/>
          <w:color w:val="auto"/>
          <w:sz w:val="24"/>
          <w:szCs w:val="24"/>
          <w:highlight w:val="none"/>
        </w:rPr>
        <w:t>2.7 询价小组认定供应商以低于成本报价竞标的；</w:t>
      </w:r>
    </w:p>
    <w:p>
      <w:pPr>
        <w:adjustRightInd w:val="0"/>
        <w:snapToGrid w:val="0"/>
        <w:spacing w:line="360" w:lineRule="auto"/>
        <w:ind w:firstLine="480" w:firstLineChars="200"/>
        <w:rPr>
          <w:color w:val="auto"/>
          <w:sz w:val="24"/>
          <w:szCs w:val="24"/>
          <w:highlight w:val="none"/>
        </w:rPr>
      </w:pPr>
      <w:r>
        <w:rPr>
          <w:rFonts w:hint="eastAsia"/>
          <w:color w:val="auto"/>
          <w:sz w:val="24"/>
          <w:szCs w:val="24"/>
          <w:highlight w:val="none"/>
        </w:rPr>
        <w:t>2.8 报价不合理，报价明显过低的，且文件中没有提供相应的价格证明材料的；</w:t>
      </w:r>
    </w:p>
    <w:p>
      <w:pPr>
        <w:adjustRightInd w:val="0"/>
        <w:snapToGrid w:val="0"/>
        <w:spacing w:line="360" w:lineRule="auto"/>
        <w:ind w:firstLine="480" w:firstLineChars="200"/>
        <w:rPr>
          <w:color w:val="auto"/>
          <w:sz w:val="24"/>
          <w:szCs w:val="24"/>
          <w:highlight w:val="none"/>
        </w:rPr>
      </w:pPr>
      <w:r>
        <w:rPr>
          <w:rFonts w:hint="eastAsia"/>
          <w:color w:val="auto"/>
          <w:sz w:val="24"/>
          <w:szCs w:val="24"/>
          <w:highlight w:val="none"/>
        </w:rPr>
        <w:t>2.9 报价超过最高限价的；</w:t>
      </w:r>
    </w:p>
    <w:p>
      <w:pPr>
        <w:adjustRightInd w:val="0"/>
        <w:snapToGrid w:val="0"/>
        <w:spacing w:line="360" w:lineRule="auto"/>
        <w:ind w:firstLine="480" w:firstLineChars="200"/>
        <w:rPr>
          <w:color w:val="auto"/>
          <w:sz w:val="24"/>
          <w:szCs w:val="24"/>
          <w:highlight w:val="none"/>
        </w:rPr>
      </w:pPr>
      <w:r>
        <w:rPr>
          <w:rFonts w:hint="eastAsia"/>
          <w:color w:val="auto"/>
          <w:sz w:val="24"/>
          <w:szCs w:val="24"/>
          <w:highlight w:val="none"/>
        </w:rPr>
        <w:t>2.10 供应商须知前附表规定的报价无效的情形；</w:t>
      </w:r>
    </w:p>
    <w:p>
      <w:pPr>
        <w:adjustRightInd w:val="0"/>
        <w:snapToGrid w:val="0"/>
        <w:spacing w:line="360" w:lineRule="auto"/>
        <w:ind w:firstLine="480" w:firstLineChars="200"/>
        <w:rPr>
          <w:color w:val="auto"/>
          <w:sz w:val="24"/>
          <w:szCs w:val="24"/>
          <w:highlight w:val="none"/>
        </w:rPr>
      </w:pPr>
      <w:r>
        <w:rPr>
          <w:rFonts w:hint="eastAsia"/>
          <w:color w:val="auto"/>
          <w:sz w:val="24"/>
          <w:szCs w:val="24"/>
          <w:highlight w:val="none"/>
        </w:rPr>
        <w:t>2.11违反相关法律、法规和规章的。</w:t>
      </w:r>
    </w:p>
    <w:p>
      <w:pPr>
        <w:adjustRightInd w:val="0"/>
        <w:snapToGrid w:val="0"/>
        <w:spacing w:line="360" w:lineRule="auto"/>
        <w:ind w:firstLine="480" w:firstLineChars="200"/>
        <w:rPr>
          <w:color w:val="auto"/>
          <w:sz w:val="24"/>
          <w:szCs w:val="24"/>
          <w:highlight w:val="none"/>
        </w:rPr>
      </w:pPr>
      <w:r>
        <w:rPr>
          <w:rFonts w:hint="eastAsia"/>
          <w:color w:val="auto"/>
          <w:sz w:val="24"/>
          <w:szCs w:val="24"/>
          <w:highlight w:val="none"/>
        </w:rPr>
        <w:br w:type="page"/>
      </w:r>
    </w:p>
    <w:p>
      <w:pPr>
        <w:keepNext/>
        <w:keepLines/>
        <w:jc w:val="center"/>
        <w:outlineLvl w:val="0"/>
        <w:rPr>
          <w:rFonts w:ascii="宋体" w:hAnsi="宋体" w:cs="宋体"/>
          <w:b/>
          <w:bCs/>
          <w:color w:val="auto"/>
          <w:w w:val="90"/>
          <w:kern w:val="44"/>
          <w:sz w:val="44"/>
          <w:szCs w:val="44"/>
          <w:highlight w:val="none"/>
        </w:rPr>
      </w:pPr>
      <w:bookmarkStart w:id="155" w:name="_Toc27228"/>
      <w:r>
        <w:rPr>
          <w:rFonts w:hint="eastAsia" w:ascii="宋体" w:hAnsi="宋体" w:cs="宋体"/>
          <w:b/>
          <w:bCs/>
          <w:color w:val="auto"/>
          <w:w w:val="90"/>
          <w:kern w:val="44"/>
          <w:sz w:val="44"/>
          <w:szCs w:val="44"/>
          <w:highlight w:val="none"/>
        </w:rPr>
        <w:t>第四章  合同主要条款</w:t>
      </w:r>
      <w:bookmarkEnd w:id="155"/>
    </w:p>
    <w:p>
      <w:pPr>
        <w:spacing w:line="400" w:lineRule="exact"/>
        <w:jc w:val="center"/>
        <w:rPr>
          <w:rFonts w:ascii="宋体" w:hAnsi="宋体" w:cs="宋体"/>
          <w:b/>
          <w:color w:val="auto"/>
          <w:sz w:val="32"/>
          <w:szCs w:val="36"/>
          <w:highlight w:val="none"/>
        </w:rPr>
      </w:pPr>
    </w:p>
    <w:p>
      <w:pPr>
        <w:pStyle w:val="4"/>
        <w:snapToGrid w:val="0"/>
        <w:jc w:val="center"/>
        <w:rPr>
          <w:rFonts w:ascii="宋体" w:hAnsi="宋体" w:cs="宋体"/>
          <w:b/>
          <w:color w:val="auto"/>
          <w:sz w:val="30"/>
          <w:szCs w:val="30"/>
          <w:highlight w:val="none"/>
        </w:rPr>
      </w:pPr>
      <w:bookmarkStart w:id="156" w:name="_Toc21184"/>
      <w:bookmarkStart w:id="157" w:name="_Toc381606826"/>
      <w:r>
        <w:rPr>
          <w:rFonts w:hint="eastAsia" w:ascii="宋体" w:hAnsi="宋体" w:cs="宋体"/>
          <w:b/>
          <w:color w:val="auto"/>
          <w:sz w:val="30"/>
          <w:szCs w:val="30"/>
          <w:highlight w:val="none"/>
        </w:rPr>
        <w:t>白水风电场项目、麒麟北风电场（二期）项目地形图测绘及可研报告编制咨询服务项目合同</w:t>
      </w:r>
    </w:p>
    <w:p>
      <w:pPr>
        <w:adjustRightInd w:val="0"/>
        <w:snapToGrid w:val="0"/>
        <w:spacing w:line="360" w:lineRule="auto"/>
        <w:ind w:firstLine="480" w:firstLineChars="200"/>
        <w:rPr>
          <w:color w:val="auto"/>
          <w:sz w:val="24"/>
          <w:szCs w:val="24"/>
          <w:highlight w:val="none"/>
        </w:rPr>
      </w:pPr>
      <w:r>
        <w:rPr>
          <w:rFonts w:hint="eastAsia"/>
          <w:color w:val="auto"/>
          <w:sz w:val="24"/>
          <w:szCs w:val="24"/>
          <w:highlight w:val="none"/>
        </w:rPr>
        <w:t>甲方（</w:t>
      </w:r>
      <w:r>
        <w:rPr>
          <w:rFonts w:hint="eastAsia"/>
          <w:color w:val="auto"/>
          <w:sz w:val="24"/>
          <w:szCs w:val="24"/>
          <w:highlight w:val="none"/>
          <w:lang w:eastAsia="zh-Hans"/>
        </w:rPr>
        <w:t>发包方）</w:t>
      </w:r>
      <w:r>
        <w:rPr>
          <w:rFonts w:hint="eastAsia"/>
          <w:color w:val="auto"/>
          <w:sz w:val="24"/>
          <w:szCs w:val="24"/>
          <w:highlight w:val="none"/>
        </w:rPr>
        <w:t>：云能（曲靖）综合能源服务有限公司（以下简称甲方）</w:t>
      </w:r>
    </w:p>
    <w:p>
      <w:pPr>
        <w:adjustRightInd w:val="0"/>
        <w:snapToGrid w:val="0"/>
        <w:spacing w:line="360" w:lineRule="auto"/>
        <w:ind w:firstLine="480" w:firstLineChars="200"/>
        <w:rPr>
          <w:color w:val="auto"/>
          <w:sz w:val="24"/>
          <w:szCs w:val="24"/>
          <w:highlight w:val="none"/>
        </w:rPr>
      </w:pPr>
      <w:r>
        <w:rPr>
          <w:rFonts w:hint="eastAsia"/>
          <w:color w:val="auto"/>
          <w:sz w:val="24"/>
          <w:szCs w:val="24"/>
          <w:highlight w:val="none"/>
        </w:rPr>
        <w:t>乙方（</w:t>
      </w:r>
      <w:r>
        <w:rPr>
          <w:rFonts w:hint="eastAsia"/>
          <w:color w:val="auto"/>
          <w:sz w:val="24"/>
          <w:szCs w:val="24"/>
          <w:highlight w:val="none"/>
          <w:lang w:eastAsia="zh-Hans"/>
        </w:rPr>
        <w:t>承包方</w:t>
      </w:r>
      <w:r>
        <w:rPr>
          <w:rFonts w:hint="eastAsia"/>
          <w:color w:val="auto"/>
          <w:sz w:val="24"/>
          <w:szCs w:val="24"/>
          <w:highlight w:val="none"/>
        </w:rPr>
        <w:t xml:space="preserve">）： </w:t>
      </w:r>
      <w:r>
        <w:rPr>
          <w:rFonts w:hint="eastAsia"/>
          <w:color w:val="auto"/>
          <w:sz w:val="24"/>
          <w:szCs w:val="24"/>
          <w:highlight w:val="none"/>
          <w:u w:val="single"/>
        </w:rPr>
        <w:t xml:space="preserve">                   </w:t>
      </w:r>
      <w:r>
        <w:rPr>
          <w:rFonts w:hint="eastAsia"/>
          <w:color w:val="auto"/>
          <w:sz w:val="24"/>
          <w:szCs w:val="24"/>
          <w:highlight w:val="none"/>
        </w:rPr>
        <w:t xml:space="preserve"> （以下简称乙方）</w:t>
      </w:r>
    </w:p>
    <w:p>
      <w:pPr>
        <w:adjustRightInd w:val="0"/>
        <w:snapToGrid w:val="0"/>
        <w:spacing w:line="360" w:lineRule="auto"/>
        <w:ind w:firstLine="480" w:firstLineChars="200"/>
        <w:rPr>
          <w:color w:val="auto"/>
          <w:sz w:val="24"/>
          <w:szCs w:val="24"/>
          <w:highlight w:val="none"/>
        </w:rPr>
      </w:pPr>
      <w:r>
        <w:rPr>
          <w:rFonts w:hint="eastAsia"/>
          <w:color w:val="auto"/>
          <w:sz w:val="24"/>
          <w:szCs w:val="24"/>
          <w:highlight w:val="none"/>
        </w:rPr>
        <w:t>甲方委托乙方对白水风电场项目、麒麟北风电场（二期）项目地形图测绘及可研报告编制咨询服务项目，根据《中华人民共和国民法典》及有关国家规定，本着平等互利的原则，经过甲、乙双方协商，签订如下合同条款，共同信守。</w:t>
      </w:r>
    </w:p>
    <w:p>
      <w:pPr>
        <w:pStyle w:val="42"/>
        <w:numPr>
          <w:ilvl w:val="0"/>
          <w:numId w:val="0"/>
        </w:numPr>
        <w:ind w:firstLine="560" w:firstLineChars="200"/>
        <w:rPr>
          <w:color w:val="auto"/>
          <w:sz w:val="24"/>
          <w:szCs w:val="24"/>
          <w:highlight w:val="none"/>
        </w:rPr>
      </w:pPr>
      <w:bookmarkStart w:id="158" w:name="_Toc31205"/>
      <w:bookmarkStart w:id="159" w:name="_Toc45524587"/>
      <w:bookmarkStart w:id="160" w:name="_Toc2859"/>
      <w:r>
        <w:rPr>
          <w:rFonts w:hint="eastAsia" w:ascii="黑体"/>
          <w:color w:val="auto"/>
          <w:sz w:val="28"/>
          <w:szCs w:val="21"/>
          <w:highlight w:val="none"/>
        </w:rPr>
        <w:t>1　</w:t>
      </w:r>
      <w:r>
        <w:rPr>
          <w:color w:val="auto"/>
          <w:sz w:val="24"/>
          <w:szCs w:val="24"/>
          <w:highlight w:val="none"/>
        </w:rPr>
        <w:t>甲方委托乙方进行技术服务的内容如下：</w:t>
      </w:r>
      <w:bookmarkEnd w:id="158"/>
      <w:bookmarkEnd w:id="159"/>
      <w:bookmarkEnd w:id="160"/>
    </w:p>
    <w:p>
      <w:pPr>
        <w:pStyle w:val="42"/>
        <w:numPr>
          <w:ilvl w:val="255"/>
          <w:numId w:val="0"/>
        </w:numPr>
        <w:ind w:firstLine="480" w:firstLineChars="200"/>
        <w:rPr>
          <w:rFonts w:eastAsia="宋体"/>
          <w:color w:val="auto"/>
          <w:sz w:val="24"/>
          <w:szCs w:val="24"/>
          <w:highlight w:val="none"/>
        </w:rPr>
      </w:pPr>
      <w:r>
        <w:rPr>
          <w:rFonts w:ascii="宋体" w:hAnsi="宋体" w:eastAsia="宋体" w:cs="宋体"/>
          <w:color w:val="auto"/>
          <w:sz w:val="24"/>
          <w:szCs w:val="24"/>
          <w:highlight w:val="none"/>
        </w:rPr>
        <w:t>本项目采购范围为</w:t>
      </w:r>
      <w:r>
        <w:rPr>
          <w:rFonts w:hint="eastAsia" w:ascii="宋体" w:hAnsi="宋体" w:eastAsia="宋体"/>
          <w:color w:val="auto"/>
          <w:sz w:val="24"/>
          <w:szCs w:val="24"/>
          <w:highlight w:val="none"/>
        </w:rPr>
        <w:t>白水风电场、麒麟北风电场（二期）</w:t>
      </w:r>
      <w:r>
        <w:rPr>
          <w:rFonts w:ascii="宋体" w:hAnsi="宋体" w:eastAsia="宋体" w:cs="宋体"/>
          <w:color w:val="auto"/>
          <w:sz w:val="24"/>
          <w:szCs w:val="24"/>
          <w:highlight w:val="none"/>
        </w:rPr>
        <w:t>项目地形图测绘及可行性研究报告编制服务，包含：风电场场区、升压站、场内道路及集电线路走廊范围内1:2000地形图测绘、测绘成果编制及交付；开展现场踏勘、微观选址优化，编制风电场可行性研究报告、项目申请报告，完成报告内审、专家评审及修改完善，配合招标人开展项目评审、申报等相关技术服务。</w:t>
      </w:r>
    </w:p>
    <w:p>
      <w:pPr>
        <w:pStyle w:val="42"/>
        <w:numPr>
          <w:ilvl w:val="0"/>
          <w:numId w:val="0"/>
        </w:numPr>
        <w:ind w:firstLine="560" w:firstLineChars="200"/>
        <w:rPr>
          <w:color w:val="auto"/>
          <w:sz w:val="24"/>
          <w:szCs w:val="24"/>
          <w:highlight w:val="none"/>
        </w:rPr>
      </w:pPr>
      <w:bookmarkStart w:id="161" w:name="_Toc25009"/>
      <w:bookmarkStart w:id="162" w:name="_Toc45524588"/>
      <w:bookmarkStart w:id="163" w:name="_Toc16535"/>
      <w:r>
        <w:rPr>
          <w:rFonts w:hint="eastAsia" w:ascii="黑体"/>
          <w:color w:val="auto"/>
          <w:sz w:val="28"/>
          <w:szCs w:val="21"/>
          <w:highlight w:val="none"/>
        </w:rPr>
        <w:t>2　</w:t>
      </w:r>
      <w:r>
        <w:rPr>
          <w:color w:val="auto"/>
          <w:sz w:val="24"/>
          <w:szCs w:val="24"/>
          <w:highlight w:val="none"/>
        </w:rPr>
        <w:t>乙方应按下列要求完成技术服务工作：</w:t>
      </w:r>
      <w:bookmarkEnd w:id="161"/>
      <w:bookmarkEnd w:id="162"/>
      <w:bookmarkEnd w:id="163"/>
    </w:p>
    <w:p>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highlight w:val="none"/>
        </w:rPr>
        <w:t>2.1</w:t>
      </w:r>
      <w:r>
        <w:rPr>
          <w:rFonts w:hint="eastAsia" w:ascii="宋体" w:hAnsi="宋体" w:cs="宋体"/>
          <w:color w:val="auto"/>
          <w:sz w:val="24"/>
          <w:szCs w:val="24"/>
          <w:highlight w:val="none"/>
        </w:rPr>
        <w:t>白水风电场、麒麟北风电场（二期）项目</w:t>
      </w:r>
      <w:r>
        <w:rPr>
          <w:rFonts w:hint="eastAsia" w:ascii="宋体" w:hAnsi="宋体" w:cs="宋体"/>
          <w:color w:val="auto"/>
          <w:sz w:val="24"/>
          <w:highlight w:val="none"/>
        </w:rPr>
        <w:t>项目可行性研究报告编制及相关技术服务，可研报告须达到初步设计程度；</w:t>
      </w:r>
      <w:r>
        <w:rPr>
          <w:rFonts w:ascii="宋体" w:hAnsi="宋体" w:cs="宋体"/>
          <w:color w:val="auto"/>
          <w:sz w:val="24"/>
          <w:szCs w:val="24"/>
          <w:highlight w:val="none"/>
        </w:rPr>
        <w:t>可研报告包含项目建设必要性、风能资源分析、场址及工程地质、机组选型、总体布置、电气及接入系统、土建、施工组织、消防、劳动安全、环保水保、节能、土地利用、投资估算、财务评价等完整章节，开展多方案技术经济比选；财务评价采用单一电量制模式测算，完成发电量计算、财务指标及敏感性分析。</w:t>
      </w:r>
    </w:p>
    <w:p>
      <w:pPr>
        <w:spacing w:line="360" w:lineRule="auto"/>
        <w:ind w:firstLine="480" w:firstLineChars="200"/>
        <w:rPr>
          <w:color w:val="auto"/>
          <w:sz w:val="24"/>
          <w:highlight w:val="none"/>
          <w:u w:val="single"/>
        </w:rPr>
      </w:pPr>
      <w:r>
        <w:rPr>
          <w:rFonts w:hint="eastAsia" w:ascii="宋体" w:hAnsi="宋体" w:cs="宋体"/>
          <w:color w:val="auto"/>
          <w:sz w:val="24"/>
          <w:szCs w:val="24"/>
          <w:highlight w:val="none"/>
        </w:rPr>
        <w:t>乙方</w:t>
      </w:r>
      <w:r>
        <w:rPr>
          <w:rFonts w:ascii="宋体" w:hAnsi="宋体" w:cs="宋体"/>
          <w:color w:val="auto"/>
          <w:sz w:val="24"/>
          <w:szCs w:val="24"/>
          <w:highlight w:val="none"/>
        </w:rPr>
        <w:t>须完成报告内审修改、专家评审汇报及答疑工作，根据内审、专家及主管部门意见修改完善报告，直至可研</w:t>
      </w:r>
      <w:r>
        <w:rPr>
          <w:rFonts w:hint="eastAsia" w:ascii="宋体" w:hAnsi="宋体" w:cs="宋体"/>
          <w:color w:val="auto"/>
          <w:sz w:val="24"/>
          <w:szCs w:val="24"/>
          <w:highlight w:val="none"/>
          <w:lang w:val="en-US" w:eastAsia="zh-CN"/>
        </w:rPr>
        <w:t>通过甲方集团公司组织的</w:t>
      </w:r>
      <w:r>
        <w:rPr>
          <w:rFonts w:ascii="宋体" w:hAnsi="宋体" w:cs="宋体"/>
          <w:color w:val="auto"/>
          <w:sz w:val="24"/>
          <w:szCs w:val="24"/>
          <w:highlight w:val="none"/>
        </w:rPr>
        <w:t>评审；配合招标人开展项目核准相关技术对接工作</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编制核准申请报告并通过主管部门组织的评审</w:t>
      </w:r>
      <w:r>
        <w:rPr>
          <w:rFonts w:ascii="宋体" w:hAnsi="宋体" w:cs="宋体"/>
          <w:color w:val="auto"/>
          <w:sz w:val="24"/>
          <w:szCs w:val="24"/>
          <w:highlight w:val="none"/>
        </w:rPr>
        <w:t>。中标人负责统筹测绘与可研工作界面，保证报告、附图与测绘地形图成果数据一致。</w:t>
      </w:r>
    </w:p>
    <w:p>
      <w:pPr>
        <w:spacing w:line="360" w:lineRule="auto"/>
        <w:ind w:firstLine="480" w:firstLineChars="200"/>
        <w:rPr>
          <w:rFonts w:ascii="宋体" w:hAnsi="宋体" w:cs="宋体"/>
          <w:color w:val="auto"/>
          <w:sz w:val="24"/>
          <w:szCs w:val="24"/>
          <w:highlight w:val="none"/>
        </w:rPr>
      </w:pPr>
      <w:r>
        <w:rPr>
          <w:rFonts w:hint="eastAsia"/>
          <w:color w:val="auto"/>
          <w:sz w:val="24"/>
          <w:highlight w:val="none"/>
          <w:u w:val="single"/>
        </w:rPr>
        <w:t>可研报告编制</w:t>
      </w:r>
      <w:r>
        <w:rPr>
          <w:rFonts w:ascii="宋体" w:hAnsi="宋体" w:cs="宋体"/>
          <w:color w:val="auto"/>
          <w:sz w:val="24"/>
          <w:szCs w:val="24"/>
          <w:highlight w:val="none"/>
        </w:rPr>
        <w:t>按照NB/T</w:t>
      </w:r>
      <w:r>
        <w:rPr>
          <w:rFonts w:hint="eastAsia" w:ascii="宋体" w:hAnsi="宋体" w:cs="宋体"/>
          <w:color w:val="auto"/>
          <w:sz w:val="24"/>
          <w:szCs w:val="24"/>
          <w:highlight w:val="none"/>
        </w:rPr>
        <w:t xml:space="preserve"> </w:t>
      </w:r>
      <w:r>
        <w:rPr>
          <w:rFonts w:ascii="宋体" w:hAnsi="宋体" w:cs="宋体"/>
          <w:color w:val="auto"/>
          <w:sz w:val="24"/>
          <w:szCs w:val="24"/>
          <w:highlight w:val="none"/>
        </w:rPr>
        <w:t>31105-2016《陆上风电场工程可行性研究报告编制规程》、国家及云南省现行相关法规政策开展可研编制工作，在本项目地形图测绘成果基础上完成现场踏勘、风能资源评估、场址限制性因素核查、工程方案比选，编制</w:t>
      </w:r>
      <w:r>
        <w:rPr>
          <w:rFonts w:hint="eastAsia" w:asciiTheme="minorEastAsia" w:hAnsiTheme="minorEastAsia" w:eastAsiaTheme="minorEastAsia" w:cstheme="minorEastAsia"/>
          <w:color w:val="auto"/>
          <w:sz w:val="24"/>
          <w:szCs w:val="24"/>
          <w:highlight w:val="none"/>
        </w:rPr>
        <w:t>白水风电场项目、麒麟北（二期）风电场项目</w:t>
      </w:r>
      <w:r>
        <w:rPr>
          <w:rFonts w:ascii="宋体" w:hAnsi="宋体" w:cs="宋体"/>
          <w:color w:val="auto"/>
          <w:sz w:val="24"/>
          <w:szCs w:val="24"/>
          <w:highlight w:val="none"/>
        </w:rPr>
        <w:t>可行性研究报告及</w:t>
      </w:r>
      <w:r>
        <w:rPr>
          <w:rFonts w:hint="eastAsia" w:asciiTheme="minorEastAsia" w:hAnsiTheme="minorEastAsia" w:eastAsiaTheme="minorEastAsia" w:cstheme="minorEastAsia"/>
          <w:color w:val="auto"/>
          <w:sz w:val="24"/>
          <w:szCs w:val="24"/>
          <w:highlight w:val="none"/>
        </w:rPr>
        <w:t>白水风电场项目、麒麟北（二期）风电场项目</w:t>
      </w:r>
      <w:r>
        <w:rPr>
          <w:rFonts w:ascii="宋体" w:hAnsi="宋体" w:cs="宋体"/>
          <w:color w:val="auto"/>
          <w:sz w:val="24"/>
          <w:szCs w:val="24"/>
          <w:highlight w:val="none"/>
        </w:rPr>
        <w:t>申请报告，成果深度满足专家评审及项目核准申报要求。</w:t>
      </w:r>
    </w:p>
    <w:p>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highlight w:val="none"/>
        </w:rPr>
        <w:t>2.2</w:t>
      </w:r>
      <w:r>
        <w:rPr>
          <w:rFonts w:hint="eastAsia" w:ascii="宋体" w:hAnsi="宋体" w:cs="宋体"/>
          <w:color w:val="auto"/>
          <w:sz w:val="24"/>
          <w:szCs w:val="24"/>
          <w:highlight w:val="none"/>
        </w:rPr>
        <w:t>白水风电场、麒麟北风电场（二期）项目</w:t>
      </w:r>
      <w:r>
        <w:rPr>
          <w:rFonts w:hint="eastAsia" w:ascii="宋体" w:hAnsi="宋体" w:cs="宋体"/>
          <w:color w:val="auto"/>
          <w:sz w:val="24"/>
          <w:highlight w:val="none"/>
        </w:rPr>
        <w:t>地形图测绘，同时提供地理位置示意图、正射影像图（DOM）等相关图纸；</w:t>
      </w:r>
      <w:r>
        <w:rPr>
          <w:rFonts w:ascii="宋体" w:hAnsi="宋体" w:cs="宋体"/>
          <w:color w:val="auto"/>
          <w:sz w:val="24"/>
          <w:szCs w:val="24"/>
          <w:highlight w:val="none"/>
        </w:rPr>
        <w:t>所有测绘图纸、可研附图统一采用2000国家大地坐标系（CGCS2000）、1985国家高程基准。风电场场区、风机机位、集电线路及场内道路范围提供1:2000数字地形图。地形图包含完整地貌、地物信息，叠加生态红线、永久基本农田、林地等管控边界。</w:t>
      </w:r>
    </w:p>
    <w:p>
      <w:pPr>
        <w:pStyle w:val="2"/>
        <w:ind w:left="0" w:leftChars="0" w:firstLine="480"/>
        <w:rPr>
          <w:color w:val="auto"/>
        </w:rPr>
      </w:pPr>
      <w:r>
        <w:rPr>
          <w:rFonts w:hint="eastAsia" w:ascii="宋体" w:hAnsi="宋体" w:cs="宋体"/>
          <w:color w:val="auto"/>
          <w:kern w:val="0"/>
          <w:sz w:val="24"/>
          <w:szCs w:val="24"/>
          <w:highlight w:val="none"/>
          <w:lang w:val="en-US" w:eastAsia="zh-CN"/>
        </w:rPr>
        <w:t>2.3</w:t>
      </w:r>
      <w:r>
        <w:rPr>
          <w:rFonts w:hint="eastAsia"/>
          <w:color w:val="auto"/>
          <w:kern w:val="0"/>
          <w:sz w:val="24"/>
          <w:szCs w:val="24"/>
          <w:highlight w:val="none"/>
          <w:lang w:val="en-US" w:eastAsia="zh-CN"/>
        </w:rPr>
        <w:t>服务期限：自</w:t>
      </w:r>
      <w:r>
        <w:rPr>
          <w:rFonts w:hint="eastAsia" w:asciiTheme="minorEastAsia" w:hAnsiTheme="minorEastAsia" w:eastAsiaTheme="minorEastAsia" w:cstheme="minorEastAsia"/>
          <w:color w:val="auto"/>
          <w:sz w:val="24"/>
          <w:szCs w:val="24"/>
          <w:highlight w:val="none"/>
        </w:rPr>
        <w:t>合同签订</w:t>
      </w:r>
      <w:r>
        <w:rPr>
          <w:rFonts w:hint="eastAsia" w:asciiTheme="minorEastAsia" w:hAnsiTheme="minorEastAsia" w:eastAsiaTheme="minorEastAsia" w:cstheme="minorEastAsia"/>
          <w:color w:val="auto"/>
          <w:sz w:val="24"/>
          <w:szCs w:val="24"/>
          <w:highlight w:val="none"/>
          <w:lang w:val="en-US" w:eastAsia="zh-CN"/>
        </w:rPr>
        <w:t>招标人提供全部资料</w:t>
      </w:r>
      <w:r>
        <w:rPr>
          <w:rFonts w:hint="eastAsia" w:asciiTheme="minorEastAsia" w:hAnsiTheme="minorEastAsia" w:eastAsiaTheme="minorEastAsia" w:cstheme="minorEastAsia"/>
          <w:color w:val="auto"/>
          <w:sz w:val="24"/>
          <w:szCs w:val="24"/>
          <w:highlight w:val="none"/>
        </w:rPr>
        <w:t>后直至分别取得白水风电场项目、麒麟北（二期）风电场项目可研评审意见及核准批复</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总工期不超过16个月。</w:t>
      </w:r>
    </w:p>
    <w:p>
      <w:pPr>
        <w:adjustRightInd w:val="0"/>
        <w:snapToGrid w:val="0"/>
        <w:spacing w:line="360" w:lineRule="auto"/>
        <w:ind w:firstLine="480" w:firstLineChars="200"/>
        <w:jc w:val="left"/>
        <w:rPr>
          <w:color w:val="auto"/>
          <w:kern w:val="0"/>
          <w:sz w:val="24"/>
          <w:szCs w:val="24"/>
          <w:highlight w:val="none"/>
        </w:rPr>
      </w:pPr>
      <w:r>
        <w:rPr>
          <w:rFonts w:hint="eastAsia" w:ascii="宋体" w:hAnsi="宋体" w:cs="宋体"/>
          <w:color w:val="auto"/>
          <w:sz w:val="24"/>
          <w:szCs w:val="24"/>
          <w:highlight w:val="none"/>
          <w:lang w:val="en-US" w:eastAsia="zh-CN"/>
        </w:rPr>
        <w:t>2.4编制</w:t>
      </w:r>
      <w:r>
        <w:rPr>
          <w:rFonts w:hint="eastAsia" w:ascii="宋体" w:hAnsi="宋体" w:cs="宋体"/>
          <w:color w:val="auto"/>
          <w:sz w:val="24"/>
          <w:szCs w:val="24"/>
          <w:highlight w:val="none"/>
        </w:rPr>
        <w:t>白水风电场、麒麟北风电场（二期）项目</w:t>
      </w:r>
      <w:r>
        <w:rPr>
          <w:rFonts w:hint="eastAsia" w:ascii="宋体" w:hAnsi="宋体" w:cs="宋体"/>
          <w:color w:val="auto"/>
          <w:sz w:val="24"/>
          <w:szCs w:val="24"/>
          <w:highlight w:val="none"/>
          <w:lang w:val="en-US" w:eastAsia="zh-CN"/>
        </w:rPr>
        <w:t>申请报告，满足风电项目核准需求。</w:t>
      </w:r>
      <w:r>
        <w:rPr>
          <w:rFonts w:ascii="宋体" w:hAnsi="宋体" w:cs="宋体"/>
          <w:color w:val="auto"/>
          <w:sz w:val="24"/>
          <w:szCs w:val="24"/>
          <w:highlight w:val="none"/>
        </w:rPr>
        <w:br w:type="textWrapping"/>
      </w:r>
      <w:r>
        <w:rPr>
          <w:rFonts w:hint="eastAsia" w:ascii="宋体" w:hAnsi="宋体" w:cs="宋体"/>
          <w:color w:val="auto"/>
          <w:sz w:val="24"/>
          <w:szCs w:val="24"/>
          <w:highlight w:val="none"/>
        </w:rPr>
        <w:t xml:space="preserve">    2.</w:t>
      </w:r>
      <w:r>
        <w:rPr>
          <w:rFonts w:hint="eastAsia" w:ascii="宋体" w:hAnsi="宋体" w:cs="宋体"/>
          <w:color w:val="auto"/>
          <w:sz w:val="24"/>
          <w:szCs w:val="24"/>
          <w:highlight w:val="none"/>
          <w:lang w:val="en-US" w:eastAsia="zh-CN"/>
        </w:rPr>
        <w:t>5</w:t>
      </w:r>
      <w:r>
        <w:rPr>
          <w:rFonts w:ascii="宋体" w:hAnsi="宋体" w:cs="宋体"/>
          <w:color w:val="auto"/>
          <w:sz w:val="24"/>
          <w:szCs w:val="24"/>
          <w:highlight w:val="none"/>
        </w:rPr>
        <w:t>若成果存在重大技术错误，</w:t>
      </w:r>
      <w:r>
        <w:rPr>
          <w:rFonts w:hint="eastAsia" w:ascii="宋体" w:hAnsi="宋体" w:cs="宋体"/>
          <w:color w:val="auto"/>
          <w:sz w:val="24"/>
          <w:szCs w:val="24"/>
          <w:highlight w:val="none"/>
        </w:rPr>
        <w:t>乙方</w:t>
      </w:r>
      <w:r>
        <w:rPr>
          <w:rFonts w:ascii="宋体" w:hAnsi="宋体" w:cs="宋体"/>
          <w:color w:val="auto"/>
          <w:sz w:val="24"/>
          <w:szCs w:val="24"/>
          <w:highlight w:val="none"/>
        </w:rPr>
        <w:t>须无偿返工，并承担相应违约责任。</w:t>
      </w:r>
    </w:p>
    <w:p>
      <w:pPr>
        <w:widowControl/>
        <w:spacing w:line="360" w:lineRule="auto"/>
        <w:ind w:firstLine="470" w:firstLineChars="196"/>
        <w:jc w:val="left"/>
        <w:rPr>
          <w:rFonts w:ascii="宋体" w:hAnsi="宋体" w:cs="宋体"/>
          <w:color w:val="auto"/>
          <w:kern w:val="0"/>
          <w:sz w:val="24"/>
          <w:szCs w:val="24"/>
          <w:highlight w:val="none"/>
        </w:rPr>
      </w:pPr>
      <w:r>
        <w:rPr>
          <w:rFonts w:hint="eastAsia" w:ascii="宋体" w:hAnsi="宋体" w:cs="宋体"/>
          <w:color w:val="auto"/>
          <w:sz w:val="24"/>
          <w:highlight w:val="none"/>
          <w:u w:val="single"/>
        </w:rPr>
        <w:t>2.</w:t>
      </w:r>
      <w:r>
        <w:rPr>
          <w:rFonts w:hint="eastAsia" w:ascii="宋体" w:hAnsi="宋体" w:cs="宋体"/>
          <w:color w:val="auto"/>
          <w:sz w:val="24"/>
          <w:highlight w:val="none"/>
          <w:u w:val="single"/>
          <w:lang w:val="en-US" w:eastAsia="zh-CN"/>
        </w:rPr>
        <w:t>6</w:t>
      </w:r>
      <w:r>
        <w:rPr>
          <w:rFonts w:hint="eastAsia" w:ascii="宋体" w:hAnsi="宋体" w:cs="宋体"/>
          <w:color w:val="auto"/>
          <w:sz w:val="24"/>
          <w:highlight w:val="none"/>
          <w:u w:val="single"/>
        </w:rPr>
        <w:t>项目风资源评估</w:t>
      </w:r>
      <w:r>
        <w:rPr>
          <w:rFonts w:hint="eastAsia" w:ascii="宋体" w:hAnsi="宋体" w:cs="宋体"/>
          <w:color w:val="auto"/>
          <w:sz w:val="24"/>
          <w:highlight w:val="none"/>
          <w:u w:val="single"/>
          <w:lang w:val="en-US" w:eastAsia="zh-CN"/>
        </w:rPr>
        <w:t>成果</w:t>
      </w:r>
      <w:r>
        <w:rPr>
          <w:rFonts w:hint="eastAsia" w:ascii="宋体" w:hAnsi="宋体" w:cs="宋体"/>
          <w:color w:val="auto"/>
          <w:sz w:val="24"/>
          <w:highlight w:val="none"/>
          <w:u w:val="single"/>
        </w:rPr>
        <w:t>要符合现行国家相关规范及标准，满足采购人使用。</w:t>
      </w:r>
    </w:p>
    <w:p>
      <w:pPr>
        <w:widowControl/>
        <w:spacing w:line="360" w:lineRule="auto"/>
        <w:ind w:firstLine="480" w:firstLineChars="200"/>
        <w:jc w:val="left"/>
        <w:outlineLvl w:val="2"/>
        <w:rPr>
          <w:rFonts w:ascii="宋体" w:hAnsi="宋体" w:cs="宋体"/>
          <w:color w:val="auto"/>
          <w:sz w:val="24"/>
          <w:highlight w:val="none"/>
          <w:u w:val="single"/>
        </w:rPr>
      </w:pPr>
      <w:r>
        <w:rPr>
          <w:rFonts w:hint="eastAsia" w:ascii="宋体" w:hAnsi="宋体" w:cs="宋体"/>
          <w:color w:val="auto"/>
          <w:sz w:val="24"/>
          <w:highlight w:val="none"/>
        </w:rPr>
        <w:t>2.</w:t>
      </w:r>
      <w:r>
        <w:rPr>
          <w:rFonts w:hint="eastAsia" w:ascii="宋体" w:hAnsi="宋体" w:cs="宋体"/>
          <w:color w:val="auto"/>
          <w:sz w:val="24"/>
          <w:highlight w:val="none"/>
          <w:lang w:val="en-US" w:eastAsia="zh-CN"/>
        </w:rPr>
        <w:t>7</w:t>
      </w:r>
      <w:r>
        <w:rPr>
          <w:rFonts w:hint="eastAsia" w:ascii="宋体" w:hAnsi="宋体" w:cs="宋体"/>
          <w:color w:val="auto"/>
          <w:sz w:val="24"/>
          <w:highlight w:val="none"/>
          <w:u w:val="single"/>
        </w:rPr>
        <w:t>交付设计成果后，按规定参加有关部门组织的设计文件审查、咨询、评估会议，负责上述会议资料的准备和汇报工作，根据会议结论及时做调整补充。</w:t>
      </w:r>
    </w:p>
    <w:p>
      <w:pPr>
        <w:widowControl/>
        <w:spacing w:line="360" w:lineRule="auto"/>
        <w:ind w:firstLine="480" w:firstLineChars="200"/>
        <w:jc w:val="left"/>
        <w:outlineLvl w:val="2"/>
        <w:rPr>
          <w:rFonts w:ascii="宋体" w:hAnsi="宋体" w:cs="宋体"/>
          <w:color w:val="auto"/>
          <w:kern w:val="0"/>
          <w:sz w:val="24"/>
          <w:szCs w:val="24"/>
          <w:highlight w:val="none"/>
        </w:rPr>
      </w:pPr>
      <w:r>
        <w:rPr>
          <w:rFonts w:hint="eastAsia" w:ascii="宋体" w:hAnsi="宋体" w:cs="宋体"/>
          <w:color w:val="auto"/>
          <w:sz w:val="24"/>
          <w:highlight w:val="none"/>
          <w:u w:val="single"/>
        </w:rPr>
        <w:t>2.</w:t>
      </w:r>
      <w:r>
        <w:rPr>
          <w:rFonts w:hint="eastAsia" w:ascii="宋体" w:hAnsi="宋体" w:cs="宋体"/>
          <w:color w:val="auto"/>
          <w:sz w:val="24"/>
          <w:highlight w:val="none"/>
          <w:u w:val="single"/>
          <w:lang w:val="en-US" w:eastAsia="zh-CN"/>
        </w:rPr>
        <w:t>8</w:t>
      </w:r>
      <w:r>
        <w:rPr>
          <w:rFonts w:hint="eastAsia" w:ascii="宋体" w:hAnsi="宋体" w:cs="宋体"/>
          <w:color w:val="auto"/>
          <w:sz w:val="24"/>
          <w:highlight w:val="none"/>
          <w:u w:val="single"/>
        </w:rPr>
        <w:t>甲</w:t>
      </w:r>
      <w:r>
        <w:rPr>
          <w:color w:val="auto"/>
          <w:sz w:val="24"/>
          <w:highlight w:val="none"/>
          <w:u w:val="single"/>
        </w:rPr>
        <w:t>方为本工程申报、备案、施工等需要委托第三方编制相关专项报告时，若与可研报告相关，</w:t>
      </w:r>
      <w:r>
        <w:rPr>
          <w:rFonts w:hint="eastAsia"/>
          <w:color w:val="auto"/>
          <w:sz w:val="24"/>
          <w:highlight w:val="none"/>
          <w:u w:val="single"/>
        </w:rPr>
        <w:t>乙方</w:t>
      </w:r>
      <w:r>
        <w:rPr>
          <w:color w:val="auto"/>
          <w:sz w:val="24"/>
          <w:highlight w:val="none"/>
          <w:u w:val="single"/>
        </w:rPr>
        <w:t>应积极配合并提供相关资料。</w:t>
      </w:r>
    </w:p>
    <w:p>
      <w:pPr>
        <w:widowControl/>
        <w:spacing w:line="360" w:lineRule="auto"/>
        <w:ind w:firstLine="470" w:firstLineChars="196"/>
        <w:jc w:val="left"/>
        <w:rPr>
          <w:rFonts w:ascii="宋体" w:hAnsi="宋体" w:cs="宋体"/>
          <w:color w:val="auto"/>
          <w:sz w:val="24"/>
          <w:szCs w:val="24"/>
          <w:highlight w:val="none"/>
        </w:rPr>
      </w:pPr>
      <w:r>
        <w:rPr>
          <w:rFonts w:hint="eastAsia" w:ascii="宋体" w:hAnsi="宋体" w:cs="宋体"/>
          <w:color w:val="auto"/>
          <w:kern w:val="0"/>
          <w:sz w:val="24"/>
          <w:szCs w:val="24"/>
          <w:highlight w:val="none"/>
        </w:rPr>
        <w:t>2.</w:t>
      </w:r>
      <w:r>
        <w:rPr>
          <w:rFonts w:hint="eastAsia" w:ascii="宋体" w:hAnsi="宋体" w:cs="宋体"/>
          <w:color w:val="auto"/>
          <w:kern w:val="0"/>
          <w:sz w:val="24"/>
          <w:szCs w:val="24"/>
          <w:highlight w:val="none"/>
          <w:lang w:val="en-US" w:eastAsia="zh-CN"/>
        </w:rPr>
        <w:t>9</w:t>
      </w:r>
      <w:r>
        <w:rPr>
          <w:rFonts w:hint="eastAsia"/>
          <w:color w:val="auto"/>
          <w:kern w:val="0"/>
          <w:sz w:val="24"/>
          <w:szCs w:val="24"/>
          <w:highlight w:val="none"/>
        </w:rPr>
        <w:t>其他：满足技术规范要求。</w:t>
      </w:r>
    </w:p>
    <w:p>
      <w:pPr>
        <w:pStyle w:val="42"/>
        <w:numPr>
          <w:ilvl w:val="0"/>
          <w:numId w:val="0"/>
        </w:numPr>
        <w:ind w:firstLine="560" w:firstLineChars="200"/>
        <w:rPr>
          <w:color w:val="auto"/>
          <w:sz w:val="24"/>
          <w:szCs w:val="24"/>
          <w:highlight w:val="none"/>
        </w:rPr>
      </w:pPr>
      <w:bookmarkStart w:id="164" w:name="_Toc2542"/>
      <w:bookmarkStart w:id="165" w:name="_Toc20718"/>
      <w:bookmarkStart w:id="166" w:name="_Toc45524589"/>
      <w:r>
        <w:rPr>
          <w:rFonts w:hint="eastAsia" w:ascii="黑体"/>
          <w:color w:val="auto"/>
          <w:sz w:val="28"/>
          <w:szCs w:val="21"/>
          <w:highlight w:val="none"/>
        </w:rPr>
        <w:t>3　</w:t>
      </w:r>
      <w:r>
        <w:rPr>
          <w:color w:val="auto"/>
          <w:sz w:val="24"/>
          <w:szCs w:val="24"/>
          <w:highlight w:val="none"/>
        </w:rPr>
        <w:t>为保证乙方有效进行技术服务工作，甲方向乙方提供与本工作有关的必要协作。</w:t>
      </w:r>
      <w:bookmarkEnd w:id="164"/>
      <w:bookmarkEnd w:id="165"/>
      <w:bookmarkEnd w:id="166"/>
    </w:p>
    <w:p>
      <w:pPr>
        <w:pStyle w:val="42"/>
        <w:numPr>
          <w:ilvl w:val="0"/>
          <w:numId w:val="0"/>
        </w:numPr>
        <w:ind w:firstLine="560" w:firstLineChars="200"/>
        <w:rPr>
          <w:color w:val="auto"/>
          <w:sz w:val="24"/>
          <w:szCs w:val="24"/>
          <w:highlight w:val="none"/>
        </w:rPr>
      </w:pPr>
      <w:bookmarkStart w:id="167" w:name="_Toc25586"/>
      <w:bookmarkStart w:id="168" w:name="_Toc45524590"/>
      <w:bookmarkStart w:id="169" w:name="_Toc32140"/>
      <w:r>
        <w:rPr>
          <w:rFonts w:hint="eastAsia" w:ascii="黑体"/>
          <w:color w:val="auto"/>
          <w:sz w:val="28"/>
          <w:szCs w:val="21"/>
          <w:highlight w:val="none"/>
        </w:rPr>
        <w:t>4　</w:t>
      </w:r>
      <w:r>
        <w:rPr>
          <w:color w:val="auto"/>
          <w:sz w:val="24"/>
          <w:szCs w:val="24"/>
          <w:highlight w:val="none"/>
        </w:rPr>
        <w:t>甲方向乙方支付技术服务报酬及支付方式为：</w:t>
      </w:r>
      <w:bookmarkEnd w:id="167"/>
      <w:bookmarkEnd w:id="168"/>
      <w:bookmarkEnd w:id="169"/>
    </w:p>
    <w:p>
      <w:pPr>
        <w:widowControl/>
        <w:numPr>
          <w:ilvl w:val="1"/>
          <w:numId w:val="0"/>
        </w:numPr>
        <w:spacing w:line="360" w:lineRule="auto"/>
        <w:ind w:firstLine="480" w:firstLineChars="200"/>
        <w:jc w:val="left"/>
        <w:outlineLvl w:val="2"/>
        <w:rPr>
          <w:rFonts w:hint="eastAsia"/>
          <w:color w:val="auto"/>
          <w:kern w:val="0"/>
          <w:sz w:val="24"/>
          <w:highlight w:val="none"/>
          <w:lang w:eastAsia="zh-CN"/>
        </w:rPr>
      </w:pPr>
      <w:bookmarkStart w:id="170" w:name="_Toc20286"/>
      <w:bookmarkStart w:id="171" w:name="_Toc22922"/>
      <w:bookmarkStart w:id="172" w:name="_Toc5917"/>
      <w:r>
        <w:rPr>
          <w:rFonts w:hint="eastAsia" w:ascii="黑体" w:eastAsia="黑体"/>
          <w:color w:val="auto"/>
          <w:kern w:val="0"/>
          <w:sz w:val="24"/>
          <w:szCs w:val="24"/>
          <w:highlight w:val="none"/>
        </w:rPr>
        <w:t>4.1　</w:t>
      </w:r>
      <w:r>
        <w:rPr>
          <w:color w:val="auto"/>
          <w:kern w:val="0"/>
          <w:sz w:val="24"/>
          <w:highlight w:val="none"/>
        </w:rPr>
        <w:t>本合同采用“总价包干”方式计取收费。</w:t>
      </w:r>
      <w:bookmarkEnd w:id="170"/>
      <w:bookmarkStart w:id="173" w:name="_Toc5574"/>
      <w:r>
        <w:rPr>
          <w:color w:val="auto"/>
          <w:kern w:val="0"/>
          <w:sz w:val="24"/>
          <w:highlight w:val="none"/>
        </w:rPr>
        <w:t>在合同实施期间费用不随国家政策或法规、标准及市场因素的变化而进行调整，合同期内人工、材料及其他风险由乙方承担，包括差旅食宿费、报告编制费、评审会务费、专家咨询费、</w:t>
      </w:r>
      <w:r>
        <w:rPr>
          <w:rFonts w:hint="eastAsia"/>
          <w:color w:val="auto"/>
          <w:kern w:val="0"/>
          <w:sz w:val="24"/>
          <w:highlight w:val="none"/>
          <w:lang w:val="en-US" w:eastAsia="zh-CN"/>
        </w:rPr>
        <w:t>可研评审现场踏勘及会务组织费用、核准申请报告评审现场踏勘及会务组织费用、</w:t>
      </w:r>
      <w:r>
        <w:rPr>
          <w:color w:val="auto"/>
          <w:kern w:val="0"/>
          <w:sz w:val="24"/>
          <w:highlight w:val="none"/>
        </w:rPr>
        <w:t>利润、税金等全部费用。合同总金额为人民币</w:t>
      </w:r>
      <w:r>
        <w:rPr>
          <w:color w:val="auto"/>
          <w:kern w:val="0"/>
          <w:sz w:val="24"/>
          <w:highlight w:val="none"/>
          <w:u w:val="single"/>
        </w:rPr>
        <w:t xml:space="preserve">      </w:t>
      </w:r>
      <w:r>
        <w:rPr>
          <w:color w:val="auto"/>
          <w:kern w:val="0"/>
          <w:sz w:val="24"/>
          <w:highlight w:val="none"/>
        </w:rPr>
        <w:t>元（大写：），税率为</w:t>
      </w:r>
      <w:r>
        <w:rPr>
          <w:color w:val="auto"/>
          <w:kern w:val="0"/>
          <w:sz w:val="24"/>
          <w:highlight w:val="none"/>
          <w:u w:val="single"/>
        </w:rPr>
        <w:t xml:space="preserve">   </w:t>
      </w:r>
      <w:r>
        <w:rPr>
          <w:color w:val="auto"/>
          <w:kern w:val="0"/>
          <w:sz w:val="24"/>
          <w:highlight w:val="none"/>
        </w:rPr>
        <w:t>%，不含税价为</w:t>
      </w:r>
      <w:r>
        <w:rPr>
          <w:color w:val="auto"/>
          <w:kern w:val="0"/>
          <w:sz w:val="24"/>
          <w:highlight w:val="none"/>
          <w:u w:val="single"/>
        </w:rPr>
        <w:t xml:space="preserve">       </w:t>
      </w:r>
      <w:r>
        <w:rPr>
          <w:rFonts w:hint="eastAsia"/>
          <w:color w:val="auto"/>
          <w:kern w:val="0"/>
          <w:sz w:val="24"/>
          <w:highlight w:val="none"/>
          <w:u w:val="single"/>
        </w:rPr>
        <w:t>元</w:t>
      </w:r>
      <w:r>
        <w:rPr>
          <w:color w:val="auto"/>
          <w:kern w:val="0"/>
          <w:sz w:val="24"/>
          <w:highlight w:val="none"/>
        </w:rPr>
        <w:t>（大写：），税金为</w:t>
      </w:r>
      <w:r>
        <w:rPr>
          <w:color w:val="auto"/>
          <w:kern w:val="0"/>
          <w:sz w:val="24"/>
          <w:highlight w:val="none"/>
          <w:u w:val="single"/>
        </w:rPr>
        <w:t xml:space="preserve">       </w:t>
      </w:r>
      <w:r>
        <w:rPr>
          <w:rFonts w:hint="eastAsia"/>
          <w:color w:val="auto"/>
          <w:kern w:val="0"/>
          <w:sz w:val="24"/>
          <w:highlight w:val="none"/>
          <w:u w:val="single"/>
        </w:rPr>
        <w:t>元</w:t>
      </w:r>
      <w:r>
        <w:rPr>
          <w:color w:val="auto"/>
          <w:kern w:val="0"/>
          <w:sz w:val="24"/>
          <w:highlight w:val="none"/>
        </w:rPr>
        <w:t>（大写：）</w:t>
      </w:r>
      <w:r>
        <w:rPr>
          <w:rFonts w:hint="eastAsia"/>
          <w:color w:val="auto"/>
          <w:kern w:val="0"/>
          <w:sz w:val="24"/>
          <w:highlight w:val="none"/>
        </w:rPr>
        <w:t>，其中</w:t>
      </w:r>
      <w:r>
        <w:rPr>
          <w:rFonts w:hint="eastAsia"/>
          <w:color w:val="auto"/>
          <w:kern w:val="0"/>
          <w:sz w:val="24"/>
          <w:highlight w:val="none"/>
          <w:lang w:eastAsia="zh-CN"/>
        </w:rPr>
        <w:t>：</w:t>
      </w:r>
    </w:p>
    <w:p>
      <w:pPr>
        <w:widowControl/>
        <w:numPr>
          <w:ilvl w:val="1"/>
          <w:numId w:val="0"/>
        </w:numPr>
        <w:spacing w:line="360" w:lineRule="auto"/>
        <w:ind w:firstLine="480" w:firstLineChars="200"/>
        <w:jc w:val="left"/>
        <w:outlineLvl w:val="2"/>
        <w:rPr>
          <w:color w:val="auto"/>
          <w:kern w:val="0"/>
          <w:sz w:val="24"/>
          <w:highlight w:val="none"/>
        </w:rPr>
      </w:pPr>
      <w:r>
        <w:rPr>
          <w:rFonts w:hint="eastAsia"/>
          <w:color w:val="auto"/>
          <w:kern w:val="0"/>
          <w:sz w:val="24"/>
          <w:highlight w:val="none"/>
          <w:lang w:val="en-US" w:eastAsia="zh-CN"/>
        </w:rPr>
        <w:t>4.1.1</w:t>
      </w:r>
      <w:r>
        <w:rPr>
          <w:rFonts w:hint="eastAsia"/>
          <w:color w:val="auto"/>
          <w:sz w:val="24"/>
          <w:szCs w:val="24"/>
          <w:highlight w:val="none"/>
        </w:rPr>
        <w:t>白水风电场项目地形图测绘及可研报告编制咨询服务项目合同金额为</w:t>
      </w:r>
      <w:r>
        <w:rPr>
          <w:color w:val="auto"/>
          <w:kern w:val="0"/>
          <w:sz w:val="24"/>
          <w:highlight w:val="none"/>
        </w:rPr>
        <w:t>人民币</w:t>
      </w:r>
      <w:r>
        <w:rPr>
          <w:color w:val="auto"/>
          <w:kern w:val="0"/>
          <w:sz w:val="24"/>
          <w:highlight w:val="none"/>
          <w:u w:val="single"/>
        </w:rPr>
        <w:t xml:space="preserve">      </w:t>
      </w:r>
      <w:r>
        <w:rPr>
          <w:color w:val="auto"/>
          <w:kern w:val="0"/>
          <w:sz w:val="24"/>
          <w:highlight w:val="none"/>
        </w:rPr>
        <w:t>元（大写：），税率为</w:t>
      </w:r>
      <w:r>
        <w:rPr>
          <w:color w:val="auto"/>
          <w:kern w:val="0"/>
          <w:sz w:val="24"/>
          <w:highlight w:val="none"/>
          <w:u w:val="single"/>
        </w:rPr>
        <w:t xml:space="preserve">   </w:t>
      </w:r>
      <w:r>
        <w:rPr>
          <w:color w:val="auto"/>
          <w:kern w:val="0"/>
          <w:sz w:val="24"/>
          <w:highlight w:val="none"/>
        </w:rPr>
        <w:t>%，不含税价为</w:t>
      </w:r>
      <w:r>
        <w:rPr>
          <w:color w:val="auto"/>
          <w:kern w:val="0"/>
          <w:sz w:val="24"/>
          <w:highlight w:val="none"/>
          <w:u w:val="single"/>
        </w:rPr>
        <w:t xml:space="preserve">       </w:t>
      </w:r>
      <w:r>
        <w:rPr>
          <w:rFonts w:hint="eastAsia"/>
          <w:color w:val="auto"/>
          <w:kern w:val="0"/>
          <w:sz w:val="24"/>
          <w:highlight w:val="none"/>
          <w:u w:val="single"/>
        </w:rPr>
        <w:t>元</w:t>
      </w:r>
      <w:r>
        <w:rPr>
          <w:color w:val="auto"/>
          <w:kern w:val="0"/>
          <w:sz w:val="24"/>
          <w:highlight w:val="none"/>
        </w:rPr>
        <w:t>（大写：），税金为</w:t>
      </w:r>
      <w:r>
        <w:rPr>
          <w:color w:val="auto"/>
          <w:kern w:val="0"/>
          <w:sz w:val="24"/>
          <w:highlight w:val="none"/>
          <w:u w:val="single"/>
        </w:rPr>
        <w:t xml:space="preserve">       </w:t>
      </w:r>
      <w:r>
        <w:rPr>
          <w:rFonts w:hint="eastAsia"/>
          <w:color w:val="auto"/>
          <w:kern w:val="0"/>
          <w:sz w:val="24"/>
          <w:highlight w:val="none"/>
          <w:u w:val="single"/>
        </w:rPr>
        <w:t>元</w:t>
      </w:r>
      <w:r>
        <w:rPr>
          <w:color w:val="auto"/>
          <w:kern w:val="0"/>
          <w:sz w:val="24"/>
          <w:highlight w:val="none"/>
        </w:rPr>
        <w:t>（大写：）</w:t>
      </w:r>
      <w:r>
        <w:rPr>
          <w:rFonts w:hint="eastAsia"/>
          <w:color w:val="auto"/>
          <w:kern w:val="0"/>
          <w:sz w:val="24"/>
          <w:highlight w:val="none"/>
        </w:rPr>
        <w:t>；</w:t>
      </w:r>
    </w:p>
    <w:p>
      <w:pPr>
        <w:widowControl/>
        <w:numPr>
          <w:ilvl w:val="255"/>
          <w:numId w:val="0"/>
        </w:numPr>
        <w:spacing w:line="360" w:lineRule="auto"/>
        <w:ind w:firstLine="480" w:firstLineChars="200"/>
        <w:jc w:val="left"/>
        <w:outlineLvl w:val="2"/>
        <w:rPr>
          <w:color w:val="auto"/>
          <w:kern w:val="0"/>
          <w:sz w:val="24"/>
          <w:highlight w:val="none"/>
        </w:rPr>
      </w:pPr>
      <w:r>
        <w:rPr>
          <w:rFonts w:hint="eastAsia"/>
          <w:color w:val="auto"/>
          <w:sz w:val="24"/>
          <w:szCs w:val="24"/>
          <w:highlight w:val="none"/>
          <w:lang w:val="en-US" w:eastAsia="zh-CN"/>
        </w:rPr>
        <w:t>4.1.2</w:t>
      </w:r>
      <w:r>
        <w:rPr>
          <w:rFonts w:hint="eastAsia"/>
          <w:color w:val="auto"/>
          <w:sz w:val="24"/>
          <w:szCs w:val="24"/>
          <w:highlight w:val="none"/>
        </w:rPr>
        <w:t>麒麟北风电场（二期）项目地形图测绘及可研报告编制咨询服务项目合同金额为</w:t>
      </w:r>
      <w:r>
        <w:rPr>
          <w:color w:val="auto"/>
          <w:kern w:val="0"/>
          <w:sz w:val="24"/>
          <w:highlight w:val="none"/>
        </w:rPr>
        <w:t>人民币</w:t>
      </w:r>
      <w:r>
        <w:rPr>
          <w:color w:val="auto"/>
          <w:kern w:val="0"/>
          <w:sz w:val="24"/>
          <w:highlight w:val="none"/>
          <w:u w:val="single"/>
        </w:rPr>
        <w:t xml:space="preserve">      </w:t>
      </w:r>
      <w:r>
        <w:rPr>
          <w:color w:val="auto"/>
          <w:kern w:val="0"/>
          <w:sz w:val="24"/>
          <w:highlight w:val="none"/>
        </w:rPr>
        <w:t>元（大写：），税率为</w:t>
      </w:r>
      <w:r>
        <w:rPr>
          <w:color w:val="auto"/>
          <w:kern w:val="0"/>
          <w:sz w:val="24"/>
          <w:highlight w:val="none"/>
          <w:u w:val="single"/>
        </w:rPr>
        <w:t xml:space="preserve">   </w:t>
      </w:r>
      <w:r>
        <w:rPr>
          <w:color w:val="auto"/>
          <w:kern w:val="0"/>
          <w:sz w:val="24"/>
          <w:highlight w:val="none"/>
        </w:rPr>
        <w:t>%，不含税价为</w:t>
      </w:r>
      <w:r>
        <w:rPr>
          <w:color w:val="auto"/>
          <w:kern w:val="0"/>
          <w:sz w:val="24"/>
          <w:highlight w:val="none"/>
          <w:u w:val="single"/>
        </w:rPr>
        <w:t xml:space="preserve">       </w:t>
      </w:r>
      <w:r>
        <w:rPr>
          <w:rFonts w:hint="eastAsia"/>
          <w:color w:val="auto"/>
          <w:kern w:val="0"/>
          <w:sz w:val="24"/>
          <w:highlight w:val="none"/>
          <w:u w:val="single"/>
        </w:rPr>
        <w:t>元</w:t>
      </w:r>
      <w:r>
        <w:rPr>
          <w:color w:val="auto"/>
          <w:kern w:val="0"/>
          <w:sz w:val="24"/>
          <w:highlight w:val="none"/>
        </w:rPr>
        <w:t>（大写：），税金为</w:t>
      </w:r>
      <w:r>
        <w:rPr>
          <w:color w:val="auto"/>
          <w:kern w:val="0"/>
          <w:sz w:val="24"/>
          <w:highlight w:val="none"/>
          <w:u w:val="single"/>
        </w:rPr>
        <w:t xml:space="preserve">       </w:t>
      </w:r>
      <w:r>
        <w:rPr>
          <w:rFonts w:hint="eastAsia"/>
          <w:color w:val="auto"/>
          <w:kern w:val="0"/>
          <w:sz w:val="24"/>
          <w:highlight w:val="none"/>
          <w:u w:val="single"/>
        </w:rPr>
        <w:t>元</w:t>
      </w:r>
      <w:r>
        <w:rPr>
          <w:color w:val="auto"/>
          <w:kern w:val="0"/>
          <w:sz w:val="24"/>
          <w:highlight w:val="none"/>
        </w:rPr>
        <w:t>（大写：）</w:t>
      </w:r>
      <w:r>
        <w:rPr>
          <w:rFonts w:hint="eastAsia"/>
          <w:color w:val="auto"/>
          <w:kern w:val="0"/>
          <w:sz w:val="24"/>
          <w:highlight w:val="none"/>
        </w:rPr>
        <w:t>。</w:t>
      </w:r>
      <w:bookmarkEnd w:id="171"/>
      <w:bookmarkEnd w:id="172"/>
      <w:bookmarkEnd w:id="173"/>
      <w:r>
        <w:rPr>
          <w:rFonts w:hint="eastAsia"/>
          <w:color w:val="auto"/>
          <w:kern w:val="0"/>
          <w:sz w:val="24"/>
          <w:highlight w:val="none"/>
        </w:rPr>
        <w:t xml:space="preserve">） </w:t>
      </w:r>
    </w:p>
    <w:p>
      <w:pPr>
        <w:widowControl/>
        <w:numPr>
          <w:ilvl w:val="1"/>
          <w:numId w:val="0"/>
        </w:numPr>
        <w:spacing w:line="360" w:lineRule="auto"/>
        <w:ind w:firstLine="480" w:firstLineChars="200"/>
        <w:jc w:val="left"/>
        <w:outlineLvl w:val="2"/>
        <w:rPr>
          <w:color w:val="auto"/>
          <w:kern w:val="0"/>
          <w:sz w:val="24"/>
          <w:highlight w:val="none"/>
        </w:rPr>
      </w:pPr>
      <w:bookmarkStart w:id="174" w:name="_Toc14714"/>
      <w:bookmarkStart w:id="175" w:name="_Toc32683"/>
      <w:r>
        <w:rPr>
          <w:rFonts w:hint="eastAsia" w:ascii="黑体" w:eastAsia="黑体"/>
          <w:color w:val="auto"/>
          <w:kern w:val="0"/>
          <w:sz w:val="24"/>
          <w:szCs w:val="24"/>
          <w:highlight w:val="none"/>
        </w:rPr>
        <w:t>4.2　</w:t>
      </w:r>
      <w:r>
        <w:rPr>
          <w:snapToGrid w:val="0"/>
          <w:color w:val="auto"/>
          <w:kern w:val="0"/>
          <w:sz w:val="24"/>
          <w:highlight w:val="none"/>
          <w:lang w:val="zh-CN"/>
        </w:rPr>
        <w:t>在合同履行期间，</w:t>
      </w:r>
      <w:r>
        <w:rPr>
          <w:snapToGrid w:val="0"/>
          <w:color w:val="auto"/>
          <w:kern w:val="0"/>
          <w:sz w:val="24"/>
          <w:highlight w:val="none"/>
        </w:rPr>
        <w:t>若</w:t>
      </w:r>
      <w:r>
        <w:rPr>
          <w:snapToGrid w:val="0"/>
          <w:color w:val="auto"/>
          <w:kern w:val="0"/>
          <w:sz w:val="24"/>
          <w:highlight w:val="none"/>
          <w:lang w:val="zh-CN"/>
        </w:rPr>
        <w:t>因国家税收政策导致税率发生变化，则对原合同金额进行相应调整，调整后的合同金额=原合同金额/（1+原合同约定的增值税税率）</w:t>
      </w:r>
      <w:r>
        <w:rPr>
          <w:snapToGrid w:val="0"/>
          <w:color w:val="auto"/>
          <w:kern w:val="0"/>
          <w:sz w:val="24"/>
          <w:highlight w:val="none"/>
        </w:rPr>
        <w:t>×</w:t>
      </w:r>
      <w:r>
        <w:rPr>
          <w:snapToGrid w:val="0"/>
          <w:color w:val="auto"/>
          <w:kern w:val="0"/>
          <w:sz w:val="24"/>
          <w:highlight w:val="none"/>
          <w:lang w:val="zh-CN"/>
        </w:rPr>
        <w:t>（1+政策调整后相应的增值税税率）。</w:t>
      </w:r>
      <w:bookmarkEnd w:id="174"/>
      <w:bookmarkEnd w:id="175"/>
    </w:p>
    <w:p>
      <w:pPr>
        <w:widowControl/>
        <w:numPr>
          <w:ilvl w:val="1"/>
          <w:numId w:val="0"/>
        </w:numPr>
        <w:spacing w:line="360" w:lineRule="auto"/>
        <w:ind w:firstLine="480" w:firstLineChars="200"/>
        <w:jc w:val="left"/>
        <w:outlineLvl w:val="2"/>
        <w:rPr>
          <w:color w:val="auto"/>
          <w:kern w:val="0"/>
          <w:sz w:val="24"/>
          <w:highlight w:val="none"/>
        </w:rPr>
      </w:pPr>
      <w:bookmarkStart w:id="176" w:name="_Toc12702"/>
      <w:bookmarkStart w:id="177" w:name="_Toc11971"/>
      <w:r>
        <w:rPr>
          <w:rFonts w:hint="eastAsia" w:ascii="黑体" w:eastAsia="黑体"/>
          <w:color w:val="auto"/>
          <w:kern w:val="0"/>
          <w:sz w:val="24"/>
          <w:szCs w:val="24"/>
          <w:highlight w:val="none"/>
        </w:rPr>
        <w:t>4.3　</w:t>
      </w:r>
      <w:r>
        <w:rPr>
          <w:color w:val="auto"/>
          <w:kern w:val="0"/>
          <w:sz w:val="24"/>
          <w:highlight w:val="none"/>
        </w:rPr>
        <w:t>乙方申请支付前，应向甲方提供付款申请和正规增值税专用发票。</w:t>
      </w:r>
      <w:bookmarkEnd w:id="176"/>
      <w:bookmarkEnd w:id="177"/>
    </w:p>
    <w:p>
      <w:pPr>
        <w:widowControl/>
        <w:numPr>
          <w:ilvl w:val="1"/>
          <w:numId w:val="0"/>
        </w:numPr>
        <w:spacing w:line="360" w:lineRule="auto"/>
        <w:ind w:firstLine="480" w:firstLineChars="200"/>
        <w:jc w:val="left"/>
        <w:outlineLvl w:val="2"/>
        <w:rPr>
          <w:color w:val="auto"/>
          <w:sz w:val="24"/>
          <w:szCs w:val="24"/>
          <w:highlight w:val="none"/>
        </w:rPr>
      </w:pPr>
      <w:bookmarkStart w:id="178" w:name="_Toc23138"/>
      <w:bookmarkStart w:id="179" w:name="_Toc26180"/>
      <w:r>
        <w:rPr>
          <w:rFonts w:hint="eastAsia" w:ascii="黑体" w:eastAsia="黑体"/>
          <w:color w:val="auto"/>
          <w:kern w:val="0"/>
          <w:sz w:val="24"/>
          <w:szCs w:val="24"/>
          <w:highlight w:val="none"/>
        </w:rPr>
        <w:t>4.4　</w:t>
      </w:r>
      <w:r>
        <w:rPr>
          <w:color w:val="auto"/>
          <w:kern w:val="0"/>
          <w:sz w:val="24"/>
          <w:highlight w:val="none"/>
        </w:rPr>
        <w:t>合同款由甲方</w:t>
      </w:r>
      <w:r>
        <w:rPr>
          <w:rFonts w:hint="eastAsia"/>
          <w:color w:val="auto"/>
          <w:kern w:val="0"/>
          <w:sz w:val="24"/>
          <w:highlight w:val="none"/>
        </w:rPr>
        <w:t>根据两个风电项目</w:t>
      </w:r>
      <w:r>
        <w:rPr>
          <w:rFonts w:hint="eastAsia"/>
          <w:color w:val="auto"/>
          <w:sz w:val="24"/>
          <w:szCs w:val="24"/>
          <w:highlight w:val="none"/>
        </w:rPr>
        <w:t>可研报告分别通过可研评审，取得最终评审意见、取得项目核准批复，</w:t>
      </w:r>
      <w:r>
        <w:rPr>
          <w:rFonts w:hint="eastAsia"/>
          <w:color w:val="auto"/>
          <w:kern w:val="0"/>
          <w:sz w:val="24"/>
          <w:highlight w:val="none"/>
        </w:rPr>
        <w:t>按以下原则</w:t>
      </w:r>
      <w:r>
        <w:rPr>
          <w:color w:val="auto"/>
          <w:kern w:val="0"/>
          <w:sz w:val="24"/>
          <w:highlight w:val="none"/>
        </w:rPr>
        <w:t>支付给乙方。</w:t>
      </w:r>
      <w:r>
        <w:rPr>
          <w:color w:val="auto"/>
          <w:sz w:val="24"/>
          <w:szCs w:val="24"/>
          <w:highlight w:val="none"/>
        </w:rPr>
        <w:t>具体支付方式和时间如下：</w:t>
      </w:r>
      <w:bookmarkEnd w:id="178"/>
      <w:bookmarkEnd w:id="179"/>
    </w:p>
    <w:p>
      <w:pPr>
        <w:pStyle w:val="42"/>
        <w:widowControl w:val="0"/>
        <w:numPr>
          <w:ilvl w:val="0"/>
          <w:numId w:val="0"/>
        </w:numPr>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（1）</w:t>
      </w:r>
      <w:bookmarkStart w:id="180" w:name="OLE_LINK6"/>
      <w:r>
        <w:rPr>
          <w:rFonts w:hint="eastAsia" w:ascii="宋体" w:hAnsi="宋体" w:eastAsia="宋体"/>
          <w:color w:val="auto"/>
          <w:sz w:val="24"/>
          <w:szCs w:val="24"/>
          <w:highlight w:val="none"/>
        </w:rPr>
        <w:t>乙方提交白水风电场项目可行性研究报告</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lang w:val="en-US" w:eastAsia="zh-CN"/>
        </w:rPr>
        <w:t>可研报告通过甲方集团组织的评审，完成可研报告收口</w:t>
      </w:r>
      <w:r>
        <w:rPr>
          <w:rFonts w:hint="eastAsia" w:ascii="宋体" w:hAnsi="宋体" w:eastAsia="宋体"/>
          <w:color w:val="auto"/>
          <w:sz w:val="24"/>
          <w:szCs w:val="24"/>
          <w:highlight w:val="none"/>
        </w:rPr>
        <w:t>后30个工作日内，甲方支付该项目总价的</w:t>
      </w:r>
      <w:r>
        <w:rPr>
          <w:rFonts w:ascii="宋体" w:hAnsi="宋体" w:eastAsia="宋体"/>
          <w:color w:val="auto"/>
          <w:sz w:val="24"/>
          <w:szCs w:val="24"/>
          <w:highlight w:val="none"/>
        </w:rPr>
        <w:t>60%</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lang w:val="en-US" w:eastAsia="zh-CN"/>
        </w:rPr>
        <w:t>乙方完成项目核准申请报告编制，通过主管部门组织的评审并取得核准批复后</w:t>
      </w:r>
      <w:r>
        <w:rPr>
          <w:rFonts w:hint="eastAsia" w:ascii="宋体" w:hAnsi="宋体" w:eastAsia="宋体"/>
          <w:color w:val="auto"/>
          <w:sz w:val="24"/>
          <w:szCs w:val="24"/>
          <w:highlight w:val="none"/>
        </w:rPr>
        <w:t>30个工作日内，</w:t>
      </w:r>
      <w:bookmarkStart w:id="181" w:name="OLE_LINK3"/>
      <w:r>
        <w:rPr>
          <w:rFonts w:hint="eastAsia" w:ascii="宋体" w:hAnsi="宋体" w:eastAsia="宋体"/>
          <w:color w:val="auto"/>
          <w:sz w:val="24"/>
          <w:szCs w:val="24"/>
          <w:highlight w:val="none"/>
        </w:rPr>
        <w:t>甲方</w:t>
      </w:r>
      <w:bookmarkEnd w:id="181"/>
      <w:r>
        <w:rPr>
          <w:rFonts w:hint="eastAsia" w:ascii="宋体" w:hAnsi="宋体" w:eastAsia="宋体"/>
          <w:color w:val="auto"/>
          <w:sz w:val="24"/>
          <w:szCs w:val="24"/>
          <w:highlight w:val="none"/>
        </w:rPr>
        <w:t>支付该项目剩余款项。</w:t>
      </w:r>
      <w:bookmarkEnd w:id="180"/>
    </w:p>
    <w:p>
      <w:pPr>
        <w:pStyle w:val="42"/>
        <w:widowControl w:val="0"/>
        <w:numPr>
          <w:ilvl w:val="0"/>
          <w:numId w:val="0"/>
        </w:numPr>
        <w:adjustRightInd w:val="0"/>
        <w:snapToGrid w:val="0"/>
        <w:ind w:firstLine="480" w:firstLineChars="200"/>
        <w:rPr>
          <w:rFonts w:eastAsia="宋体"/>
          <w:b/>
          <w:bCs/>
          <w:color w:val="auto"/>
          <w:sz w:val="24"/>
          <w:szCs w:val="24"/>
          <w:highlight w:val="none"/>
        </w:rPr>
      </w:pPr>
      <w:r>
        <w:rPr>
          <w:rFonts w:hint="eastAsia" w:eastAsia="宋体"/>
          <w:color w:val="auto"/>
          <w:sz w:val="24"/>
          <w:szCs w:val="24"/>
          <w:highlight w:val="none"/>
        </w:rPr>
        <w:t>（2）</w:t>
      </w:r>
      <w:r>
        <w:rPr>
          <w:rFonts w:hint="eastAsia" w:ascii="宋体" w:hAnsi="宋体" w:eastAsia="宋体"/>
          <w:color w:val="auto"/>
          <w:sz w:val="24"/>
          <w:szCs w:val="24"/>
          <w:highlight w:val="none"/>
        </w:rPr>
        <w:t>乙方提交</w:t>
      </w:r>
      <w:r>
        <w:rPr>
          <w:rFonts w:hint="eastAsia" w:ascii="宋体" w:hAnsi="宋体" w:eastAsia="宋体"/>
          <w:color w:val="auto"/>
          <w:sz w:val="24"/>
          <w:szCs w:val="24"/>
          <w:highlight w:val="none"/>
          <w:lang w:val="en-US" w:eastAsia="zh-CN"/>
        </w:rPr>
        <w:t>麒麟北风电场（二期）项目</w:t>
      </w:r>
      <w:r>
        <w:rPr>
          <w:rFonts w:hint="eastAsia" w:ascii="宋体" w:hAnsi="宋体" w:eastAsia="宋体"/>
          <w:color w:val="auto"/>
          <w:sz w:val="24"/>
          <w:szCs w:val="24"/>
          <w:highlight w:val="none"/>
        </w:rPr>
        <w:t>可行性研究报告</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lang w:val="en-US" w:eastAsia="zh-CN"/>
        </w:rPr>
        <w:t>可研报告通过甲方集团组织的评审，完成可研报告收口</w:t>
      </w:r>
      <w:r>
        <w:rPr>
          <w:rFonts w:hint="eastAsia" w:ascii="宋体" w:hAnsi="宋体" w:eastAsia="宋体"/>
          <w:color w:val="auto"/>
          <w:sz w:val="24"/>
          <w:szCs w:val="24"/>
          <w:highlight w:val="none"/>
        </w:rPr>
        <w:t>后30个工作日内，甲方支付该项目总价的</w:t>
      </w:r>
      <w:r>
        <w:rPr>
          <w:rFonts w:ascii="宋体" w:hAnsi="宋体" w:eastAsia="宋体"/>
          <w:color w:val="auto"/>
          <w:sz w:val="24"/>
          <w:szCs w:val="24"/>
          <w:highlight w:val="none"/>
        </w:rPr>
        <w:t>60%</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lang w:val="en-US" w:eastAsia="zh-CN"/>
        </w:rPr>
        <w:t>乙方完成项目核准申请报告编制，通过主管部门组织的评审并取得核准批复后</w:t>
      </w:r>
      <w:r>
        <w:rPr>
          <w:rFonts w:hint="eastAsia" w:ascii="宋体" w:hAnsi="宋体" w:eastAsia="宋体"/>
          <w:color w:val="auto"/>
          <w:sz w:val="24"/>
          <w:szCs w:val="24"/>
          <w:highlight w:val="none"/>
        </w:rPr>
        <w:t>30个工作日内，甲方支付该项目剩余款项。</w:t>
      </w:r>
    </w:p>
    <w:p>
      <w:pPr>
        <w:pStyle w:val="42"/>
        <w:numPr>
          <w:ilvl w:val="0"/>
          <w:numId w:val="0"/>
        </w:numPr>
        <w:ind w:firstLine="560" w:firstLineChars="200"/>
        <w:rPr>
          <w:color w:val="auto"/>
          <w:sz w:val="24"/>
          <w:szCs w:val="24"/>
          <w:highlight w:val="none"/>
        </w:rPr>
      </w:pPr>
      <w:bookmarkStart w:id="182" w:name="_Toc17138"/>
      <w:bookmarkStart w:id="183" w:name="_Toc27774"/>
      <w:r>
        <w:rPr>
          <w:rFonts w:hint="eastAsia" w:ascii="黑体"/>
          <w:color w:val="auto"/>
          <w:sz w:val="28"/>
          <w:szCs w:val="21"/>
          <w:highlight w:val="none"/>
        </w:rPr>
        <w:t>5　</w:t>
      </w:r>
      <w:r>
        <w:rPr>
          <w:color w:val="auto"/>
          <w:sz w:val="24"/>
          <w:szCs w:val="24"/>
          <w:highlight w:val="none"/>
        </w:rPr>
        <w:t>履约保证金</w:t>
      </w:r>
      <w:bookmarkEnd w:id="182"/>
      <w:bookmarkEnd w:id="183"/>
      <w:r>
        <w:rPr>
          <w:rFonts w:hint="eastAsia"/>
          <w:color w:val="auto"/>
          <w:sz w:val="24"/>
          <w:szCs w:val="24"/>
          <w:highlight w:val="none"/>
        </w:rPr>
        <w:t xml:space="preserve">  无</w:t>
      </w:r>
    </w:p>
    <w:p>
      <w:pPr>
        <w:pStyle w:val="42"/>
        <w:numPr>
          <w:ilvl w:val="0"/>
          <w:numId w:val="0"/>
        </w:numPr>
        <w:ind w:firstLine="560" w:firstLineChars="200"/>
        <w:rPr>
          <w:color w:val="auto"/>
          <w:sz w:val="24"/>
          <w:szCs w:val="24"/>
          <w:highlight w:val="none"/>
        </w:rPr>
      </w:pPr>
      <w:bookmarkStart w:id="184" w:name="_Toc24078"/>
      <w:bookmarkStart w:id="185" w:name="_Toc45524592"/>
      <w:bookmarkStart w:id="186" w:name="_Toc16453"/>
      <w:r>
        <w:rPr>
          <w:rFonts w:hint="eastAsia" w:ascii="黑体"/>
          <w:color w:val="auto"/>
          <w:sz w:val="28"/>
          <w:szCs w:val="21"/>
          <w:highlight w:val="none"/>
        </w:rPr>
        <w:t>6　</w:t>
      </w:r>
      <w:r>
        <w:rPr>
          <w:color w:val="auto"/>
          <w:sz w:val="24"/>
          <w:szCs w:val="24"/>
          <w:highlight w:val="none"/>
        </w:rPr>
        <w:t>保密义务</w:t>
      </w:r>
      <w:bookmarkEnd w:id="184"/>
      <w:bookmarkEnd w:id="185"/>
      <w:bookmarkEnd w:id="186"/>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187" w:name="_Toc10741"/>
      <w:bookmarkStart w:id="188" w:name="_Toc32238"/>
      <w:r>
        <w:rPr>
          <w:rFonts w:hint="eastAsia" w:ascii="黑体"/>
          <w:color w:val="auto"/>
          <w:sz w:val="24"/>
          <w:szCs w:val="24"/>
          <w:highlight w:val="none"/>
        </w:rPr>
        <w:t>6.1　</w:t>
      </w:r>
      <w:r>
        <w:rPr>
          <w:rFonts w:eastAsia="宋体"/>
          <w:color w:val="auto"/>
          <w:sz w:val="24"/>
          <w:szCs w:val="24"/>
          <w:highlight w:val="none"/>
        </w:rPr>
        <w:t>双方均对本合同及所涉及的文件资料内容负有保密义务。除非得到书面许可，否则不得将本合同的内容、保密信息、成果文件向第三方披露。</w:t>
      </w:r>
      <w:bookmarkEnd w:id="187"/>
      <w:bookmarkEnd w:id="188"/>
    </w:p>
    <w:p>
      <w:pPr>
        <w:pStyle w:val="41"/>
        <w:numPr>
          <w:ilvl w:val="2"/>
          <w:numId w:val="0"/>
        </w:numPr>
        <w:tabs>
          <w:tab w:val="left" w:pos="0"/>
          <w:tab w:val="clear" w:pos="360"/>
          <w:tab w:val="clear" w:pos="1544"/>
        </w:tabs>
        <w:spacing w:line="360" w:lineRule="auto"/>
        <w:ind w:firstLine="420" w:firstLineChars="200"/>
        <w:rPr>
          <w:rFonts w:eastAsia="宋体"/>
          <w:color w:val="auto"/>
          <w:sz w:val="24"/>
          <w:szCs w:val="24"/>
          <w:highlight w:val="none"/>
        </w:rPr>
      </w:pPr>
      <w:bookmarkStart w:id="189" w:name="_Toc17564"/>
      <w:bookmarkStart w:id="190" w:name="_Toc23368"/>
      <w:r>
        <w:rPr>
          <w:rFonts w:hint="eastAsia" w:ascii="黑体"/>
          <w:color w:val="auto"/>
          <w:szCs w:val="24"/>
          <w:highlight w:val="none"/>
        </w:rPr>
        <w:t>1.1　</w:t>
      </w:r>
      <w:r>
        <w:rPr>
          <w:rFonts w:eastAsia="宋体"/>
          <w:color w:val="auto"/>
          <w:sz w:val="24"/>
          <w:szCs w:val="24"/>
          <w:highlight w:val="none"/>
        </w:rPr>
        <w:t>本合同所称保密信息应包括但不限于以下内容：</w:t>
      </w:r>
      <w:bookmarkEnd w:id="189"/>
      <w:bookmarkEnd w:id="190"/>
    </w:p>
    <w:p>
      <w:pPr>
        <w:widowControl/>
        <w:numPr>
          <w:ilvl w:val="2"/>
          <w:numId w:val="0"/>
        </w:numPr>
        <w:spacing w:line="360" w:lineRule="auto"/>
        <w:ind w:firstLine="480"/>
        <w:jc w:val="left"/>
        <w:outlineLvl w:val="3"/>
        <w:rPr>
          <w:color w:val="auto"/>
          <w:kern w:val="0"/>
          <w:sz w:val="24"/>
          <w:highlight w:val="none"/>
        </w:rPr>
      </w:pPr>
      <w:r>
        <w:rPr>
          <w:rFonts w:hint="eastAsia" w:ascii="黑体" w:eastAsia="黑体"/>
          <w:color w:val="auto"/>
          <w:kern w:val="0"/>
          <w:highlight w:val="none"/>
        </w:rPr>
        <w:t>6.1.1　</w:t>
      </w:r>
      <w:r>
        <w:rPr>
          <w:color w:val="auto"/>
          <w:kern w:val="0"/>
          <w:sz w:val="24"/>
          <w:highlight w:val="none"/>
        </w:rPr>
        <w:t>技术秘密</w:t>
      </w:r>
      <w:r>
        <w:rPr>
          <w:rFonts w:hint="eastAsia"/>
          <w:color w:val="auto"/>
          <w:kern w:val="0"/>
          <w:sz w:val="24"/>
          <w:highlight w:val="none"/>
        </w:rPr>
        <w:t>，</w:t>
      </w:r>
      <w:r>
        <w:rPr>
          <w:color w:val="auto"/>
          <w:kern w:val="0"/>
          <w:sz w:val="24"/>
          <w:highlight w:val="none"/>
        </w:rPr>
        <w:t>包括但不限于技术方案、工程设计、工艺流程、技术指标、计算机软件、数据库、研究开发记录、开发资料、调研报告、技术报告、检测报告、试验数据、测绘数据、试验结果、图纸、照片、模型、操作手册、技术文档、技术成果及论文、著作、相关的往来函件以及甲方经第三方授权使用的技术等。</w:t>
      </w:r>
    </w:p>
    <w:p>
      <w:pPr>
        <w:widowControl/>
        <w:numPr>
          <w:ilvl w:val="2"/>
          <w:numId w:val="0"/>
        </w:numPr>
        <w:spacing w:line="360" w:lineRule="auto"/>
        <w:ind w:firstLine="480"/>
        <w:jc w:val="left"/>
        <w:outlineLvl w:val="3"/>
        <w:rPr>
          <w:color w:val="auto"/>
          <w:kern w:val="0"/>
          <w:sz w:val="24"/>
          <w:highlight w:val="none"/>
        </w:rPr>
      </w:pPr>
      <w:r>
        <w:rPr>
          <w:rFonts w:hint="eastAsia" w:ascii="黑体" w:eastAsia="黑体"/>
          <w:color w:val="auto"/>
          <w:kern w:val="0"/>
          <w:highlight w:val="none"/>
        </w:rPr>
        <w:t>6.1.2　</w:t>
      </w:r>
      <w:r>
        <w:rPr>
          <w:color w:val="auto"/>
          <w:kern w:val="0"/>
          <w:sz w:val="24"/>
          <w:highlight w:val="none"/>
        </w:rPr>
        <w:t>商业秘密，包括但不限于：</w:t>
      </w:r>
    </w:p>
    <w:p>
      <w:pPr>
        <w:pStyle w:val="41"/>
        <w:numPr>
          <w:ilvl w:val="2"/>
          <w:numId w:val="0"/>
        </w:numPr>
        <w:tabs>
          <w:tab w:val="left" w:pos="0"/>
          <w:tab w:val="clear" w:pos="360"/>
          <w:tab w:val="clear" w:pos="1544"/>
        </w:tabs>
        <w:spacing w:line="360" w:lineRule="auto"/>
        <w:ind w:firstLine="420" w:firstLineChars="200"/>
        <w:rPr>
          <w:rFonts w:eastAsia="宋体"/>
          <w:color w:val="auto"/>
          <w:sz w:val="24"/>
          <w:szCs w:val="24"/>
          <w:highlight w:val="none"/>
        </w:rPr>
      </w:pPr>
      <w:bookmarkStart w:id="191" w:name="_Toc8552"/>
      <w:bookmarkStart w:id="192" w:name="_Toc25725"/>
      <w:r>
        <w:rPr>
          <w:rFonts w:hint="eastAsia" w:ascii="黑体"/>
          <w:color w:val="auto"/>
          <w:szCs w:val="24"/>
          <w:highlight w:val="none"/>
        </w:rPr>
        <w:t>1.2　</w:t>
      </w:r>
      <w:r>
        <w:rPr>
          <w:rFonts w:eastAsia="宋体"/>
          <w:color w:val="auto"/>
          <w:sz w:val="24"/>
          <w:szCs w:val="24"/>
          <w:highlight w:val="none"/>
        </w:rPr>
        <w:t>甲方重大决策及其决策相关文件；甲方现有的或计划推行的经营战略、经营方向、经营规划、经营项目及经营决策；甲方的合同、意向书、预可行性报告、可行性报告、专家评审意见及主要会议记录；工程招投标相关信息、重组并购收购信息、市场方案、采购资料；甲方财务预决算报告及各类财务报表、统计报表及税务信息；甲方内部管理制度和管理文件；甲方职员人事档案、工资标准、劳务性收入、补贴、保险；甲方所涉及的纠纷、法律事务信息；甲方所掌握的尚未进入市场或尚未公开的各类信息。</w:t>
      </w:r>
      <w:bookmarkEnd w:id="191"/>
      <w:bookmarkEnd w:id="192"/>
    </w:p>
    <w:p>
      <w:pPr>
        <w:widowControl/>
        <w:numPr>
          <w:ilvl w:val="2"/>
          <w:numId w:val="0"/>
        </w:numPr>
        <w:spacing w:line="360" w:lineRule="auto"/>
        <w:ind w:firstLine="480"/>
        <w:jc w:val="left"/>
        <w:outlineLvl w:val="3"/>
        <w:rPr>
          <w:color w:val="auto"/>
          <w:kern w:val="0"/>
          <w:sz w:val="24"/>
          <w:highlight w:val="none"/>
        </w:rPr>
      </w:pPr>
      <w:r>
        <w:rPr>
          <w:rFonts w:hint="eastAsia" w:ascii="黑体" w:eastAsia="黑体"/>
          <w:color w:val="auto"/>
          <w:kern w:val="0"/>
          <w:highlight w:val="none"/>
        </w:rPr>
        <w:t>6.1.3　</w:t>
      </w:r>
      <w:r>
        <w:rPr>
          <w:color w:val="auto"/>
          <w:kern w:val="0"/>
          <w:sz w:val="24"/>
          <w:highlight w:val="none"/>
        </w:rPr>
        <w:t>其他经甲方确定应当保密的事项。</w:t>
      </w:r>
    </w:p>
    <w:p>
      <w:pPr>
        <w:pStyle w:val="41"/>
        <w:numPr>
          <w:ilvl w:val="2"/>
          <w:numId w:val="0"/>
        </w:numPr>
        <w:tabs>
          <w:tab w:val="left" w:pos="0"/>
          <w:tab w:val="clear" w:pos="360"/>
          <w:tab w:val="clear" w:pos="1544"/>
        </w:tabs>
        <w:spacing w:line="360" w:lineRule="auto"/>
        <w:ind w:firstLine="420" w:firstLineChars="200"/>
        <w:rPr>
          <w:rFonts w:eastAsia="宋体"/>
          <w:color w:val="auto"/>
          <w:sz w:val="24"/>
          <w:szCs w:val="24"/>
          <w:highlight w:val="none"/>
        </w:rPr>
      </w:pPr>
      <w:bookmarkStart w:id="193" w:name="_Toc13448"/>
      <w:bookmarkStart w:id="194" w:name="_Toc4339"/>
      <w:r>
        <w:rPr>
          <w:rFonts w:hint="eastAsia" w:ascii="黑体"/>
          <w:color w:val="auto"/>
          <w:szCs w:val="24"/>
          <w:highlight w:val="none"/>
        </w:rPr>
        <w:t>1.3　</w:t>
      </w:r>
      <w:r>
        <w:rPr>
          <w:rFonts w:eastAsia="宋体"/>
          <w:color w:val="auto"/>
          <w:sz w:val="24"/>
          <w:szCs w:val="24"/>
          <w:highlight w:val="none"/>
        </w:rPr>
        <w:t>保密信息还包括乙方从上述信息或者与上述信息相关的信息中经研究分析而得到的信息。所有这些信息在本合同中总称为“保密信息”。</w:t>
      </w:r>
      <w:bookmarkEnd w:id="193"/>
      <w:bookmarkEnd w:id="194"/>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195" w:name="_Toc10048"/>
      <w:bookmarkStart w:id="196" w:name="_Toc30670"/>
      <w:r>
        <w:rPr>
          <w:rFonts w:hint="eastAsia" w:ascii="黑体"/>
          <w:color w:val="auto"/>
          <w:sz w:val="24"/>
          <w:szCs w:val="24"/>
          <w:highlight w:val="none"/>
        </w:rPr>
        <w:t>6.2　</w:t>
      </w:r>
      <w:r>
        <w:rPr>
          <w:rFonts w:eastAsia="宋体"/>
          <w:color w:val="auto"/>
          <w:sz w:val="24"/>
          <w:szCs w:val="24"/>
          <w:highlight w:val="none"/>
        </w:rPr>
        <w:t xml:space="preserve">涉密人员范围: </w:t>
      </w:r>
      <w:r>
        <w:rPr>
          <w:rFonts w:eastAsia="宋体"/>
          <w:color w:val="auto"/>
          <w:sz w:val="24"/>
          <w:szCs w:val="24"/>
          <w:highlight w:val="none"/>
          <w:u w:val="single"/>
        </w:rPr>
        <w:t>所有项目参与人员</w:t>
      </w:r>
      <w:r>
        <w:rPr>
          <w:rFonts w:eastAsia="宋体"/>
          <w:color w:val="auto"/>
          <w:sz w:val="24"/>
          <w:szCs w:val="24"/>
          <w:highlight w:val="none"/>
        </w:rPr>
        <w:t>。</w:t>
      </w:r>
      <w:bookmarkEnd w:id="195"/>
      <w:bookmarkEnd w:id="196"/>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197" w:name="_Toc30077"/>
      <w:bookmarkStart w:id="198" w:name="_Toc3194"/>
      <w:r>
        <w:rPr>
          <w:rFonts w:hint="eastAsia" w:ascii="黑体"/>
          <w:color w:val="auto"/>
          <w:sz w:val="24"/>
          <w:szCs w:val="24"/>
          <w:highlight w:val="none"/>
        </w:rPr>
        <w:t>6.3　</w:t>
      </w:r>
      <w:r>
        <w:rPr>
          <w:rFonts w:eastAsia="宋体"/>
          <w:color w:val="auto"/>
          <w:sz w:val="24"/>
          <w:szCs w:val="24"/>
          <w:highlight w:val="none"/>
        </w:rPr>
        <w:t>保密期限：双方一致确认，本合同的解除、中止、终止不影响保密期限内的保密义务履行。</w:t>
      </w:r>
      <w:bookmarkEnd w:id="197"/>
      <w:bookmarkEnd w:id="198"/>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199" w:name="_Toc2288"/>
      <w:bookmarkStart w:id="200" w:name="_Toc22415"/>
      <w:r>
        <w:rPr>
          <w:rFonts w:hint="eastAsia" w:ascii="黑体"/>
          <w:color w:val="auto"/>
          <w:sz w:val="24"/>
          <w:szCs w:val="24"/>
          <w:highlight w:val="none"/>
        </w:rPr>
        <w:t>6.4　</w:t>
      </w:r>
      <w:r>
        <w:rPr>
          <w:rFonts w:eastAsia="宋体"/>
          <w:color w:val="auto"/>
          <w:sz w:val="24"/>
          <w:szCs w:val="24"/>
          <w:highlight w:val="none"/>
        </w:rPr>
        <w:t>泄密责任：乙方违反保密义务的，在甲方书面警告发出后的5日内仍不采取有效措施改正其违约行为，甲方可通知乙方解除本合同，并可要求乙方承担</w:t>
      </w:r>
      <w:r>
        <w:rPr>
          <w:rFonts w:hint="eastAsia" w:eastAsia="宋体"/>
          <w:color w:val="auto"/>
          <w:sz w:val="24"/>
          <w:szCs w:val="24"/>
          <w:highlight w:val="none"/>
        </w:rPr>
        <w:t>合同总价20%</w:t>
      </w:r>
      <w:r>
        <w:rPr>
          <w:rFonts w:eastAsia="宋体"/>
          <w:color w:val="auto"/>
          <w:sz w:val="24"/>
          <w:szCs w:val="24"/>
          <w:highlight w:val="none"/>
        </w:rPr>
        <w:t>的违约金等违约责任。</w:t>
      </w:r>
      <w:bookmarkEnd w:id="199"/>
      <w:bookmarkEnd w:id="200"/>
    </w:p>
    <w:p>
      <w:pPr>
        <w:pStyle w:val="42"/>
        <w:numPr>
          <w:ilvl w:val="0"/>
          <w:numId w:val="0"/>
        </w:numPr>
        <w:ind w:firstLine="560" w:firstLineChars="200"/>
        <w:rPr>
          <w:color w:val="auto"/>
          <w:sz w:val="24"/>
          <w:szCs w:val="24"/>
          <w:highlight w:val="none"/>
        </w:rPr>
      </w:pPr>
      <w:bookmarkStart w:id="201" w:name="_Toc45524593"/>
      <w:bookmarkStart w:id="202" w:name="_Toc8784"/>
      <w:bookmarkStart w:id="203" w:name="_Toc2669"/>
      <w:r>
        <w:rPr>
          <w:rFonts w:hint="eastAsia" w:ascii="黑体"/>
          <w:color w:val="auto"/>
          <w:sz w:val="28"/>
          <w:szCs w:val="21"/>
          <w:highlight w:val="none"/>
        </w:rPr>
        <w:t>7　</w:t>
      </w:r>
      <w:r>
        <w:rPr>
          <w:color w:val="auto"/>
          <w:sz w:val="24"/>
          <w:szCs w:val="24"/>
          <w:highlight w:val="none"/>
        </w:rPr>
        <w:t>双方确定以下标准和方式对乙方的技术服务工作成果进行验收：</w:t>
      </w:r>
      <w:bookmarkEnd w:id="201"/>
      <w:bookmarkEnd w:id="202"/>
      <w:bookmarkEnd w:id="203"/>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u w:val="single"/>
        </w:rPr>
      </w:pPr>
      <w:bookmarkStart w:id="204" w:name="_Toc12120"/>
      <w:bookmarkStart w:id="205" w:name="_Toc26691"/>
      <w:r>
        <w:rPr>
          <w:rFonts w:hint="eastAsia" w:ascii="黑体"/>
          <w:color w:val="auto"/>
          <w:sz w:val="24"/>
          <w:szCs w:val="24"/>
          <w:highlight w:val="none"/>
        </w:rPr>
        <w:t>7.1　</w:t>
      </w:r>
      <w:r>
        <w:rPr>
          <w:rFonts w:eastAsia="宋体"/>
          <w:color w:val="auto"/>
          <w:sz w:val="24"/>
          <w:szCs w:val="24"/>
          <w:highlight w:val="none"/>
        </w:rPr>
        <w:t>乙方完成技术服务工作的形式：</w:t>
      </w:r>
      <w:r>
        <w:rPr>
          <w:rFonts w:eastAsia="宋体"/>
          <w:color w:val="auto"/>
          <w:sz w:val="24"/>
          <w:szCs w:val="24"/>
          <w:highlight w:val="none"/>
          <w:u w:val="single"/>
        </w:rPr>
        <w:t>严格按照国家颁布的有关法律、规程、规范的工作内容和深度要求，进行</w:t>
      </w:r>
      <w:r>
        <w:rPr>
          <w:rFonts w:hint="eastAsia" w:eastAsia="宋体"/>
          <w:color w:val="auto"/>
          <w:sz w:val="24"/>
          <w:szCs w:val="24"/>
          <w:highlight w:val="none"/>
          <w:u w:val="single"/>
        </w:rPr>
        <w:t>报告编制及报审</w:t>
      </w:r>
      <w:r>
        <w:rPr>
          <w:rFonts w:eastAsia="宋体"/>
          <w:color w:val="auto"/>
          <w:sz w:val="24"/>
          <w:szCs w:val="24"/>
          <w:highlight w:val="none"/>
          <w:u w:val="single"/>
        </w:rPr>
        <w:t>服务工作，并按本合同规定的进度、质量、数量要求按时提交设计成果。</w:t>
      </w:r>
      <w:bookmarkEnd w:id="204"/>
      <w:bookmarkEnd w:id="205"/>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06" w:name="_Toc9819"/>
      <w:bookmarkStart w:id="207" w:name="_Toc11383"/>
      <w:r>
        <w:rPr>
          <w:rFonts w:hint="eastAsia" w:ascii="黑体"/>
          <w:color w:val="auto"/>
          <w:sz w:val="24"/>
          <w:szCs w:val="24"/>
          <w:highlight w:val="none"/>
        </w:rPr>
        <w:t>7.2　</w:t>
      </w:r>
      <w:r>
        <w:rPr>
          <w:rFonts w:eastAsia="宋体"/>
          <w:color w:val="auto"/>
          <w:sz w:val="24"/>
          <w:szCs w:val="24"/>
          <w:highlight w:val="none"/>
        </w:rPr>
        <w:t>技术服务工作成果</w:t>
      </w:r>
      <w:bookmarkEnd w:id="206"/>
      <w:bookmarkEnd w:id="207"/>
    </w:p>
    <w:p>
      <w:pPr>
        <w:pStyle w:val="37"/>
        <w:spacing w:before="40" w:after="40" w:line="340" w:lineRule="auto"/>
        <w:ind w:firstLine="480"/>
        <w:rPr>
          <w:color w:val="auto"/>
          <w:sz w:val="24"/>
          <w:highlight w:val="none"/>
          <w:u w:val="single"/>
        </w:rPr>
      </w:pPr>
      <w:r>
        <w:rPr>
          <w:color w:val="auto"/>
          <w:sz w:val="24"/>
          <w:highlight w:val="none"/>
          <w:u w:val="single"/>
        </w:rPr>
        <w:t>乙方向甲方提交的最终成果为</w:t>
      </w:r>
      <w:r>
        <w:rPr>
          <w:rFonts w:hint="eastAsia"/>
          <w:color w:val="auto"/>
          <w:sz w:val="24"/>
          <w:highlight w:val="none"/>
          <w:u w:val="single"/>
        </w:rPr>
        <w:t>：</w:t>
      </w:r>
    </w:p>
    <w:p>
      <w:pPr>
        <w:pStyle w:val="37"/>
        <w:spacing w:before="40" w:after="40" w:line="340" w:lineRule="auto"/>
        <w:ind w:firstLine="480"/>
        <w:rPr>
          <w:rFonts w:ascii="宋体" w:hAnsi="宋体" w:cs="宋体"/>
          <w:color w:val="auto"/>
          <w:sz w:val="24"/>
          <w:szCs w:val="24"/>
          <w:highlight w:val="none"/>
        </w:rPr>
      </w:pPr>
      <w:r>
        <w:rPr>
          <w:rFonts w:ascii="宋体" w:hAnsi="宋体" w:cs="宋体"/>
          <w:color w:val="auto"/>
          <w:sz w:val="24"/>
          <w:szCs w:val="24"/>
          <w:highlight w:val="none"/>
        </w:rPr>
        <w:t>（1）</w:t>
      </w:r>
      <w:r>
        <w:rPr>
          <w:rFonts w:hint="eastAsia" w:ascii="宋体" w:hAnsi="宋体" w:cs="宋体"/>
          <w:color w:val="auto"/>
          <w:sz w:val="24"/>
          <w:szCs w:val="24"/>
          <w:highlight w:val="none"/>
        </w:rPr>
        <w:t>测绘图纸：</w:t>
      </w:r>
      <w:r>
        <w:rPr>
          <w:rFonts w:hint="eastAsia" w:ascii="宋体" w:hAnsi="宋体"/>
          <w:color w:val="auto"/>
          <w:sz w:val="24"/>
          <w:szCs w:val="24"/>
          <w:highlight w:val="none"/>
        </w:rPr>
        <w:t>白水风电场项目及</w:t>
      </w:r>
      <w:r>
        <w:rPr>
          <w:rFonts w:hint="eastAsia"/>
          <w:color w:val="auto"/>
          <w:sz w:val="24"/>
          <w:szCs w:val="24"/>
          <w:highlight w:val="none"/>
        </w:rPr>
        <w:t>麒麟北风电场（二期）项目</w:t>
      </w:r>
      <w:r>
        <w:rPr>
          <w:rFonts w:ascii="宋体" w:hAnsi="宋体" w:cs="宋体"/>
          <w:color w:val="auto"/>
          <w:sz w:val="24"/>
          <w:szCs w:val="24"/>
          <w:highlight w:val="none"/>
        </w:rPr>
        <w:t>所有测绘图纸、可研附图统一采用2000国家大地坐标系（CGCS2000）、1985国家高程基准。风电场场区、风机机位、集电线路及场内道路范围提供1:2000数字地形图。地形图包含完整地貌、地物信息，叠加生态红线、永久基本农田、林地等管控边界。</w:t>
      </w:r>
    </w:p>
    <w:p>
      <w:pPr>
        <w:pStyle w:val="37"/>
        <w:spacing w:before="40" w:after="40" w:line="34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提</w:t>
      </w:r>
      <w:r>
        <w:rPr>
          <w:rFonts w:ascii="宋体" w:hAnsi="宋体" w:cs="宋体"/>
          <w:color w:val="auto"/>
          <w:sz w:val="24"/>
          <w:szCs w:val="24"/>
          <w:highlight w:val="none"/>
        </w:rPr>
        <w:t>交</w:t>
      </w:r>
      <w:r>
        <w:rPr>
          <w:rFonts w:hint="eastAsia" w:ascii="宋体" w:hAnsi="宋体" w:cs="宋体"/>
          <w:color w:val="auto"/>
          <w:sz w:val="24"/>
          <w:szCs w:val="24"/>
          <w:highlight w:val="none"/>
        </w:rPr>
        <w:t>成果：白水风电场、麒麟北风电场（二期）项目</w:t>
      </w:r>
      <w:r>
        <w:rPr>
          <w:rFonts w:ascii="宋体" w:hAnsi="宋体" w:cs="宋体"/>
          <w:color w:val="auto"/>
          <w:sz w:val="24"/>
          <w:szCs w:val="24"/>
          <w:highlight w:val="none"/>
        </w:rPr>
        <w:t>可编辑DWG矢量图纸及高清PDF文件，纸质附图随可研报告一并提供</w:t>
      </w:r>
      <w:r>
        <w:rPr>
          <w:rFonts w:hint="eastAsia" w:ascii="宋体" w:hAnsi="宋体" w:cs="宋体"/>
          <w:color w:val="auto"/>
          <w:sz w:val="24"/>
          <w:szCs w:val="24"/>
          <w:highlight w:val="none"/>
        </w:rPr>
        <w:t>4</w:t>
      </w:r>
      <w:r>
        <w:rPr>
          <w:rFonts w:ascii="宋体" w:hAnsi="宋体" w:cs="宋体"/>
          <w:color w:val="auto"/>
          <w:sz w:val="24"/>
          <w:szCs w:val="24"/>
          <w:highlight w:val="none"/>
        </w:rPr>
        <w:t>套。文件格式DWG采用AutoCAD2018及以下版本，图层规范、可编辑；不得仅提供图片格式图纸。全部成果知识产权归招标人，中标人须根据评审意见修改图纸直至可研通过评审，并配合完成成果归档。</w:t>
      </w:r>
    </w:p>
    <w:p>
      <w:pPr>
        <w:pStyle w:val="37"/>
        <w:spacing w:before="40" w:after="40" w:line="340" w:lineRule="auto"/>
        <w:ind w:firstLine="480"/>
        <w:rPr>
          <w:rFonts w:ascii="宋体" w:hAnsi="宋体" w:cs="宋体"/>
          <w:color w:val="auto"/>
          <w:sz w:val="24"/>
          <w:szCs w:val="24"/>
          <w:highlight w:val="none"/>
        </w:rPr>
      </w:pPr>
      <w:r>
        <w:rPr>
          <w:rFonts w:ascii="宋体" w:hAnsi="宋体" w:cs="宋体"/>
          <w:color w:val="auto"/>
          <w:sz w:val="24"/>
          <w:szCs w:val="24"/>
          <w:highlight w:val="none"/>
        </w:rPr>
        <w:t>（2）</w:t>
      </w:r>
      <w:r>
        <w:rPr>
          <w:rFonts w:hint="eastAsia"/>
          <w:color w:val="auto"/>
          <w:sz w:val="24"/>
          <w:highlight w:val="none"/>
          <w:u w:val="single"/>
        </w:rPr>
        <w:t>可研报告：</w:t>
      </w:r>
      <w:r>
        <w:rPr>
          <w:rFonts w:hint="eastAsia" w:ascii="宋体" w:hAnsi="宋体" w:cs="宋体"/>
          <w:color w:val="auto"/>
          <w:sz w:val="24"/>
          <w:szCs w:val="24"/>
          <w:highlight w:val="none"/>
        </w:rPr>
        <w:t>乙方</w:t>
      </w:r>
      <w:r>
        <w:rPr>
          <w:rFonts w:ascii="宋体" w:hAnsi="宋体" w:cs="宋体"/>
          <w:color w:val="auto"/>
          <w:sz w:val="24"/>
          <w:szCs w:val="24"/>
          <w:highlight w:val="none"/>
        </w:rPr>
        <w:t>按照NB/T</w:t>
      </w:r>
      <w:r>
        <w:rPr>
          <w:rFonts w:hint="eastAsia" w:ascii="宋体" w:hAnsi="宋体" w:cs="宋体"/>
          <w:color w:val="auto"/>
          <w:sz w:val="24"/>
          <w:szCs w:val="24"/>
          <w:highlight w:val="none"/>
        </w:rPr>
        <w:t xml:space="preserve"> </w:t>
      </w:r>
      <w:r>
        <w:rPr>
          <w:rFonts w:ascii="宋体" w:hAnsi="宋体" w:cs="宋体"/>
          <w:color w:val="auto"/>
          <w:sz w:val="24"/>
          <w:szCs w:val="24"/>
          <w:highlight w:val="none"/>
        </w:rPr>
        <w:t>31105-2016《陆上风电场工程可行性研究报告编制规程》、国家及云南省现行相关法规政策开展可研编制工作，在本项目地形图测绘成果基础上完成现场踏勘、风能资源评估、场址限制性因素核查、工程方案比选，编制</w:t>
      </w:r>
      <w:r>
        <w:rPr>
          <w:rFonts w:hint="eastAsia" w:asciiTheme="minorEastAsia" w:hAnsiTheme="minorEastAsia" w:eastAsiaTheme="minorEastAsia" w:cstheme="minorEastAsia"/>
          <w:color w:val="auto"/>
          <w:sz w:val="24"/>
          <w:szCs w:val="24"/>
          <w:highlight w:val="none"/>
        </w:rPr>
        <w:t>白水风电场项目、麒麟北（二期）风电场项目</w:t>
      </w:r>
      <w:r>
        <w:rPr>
          <w:rFonts w:ascii="宋体" w:hAnsi="宋体" w:cs="宋体"/>
          <w:color w:val="auto"/>
          <w:sz w:val="24"/>
          <w:szCs w:val="24"/>
          <w:highlight w:val="none"/>
        </w:rPr>
        <w:t>可行性研究报告及</w:t>
      </w:r>
      <w:r>
        <w:rPr>
          <w:rFonts w:hint="eastAsia" w:asciiTheme="minorEastAsia" w:hAnsiTheme="minorEastAsia" w:eastAsiaTheme="minorEastAsia" w:cstheme="minorEastAsia"/>
          <w:color w:val="auto"/>
          <w:sz w:val="24"/>
          <w:szCs w:val="24"/>
          <w:highlight w:val="none"/>
        </w:rPr>
        <w:t>白水风电场项目、麒麟北（二期）风电场项目</w:t>
      </w:r>
      <w:r>
        <w:rPr>
          <w:rFonts w:ascii="宋体" w:hAnsi="宋体" w:cs="宋体"/>
          <w:color w:val="auto"/>
          <w:sz w:val="24"/>
          <w:szCs w:val="24"/>
          <w:highlight w:val="none"/>
        </w:rPr>
        <w:t>申请报告，成果深度满足专家评审及项目核准申报要求。</w:t>
      </w:r>
      <w:r>
        <w:rPr>
          <w:rFonts w:ascii="宋体" w:hAnsi="宋体" w:cs="宋体"/>
          <w:color w:val="auto"/>
          <w:sz w:val="24"/>
          <w:szCs w:val="24"/>
          <w:highlight w:val="none"/>
        </w:rPr>
        <w:br w:type="textWrapping"/>
      </w:r>
      <w:r>
        <w:rPr>
          <w:rFonts w:hint="eastAsia" w:ascii="宋体" w:hAnsi="宋体" w:cs="宋体"/>
          <w:color w:val="auto"/>
          <w:sz w:val="24"/>
          <w:szCs w:val="24"/>
          <w:highlight w:val="none"/>
        </w:rPr>
        <w:t xml:space="preserve">    </w:t>
      </w:r>
      <w:r>
        <w:rPr>
          <w:rFonts w:ascii="宋体" w:hAnsi="宋体" w:cs="宋体"/>
          <w:color w:val="auto"/>
          <w:sz w:val="24"/>
          <w:szCs w:val="24"/>
          <w:highlight w:val="none"/>
        </w:rPr>
        <w:t>可研报告包含项目建设必要性、风能资源分析、场址及工程地质、机组选型、总体布置、电气及接入系统、土建、施工组织、消防、劳动安全、环保水保、节能、土地利用、投资估算、财务评价等完整章节，开展多方案技术经济比选；财务评价采用单一电量制模式测算，完成发电量计算、财务指标及敏感性分析。</w:t>
      </w:r>
    </w:p>
    <w:p>
      <w:pPr>
        <w:widowControl/>
        <w:spacing w:line="360" w:lineRule="auto"/>
        <w:ind w:firstLine="480" w:firstLineChars="200"/>
        <w:jc w:val="left"/>
        <w:rPr>
          <w:rFonts w:asciiTheme="minorEastAsia" w:hAnsiTheme="minorEastAsia" w:eastAsiaTheme="minorEastAsia" w:cstheme="minorEastAsia"/>
          <w:color w:val="auto"/>
          <w:kern w:val="0"/>
          <w:sz w:val="24"/>
          <w:szCs w:val="24"/>
          <w:highlight w:val="none"/>
          <w:lang w:bidi="ar"/>
        </w:rPr>
      </w:pPr>
      <w:r>
        <w:rPr>
          <w:rFonts w:hint="eastAsia"/>
          <w:color w:val="auto"/>
          <w:sz w:val="24"/>
          <w:szCs w:val="24"/>
          <w:highlight w:val="none"/>
        </w:rPr>
        <w:t>提交成果：</w:t>
      </w:r>
      <w:r>
        <w:rPr>
          <w:rFonts w:hint="eastAsia" w:ascii="宋体" w:hAnsi="宋体" w:cs="宋体"/>
          <w:color w:val="auto"/>
          <w:sz w:val="24"/>
          <w:szCs w:val="24"/>
          <w:highlight w:val="none"/>
        </w:rPr>
        <w:t>白水风电场、麒麟北风电场（二期）项目</w:t>
      </w:r>
      <w:r>
        <w:rPr>
          <w:rFonts w:ascii="宋体" w:hAnsi="宋体" w:cs="宋体"/>
          <w:color w:val="auto"/>
          <w:sz w:val="24"/>
          <w:szCs w:val="24"/>
          <w:highlight w:val="none"/>
        </w:rPr>
        <w:t>可研报告、项目申请报告纸质</w:t>
      </w:r>
      <w:r>
        <w:rPr>
          <w:rFonts w:hint="eastAsia" w:ascii="宋体" w:hAnsi="宋体" w:cs="宋体"/>
          <w:color w:val="auto"/>
          <w:sz w:val="24"/>
          <w:szCs w:val="24"/>
          <w:highlight w:val="none"/>
        </w:rPr>
        <w:t>最终</w:t>
      </w:r>
      <w:r>
        <w:rPr>
          <w:rFonts w:ascii="宋体" w:hAnsi="宋体" w:cs="宋体"/>
          <w:color w:val="auto"/>
          <w:sz w:val="24"/>
          <w:szCs w:val="24"/>
          <w:highlight w:val="none"/>
        </w:rPr>
        <w:t>版各</w:t>
      </w:r>
      <w:r>
        <w:rPr>
          <w:rFonts w:hint="eastAsia" w:ascii="宋体" w:hAnsi="宋体" w:cs="宋体"/>
          <w:color w:val="auto"/>
          <w:sz w:val="24"/>
          <w:szCs w:val="24"/>
          <w:highlight w:val="none"/>
        </w:rPr>
        <w:t>8</w:t>
      </w:r>
      <w:r>
        <w:rPr>
          <w:rFonts w:ascii="宋体" w:hAnsi="宋体" w:cs="宋体"/>
          <w:color w:val="auto"/>
          <w:sz w:val="24"/>
          <w:szCs w:val="24"/>
          <w:highlight w:val="none"/>
        </w:rPr>
        <w:t>套；电子成果提供可编辑Word、Excel、分层DWG图纸及PDF文件</w:t>
      </w:r>
      <w:r>
        <w:rPr>
          <w:rFonts w:hint="eastAsia" w:ascii="宋体" w:hAnsi="宋体" w:cs="宋体"/>
          <w:color w:val="auto"/>
          <w:sz w:val="24"/>
          <w:szCs w:val="24"/>
          <w:highlight w:val="none"/>
        </w:rPr>
        <w:t>各1套</w:t>
      </w:r>
      <w:r>
        <w:rPr>
          <w:rFonts w:ascii="宋体" w:hAnsi="宋体" w:cs="宋体"/>
          <w:color w:val="auto"/>
          <w:sz w:val="24"/>
          <w:szCs w:val="24"/>
          <w:highlight w:val="none"/>
        </w:rPr>
        <w:t>。全部成果知识产权归属招标人。</w:t>
      </w:r>
    </w:p>
    <w:p>
      <w:pPr>
        <w:pStyle w:val="37"/>
        <w:spacing w:before="40" w:after="40" w:line="340" w:lineRule="auto"/>
        <w:ind w:firstLine="480"/>
        <w:rPr>
          <w:color w:val="auto"/>
          <w:kern w:val="0"/>
          <w:sz w:val="24"/>
          <w:highlight w:val="none"/>
          <w:u w:val="single"/>
        </w:rPr>
      </w:pPr>
      <w:r>
        <w:rPr>
          <w:rFonts w:hint="eastAsia"/>
          <w:color w:val="auto"/>
          <w:kern w:val="0"/>
          <w:sz w:val="24"/>
          <w:highlight w:val="none"/>
          <w:u w:val="single"/>
        </w:rPr>
        <w:t>（</w:t>
      </w:r>
      <w:r>
        <w:rPr>
          <w:rFonts w:hint="eastAsia"/>
          <w:color w:val="auto"/>
          <w:kern w:val="0"/>
          <w:sz w:val="24"/>
          <w:highlight w:val="none"/>
          <w:u w:val="single"/>
          <w:lang w:val="en-US" w:eastAsia="zh-CN"/>
        </w:rPr>
        <w:t>3</w:t>
      </w:r>
      <w:r>
        <w:rPr>
          <w:rFonts w:hint="eastAsia"/>
          <w:color w:val="auto"/>
          <w:kern w:val="0"/>
          <w:sz w:val="24"/>
          <w:highlight w:val="none"/>
          <w:u w:val="single"/>
        </w:rPr>
        <w:t>）相关中间成果报告数量不含各级政府主管部门审查所需材料。</w:t>
      </w:r>
    </w:p>
    <w:p>
      <w:pPr>
        <w:spacing w:line="440" w:lineRule="exact"/>
        <w:ind w:firstLine="480" w:firstLineChars="200"/>
        <w:rPr>
          <w:color w:val="auto"/>
          <w:sz w:val="24"/>
          <w:highlight w:val="none"/>
          <w:u w:val="single"/>
        </w:rPr>
      </w:pPr>
      <w:r>
        <w:rPr>
          <w:color w:val="auto"/>
          <w:sz w:val="24"/>
          <w:highlight w:val="none"/>
          <w:u w:val="single"/>
        </w:rPr>
        <w:t>乙方向甲方提交的中间成果为：乙方提交电子文件及满足</w:t>
      </w:r>
      <w:r>
        <w:rPr>
          <w:rFonts w:hint="eastAsia"/>
          <w:color w:val="auto"/>
          <w:sz w:val="24"/>
          <w:highlight w:val="none"/>
          <w:u w:val="single"/>
        </w:rPr>
        <w:t>各级</w:t>
      </w:r>
      <w:r>
        <w:rPr>
          <w:color w:val="auto"/>
          <w:sz w:val="24"/>
          <w:highlight w:val="none"/>
          <w:u w:val="single"/>
        </w:rPr>
        <w:t>评审所需的纸质文件</w:t>
      </w:r>
      <w:r>
        <w:rPr>
          <w:rFonts w:hint="eastAsia"/>
          <w:color w:val="auto"/>
          <w:sz w:val="24"/>
          <w:highlight w:val="none"/>
          <w:u w:val="single"/>
        </w:rPr>
        <w:t>、电子文件</w:t>
      </w:r>
      <w:r>
        <w:rPr>
          <w:color w:val="auto"/>
          <w:sz w:val="24"/>
          <w:highlight w:val="none"/>
          <w:u w:val="single"/>
        </w:rPr>
        <w:t>。</w:t>
      </w:r>
    </w:p>
    <w:p>
      <w:pPr>
        <w:pStyle w:val="41"/>
        <w:numPr>
          <w:ilvl w:val="1"/>
          <w:numId w:val="0"/>
        </w:numPr>
        <w:tabs>
          <w:tab w:val="left" w:pos="0"/>
          <w:tab w:val="clear" w:pos="360"/>
          <w:tab w:val="clear" w:pos="1544"/>
        </w:tabs>
        <w:spacing w:line="360" w:lineRule="auto"/>
        <w:ind w:firstLine="480" w:firstLineChars="200"/>
        <w:rPr>
          <w:color w:val="auto"/>
          <w:sz w:val="24"/>
          <w:highlight w:val="none"/>
          <w:u w:val="single"/>
        </w:rPr>
      </w:pPr>
      <w:bookmarkStart w:id="208" w:name="_Toc31077"/>
      <w:bookmarkStart w:id="209" w:name="_Toc29814"/>
      <w:r>
        <w:rPr>
          <w:rFonts w:hint="eastAsia" w:ascii="黑体"/>
          <w:color w:val="auto"/>
          <w:sz w:val="24"/>
          <w:szCs w:val="24"/>
          <w:highlight w:val="none"/>
        </w:rPr>
        <w:t>7.3　</w:t>
      </w:r>
      <w:r>
        <w:rPr>
          <w:rFonts w:eastAsia="宋体"/>
          <w:color w:val="auto"/>
          <w:sz w:val="24"/>
          <w:szCs w:val="24"/>
          <w:highlight w:val="none"/>
        </w:rPr>
        <w:t>技术服务工作成果的验收标准和验收方法：</w:t>
      </w:r>
      <w:r>
        <w:rPr>
          <w:rFonts w:hint="eastAsia" w:ascii="宋体" w:hAnsi="宋体" w:eastAsia="宋体"/>
          <w:color w:val="auto"/>
          <w:sz w:val="24"/>
          <w:szCs w:val="24"/>
          <w:highlight w:val="none"/>
        </w:rPr>
        <w:t>提交</w:t>
      </w:r>
      <w:r>
        <w:rPr>
          <w:rFonts w:hint="eastAsia" w:ascii="宋体" w:hAnsi="宋体" w:eastAsia="宋体" w:cs="宋体"/>
          <w:color w:val="auto"/>
          <w:sz w:val="24"/>
          <w:szCs w:val="24"/>
          <w:highlight w:val="none"/>
        </w:rPr>
        <w:t>白水风电场、麒麟北风电场（二期）项目</w:t>
      </w:r>
      <w:r>
        <w:rPr>
          <w:rFonts w:ascii="宋体" w:hAnsi="宋体" w:eastAsia="宋体" w:cs="宋体"/>
          <w:color w:val="auto"/>
          <w:sz w:val="24"/>
          <w:szCs w:val="24"/>
          <w:highlight w:val="none"/>
        </w:rPr>
        <w:t>可研报告、项目申请</w:t>
      </w:r>
      <w:r>
        <w:rPr>
          <w:rFonts w:hint="eastAsia" w:ascii="宋体" w:hAnsi="宋体" w:eastAsia="宋体"/>
          <w:color w:val="auto"/>
          <w:sz w:val="24"/>
          <w:szCs w:val="24"/>
          <w:highlight w:val="none"/>
        </w:rPr>
        <w:t>正式报告，并取得第三方评审意见及项目核准批复。</w:t>
      </w:r>
      <w:bookmarkEnd w:id="208"/>
      <w:bookmarkEnd w:id="209"/>
      <w:bookmarkStart w:id="210" w:name="_Hlk497983525"/>
    </w:p>
    <w:bookmarkEnd w:id="210"/>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11" w:name="_Toc879"/>
      <w:bookmarkStart w:id="212" w:name="_Toc7623"/>
      <w:r>
        <w:rPr>
          <w:rFonts w:hint="eastAsia" w:ascii="黑体"/>
          <w:color w:val="auto"/>
          <w:sz w:val="24"/>
          <w:szCs w:val="24"/>
          <w:highlight w:val="none"/>
        </w:rPr>
        <w:t>7.4　</w:t>
      </w:r>
      <w:r>
        <w:rPr>
          <w:rFonts w:eastAsia="宋体"/>
          <w:color w:val="auto"/>
          <w:sz w:val="24"/>
          <w:szCs w:val="24"/>
          <w:highlight w:val="none"/>
        </w:rPr>
        <w:t>验收的时间和地点：</w:t>
      </w:r>
      <w:r>
        <w:rPr>
          <w:rFonts w:eastAsia="宋体"/>
          <w:color w:val="auto"/>
          <w:sz w:val="24"/>
          <w:szCs w:val="24"/>
          <w:highlight w:val="none"/>
          <w:u w:val="single"/>
        </w:rPr>
        <w:t>验收时间：正式提交资料</w:t>
      </w:r>
      <w:r>
        <w:rPr>
          <w:rFonts w:hint="eastAsia" w:eastAsia="宋体"/>
          <w:color w:val="auto"/>
          <w:sz w:val="24"/>
          <w:szCs w:val="24"/>
          <w:highlight w:val="none"/>
          <w:u w:val="single"/>
        </w:rPr>
        <w:t>及</w:t>
      </w:r>
      <w:r>
        <w:rPr>
          <w:rFonts w:hint="eastAsia" w:ascii="宋体" w:hAnsi="宋体" w:eastAsia="宋体"/>
          <w:color w:val="auto"/>
          <w:sz w:val="24"/>
          <w:szCs w:val="24"/>
          <w:highlight w:val="none"/>
        </w:rPr>
        <w:t>取得第三方评审意见及项目核准批复</w:t>
      </w:r>
      <w:r>
        <w:rPr>
          <w:rFonts w:eastAsia="宋体"/>
          <w:color w:val="auto"/>
          <w:sz w:val="24"/>
          <w:szCs w:val="24"/>
          <w:highlight w:val="none"/>
          <w:u w:val="single"/>
        </w:rPr>
        <w:t>后30天内，验收地点：项目所在地</w:t>
      </w:r>
      <w:r>
        <w:rPr>
          <w:rFonts w:eastAsia="宋体"/>
          <w:color w:val="auto"/>
          <w:sz w:val="24"/>
          <w:szCs w:val="24"/>
          <w:highlight w:val="none"/>
        </w:rPr>
        <w:t>。</w:t>
      </w:r>
      <w:bookmarkEnd w:id="211"/>
      <w:bookmarkEnd w:id="212"/>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13" w:name="_Toc28043"/>
      <w:bookmarkStart w:id="214" w:name="_Toc29525"/>
      <w:r>
        <w:rPr>
          <w:rFonts w:hint="eastAsia" w:ascii="黑体"/>
          <w:color w:val="auto"/>
          <w:sz w:val="24"/>
          <w:szCs w:val="24"/>
          <w:highlight w:val="none"/>
        </w:rPr>
        <w:t>7.5　</w:t>
      </w:r>
      <w:r>
        <w:rPr>
          <w:rFonts w:eastAsia="宋体"/>
          <w:color w:val="auto"/>
          <w:sz w:val="24"/>
          <w:szCs w:val="24"/>
          <w:highlight w:val="none"/>
        </w:rPr>
        <w:t>乙方成果文件如因质量等问题被甲方或评审组否决、退回或有保留意见的通过，由乙方自担费用负责修改、补充和完善，直至通过验收。</w:t>
      </w:r>
      <w:bookmarkEnd w:id="213"/>
      <w:bookmarkEnd w:id="214"/>
    </w:p>
    <w:p>
      <w:pPr>
        <w:pStyle w:val="42"/>
        <w:numPr>
          <w:ilvl w:val="0"/>
          <w:numId w:val="0"/>
        </w:numPr>
        <w:ind w:firstLine="560" w:firstLineChars="200"/>
        <w:rPr>
          <w:color w:val="auto"/>
          <w:sz w:val="24"/>
          <w:szCs w:val="24"/>
          <w:highlight w:val="none"/>
        </w:rPr>
      </w:pPr>
      <w:bookmarkStart w:id="215" w:name="_Toc45524594"/>
      <w:bookmarkStart w:id="216" w:name="_Toc29474"/>
      <w:bookmarkStart w:id="217" w:name="_Toc2373"/>
      <w:r>
        <w:rPr>
          <w:rFonts w:hint="eastAsia" w:ascii="黑体"/>
          <w:color w:val="auto"/>
          <w:sz w:val="28"/>
          <w:szCs w:val="21"/>
          <w:highlight w:val="none"/>
        </w:rPr>
        <w:t>8　</w:t>
      </w:r>
      <w:r>
        <w:rPr>
          <w:color w:val="auto"/>
          <w:sz w:val="24"/>
          <w:szCs w:val="24"/>
          <w:highlight w:val="none"/>
        </w:rPr>
        <w:t>知识产权的约定</w:t>
      </w:r>
      <w:bookmarkEnd w:id="215"/>
      <w:bookmarkEnd w:id="216"/>
      <w:bookmarkEnd w:id="217"/>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18" w:name="_Toc24885"/>
      <w:bookmarkStart w:id="219" w:name="_Toc21359"/>
      <w:r>
        <w:rPr>
          <w:rFonts w:hint="eastAsia" w:ascii="黑体"/>
          <w:color w:val="auto"/>
          <w:sz w:val="24"/>
          <w:szCs w:val="24"/>
          <w:highlight w:val="none"/>
        </w:rPr>
        <w:t>8.1　</w:t>
      </w:r>
      <w:r>
        <w:rPr>
          <w:rFonts w:eastAsia="宋体"/>
          <w:color w:val="auto"/>
          <w:sz w:val="24"/>
          <w:szCs w:val="24"/>
          <w:highlight w:val="none"/>
        </w:rPr>
        <w:t>本合同技术服务的成果文件的所有权、著作权、专利申请权、荣誉申报权归属于甲方，甲方及其所管公司有权自主使用本合同所产生的研究开发成果及其相关知识产权，除本合同约定费用外无需向乙方支付其它费用。</w:t>
      </w:r>
      <w:bookmarkEnd w:id="218"/>
      <w:bookmarkEnd w:id="219"/>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20" w:name="_Toc13173"/>
      <w:bookmarkStart w:id="221" w:name="_Toc26837"/>
      <w:r>
        <w:rPr>
          <w:rFonts w:hint="eastAsia" w:ascii="黑体"/>
          <w:color w:val="auto"/>
          <w:sz w:val="24"/>
          <w:szCs w:val="24"/>
          <w:highlight w:val="none"/>
        </w:rPr>
        <w:t>8.2　</w:t>
      </w:r>
      <w:r>
        <w:rPr>
          <w:rFonts w:eastAsia="宋体"/>
          <w:color w:val="auto"/>
          <w:sz w:val="24"/>
          <w:szCs w:val="24"/>
          <w:highlight w:val="none"/>
        </w:rPr>
        <w:t>在本合同有效期内，甲方利用乙方提交的技术服务工作成果所完成的新的技术成果，归甲方所有。</w:t>
      </w:r>
      <w:bookmarkEnd w:id="220"/>
      <w:bookmarkEnd w:id="221"/>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22" w:name="_Toc23607"/>
      <w:bookmarkStart w:id="223" w:name="_Toc17776"/>
      <w:r>
        <w:rPr>
          <w:rFonts w:hint="eastAsia" w:ascii="黑体"/>
          <w:color w:val="auto"/>
          <w:sz w:val="24"/>
          <w:szCs w:val="24"/>
          <w:highlight w:val="none"/>
        </w:rPr>
        <w:t>8.3　</w:t>
      </w:r>
      <w:r>
        <w:rPr>
          <w:rFonts w:eastAsia="宋体"/>
          <w:color w:val="auto"/>
          <w:sz w:val="24"/>
          <w:szCs w:val="24"/>
          <w:highlight w:val="none"/>
        </w:rPr>
        <w:t>在本合同有效期内，乙方利用甲方提供的技术资料和工作条件所完成的新的技术成果，归双方所有。</w:t>
      </w:r>
      <w:bookmarkEnd w:id="222"/>
      <w:bookmarkEnd w:id="223"/>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24" w:name="_Toc14942"/>
      <w:bookmarkStart w:id="225" w:name="_Toc23084"/>
      <w:r>
        <w:rPr>
          <w:rFonts w:hint="eastAsia" w:ascii="黑体"/>
          <w:color w:val="auto"/>
          <w:sz w:val="24"/>
          <w:szCs w:val="24"/>
          <w:highlight w:val="none"/>
        </w:rPr>
        <w:t>8.4　</w:t>
      </w:r>
      <w:r>
        <w:rPr>
          <w:rFonts w:eastAsia="宋体"/>
          <w:color w:val="auto"/>
          <w:sz w:val="24"/>
          <w:szCs w:val="24"/>
          <w:highlight w:val="none"/>
        </w:rPr>
        <w:t>乙方保证所提供的成果文件、文件资料、技术服务上所承载的知识产权是合法有效的，不侵犯任何第三人的权利，包括但不限于知识产权。如出现侵权行为，由乙方自担全部责任和赔偿，乙方保证甲方免于承担由此导致或与此有关的一切损害赔偿金、诉讼费和其它有关费用。甲方不得不垫付的，有权向乙方追偿并可要求乙方赔偿损失、并承担合同总价20%违约金等违约责任。</w:t>
      </w:r>
      <w:bookmarkEnd w:id="224"/>
      <w:bookmarkEnd w:id="225"/>
    </w:p>
    <w:p>
      <w:pPr>
        <w:pStyle w:val="42"/>
        <w:numPr>
          <w:ilvl w:val="0"/>
          <w:numId w:val="0"/>
        </w:numPr>
        <w:ind w:firstLine="560" w:firstLineChars="200"/>
        <w:rPr>
          <w:color w:val="auto"/>
          <w:sz w:val="24"/>
          <w:szCs w:val="24"/>
          <w:highlight w:val="none"/>
        </w:rPr>
      </w:pPr>
      <w:bookmarkStart w:id="226" w:name="_Toc22912"/>
      <w:bookmarkStart w:id="227" w:name="_Toc45524595"/>
      <w:bookmarkStart w:id="228" w:name="_Toc12756"/>
      <w:r>
        <w:rPr>
          <w:rFonts w:hint="eastAsia" w:ascii="黑体"/>
          <w:color w:val="auto"/>
          <w:sz w:val="28"/>
          <w:szCs w:val="21"/>
          <w:highlight w:val="none"/>
        </w:rPr>
        <w:t>9　</w:t>
      </w:r>
      <w:r>
        <w:rPr>
          <w:color w:val="auto"/>
          <w:sz w:val="24"/>
          <w:szCs w:val="24"/>
          <w:highlight w:val="none"/>
        </w:rPr>
        <w:t>责任划分</w:t>
      </w:r>
      <w:bookmarkEnd w:id="226"/>
      <w:bookmarkEnd w:id="227"/>
      <w:bookmarkEnd w:id="228"/>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29" w:name="_Toc1063"/>
      <w:bookmarkStart w:id="230" w:name="_Toc11101"/>
      <w:r>
        <w:rPr>
          <w:rFonts w:hint="eastAsia" w:ascii="黑体"/>
          <w:color w:val="auto"/>
          <w:sz w:val="24"/>
          <w:szCs w:val="24"/>
          <w:highlight w:val="none"/>
        </w:rPr>
        <w:t>9.1　</w:t>
      </w:r>
      <w:r>
        <w:rPr>
          <w:rFonts w:eastAsia="宋体"/>
          <w:color w:val="auto"/>
          <w:sz w:val="24"/>
          <w:szCs w:val="24"/>
          <w:highlight w:val="none"/>
        </w:rPr>
        <w:t>未经甲方同意，乙方不得将本合同项目部分或全部技术开发工作转让、分包、转包给第三方承担。</w:t>
      </w:r>
      <w:bookmarkEnd w:id="229"/>
      <w:bookmarkEnd w:id="230"/>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31" w:name="_Toc22460"/>
      <w:bookmarkStart w:id="232" w:name="_Toc27881"/>
      <w:r>
        <w:rPr>
          <w:rFonts w:hint="eastAsia" w:ascii="黑体"/>
          <w:color w:val="auto"/>
          <w:sz w:val="24"/>
          <w:szCs w:val="24"/>
          <w:highlight w:val="none"/>
        </w:rPr>
        <w:t>9.2　</w:t>
      </w:r>
      <w:r>
        <w:rPr>
          <w:rFonts w:eastAsia="宋体"/>
          <w:color w:val="auto"/>
          <w:sz w:val="24"/>
          <w:szCs w:val="24"/>
          <w:highlight w:val="none"/>
        </w:rPr>
        <w:t>由于乙方为有资质的专业技术服务单位，在本合同履行中，如出现在现有技术水平和条件下难以克服的技术困难，导致研究开发失败或部分失败，并造成一方或双方损失的，由乙方承担该技术风险和损失。</w:t>
      </w:r>
      <w:bookmarkEnd w:id="231"/>
      <w:bookmarkEnd w:id="232"/>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33" w:name="_Toc24382"/>
      <w:bookmarkStart w:id="234" w:name="_Toc20173"/>
      <w:bookmarkStart w:id="235" w:name="_Hlk497984405"/>
      <w:r>
        <w:rPr>
          <w:rFonts w:hint="eastAsia" w:ascii="黑体"/>
          <w:color w:val="auto"/>
          <w:sz w:val="24"/>
          <w:szCs w:val="24"/>
          <w:highlight w:val="none"/>
        </w:rPr>
        <w:t>9.3　</w:t>
      </w:r>
      <w:r>
        <w:rPr>
          <w:rFonts w:eastAsia="宋体"/>
          <w:color w:val="auto"/>
          <w:sz w:val="24"/>
          <w:szCs w:val="24"/>
          <w:highlight w:val="none"/>
        </w:rPr>
        <w:t>乙方应对服务的工作量、正确性、完整性、合法性和及时性负责。</w:t>
      </w:r>
      <w:bookmarkEnd w:id="233"/>
      <w:bookmarkEnd w:id="234"/>
    </w:p>
    <w:bookmarkEnd w:id="235"/>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36" w:name="_Toc23591"/>
      <w:bookmarkStart w:id="237" w:name="_Toc4534"/>
      <w:r>
        <w:rPr>
          <w:rFonts w:hint="eastAsia" w:ascii="黑体"/>
          <w:color w:val="auto"/>
          <w:sz w:val="24"/>
          <w:szCs w:val="24"/>
          <w:highlight w:val="none"/>
        </w:rPr>
        <w:t>9.4　</w:t>
      </w:r>
      <w:r>
        <w:rPr>
          <w:rFonts w:eastAsia="宋体"/>
          <w:color w:val="auto"/>
          <w:sz w:val="24"/>
          <w:szCs w:val="24"/>
          <w:highlight w:val="none"/>
        </w:rPr>
        <w:t>乙方工作人员进场后，其发生的工资、社保、食宿、交通、劳动保护、工伤、医疗、环保、安全文明生产、意外事件和事故等问题概由乙方自行负责，费用乙方自理。</w:t>
      </w:r>
      <w:bookmarkEnd w:id="236"/>
      <w:bookmarkEnd w:id="237"/>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38" w:name="_Hlk497984570"/>
      <w:bookmarkStart w:id="239" w:name="_Toc15021"/>
      <w:bookmarkStart w:id="240" w:name="_Toc7314"/>
      <w:r>
        <w:rPr>
          <w:rFonts w:hint="eastAsia" w:ascii="黑体"/>
          <w:color w:val="auto"/>
          <w:sz w:val="24"/>
          <w:szCs w:val="24"/>
          <w:highlight w:val="none"/>
        </w:rPr>
        <w:t>9.5　</w:t>
      </w:r>
      <w:r>
        <w:rPr>
          <w:rFonts w:eastAsia="宋体"/>
          <w:color w:val="auto"/>
          <w:sz w:val="24"/>
          <w:szCs w:val="24"/>
          <w:highlight w:val="none"/>
        </w:rPr>
        <w:t>乙方及其工作人员在开展现场勘测设计工作中，服从甲方的管理，遵守相关制度，尊重当地的风俗习惯，处理好与当地政府、企事业单位及村民个人等关系，注意环境保护工作。乙方及其工作人员在本合同有效期内，因履行本合同造成自身或第三人人身损害、财物损失或其它违法违规行为导致的民事赔偿、行政处罚和刑事责任概由乙方自行承担，费用乙方自理。</w:t>
      </w:r>
      <w:bookmarkEnd w:id="238"/>
      <w:bookmarkEnd w:id="239"/>
      <w:bookmarkEnd w:id="240"/>
    </w:p>
    <w:p>
      <w:pPr>
        <w:pStyle w:val="42"/>
        <w:numPr>
          <w:ilvl w:val="0"/>
          <w:numId w:val="0"/>
        </w:numPr>
        <w:ind w:firstLine="560" w:firstLineChars="200"/>
        <w:rPr>
          <w:color w:val="auto"/>
          <w:sz w:val="24"/>
          <w:szCs w:val="24"/>
          <w:highlight w:val="none"/>
        </w:rPr>
      </w:pPr>
      <w:bookmarkStart w:id="241" w:name="_Toc10334"/>
      <w:bookmarkStart w:id="242" w:name="_Toc8588"/>
      <w:bookmarkStart w:id="243" w:name="_Toc45524596"/>
      <w:r>
        <w:rPr>
          <w:rFonts w:hint="eastAsia" w:ascii="黑体"/>
          <w:color w:val="auto"/>
          <w:sz w:val="28"/>
          <w:szCs w:val="21"/>
          <w:highlight w:val="none"/>
        </w:rPr>
        <w:t>10　</w:t>
      </w:r>
      <w:r>
        <w:rPr>
          <w:color w:val="auto"/>
          <w:sz w:val="24"/>
          <w:szCs w:val="24"/>
          <w:highlight w:val="none"/>
        </w:rPr>
        <w:t>违约责任</w:t>
      </w:r>
      <w:bookmarkEnd w:id="241"/>
      <w:bookmarkEnd w:id="242"/>
      <w:bookmarkEnd w:id="243"/>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44" w:name="_Toc15583"/>
      <w:bookmarkStart w:id="245" w:name="_Toc11389"/>
      <w:bookmarkStart w:id="246" w:name="_Hlk497985289"/>
      <w:r>
        <w:rPr>
          <w:rFonts w:hint="eastAsia" w:ascii="黑体"/>
          <w:color w:val="auto"/>
          <w:sz w:val="24"/>
          <w:szCs w:val="24"/>
          <w:highlight w:val="none"/>
        </w:rPr>
        <w:t>10.1　</w:t>
      </w:r>
      <w:r>
        <w:rPr>
          <w:rFonts w:eastAsia="宋体"/>
          <w:color w:val="auto"/>
          <w:sz w:val="24"/>
          <w:szCs w:val="24"/>
          <w:highlight w:val="none"/>
        </w:rPr>
        <w:t>任何一方不履行合同义务或者履行合同义务不符合约定的，应当承担继续履行、采取补救措施或者赔偿损失等违约责任。</w:t>
      </w:r>
      <w:bookmarkEnd w:id="244"/>
      <w:bookmarkEnd w:id="245"/>
    </w:p>
    <w:bookmarkEnd w:id="246"/>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47" w:name="_Toc25532"/>
      <w:bookmarkStart w:id="248" w:name="_Toc13651"/>
      <w:bookmarkStart w:id="249" w:name="_Hlk497985675"/>
      <w:r>
        <w:rPr>
          <w:rFonts w:hint="eastAsia" w:ascii="黑体"/>
          <w:color w:val="auto"/>
          <w:sz w:val="24"/>
          <w:szCs w:val="24"/>
          <w:highlight w:val="none"/>
        </w:rPr>
        <w:t>10.2　</w:t>
      </w:r>
      <w:r>
        <w:rPr>
          <w:rFonts w:eastAsia="宋体"/>
          <w:color w:val="auto"/>
          <w:sz w:val="24"/>
          <w:szCs w:val="24"/>
          <w:highlight w:val="none"/>
        </w:rPr>
        <w:t>因甲方原因逾期付款的，经乙方书面催告后仍无故拒付的，甲方应承担欠付款项金额的日万分之一计算作为迟延履行违约金。甲方逾期付款违约金最高不超过合同总价的5%。</w:t>
      </w:r>
      <w:bookmarkEnd w:id="247"/>
      <w:bookmarkEnd w:id="248"/>
    </w:p>
    <w:bookmarkEnd w:id="249"/>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50" w:name="_Toc12696"/>
      <w:bookmarkStart w:id="251" w:name="_Toc20766"/>
      <w:r>
        <w:rPr>
          <w:rFonts w:hint="eastAsia" w:ascii="黑体"/>
          <w:color w:val="auto"/>
          <w:sz w:val="24"/>
          <w:szCs w:val="24"/>
          <w:highlight w:val="none"/>
        </w:rPr>
        <w:t>10.3　</w:t>
      </w:r>
      <w:r>
        <w:rPr>
          <w:rFonts w:eastAsia="宋体"/>
          <w:color w:val="auto"/>
          <w:sz w:val="24"/>
          <w:szCs w:val="24"/>
          <w:highlight w:val="none"/>
        </w:rPr>
        <w:t>若因乙方自身原因造成乙方逾期提交验收合格的各阶段成果文件的，</w:t>
      </w:r>
      <w:r>
        <w:rPr>
          <w:rFonts w:hint="eastAsia" w:eastAsia="宋体"/>
          <w:color w:val="auto"/>
          <w:sz w:val="24"/>
          <w:szCs w:val="24"/>
          <w:highlight w:val="none"/>
        </w:rPr>
        <w:t>每</w:t>
      </w:r>
      <w:r>
        <w:rPr>
          <w:rFonts w:eastAsia="宋体"/>
          <w:color w:val="auto"/>
          <w:sz w:val="24"/>
          <w:szCs w:val="24"/>
          <w:highlight w:val="none"/>
        </w:rPr>
        <w:t>逾期</w:t>
      </w:r>
      <w:r>
        <w:rPr>
          <w:rFonts w:hint="eastAsia" w:eastAsia="宋体"/>
          <w:color w:val="auto"/>
          <w:sz w:val="24"/>
          <w:szCs w:val="24"/>
          <w:highlight w:val="none"/>
        </w:rPr>
        <w:t>一天</w:t>
      </w:r>
      <w:r>
        <w:rPr>
          <w:rFonts w:eastAsia="宋体"/>
          <w:color w:val="auto"/>
          <w:sz w:val="24"/>
          <w:szCs w:val="24"/>
          <w:highlight w:val="none"/>
        </w:rPr>
        <w:t>乙方应向甲方支付</w:t>
      </w:r>
      <w:r>
        <w:rPr>
          <w:rFonts w:hint="eastAsia" w:eastAsia="宋体"/>
          <w:color w:val="auto"/>
          <w:sz w:val="24"/>
          <w:szCs w:val="24"/>
          <w:highlight w:val="none"/>
          <w:lang w:val="en-US" w:eastAsia="zh-CN"/>
        </w:rPr>
        <w:t>3</w:t>
      </w:r>
      <w:r>
        <w:rPr>
          <w:rFonts w:hint="eastAsia" w:eastAsia="宋体"/>
          <w:color w:val="auto"/>
          <w:sz w:val="24"/>
          <w:szCs w:val="24"/>
          <w:highlight w:val="none"/>
        </w:rPr>
        <w:t>000元的违约金</w:t>
      </w:r>
      <w:r>
        <w:rPr>
          <w:rFonts w:eastAsia="宋体"/>
          <w:color w:val="auto"/>
          <w:sz w:val="24"/>
          <w:szCs w:val="24"/>
          <w:highlight w:val="none"/>
        </w:rPr>
        <w:t>，累计最高不超过合同总价20%的迟延交付违约金。</w:t>
      </w:r>
      <w:bookmarkEnd w:id="250"/>
      <w:bookmarkEnd w:id="251"/>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52" w:name="_Hlk497985336"/>
      <w:bookmarkStart w:id="253" w:name="_Toc29162"/>
      <w:bookmarkStart w:id="254" w:name="_Toc254"/>
      <w:r>
        <w:rPr>
          <w:rFonts w:hint="eastAsia" w:ascii="黑体"/>
          <w:color w:val="auto"/>
          <w:sz w:val="24"/>
          <w:szCs w:val="24"/>
          <w:highlight w:val="none"/>
        </w:rPr>
        <w:t>10.4　</w:t>
      </w:r>
      <w:r>
        <w:rPr>
          <w:rFonts w:eastAsia="宋体"/>
          <w:color w:val="auto"/>
          <w:sz w:val="24"/>
          <w:szCs w:val="24"/>
          <w:highlight w:val="none"/>
        </w:rPr>
        <w:t>乙方出现如下违约情形的，在甲方书面警告发出后的5日内仍不采取有效措施改正其违约行为，甲方可暂停支付费用，并要求乙方在5日内提交整改报告，由此增加的费用和延误责任由乙方承担。</w:t>
      </w:r>
      <w:bookmarkEnd w:id="252"/>
      <w:r>
        <w:rPr>
          <w:rFonts w:eastAsia="宋体"/>
          <w:color w:val="auto"/>
          <w:sz w:val="24"/>
          <w:szCs w:val="24"/>
          <w:highlight w:val="none"/>
        </w:rPr>
        <w:t>如乙方无视上述整改指示或整改措施达不到甲方的要求，则甲方可通知乙方解除合同，并可要求乙方退还已付费用、并承担合同总价20％违约金等违约责任。</w:t>
      </w:r>
      <w:bookmarkEnd w:id="253"/>
      <w:bookmarkEnd w:id="254"/>
    </w:p>
    <w:p>
      <w:pPr>
        <w:widowControl/>
        <w:numPr>
          <w:ilvl w:val="2"/>
          <w:numId w:val="0"/>
        </w:numPr>
        <w:spacing w:line="360" w:lineRule="auto"/>
        <w:ind w:firstLine="480"/>
        <w:jc w:val="left"/>
        <w:outlineLvl w:val="3"/>
        <w:rPr>
          <w:color w:val="auto"/>
          <w:kern w:val="0"/>
          <w:sz w:val="24"/>
          <w:highlight w:val="none"/>
        </w:rPr>
      </w:pPr>
      <w:bookmarkStart w:id="255" w:name="_Hlk497985361"/>
      <w:r>
        <w:rPr>
          <w:rFonts w:hint="eastAsia" w:ascii="黑体" w:eastAsia="黑体"/>
          <w:color w:val="auto"/>
          <w:kern w:val="0"/>
          <w:highlight w:val="none"/>
        </w:rPr>
        <w:t>10.4.1　</w:t>
      </w:r>
      <w:r>
        <w:rPr>
          <w:color w:val="auto"/>
          <w:kern w:val="0"/>
          <w:sz w:val="24"/>
          <w:highlight w:val="none"/>
        </w:rPr>
        <w:t>未经甲方书面同意，乙方将本合同部分或全部工作转让给第三方承担。</w:t>
      </w:r>
    </w:p>
    <w:p>
      <w:pPr>
        <w:widowControl/>
        <w:numPr>
          <w:ilvl w:val="2"/>
          <w:numId w:val="0"/>
        </w:numPr>
        <w:spacing w:line="360" w:lineRule="auto"/>
        <w:ind w:firstLine="480"/>
        <w:jc w:val="left"/>
        <w:outlineLvl w:val="3"/>
        <w:rPr>
          <w:color w:val="auto"/>
          <w:kern w:val="0"/>
          <w:sz w:val="24"/>
          <w:highlight w:val="none"/>
        </w:rPr>
      </w:pPr>
      <w:r>
        <w:rPr>
          <w:rFonts w:hint="eastAsia" w:ascii="黑体" w:eastAsia="黑体"/>
          <w:color w:val="auto"/>
          <w:kern w:val="0"/>
          <w:highlight w:val="none"/>
        </w:rPr>
        <w:t>10.4.2　</w:t>
      </w:r>
      <w:r>
        <w:rPr>
          <w:color w:val="auto"/>
          <w:kern w:val="0"/>
          <w:sz w:val="24"/>
          <w:highlight w:val="none"/>
        </w:rPr>
        <w:t>乙方成果文件因质量等问题被甲方或验收组否决、退回的。</w:t>
      </w:r>
    </w:p>
    <w:p>
      <w:pPr>
        <w:widowControl/>
        <w:numPr>
          <w:ilvl w:val="2"/>
          <w:numId w:val="0"/>
        </w:numPr>
        <w:spacing w:line="360" w:lineRule="auto"/>
        <w:ind w:firstLine="480"/>
        <w:jc w:val="left"/>
        <w:outlineLvl w:val="3"/>
        <w:rPr>
          <w:color w:val="auto"/>
          <w:kern w:val="0"/>
          <w:sz w:val="24"/>
          <w:highlight w:val="none"/>
        </w:rPr>
      </w:pPr>
      <w:r>
        <w:rPr>
          <w:rFonts w:hint="eastAsia" w:ascii="黑体" w:eastAsia="黑体"/>
          <w:color w:val="auto"/>
          <w:kern w:val="0"/>
          <w:highlight w:val="none"/>
        </w:rPr>
        <w:t>10.4.3　</w:t>
      </w:r>
      <w:r>
        <w:rPr>
          <w:color w:val="auto"/>
          <w:kern w:val="0"/>
          <w:sz w:val="24"/>
          <w:highlight w:val="none"/>
        </w:rPr>
        <w:t>乙方违反保密义务或知识产权约定的。</w:t>
      </w:r>
    </w:p>
    <w:p>
      <w:pPr>
        <w:widowControl/>
        <w:numPr>
          <w:ilvl w:val="2"/>
          <w:numId w:val="0"/>
        </w:numPr>
        <w:spacing w:line="360" w:lineRule="auto"/>
        <w:ind w:firstLine="480"/>
        <w:jc w:val="left"/>
        <w:outlineLvl w:val="3"/>
        <w:rPr>
          <w:color w:val="auto"/>
          <w:kern w:val="0"/>
          <w:sz w:val="24"/>
          <w:highlight w:val="none"/>
        </w:rPr>
      </w:pPr>
      <w:r>
        <w:rPr>
          <w:rFonts w:hint="eastAsia" w:ascii="黑体" w:eastAsia="黑体"/>
          <w:color w:val="auto"/>
          <w:kern w:val="0"/>
          <w:highlight w:val="none"/>
        </w:rPr>
        <w:t>10.4.4　</w:t>
      </w:r>
      <w:r>
        <w:rPr>
          <w:color w:val="auto"/>
          <w:kern w:val="0"/>
          <w:sz w:val="24"/>
          <w:highlight w:val="none"/>
        </w:rPr>
        <w:t>乙方不当履约给甲方造成损失及第三方索赔的。</w:t>
      </w:r>
    </w:p>
    <w:bookmarkEnd w:id="255"/>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56" w:name="_Toc28554"/>
      <w:bookmarkStart w:id="257" w:name="_Toc25913"/>
      <w:bookmarkStart w:id="258" w:name="_Hlk497985438"/>
      <w:r>
        <w:rPr>
          <w:rFonts w:hint="eastAsia" w:ascii="黑体"/>
          <w:color w:val="auto"/>
          <w:sz w:val="24"/>
          <w:szCs w:val="24"/>
          <w:highlight w:val="none"/>
        </w:rPr>
        <w:t>10.5　</w:t>
      </w:r>
      <w:r>
        <w:rPr>
          <w:rFonts w:eastAsia="宋体"/>
          <w:color w:val="auto"/>
          <w:sz w:val="24"/>
          <w:szCs w:val="24"/>
          <w:highlight w:val="none"/>
        </w:rPr>
        <w:t>违约方应承担与本合同有关的费用、支出、违约金、赔偿金、罚款、资金占用利息、行政处罚以及守约方为主张权利所支付的律师代理费（按诉讼标的金额的5%计算）、诉讼费、执行费、保全费、因保全产生的担保费、公告费、公证费、评估费、拍卖佣金等费用。</w:t>
      </w:r>
      <w:bookmarkEnd w:id="256"/>
      <w:bookmarkEnd w:id="257"/>
    </w:p>
    <w:bookmarkEnd w:id="258"/>
    <w:p>
      <w:pPr>
        <w:pStyle w:val="42"/>
        <w:numPr>
          <w:ilvl w:val="0"/>
          <w:numId w:val="0"/>
        </w:numPr>
        <w:ind w:firstLine="560" w:firstLineChars="200"/>
        <w:rPr>
          <w:color w:val="auto"/>
          <w:sz w:val="24"/>
          <w:szCs w:val="24"/>
          <w:highlight w:val="none"/>
        </w:rPr>
      </w:pPr>
      <w:bookmarkStart w:id="259" w:name="_Toc45524597"/>
      <w:bookmarkStart w:id="260" w:name="_Toc6316"/>
      <w:bookmarkStart w:id="261" w:name="_Toc20881"/>
      <w:r>
        <w:rPr>
          <w:rFonts w:hint="eastAsia" w:ascii="黑体"/>
          <w:color w:val="auto"/>
          <w:sz w:val="28"/>
          <w:szCs w:val="21"/>
          <w:highlight w:val="none"/>
        </w:rPr>
        <w:t>11　</w:t>
      </w:r>
      <w:r>
        <w:rPr>
          <w:color w:val="auto"/>
          <w:sz w:val="24"/>
          <w:szCs w:val="24"/>
          <w:highlight w:val="none"/>
        </w:rPr>
        <w:t>风险的承担</w:t>
      </w:r>
      <w:bookmarkEnd w:id="259"/>
      <w:bookmarkEnd w:id="260"/>
      <w:bookmarkEnd w:id="261"/>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62" w:name="_Toc6045"/>
      <w:bookmarkStart w:id="263" w:name="_Toc27113"/>
      <w:r>
        <w:rPr>
          <w:rFonts w:hint="eastAsia" w:ascii="黑体"/>
          <w:color w:val="auto"/>
          <w:sz w:val="24"/>
          <w:szCs w:val="24"/>
          <w:highlight w:val="none"/>
        </w:rPr>
        <w:t>11.1　</w:t>
      </w:r>
      <w:r>
        <w:rPr>
          <w:rFonts w:eastAsia="宋体"/>
          <w:color w:val="auto"/>
          <w:sz w:val="24"/>
          <w:szCs w:val="24"/>
          <w:highlight w:val="none"/>
        </w:rPr>
        <w:t>在本合同履行中，因出现在现有技术水平和条件下难以克服的技术困难，导致研究开发失败或部分失败，并造成一方或双方损失的，由双方协商处理承担风险损失 。</w:t>
      </w:r>
      <w:bookmarkEnd w:id="262"/>
      <w:bookmarkEnd w:id="263"/>
      <w:r>
        <w:rPr>
          <w:rFonts w:eastAsia="宋体"/>
          <w:color w:val="auto"/>
          <w:sz w:val="24"/>
          <w:szCs w:val="24"/>
          <w:highlight w:val="none"/>
        </w:rPr>
        <w:t xml:space="preserve"> </w:t>
      </w:r>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64" w:name="_Toc20293"/>
      <w:bookmarkStart w:id="265" w:name="_Toc19098"/>
      <w:r>
        <w:rPr>
          <w:rFonts w:hint="eastAsia" w:ascii="黑体"/>
          <w:color w:val="auto"/>
          <w:sz w:val="24"/>
          <w:szCs w:val="24"/>
          <w:highlight w:val="none"/>
        </w:rPr>
        <w:t>11.2　</w:t>
      </w:r>
      <w:r>
        <w:rPr>
          <w:rFonts w:eastAsia="宋体"/>
          <w:color w:val="auto"/>
          <w:sz w:val="24"/>
          <w:szCs w:val="24"/>
          <w:highlight w:val="none"/>
        </w:rPr>
        <w:t>双方确定，本合同项目的技术风险按双方协商的方式认定，认定技术风险的基本内容应当包括技术风险的存在、范围、程度及损失大小等。</w:t>
      </w:r>
      <w:bookmarkEnd w:id="264"/>
      <w:bookmarkEnd w:id="265"/>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66" w:name="_Toc5877"/>
      <w:bookmarkStart w:id="267" w:name="_Toc28454"/>
      <w:r>
        <w:rPr>
          <w:rFonts w:hint="eastAsia" w:ascii="黑体"/>
          <w:color w:val="auto"/>
          <w:sz w:val="24"/>
          <w:szCs w:val="24"/>
          <w:highlight w:val="none"/>
        </w:rPr>
        <w:t>11.3　</w:t>
      </w:r>
      <w:r>
        <w:rPr>
          <w:rFonts w:eastAsia="宋体"/>
          <w:color w:val="auto"/>
          <w:sz w:val="24"/>
          <w:szCs w:val="24"/>
          <w:highlight w:val="none"/>
        </w:rPr>
        <w:t>认定技术风险的基本条件是：</w:t>
      </w:r>
      <w:bookmarkEnd w:id="266"/>
      <w:bookmarkEnd w:id="267"/>
    </w:p>
    <w:p>
      <w:pPr>
        <w:widowControl/>
        <w:numPr>
          <w:ilvl w:val="2"/>
          <w:numId w:val="0"/>
        </w:numPr>
        <w:spacing w:line="360" w:lineRule="auto"/>
        <w:ind w:firstLine="480"/>
        <w:jc w:val="left"/>
        <w:outlineLvl w:val="3"/>
        <w:rPr>
          <w:color w:val="auto"/>
          <w:kern w:val="0"/>
          <w:sz w:val="24"/>
          <w:highlight w:val="none"/>
        </w:rPr>
      </w:pPr>
      <w:r>
        <w:rPr>
          <w:rFonts w:hint="eastAsia" w:ascii="黑体" w:eastAsia="黑体"/>
          <w:color w:val="auto"/>
          <w:kern w:val="0"/>
          <w:highlight w:val="none"/>
        </w:rPr>
        <w:t>11.3.1　</w:t>
      </w:r>
      <w:r>
        <w:rPr>
          <w:color w:val="auto"/>
          <w:kern w:val="0"/>
          <w:sz w:val="24"/>
          <w:highlight w:val="none"/>
        </w:rPr>
        <w:t>本合同项目在现有技术水平条件下具有足够的难度；</w:t>
      </w:r>
    </w:p>
    <w:p>
      <w:pPr>
        <w:widowControl/>
        <w:numPr>
          <w:ilvl w:val="2"/>
          <w:numId w:val="0"/>
        </w:numPr>
        <w:spacing w:line="360" w:lineRule="auto"/>
        <w:ind w:firstLine="480"/>
        <w:jc w:val="left"/>
        <w:outlineLvl w:val="3"/>
        <w:rPr>
          <w:color w:val="auto"/>
          <w:kern w:val="0"/>
          <w:sz w:val="24"/>
          <w:highlight w:val="none"/>
        </w:rPr>
      </w:pPr>
      <w:r>
        <w:rPr>
          <w:rFonts w:hint="eastAsia" w:ascii="黑体" w:eastAsia="黑体"/>
          <w:color w:val="auto"/>
          <w:kern w:val="0"/>
          <w:highlight w:val="none"/>
        </w:rPr>
        <w:t>11.3.2　</w:t>
      </w:r>
      <w:r>
        <w:rPr>
          <w:color w:val="auto"/>
          <w:kern w:val="0"/>
          <w:sz w:val="24"/>
          <w:highlight w:val="none"/>
        </w:rPr>
        <w:t>乙方在主观上无过错且经认定研究开发失败为合理的失败。</w:t>
      </w:r>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68" w:name="_Toc4042"/>
      <w:bookmarkStart w:id="269" w:name="_Toc8741"/>
      <w:r>
        <w:rPr>
          <w:rFonts w:hint="eastAsia" w:ascii="黑体"/>
          <w:color w:val="auto"/>
          <w:sz w:val="24"/>
          <w:szCs w:val="24"/>
          <w:highlight w:val="none"/>
        </w:rPr>
        <w:t>11.4　</w:t>
      </w:r>
      <w:r>
        <w:rPr>
          <w:rFonts w:eastAsia="宋体"/>
          <w:color w:val="auto"/>
          <w:sz w:val="24"/>
          <w:szCs w:val="24"/>
          <w:highlight w:val="none"/>
        </w:rPr>
        <w:t>一方发现技术风险存在并有可能致使研究开发失败或部分失败的情形时，应当在15日内通知另一方并采取适当措施减少损失。逾期未通知并未采取适当措施而致使损失扩大的，应当就扩大的损失承担赔偿责任。</w:t>
      </w:r>
      <w:bookmarkEnd w:id="268"/>
      <w:bookmarkEnd w:id="269"/>
    </w:p>
    <w:p>
      <w:pPr>
        <w:pStyle w:val="42"/>
        <w:numPr>
          <w:ilvl w:val="0"/>
          <w:numId w:val="0"/>
        </w:numPr>
        <w:tabs>
          <w:tab w:val="left" w:pos="6198"/>
        </w:tabs>
        <w:ind w:firstLine="560" w:firstLineChars="200"/>
        <w:rPr>
          <w:color w:val="auto"/>
          <w:sz w:val="24"/>
          <w:szCs w:val="24"/>
          <w:highlight w:val="none"/>
        </w:rPr>
      </w:pPr>
      <w:bookmarkStart w:id="270" w:name="_Toc45524598"/>
      <w:bookmarkStart w:id="271" w:name="_Toc23472"/>
      <w:bookmarkStart w:id="272" w:name="_Toc20495"/>
      <w:r>
        <w:rPr>
          <w:rFonts w:hint="eastAsia" w:ascii="黑体"/>
          <w:color w:val="auto"/>
          <w:sz w:val="28"/>
          <w:szCs w:val="21"/>
          <w:highlight w:val="none"/>
        </w:rPr>
        <w:t>12　</w:t>
      </w:r>
      <w:r>
        <w:rPr>
          <w:color w:val="auto"/>
          <w:sz w:val="24"/>
          <w:szCs w:val="24"/>
          <w:highlight w:val="none"/>
        </w:rPr>
        <w:t>通知、联络及送达</w:t>
      </w:r>
      <w:bookmarkEnd w:id="270"/>
      <w:bookmarkEnd w:id="271"/>
      <w:bookmarkEnd w:id="272"/>
      <w:r>
        <w:rPr>
          <w:color w:val="auto"/>
          <w:sz w:val="24"/>
          <w:szCs w:val="24"/>
          <w:highlight w:val="none"/>
        </w:rPr>
        <w:tab/>
      </w:r>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73" w:name="_Toc23077"/>
      <w:bookmarkStart w:id="274" w:name="_Toc32675"/>
      <w:r>
        <w:rPr>
          <w:rFonts w:hint="eastAsia" w:ascii="黑体"/>
          <w:color w:val="auto"/>
          <w:sz w:val="24"/>
          <w:szCs w:val="24"/>
          <w:highlight w:val="none"/>
        </w:rPr>
        <w:t>12.1　</w:t>
      </w:r>
      <w:r>
        <w:rPr>
          <w:rFonts w:eastAsia="宋体"/>
          <w:color w:val="auto"/>
          <w:sz w:val="24"/>
          <w:szCs w:val="24"/>
          <w:highlight w:val="none"/>
        </w:rPr>
        <w:t>双方重要事项及有关事项的通知、联络均采用书面文字形式。</w:t>
      </w:r>
      <w:bookmarkEnd w:id="273"/>
      <w:bookmarkEnd w:id="274"/>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75" w:name="_Toc13688"/>
      <w:bookmarkStart w:id="276" w:name="_Toc3503"/>
      <w:r>
        <w:rPr>
          <w:rFonts w:hint="eastAsia" w:ascii="黑体"/>
          <w:color w:val="auto"/>
          <w:sz w:val="24"/>
          <w:szCs w:val="24"/>
          <w:highlight w:val="none"/>
        </w:rPr>
        <w:t>12.2　</w:t>
      </w:r>
      <w:r>
        <w:rPr>
          <w:rFonts w:eastAsia="宋体"/>
          <w:color w:val="auto"/>
          <w:sz w:val="24"/>
          <w:szCs w:val="24"/>
          <w:highlight w:val="none"/>
        </w:rPr>
        <w:t>合同各方所填写的地址、传真号、电子邮箱地址是各方确定的通信地址、传真号、电子邮箱地址，任何书面通知在通过邮政特快专递发往该通信地址五日后即视为已经送达；在通过传真机发往该传真号当日即视为已经送达；在通过确定的电子邮件信箱发往对方确定的电子邮件信箱当日即视为已经送达。本协议各方所填写的地址、传真号、电子邮箱地址是各方确定的通信地址、传真号、电子邮箱地址，任何书面通知在通过邮政特快专递发往该通信地址五天后即视为已经送达；在通过传真机发往该传真号当日即视为已经送达；在通过确定的电子邮件信箱发往对方确定的电子邮件信箱当日即视为已经送达。</w:t>
      </w:r>
      <w:bookmarkEnd w:id="275"/>
      <w:bookmarkEnd w:id="276"/>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77" w:name="_Toc22430"/>
      <w:bookmarkStart w:id="278" w:name="_Toc869"/>
      <w:r>
        <w:rPr>
          <w:rFonts w:hint="eastAsia" w:ascii="黑体"/>
          <w:color w:val="auto"/>
          <w:sz w:val="24"/>
          <w:szCs w:val="24"/>
          <w:highlight w:val="none"/>
        </w:rPr>
        <w:t>12.3　</w:t>
      </w:r>
      <w:r>
        <w:rPr>
          <w:rFonts w:eastAsia="宋体"/>
          <w:color w:val="auto"/>
          <w:sz w:val="24"/>
          <w:szCs w:val="24"/>
          <w:highlight w:val="none"/>
        </w:rPr>
        <w:t>任何一方变更既定的通信地址、传真号、电子邮箱地址，必须书面通知对方，并得到对方的收悉确认，否则该变更不生效。</w:t>
      </w:r>
      <w:bookmarkEnd w:id="277"/>
      <w:bookmarkEnd w:id="278"/>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79" w:name="_Toc8233"/>
      <w:bookmarkStart w:id="280" w:name="_Toc27710"/>
      <w:r>
        <w:rPr>
          <w:rFonts w:hint="eastAsia" w:ascii="黑体"/>
          <w:color w:val="auto"/>
          <w:sz w:val="24"/>
          <w:szCs w:val="24"/>
          <w:highlight w:val="none"/>
        </w:rPr>
        <w:t>12.4　</w:t>
      </w:r>
      <w:r>
        <w:rPr>
          <w:rFonts w:eastAsia="宋体"/>
          <w:color w:val="auto"/>
          <w:sz w:val="24"/>
          <w:szCs w:val="24"/>
          <w:highlight w:val="none"/>
        </w:rPr>
        <w:t>甲乙双方就合同发生纠纷时相关文件和法律文书送达时的送达地址及法律后果作如下约定：</w:t>
      </w:r>
      <w:bookmarkEnd w:id="279"/>
      <w:bookmarkEnd w:id="280"/>
    </w:p>
    <w:p>
      <w:pPr>
        <w:widowControl/>
        <w:numPr>
          <w:ilvl w:val="2"/>
          <w:numId w:val="0"/>
        </w:numPr>
        <w:spacing w:line="360" w:lineRule="auto"/>
        <w:ind w:firstLine="480"/>
        <w:jc w:val="left"/>
        <w:outlineLvl w:val="3"/>
        <w:rPr>
          <w:color w:val="auto"/>
          <w:kern w:val="0"/>
          <w:sz w:val="24"/>
          <w:highlight w:val="none"/>
        </w:rPr>
      </w:pPr>
      <w:r>
        <w:rPr>
          <w:rFonts w:hint="eastAsia" w:ascii="黑体" w:eastAsia="黑体"/>
          <w:color w:val="auto"/>
          <w:kern w:val="0"/>
          <w:highlight w:val="none"/>
        </w:rPr>
        <w:t>12.4.1　</w:t>
      </w:r>
      <w:r>
        <w:rPr>
          <w:color w:val="auto"/>
          <w:kern w:val="0"/>
          <w:sz w:val="24"/>
          <w:highlight w:val="none"/>
        </w:rPr>
        <w:t>甲方确认其有效的送达地址为</w:t>
      </w:r>
      <w:r>
        <w:rPr>
          <w:color w:val="auto"/>
          <w:kern w:val="0"/>
          <w:sz w:val="24"/>
          <w:highlight w:val="none"/>
          <w:u w:val="single"/>
        </w:rPr>
        <w:t xml:space="preserve">              </w:t>
      </w:r>
      <w:r>
        <w:rPr>
          <w:color w:val="auto"/>
          <w:kern w:val="0"/>
          <w:sz w:val="24"/>
          <w:highlight w:val="none"/>
        </w:rPr>
        <w:t xml:space="preserve">。 </w:t>
      </w:r>
    </w:p>
    <w:p>
      <w:pPr>
        <w:widowControl/>
        <w:numPr>
          <w:ilvl w:val="2"/>
          <w:numId w:val="0"/>
        </w:numPr>
        <w:spacing w:line="360" w:lineRule="auto"/>
        <w:ind w:firstLine="480"/>
        <w:jc w:val="left"/>
        <w:outlineLvl w:val="3"/>
        <w:rPr>
          <w:color w:val="auto"/>
          <w:kern w:val="0"/>
          <w:sz w:val="24"/>
          <w:highlight w:val="none"/>
        </w:rPr>
      </w:pPr>
      <w:r>
        <w:rPr>
          <w:rFonts w:hint="eastAsia" w:ascii="黑体" w:eastAsia="黑体"/>
          <w:color w:val="auto"/>
          <w:kern w:val="0"/>
          <w:highlight w:val="none"/>
        </w:rPr>
        <w:t>12.4.2　</w:t>
      </w:r>
      <w:r>
        <w:rPr>
          <w:color w:val="auto"/>
          <w:kern w:val="0"/>
          <w:sz w:val="24"/>
          <w:highlight w:val="none"/>
        </w:rPr>
        <w:t>乙方确认其有效的送达地址为</w:t>
      </w:r>
      <w:r>
        <w:rPr>
          <w:color w:val="auto"/>
          <w:kern w:val="0"/>
          <w:sz w:val="24"/>
          <w:highlight w:val="none"/>
          <w:u w:val="single"/>
        </w:rPr>
        <w:t xml:space="preserve">              </w:t>
      </w:r>
      <w:r>
        <w:rPr>
          <w:color w:val="auto"/>
          <w:kern w:val="0"/>
          <w:sz w:val="24"/>
          <w:highlight w:val="none"/>
        </w:rPr>
        <w:t>。</w:t>
      </w:r>
    </w:p>
    <w:p>
      <w:pPr>
        <w:widowControl/>
        <w:numPr>
          <w:ilvl w:val="2"/>
          <w:numId w:val="0"/>
        </w:numPr>
        <w:spacing w:line="360" w:lineRule="auto"/>
        <w:ind w:firstLine="480"/>
        <w:jc w:val="left"/>
        <w:outlineLvl w:val="3"/>
        <w:rPr>
          <w:color w:val="auto"/>
          <w:kern w:val="0"/>
          <w:sz w:val="24"/>
          <w:highlight w:val="none"/>
        </w:rPr>
      </w:pPr>
      <w:r>
        <w:rPr>
          <w:rFonts w:hint="eastAsia" w:ascii="黑体" w:eastAsia="黑体"/>
          <w:color w:val="auto"/>
          <w:kern w:val="0"/>
          <w:highlight w:val="none"/>
        </w:rPr>
        <w:t>12.4.3　</w:t>
      </w:r>
      <w:r>
        <w:rPr>
          <w:color w:val="auto"/>
          <w:kern w:val="0"/>
          <w:sz w:val="24"/>
          <w:highlight w:val="none"/>
        </w:rPr>
        <w:t>双方该送达地址适用范围包括双方非诉时各类通知、协议等文件以及就合同发生纠纷时相关文件和法律文书的送达，同时包括在争议进入仲裁、民事诉讼程序后的一审、二审、再审和执行程序。</w:t>
      </w:r>
    </w:p>
    <w:p>
      <w:pPr>
        <w:widowControl/>
        <w:numPr>
          <w:ilvl w:val="2"/>
          <w:numId w:val="0"/>
        </w:numPr>
        <w:spacing w:line="360" w:lineRule="auto"/>
        <w:ind w:firstLine="480"/>
        <w:jc w:val="left"/>
        <w:outlineLvl w:val="3"/>
        <w:rPr>
          <w:color w:val="auto"/>
          <w:kern w:val="0"/>
          <w:sz w:val="24"/>
          <w:highlight w:val="none"/>
        </w:rPr>
      </w:pPr>
      <w:r>
        <w:rPr>
          <w:rFonts w:hint="eastAsia" w:ascii="黑体" w:eastAsia="黑体"/>
          <w:color w:val="auto"/>
          <w:kern w:val="0"/>
          <w:highlight w:val="none"/>
        </w:rPr>
        <w:t>12.4.4　</w:t>
      </w:r>
      <w:r>
        <w:rPr>
          <w:color w:val="auto"/>
          <w:kern w:val="0"/>
          <w:sz w:val="24"/>
          <w:highlight w:val="none"/>
        </w:rPr>
        <w:t>任何一方需要变更送达地址时必须书面通知对方，并得到对方的收悉确认。在仲裁及民事诉讼程序时当事人地址变更时应当向仲裁机构、法院履行送达地址变更通知义务。</w:t>
      </w:r>
    </w:p>
    <w:p>
      <w:pPr>
        <w:pStyle w:val="41"/>
        <w:numPr>
          <w:ilvl w:val="2"/>
          <w:numId w:val="0"/>
        </w:numPr>
        <w:tabs>
          <w:tab w:val="left" w:pos="0"/>
          <w:tab w:val="clear" w:pos="360"/>
          <w:tab w:val="clear" w:pos="1544"/>
        </w:tabs>
        <w:spacing w:line="360" w:lineRule="auto"/>
        <w:ind w:firstLine="420" w:firstLineChars="200"/>
        <w:rPr>
          <w:rFonts w:eastAsia="宋体"/>
          <w:color w:val="auto"/>
          <w:sz w:val="24"/>
          <w:szCs w:val="24"/>
          <w:highlight w:val="none"/>
        </w:rPr>
      </w:pPr>
      <w:bookmarkStart w:id="281" w:name="_Toc30682"/>
      <w:bookmarkStart w:id="282" w:name="_Toc14039"/>
      <w:r>
        <w:rPr>
          <w:rFonts w:hint="eastAsia" w:ascii="黑体"/>
          <w:color w:val="auto"/>
          <w:szCs w:val="24"/>
          <w:highlight w:val="none"/>
        </w:rPr>
        <w:t>1.4　</w:t>
      </w:r>
      <w:r>
        <w:rPr>
          <w:rFonts w:eastAsia="宋体"/>
          <w:color w:val="auto"/>
          <w:sz w:val="24"/>
          <w:szCs w:val="24"/>
          <w:highlight w:val="none"/>
        </w:rPr>
        <w:t>任何一方未按前述方式履行通知义务，双方所确认的送达地址仍视为有效送达地址，因当事人提供或者确认的送达地址不准确、送达地址变更后未及时依程序告知对方和法院、当事人或指定的接收人拒绝签收等原因，导致法律文书未能被当事人实际接收的，邮寄送达的，以文书退回之日视为送达之日；直接送达的，送达人当场在送达回证上记明情况之日视为送达之日；履行送达地址变更通知义务的，以变更后的送达地址为有效送达地址。对于上述当事人在合同中明确约定的送达地址，法院进行送达时可直接邮寄送达，即使当事人未能收到法院邮寄送达的文书，由于其在合同中的约定，也应当视为送达。</w:t>
      </w:r>
      <w:bookmarkEnd w:id="281"/>
      <w:bookmarkEnd w:id="282"/>
    </w:p>
    <w:p>
      <w:pPr>
        <w:widowControl/>
        <w:numPr>
          <w:ilvl w:val="2"/>
          <w:numId w:val="0"/>
        </w:numPr>
        <w:spacing w:line="360" w:lineRule="auto"/>
        <w:ind w:firstLine="480"/>
        <w:jc w:val="left"/>
        <w:outlineLvl w:val="3"/>
        <w:rPr>
          <w:color w:val="auto"/>
          <w:kern w:val="0"/>
          <w:sz w:val="24"/>
          <w:highlight w:val="none"/>
        </w:rPr>
      </w:pPr>
      <w:r>
        <w:rPr>
          <w:rFonts w:hint="eastAsia" w:ascii="黑体" w:eastAsia="黑体"/>
          <w:color w:val="auto"/>
          <w:kern w:val="0"/>
          <w:highlight w:val="none"/>
        </w:rPr>
        <w:t>12.4.5　</w:t>
      </w:r>
      <w:r>
        <w:rPr>
          <w:color w:val="auto"/>
          <w:kern w:val="0"/>
          <w:sz w:val="24"/>
          <w:highlight w:val="none"/>
        </w:rPr>
        <w:t>纠纷进入仲裁、民事诉讼程序后，如当事人应诉并直接向仲裁机构、法院提交送达地址确认书，该确认地址与诉前确认的送达地址不一致的，以向仲裁机构、法院提交确认的送达地址为准（该送达地址适用上述第3条规定的送达方式及送达的法律后果）。</w:t>
      </w:r>
    </w:p>
    <w:p>
      <w:pPr>
        <w:pStyle w:val="42"/>
        <w:numPr>
          <w:ilvl w:val="0"/>
          <w:numId w:val="0"/>
        </w:numPr>
        <w:ind w:firstLine="560" w:firstLineChars="200"/>
        <w:rPr>
          <w:color w:val="auto"/>
          <w:sz w:val="24"/>
          <w:szCs w:val="24"/>
          <w:highlight w:val="none"/>
        </w:rPr>
      </w:pPr>
      <w:bookmarkStart w:id="283" w:name="_Toc45524599"/>
      <w:bookmarkStart w:id="284" w:name="_Toc12221"/>
      <w:bookmarkStart w:id="285" w:name="_Toc4242"/>
      <w:r>
        <w:rPr>
          <w:rFonts w:hint="eastAsia" w:ascii="黑体"/>
          <w:color w:val="auto"/>
          <w:sz w:val="28"/>
          <w:szCs w:val="21"/>
          <w:highlight w:val="none"/>
        </w:rPr>
        <w:t>13　</w:t>
      </w:r>
      <w:r>
        <w:rPr>
          <w:color w:val="auto"/>
          <w:sz w:val="24"/>
          <w:szCs w:val="24"/>
          <w:highlight w:val="none"/>
        </w:rPr>
        <w:t>出现下列情形，致使本合同的履行成为不必要或不可能的，可以解除本合同：</w:t>
      </w:r>
      <w:bookmarkEnd w:id="283"/>
      <w:bookmarkEnd w:id="284"/>
      <w:bookmarkEnd w:id="285"/>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86" w:name="_Toc12381"/>
      <w:bookmarkStart w:id="287" w:name="_Toc7674"/>
      <w:r>
        <w:rPr>
          <w:rFonts w:hint="eastAsia" w:ascii="黑体"/>
          <w:color w:val="auto"/>
          <w:sz w:val="24"/>
          <w:szCs w:val="24"/>
          <w:highlight w:val="none"/>
        </w:rPr>
        <w:t>13.1　</w:t>
      </w:r>
      <w:r>
        <w:rPr>
          <w:rFonts w:eastAsia="宋体"/>
          <w:color w:val="auto"/>
          <w:sz w:val="24"/>
          <w:szCs w:val="24"/>
          <w:highlight w:val="none"/>
        </w:rPr>
        <w:t>发生不可抗力；</w:t>
      </w:r>
      <w:bookmarkEnd w:id="286"/>
      <w:bookmarkEnd w:id="287"/>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88" w:name="_Toc17939"/>
      <w:bookmarkStart w:id="289" w:name="_Toc4203"/>
      <w:r>
        <w:rPr>
          <w:rFonts w:hint="eastAsia" w:ascii="黑体"/>
          <w:color w:val="auto"/>
          <w:sz w:val="24"/>
          <w:szCs w:val="24"/>
          <w:highlight w:val="none"/>
        </w:rPr>
        <w:t>13.2　</w:t>
      </w:r>
      <w:r>
        <w:rPr>
          <w:rFonts w:eastAsia="宋体"/>
          <w:color w:val="auto"/>
          <w:sz w:val="24"/>
          <w:szCs w:val="24"/>
          <w:highlight w:val="none"/>
        </w:rPr>
        <w:t>法律法规发生调整；因地方政策影响而导致不能开发。</w:t>
      </w:r>
      <w:bookmarkEnd w:id="288"/>
      <w:bookmarkEnd w:id="289"/>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290" w:name="_Toc27087"/>
      <w:bookmarkStart w:id="291" w:name="_Toc19684"/>
      <w:r>
        <w:rPr>
          <w:rFonts w:hint="eastAsia" w:ascii="黑体"/>
          <w:color w:val="auto"/>
          <w:sz w:val="24"/>
          <w:szCs w:val="24"/>
          <w:highlight w:val="none"/>
        </w:rPr>
        <w:t>13.3　</w:t>
      </w:r>
      <w:r>
        <w:rPr>
          <w:rFonts w:eastAsia="宋体"/>
          <w:color w:val="auto"/>
          <w:sz w:val="24"/>
          <w:szCs w:val="24"/>
          <w:highlight w:val="none"/>
        </w:rPr>
        <w:t>双方协商一致；</w:t>
      </w:r>
      <w:bookmarkEnd w:id="290"/>
      <w:bookmarkEnd w:id="291"/>
    </w:p>
    <w:p>
      <w:pPr>
        <w:pStyle w:val="41"/>
        <w:numPr>
          <w:ilvl w:val="2"/>
          <w:numId w:val="0"/>
        </w:numPr>
        <w:tabs>
          <w:tab w:val="left" w:pos="0"/>
          <w:tab w:val="clear" w:pos="360"/>
          <w:tab w:val="clear" w:pos="1544"/>
        </w:tabs>
        <w:spacing w:line="360" w:lineRule="auto"/>
        <w:ind w:firstLine="420" w:firstLineChars="200"/>
        <w:rPr>
          <w:rFonts w:eastAsia="宋体"/>
          <w:color w:val="auto"/>
          <w:sz w:val="24"/>
          <w:szCs w:val="24"/>
          <w:highlight w:val="none"/>
        </w:rPr>
      </w:pPr>
      <w:bookmarkStart w:id="292" w:name="_Toc29830"/>
      <w:bookmarkStart w:id="293" w:name="_Toc2414"/>
      <w:r>
        <w:rPr>
          <w:rFonts w:hint="eastAsia" w:ascii="黑体"/>
          <w:color w:val="auto"/>
          <w:szCs w:val="24"/>
          <w:highlight w:val="none"/>
        </w:rPr>
        <w:t>1.5　</w:t>
      </w:r>
      <w:r>
        <w:rPr>
          <w:rFonts w:eastAsia="宋体"/>
          <w:color w:val="auto"/>
          <w:sz w:val="24"/>
          <w:szCs w:val="24"/>
          <w:highlight w:val="none"/>
        </w:rPr>
        <w:t>除上述情形外，任何一方不得擅自变更、解除、终止本合同。</w:t>
      </w:r>
      <w:bookmarkEnd w:id="292"/>
      <w:bookmarkEnd w:id="293"/>
    </w:p>
    <w:p>
      <w:pPr>
        <w:pStyle w:val="42"/>
        <w:numPr>
          <w:ilvl w:val="0"/>
          <w:numId w:val="0"/>
        </w:numPr>
        <w:ind w:firstLine="560" w:firstLineChars="200"/>
        <w:rPr>
          <w:color w:val="auto"/>
          <w:sz w:val="24"/>
          <w:szCs w:val="24"/>
          <w:highlight w:val="none"/>
        </w:rPr>
      </w:pPr>
      <w:bookmarkStart w:id="294" w:name="_Toc45524600"/>
      <w:bookmarkStart w:id="295" w:name="_Toc19862"/>
      <w:bookmarkStart w:id="296" w:name="_Toc11612"/>
      <w:r>
        <w:rPr>
          <w:rFonts w:hint="eastAsia" w:ascii="黑体"/>
          <w:color w:val="auto"/>
          <w:sz w:val="28"/>
          <w:szCs w:val="21"/>
          <w:highlight w:val="none"/>
        </w:rPr>
        <w:t>14　</w:t>
      </w:r>
      <w:r>
        <w:rPr>
          <w:color w:val="auto"/>
          <w:sz w:val="24"/>
          <w:szCs w:val="24"/>
          <w:highlight w:val="none"/>
        </w:rPr>
        <w:t>争议解决</w:t>
      </w:r>
      <w:bookmarkEnd w:id="294"/>
      <w:bookmarkEnd w:id="295"/>
      <w:bookmarkEnd w:id="296"/>
    </w:p>
    <w:p>
      <w:pPr>
        <w:pStyle w:val="41"/>
        <w:numPr>
          <w:ilvl w:val="2"/>
          <w:numId w:val="0"/>
        </w:numPr>
        <w:tabs>
          <w:tab w:val="left" w:pos="0"/>
          <w:tab w:val="clear" w:pos="360"/>
          <w:tab w:val="clear" w:pos="1544"/>
        </w:tabs>
        <w:spacing w:line="360" w:lineRule="auto"/>
        <w:ind w:firstLine="420" w:firstLineChars="200"/>
        <w:rPr>
          <w:rFonts w:eastAsia="宋体"/>
          <w:color w:val="auto"/>
          <w:sz w:val="24"/>
          <w:szCs w:val="24"/>
          <w:highlight w:val="none"/>
        </w:rPr>
      </w:pPr>
      <w:bookmarkStart w:id="297" w:name="_Toc1523"/>
      <w:bookmarkStart w:id="298" w:name="_Toc26270"/>
      <w:bookmarkStart w:id="299" w:name="_Hlk497986012"/>
      <w:r>
        <w:rPr>
          <w:rFonts w:hint="eastAsia" w:ascii="黑体"/>
          <w:color w:val="auto"/>
          <w:szCs w:val="24"/>
          <w:highlight w:val="none"/>
        </w:rPr>
        <w:t>1.6　</w:t>
      </w:r>
      <w:r>
        <w:rPr>
          <w:rFonts w:eastAsia="宋体"/>
          <w:color w:val="auto"/>
          <w:sz w:val="24"/>
          <w:szCs w:val="24"/>
          <w:highlight w:val="none"/>
        </w:rPr>
        <w:t>本合同适用中华人民共和国法律法规，双方所发生的任何争议，应协商解决，协商不成的，任何一方均可向</w:t>
      </w:r>
      <w:r>
        <w:rPr>
          <w:rFonts w:eastAsia="宋体"/>
          <w:color w:val="auto"/>
          <w:sz w:val="24"/>
          <w:szCs w:val="24"/>
          <w:highlight w:val="none"/>
          <w:u w:val="single"/>
        </w:rPr>
        <w:t>甲方所在</w:t>
      </w:r>
      <w:r>
        <w:rPr>
          <w:rFonts w:eastAsia="宋体"/>
          <w:color w:val="auto"/>
          <w:sz w:val="24"/>
          <w:szCs w:val="24"/>
          <w:highlight w:val="none"/>
        </w:rPr>
        <w:t>地的人民法院提起诉讼解决。在进行诉讼审理期间，除提交诉讼审理的事项外，合同仍应继续履行。</w:t>
      </w:r>
      <w:bookmarkEnd w:id="297"/>
      <w:bookmarkEnd w:id="298"/>
    </w:p>
    <w:bookmarkEnd w:id="299"/>
    <w:p>
      <w:pPr>
        <w:pStyle w:val="42"/>
        <w:numPr>
          <w:ilvl w:val="0"/>
          <w:numId w:val="0"/>
        </w:numPr>
        <w:ind w:firstLine="560" w:firstLineChars="200"/>
        <w:rPr>
          <w:color w:val="auto"/>
          <w:sz w:val="24"/>
          <w:szCs w:val="24"/>
          <w:highlight w:val="none"/>
        </w:rPr>
      </w:pPr>
      <w:bookmarkStart w:id="300" w:name="_Toc14307"/>
      <w:bookmarkStart w:id="301" w:name="_Toc874"/>
      <w:bookmarkStart w:id="302" w:name="_Toc45524601"/>
      <w:r>
        <w:rPr>
          <w:rFonts w:hint="eastAsia" w:ascii="黑体"/>
          <w:color w:val="auto"/>
          <w:sz w:val="28"/>
          <w:szCs w:val="21"/>
          <w:highlight w:val="none"/>
        </w:rPr>
        <w:t>15　</w:t>
      </w:r>
      <w:r>
        <w:rPr>
          <w:color w:val="auto"/>
          <w:sz w:val="24"/>
          <w:szCs w:val="24"/>
          <w:highlight w:val="none"/>
        </w:rPr>
        <w:t>有关名词和技术术语</w:t>
      </w:r>
      <w:bookmarkEnd w:id="300"/>
      <w:bookmarkEnd w:id="301"/>
      <w:bookmarkEnd w:id="302"/>
    </w:p>
    <w:p>
      <w:pPr>
        <w:pStyle w:val="41"/>
        <w:numPr>
          <w:ilvl w:val="2"/>
          <w:numId w:val="0"/>
        </w:numPr>
        <w:tabs>
          <w:tab w:val="left" w:pos="0"/>
          <w:tab w:val="clear" w:pos="360"/>
          <w:tab w:val="clear" w:pos="1544"/>
        </w:tabs>
        <w:spacing w:line="360" w:lineRule="auto"/>
        <w:ind w:firstLine="420" w:firstLineChars="200"/>
        <w:rPr>
          <w:rFonts w:eastAsia="宋体"/>
          <w:color w:val="auto"/>
          <w:sz w:val="24"/>
          <w:szCs w:val="24"/>
          <w:highlight w:val="none"/>
        </w:rPr>
      </w:pPr>
      <w:bookmarkStart w:id="303" w:name="_Toc27712"/>
      <w:bookmarkStart w:id="304" w:name="_Toc24556"/>
      <w:r>
        <w:rPr>
          <w:rFonts w:hint="eastAsia" w:ascii="黑体"/>
          <w:color w:val="auto"/>
          <w:szCs w:val="24"/>
          <w:highlight w:val="none"/>
        </w:rPr>
        <w:t>1.7　</w:t>
      </w:r>
      <w:r>
        <w:rPr>
          <w:rFonts w:eastAsia="宋体"/>
          <w:color w:val="auto"/>
          <w:sz w:val="24"/>
          <w:szCs w:val="24"/>
          <w:highlight w:val="none"/>
        </w:rPr>
        <w:t>双方确定：本合同及相关附件中所涉及的有关名词和技术术语，其定义和解释如下：</w:t>
      </w:r>
      <w:bookmarkEnd w:id="303"/>
      <w:bookmarkEnd w:id="304"/>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305" w:name="_Toc26940"/>
      <w:bookmarkStart w:id="306" w:name="_Toc369"/>
      <w:r>
        <w:rPr>
          <w:rFonts w:hint="eastAsia" w:ascii="黑体"/>
          <w:color w:val="auto"/>
          <w:sz w:val="24"/>
          <w:szCs w:val="24"/>
          <w:highlight w:val="none"/>
        </w:rPr>
        <w:t>15.1　</w:t>
      </w:r>
      <w:r>
        <w:rPr>
          <w:rFonts w:eastAsia="宋体"/>
          <w:color w:val="auto"/>
          <w:sz w:val="24"/>
          <w:szCs w:val="24"/>
          <w:highlight w:val="none"/>
        </w:rPr>
        <w:t>不可抗力：</w:t>
      </w:r>
      <w:bookmarkStart w:id="307" w:name="_Hlk497986524"/>
      <w:r>
        <w:rPr>
          <w:rFonts w:eastAsia="宋体"/>
          <w:color w:val="auto"/>
          <w:sz w:val="24"/>
          <w:szCs w:val="24"/>
          <w:highlight w:val="none"/>
        </w:rPr>
        <w:t>任何一方由于国家法律法规调整，遭受不可预见、无法避免的水灾、火灾、地震、海啸、雷击、战争、禁运、骚乱等情形，以致发生履约延迟事件或者无法履行合同全部或部分条款的，遭受不可抗力一方应及时将遭受不可抗力的情况以适当方式通知另一方，并应于不可抗力消除后15个工作日内向另一方提供发生不可抗力事件的书面证明文件。发生不可抗力事项的，双方协商处理合同履行事宜</w:t>
      </w:r>
      <w:bookmarkEnd w:id="307"/>
      <w:r>
        <w:rPr>
          <w:rFonts w:eastAsia="宋体"/>
          <w:color w:val="auto"/>
          <w:sz w:val="24"/>
          <w:szCs w:val="24"/>
          <w:highlight w:val="none"/>
        </w:rPr>
        <w:t>。</w:t>
      </w:r>
      <w:bookmarkEnd w:id="305"/>
      <w:bookmarkEnd w:id="306"/>
    </w:p>
    <w:p>
      <w:pPr>
        <w:pStyle w:val="42"/>
        <w:numPr>
          <w:ilvl w:val="0"/>
          <w:numId w:val="0"/>
        </w:numPr>
        <w:ind w:firstLine="560" w:firstLineChars="200"/>
        <w:rPr>
          <w:color w:val="auto"/>
          <w:sz w:val="24"/>
          <w:szCs w:val="24"/>
          <w:highlight w:val="none"/>
        </w:rPr>
      </w:pPr>
      <w:bookmarkStart w:id="308" w:name="_Toc11327"/>
      <w:bookmarkStart w:id="309" w:name="_Toc45524602"/>
      <w:bookmarkStart w:id="310" w:name="_Toc5750"/>
      <w:r>
        <w:rPr>
          <w:rFonts w:hint="eastAsia" w:ascii="黑体"/>
          <w:color w:val="auto"/>
          <w:sz w:val="28"/>
          <w:szCs w:val="21"/>
          <w:highlight w:val="none"/>
        </w:rPr>
        <w:t>16　</w:t>
      </w:r>
      <w:r>
        <w:rPr>
          <w:color w:val="auto"/>
          <w:sz w:val="24"/>
          <w:szCs w:val="24"/>
          <w:highlight w:val="none"/>
        </w:rPr>
        <w:t>技术文件</w:t>
      </w:r>
      <w:bookmarkEnd w:id="308"/>
      <w:bookmarkEnd w:id="309"/>
      <w:bookmarkEnd w:id="310"/>
    </w:p>
    <w:p>
      <w:pPr>
        <w:pStyle w:val="41"/>
        <w:numPr>
          <w:ilvl w:val="2"/>
          <w:numId w:val="0"/>
        </w:numPr>
        <w:tabs>
          <w:tab w:val="left" w:pos="0"/>
          <w:tab w:val="clear" w:pos="360"/>
          <w:tab w:val="clear" w:pos="1544"/>
        </w:tabs>
        <w:spacing w:line="360" w:lineRule="auto"/>
        <w:ind w:firstLine="420" w:firstLineChars="200"/>
        <w:rPr>
          <w:rFonts w:eastAsia="宋体"/>
          <w:color w:val="auto"/>
          <w:sz w:val="24"/>
          <w:szCs w:val="24"/>
          <w:highlight w:val="none"/>
        </w:rPr>
      </w:pPr>
      <w:bookmarkStart w:id="311" w:name="_Toc21503"/>
      <w:bookmarkStart w:id="312" w:name="_Toc22363"/>
      <w:r>
        <w:rPr>
          <w:rFonts w:hint="eastAsia" w:ascii="黑体"/>
          <w:color w:val="auto"/>
          <w:szCs w:val="24"/>
          <w:highlight w:val="none"/>
        </w:rPr>
        <w:t>1.8　</w:t>
      </w:r>
      <w:r>
        <w:rPr>
          <w:rFonts w:eastAsia="宋体"/>
          <w:color w:val="auto"/>
          <w:sz w:val="24"/>
          <w:szCs w:val="24"/>
          <w:highlight w:val="none"/>
        </w:rPr>
        <w:t>与履行本合同有关的下列技术文件，经双方以书面方式确认后，为本合同的组成部分：</w:t>
      </w:r>
      <w:bookmarkEnd w:id="311"/>
      <w:bookmarkEnd w:id="312"/>
    </w:p>
    <w:p>
      <w:pPr>
        <w:pStyle w:val="41"/>
        <w:numPr>
          <w:ilvl w:val="2"/>
          <w:numId w:val="0"/>
        </w:numPr>
        <w:tabs>
          <w:tab w:val="left" w:pos="0"/>
          <w:tab w:val="clear" w:pos="360"/>
          <w:tab w:val="clear" w:pos="1544"/>
        </w:tabs>
        <w:spacing w:line="360" w:lineRule="auto"/>
        <w:ind w:firstLine="420" w:firstLineChars="200"/>
        <w:rPr>
          <w:rFonts w:eastAsia="宋体"/>
          <w:color w:val="auto"/>
          <w:sz w:val="24"/>
          <w:szCs w:val="24"/>
          <w:highlight w:val="none"/>
        </w:rPr>
      </w:pPr>
      <w:bookmarkStart w:id="313" w:name="_Toc28246"/>
      <w:bookmarkStart w:id="314" w:name="_Toc3772"/>
      <w:r>
        <w:rPr>
          <w:rFonts w:hint="eastAsia" w:ascii="黑体"/>
          <w:color w:val="auto"/>
          <w:szCs w:val="24"/>
          <w:highlight w:val="none"/>
        </w:rPr>
        <w:t>1.9　</w:t>
      </w:r>
      <w:r>
        <w:rPr>
          <w:rFonts w:eastAsia="宋体"/>
          <w:color w:val="auto"/>
          <w:sz w:val="24"/>
          <w:szCs w:val="24"/>
          <w:highlight w:val="none"/>
        </w:rPr>
        <w:t>1．</w:t>
      </w:r>
      <w:r>
        <w:rPr>
          <w:rFonts w:hint="eastAsia" w:eastAsia="宋体"/>
          <w:color w:val="auto"/>
          <w:sz w:val="24"/>
          <w:szCs w:val="24"/>
          <w:highlight w:val="none"/>
          <w:lang w:val="en-US" w:eastAsia="zh-CN"/>
        </w:rPr>
        <w:t>双方往来函件、会议纪要等</w:t>
      </w:r>
      <w:r>
        <w:rPr>
          <w:rFonts w:eastAsia="宋体"/>
          <w:color w:val="auto"/>
          <w:sz w:val="24"/>
          <w:szCs w:val="24"/>
          <w:highlight w:val="none"/>
        </w:rPr>
        <w:t>。</w:t>
      </w:r>
      <w:bookmarkEnd w:id="313"/>
      <w:bookmarkEnd w:id="314"/>
    </w:p>
    <w:p>
      <w:pPr>
        <w:pStyle w:val="42"/>
        <w:numPr>
          <w:ilvl w:val="0"/>
          <w:numId w:val="0"/>
        </w:numPr>
        <w:ind w:firstLine="560" w:firstLineChars="200"/>
        <w:rPr>
          <w:color w:val="auto"/>
          <w:sz w:val="24"/>
          <w:szCs w:val="24"/>
          <w:highlight w:val="none"/>
        </w:rPr>
      </w:pPr>
      <w:bookmarkStart w:id="315" w:name="_Toc19614"/>
      <w:bookmarkStart w:id="316" w:name="_Toc45524603"/>
      <w:bookmarkStart w:id="317" w:name="_Toc32443"/>
      <w:r>
        <w:rPr>
          <w:rFonts w:hint="eastAsia" w:ascii="黑体"/>
          <w:color w:val="auto"/>
          <w:sz w:val="28"/>
          <w:szCs w:val="21"/>
          <w:highlight w:val="none"/>
        </w:rPr>
        <w:t>17　</w:t>
      </w:r>
      <w:r>
        <w:rPr>
          <w:color w:val="auto"/>
          <w:sz w:val="24"/>
          <w:szCs w:val="24"/>
          <w:highlight w:val="none"/>
        </w:rPr>
        <w:t>双方约定本合同其他相关事项为：</w:t>
      </w:r>
      <w:bookmarkEnd w:id="315"/>
      <w:bookmarkEnd w:id="316"/>
      <w:bookmarkEnd w:id="317"/>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318" w:name="_Toc12991"/>
      <w:bookmarkStart w:id="319" w:name="_Toc4255"/>
      <w:r>
        <w:rPr>
          <w:rFonts w:hint="eastAsia" w:ascii="黑体"/>
          <w:color w:val="auto"/>
          <w:sz w:val="24"/>
          <w:szCs w:val="24"/>
          <w:highlight w:val="none"/>
        </w:rPr>
        <w:t>17.1　</w:t>
      </w:r>
      <w:r>
        <w:rPr>
          <w:rFonts w:eastAsia="宋体"/>
          <w:color w:val="auto"/>
          <w:sz w:val="24"/>
          <w:szCs w:val="24"/>
          <w:highlight w:val="none"/>
        </w:rPr>
        <w:t>除非本合同另有约定或双方协商达成一致，任何一方不得单方面变更、中止、解除、终止本合同。</w:t>
      </w:r>
      <w:bookmarkEnd w:id="318"/>
      <w:bookmarkEnd w:id="319"/>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320" w:name="_Toc25160"/>
      <w:bookmarkStart w:id="321" w:name="_Toc7373"/>
      <w:r>
        <w:rPr>
          <w:rFonts w:hint="eastAsia" w:ascii="黑体"/>
          <w:color w:val="auto"/>
          <w:sz w:val="24"/>
          <w:szCs w:val="24"/>
          <w:highlight w:val="none"/>
        </w:rPr>
        <w:t>17.2　</w:t>
      </w:r>
      <w:r>
        <w:rPr>
          <w:rFonts w:eastAsia="宋体"/>
          <w:color w:val="auto"/>
          <w:sz w:val="24"/>
          <w:szCs w:val="24"/>
          <w:highlight w:val="none"/>
        </w:rPr>
        <w:t>本合同正本一式两份，甲乙双方各执一份；副本六份，甲乙双方各执三份，经双方法定代表人或授权代理人签字并盖章后生效；双方的合同权利义务履行完毕终止。</w:t>
      </w:r>
      <w:bookmarkEnd w:id="320"/>
      <w:bookmarkEnd w:id="321"/>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322" w:name="_Toc27459"/>
      <w:bookmarkStart w:id="323" w:name="_Toc5937"/>
      <w:r>
        <w:rPr>
          <w:rFonts w:hint="eastAsia" w:ascii="黑体"/>
          <w:color w:val="auto"/>
          <w:sz w:val="24"/>
          <w:szCs w:val="24"/>
          <w:highlight w:val="none"/>
        </w:rPr>
        <w:t>17.3　</w:t>
      </w:r>
      <w:r>
        <w:rPr>
          <w:rFonts w:eastAsia="宋体"/>
          <w:color w:val="auto"/>
          <w:sz w:val="24"/>
          <w:szCs w:val="24"/>
          <w:highlight w:val="none"/>
        </w:rPr>
        <w:t>未尽事宜双方协商一致后签订书面补充协议约定。</w:t>
      </w:r>
      <w:bookmarkEnd w:id="322"/>
      <w:bookmarkEnd w:id="323"/>
    </w:p>
    <w:p>
      <w:pPr>
        <w:pStyle w:val="41"/>
        <w:numPr>
          <w:ilvl w:val="1"/>
          <w:numId w:val="0"/>
        </w:numPr>
        <w:tabs>
          <w:tab w:val="left" w:pos="0"/>
          <w:tab w:val="clear" w:pos="360"/>
          <w:tab w:val="clear" w:pos="1544"/>
        </w:tabs>
        <w:spacing w:line="360" w:lineRule="auto"/>
        <w:ind w:firstLine="480" w:firstLineChars="200"/>
        <w:rPr>
          <w:rFonts w:eastAsia="宋体"/>
          <w:color w:val="auto"/>
          <w:sz w:val="24"/>
          <w:szCs w:val="24"/>
          <w:highlight w:val="none"/>
        </w:rPr>
      </w:pPr>
      <w:bookmarkStart w:id="324" w:name="_Toc14137"/>
      <w:bookmarkStart w:id="325" w:name="_Toc15667"/>
      <w:r>
        <w:rPr>
          <w:rFonts w:hint="eastAsia" w:ascii="黑体"/>
          <w:color w:val="auto"/>
          <w:sz w:val="24"/>
          <w:szCs w:val="24"/>
          <w:highlight w:val="none"/>
        </w:rPr>
        <w:t>17.4　</w:t>
      </w:r>
      <w:r>
        <w:rPr>
          <w:rFonts w:eastAsia="宋体"/>
          <w:color w:val="auto"/>
          <w:sz w:val="24"/>
          <w:szCs w:val="24"/>
          <w:highlight w:val="none"/>
        </w:rPr>
        <w:t>本合同签订地点：云南曲靖市沾益区。</w:t>
      </w:r>
      <w:bookmarkEnd w:id="324"/>
      <w:bookmarkEnd w:id="325"/>
    </w:p>
    <w:p>
      <w:pPr>
        <w:pStyle w:val="4"/>
        <w:ind w:firstLine="480" w:firstLineChars="200"/>
        <w:rPr>
          <w:color w:val="auto"/>
          <w:highlight w:val="none"/>
        </w:rPr>
      </w:pPr>
      <w:r>
        <w:rPr>
          <w:rFonts w:hint="eastAsia"/>
          <w:color w:val="auto"/>
          <w:szCs w:val="24"/>
          <w:highlight w:val="none"/>
        </w:rPr>
        <w:t>（以下无正文）</w:t>
      </w:r>
    </w:p>
    <w:p>
      <w:pPr>
        <w:widowControl/>
        <w:spacing w:line="360" w:lineRule="auto"/>
        <w:rPr>
          <w:color w:val="auto"/>
          <w:sz w:val="24"/>
          <w:szCs w:val="24"/>
          <w:highlight w:val="none"/>
        </w:rPr>
      </w:pPr>
    </w:p>
    <w:p>
      <w:pPr>
        <w:widowControl/>
        <w:spacing w:line="360" w:lineRule="auto"/>
        <w:rPr>
          <w:color w:val="auto"/>
          <w:sz w:val="24"/>
          <w:szCs w:val="24"/>
          <w:highlight w:val="none"/>
        </w:rPr>
      </w:pPr>
    </w:p>
    <w:p>
      <w:pPr>
        <w:widowControl/>
        <w:spacing w:line="360" w:lineRule="auto"/>
        <w:rPr>
          <w:color w:val="auto"/>
          <w:sz w:val="24"/>
          <w:szCs w:val="24"/>
          <w:highlight w:val="none"/>
        </w:rPr>
      </w:pPr>
    </w:p>
    <w:p>
      <w:pPr>
        <w:widowControl/>
        <w:spacing w:line="360" w:lineRule="auto"/>
        <w:rPr>
          <w:color w:val="auto"/>
          <w:sz w:val="24"/>
          <w:szCs w:val="24"/>
          <w:highlight w:val="none"/>
        </w:rPr>
      </w:pPr>
      <w:r>
        <w:rPr>
          <w:rFonts w:hint="eastAsia"/>
          <w:color w:val="auto"/>
          <w:sz w:val="24"/>
          <w:szCs w:val="24"/>
          <w:highlight w:val="none"/>
        </w:rPr>
        <w:t>甲方（盖章）：</w:t>
      </w:r>
      <w:r>
        <w:rPr>
          <w:rFonts w:hint="eastAsia"/>
          <w:color w:val="auto"/>
          <w:szCs w:val="21"/>
          <w:highlight w:val="none"/>
        </w:rPr>
        <w:t>云能（曲靖）综合能源服务有限公司</w:t>
      </w:r>
      <w:r>
        <w:rPr>
          <w:rFonts w:hint="eastAsia"/>
          <w:color w:val="auto"/>
          <w:sz w:val="24"/>
          <w:szCs w:val="24"/>
          <w:highlight w:val="none"/>
        </w:rPr>
        <w:t xml:space="preserve">    乙方（盖章）：</w:t>
      </w:r>
    </w:p>
    <w:p>
      <w:pPr>
        <w:widowControl/>
        <w:spacing w:line="360" w:lineRule="auto"/>
        <w:rPr>
          <w:color w:val="auto"/>
          <w:sz w:val="24"/>
          <w:szCs w:val="24"/>
          <w:highlight w:val="none"/>
        </w:rPr>
      </w:pPr>
      <w:r>
        <w:rPr>
          <w:rFonts w:hint="eastAsia"/>
          <w:color w:val="auto"/>
          <w:sz w:val="24"/>
          <w:szCs w:val="24"/>
          <w:highlight w:val="none"/>
        </w:rPr>
        <w:t>法定代表人：                                  法定代表人：</w:t>
      </w:r>
    </w:p>
    <w:p>
      <w:pPr>
        <w:widowControl/>
        <w:spacing w:line="360" w:lineRule="auto"/>
        <w:rPr>
          <w:color w:val="auto"/>
          <w:sz w:val="24"/>
          <w:szCs w:val="24"/>
          <w:highlight w:val="none"/>
        </w:rPr>
      </w:pPr>
      <w:r>
        <w:rPr>
          <w:rFonts w:hint="eastAsia"/>
          <w:color w:val="auto"/>
          <w:sz w:val="24"/>
          <w:szCs w:val="24"/>
          <w:highlight w:val="none"/>
        </w:rPr>
        <w:t>或委托代理人：                                或委托代理人：</w:t>
      </w:r>
    </w:p>
    <w:p>
      <w:pPr>
        <w:widowControl/>
        <w:spacing w:line="360" w:lineRule="auto"/>
        <w:rPr>
          <w:color w:val="auto"/>
          <w:sz w:val="24"/>
          <w:szCs w:val="24"/>
          <w:highlight w:val="none"/>
        </w:rPr>
      </w:pPr>
      <w:r>
        <w:rPr>
          <w:rFonts w:hint="eastAsia"/>
          <w:color w:val="auto"/>
          <w:sz w:val="24"/>
          <w:szCs w:val="24"/>
          <w:highlight w:val="none"/>
        </w:rPr>
        <w:t>联系人：贾艳艳                                联系人：</w:t>
      </w:r>
    </w:p>
    <w:p>
      <w:pPr>
        <w:widowControl/>
        <w:spacing w:line="360" w:lineRule="auto"/>
        <w:rPr>
          <w:color w:val="auto"/>
          <w:sz w:val="24"/>
          <w:szCs w:val="24"/>
          <w:highlight w:val="none"/>
        </w:rPr>
      </w:pPr>
      <w:r>
        <w:rPr>
          <w:rFonts w:hint="eastAsia"/>
          <w:color w:val="auto"/>
          <w:sz w:val="24"/>
          <w:szCs w:val="24"/>
          <w:highlight w:val="none"/>
        </w:rPr>
        <w:t>电话：0874-3081316                            电话：</w:t>
      </w:r>
    </w:p>
    <w:p>
      <w:pPr>
        <w:widowControl/>
        <w:spacing w:line="360" w:lineRule="auto"/>
        <w:rPr>
          <w:color w:val="auto"/>
          <w:sz w:val="24"/>
          <w:szCs w:val="24"/>
          <w:highlight w:val="none"/>
        </w:rPr>
      </w:pPr>
      <w:r>
        <w:rPr>
          <w:rFonts w:hint="eastAsia"/>
          <w:color w:val="auto"/>
          <w:sz w:val="24"/>
          <w:szCs w:val="24"/>
          <w:highlight w:val="none"/>
        </w:rPr>
        <w:t>地址：</w:t>
      </w:r>
      <w:r>
        <w:rPr>
          <w:rFonts w:hint="eastAsia" w:ascii="微软雅黑" w:hAnsi="微软雅黑" w:eastAsia="微软雅黑" w:cs="微软雅黑"/>
          <w:color w:val="auto"/>
          <w:szCs w:val="21"/>
          <w:highlight w:val="none"/>
          <w:shd w:val="clear" w:color="auto" w:fill="FFFFFF"/>
        </w:rPr>
        <w:t xml:space="preserve">云南省曲靖市麒麟区南宁北路127号2楼1号     </w:t>
      </w:r>
      <w:r>
        <w:rPr>
          <w:rFonts w:hint="eastAsia"/>
          <w:color w:val="auto"/>
          <w:sz w:val="24"/>
          <w:szCs w:val="24"/>
          <w:highlight w:val="none"/>
        </w:rPr>
        <w:t>地址：</w:t>
      </w:r>
    </w:p>
    <w:p>
      <w:pPr>
        <w:widowControl/>
        <w:spacing w:line="360" w:lineRule="auto"/>
        <w:rPr>
          <w:color w:val="auto"/>
          <w:sz w:val="24"/>
          <w:szCs w:val="24"/>
          <w:highlight w:val="none"/>
        </w:rPr>
      </w:pPr>
      <w:r>
        <w:rPr>
          <w:rFonts w:hint="eastAsia"/>
          <w:color w:val="auto"/>
          <w:sz w:val="24"/>
          <w:szCs w:val="24"/>
          <w:highlight w:val="none"/>
        </w:rPr>
        <w:t>开户行：</w:t>
      </w:r>
      <w:r>
        <w:rPr>
          <w:rFonts w:hint="eastAsia" w:ascii="微软雅黑" w:hAnsi="微软雅黑" w:eastAsia="微软雅黑" w:cs="微软雅黑"/>
          <w:color w:val="auto"/>
          <w:szCs w:val="21"/>
          <w:highlight w:val="none"/>
          <w:shd w:val="clear" w:color="auto" w:fill="FFFFFF"/>
        </w:rPr>
        <w:t>中国建设银行股份有限公司曲靖南宁支行</w:t>
      </w:r>
      <w:r>
        <w:rPr>
          <w:rFonts w:hint="eastAsia"/>
          <w:color w:val="auto"/>
          <w:sz w:val="24"/>
          <w:szCs w:val="24"/>
          <w:highlight w:val="none"/>
        </w:rPr>
        <w:t xml:space="preserve">      开户行：</w:t>
      </w:r>
    </w:p>
    <w:p>
      <w:pPr>
        <w:widowControl/>
        <w:spacing w:line="360" w:lineRule="auto"/>
        <w:rPr>
          <w:color w:val="auto"/>
          <w:sz w:val="24"/>
          <w:szCs w:val="24"/>
          <w:highlight w:val="none"/>
        </w:rPr>
      </w:pPr>
      <w:r>
        <w:rPr>
          <w:rFonts w:hint="eastAsia"/>
          <w:color w:val="auto"/>
          <w:sz w:val="24"/>
          <w:szCs w:val="24"/>
          <w:highlight w:val="none"/>
        </w:rPr>
        <w:t xml:space="preserve">帐号：  </w:t>
      </w:r>
      <w:r>
        <w:rPr>
          <w:rFonts w:hint="eastAsia" w:ascii="微软雅黑" w:hAnsi="微软雅黑" w:eastAsia="微软雅黑" w:cs="微软雅黑"/>
          <w:color w:val="auto"/>
          <w:szCs w:val="21"/>
          <w:highlight w:val="none"/>
          <w:shd w:val="clear" w:color="auto" w:fill="FFFFFF"/>
        </w:rPr>
        <w:t>5305 0164 613 7 0988 8999</w:t>
      </w:r>
      <w:r>
        <w:rPr>
          <w:rFonts w:hint="eastAsia"/>
          <w:color w:val="auto"/>
          <w:sz w:val="24"/>
          <w:szCs w:val="24"/>
          <w:highlight w:val="none"/>
        </w:rPr>
        <w:t xml:space="preserve">               帐号：</w:t>
      </w:r>
    </w:p>
    <w:p>
      <w:pPr>
        <w:widowControl/>
        <w:spacing w:line="360" w:lineRule="auto"/>
        <w:rPr>
          <w:color w:val="auto"/>
          <w:sz w:val="24"/>
          <w:szCs w:val="24"/>
          <w:highlight w:val="none"/>
        </w:rPr>
      </w:pPr>
      <w:r>
        <w:rPr>
          <w:rFonts w:hint="eastAsia"/>
          <w:color w:val="auto"/>
          <w:sz w:val="24"/>
          <w:szCs w:val="24"/>
          <w:highlight w:val="none"/>
        </w:rPr>
        <w:t xml:space="preserve">税号： </w:t>
      </w:r>
      <w:r>
        <w:rPr>
          <w:rFonts w:hint="eastAsia" w:ascii="微软雅黑" w:hAnsi="微软雅黑" w:eastAsia="微软雅黑" w:cs="微软雅黑"/>
          <w:color w:val="auto"/>
          <w:szCs w:val="21"/>
          <w:highlight w:val="none"/>
          <w:shd w:val="clear" w:color="auto" w:fill="FFFFFF"/>
        </w:rPr>
        <w:t>9153 0300 MAKD 0R3B 85</w:t>
      </w:r>
      <w:r>
        <w:rPr>
          <w:rFonts w:hint="eastAsia"/>
          <w:color w:val="auto"/>
          <w:sz w:val="24"/>
          <w:szCs w:val="24"/>
          <w:highlight w:val="none"/>
        </w:rPr>
        <w:t xml:space="preserve">                  税号：</w:t>
      </w:r>
    </w:p>
    <w:p>
      <w:pPr>
        <w:widowControl/>
        <w:spacing w:line="360" w:lineRule="auto"/>
        <w:rPr>
          <w:color w:val="auto"/>
          <w:sz w:val="24"/>
          <w:szCs w:val="24"/>
          <w:highlight w:val="none"/>
        </w:rPr>
      </w:pPr>
      <w:r>
        <w:rPr>
          <w:rFonts w:hint="eastAsia"/>
          <w:color w:val="auto"/>
          <w:sz w:val="24"/>
          <w:szCs w:val="24"/>
          <w:highlight w:val="none"/>
        </w:rPr>
        <w:t>签订日期：2026年 月  日                     签订地点：曲靖市沾益区</w:t>
      </w:r>
    </w:p>
    <w:p>
      <w:pPr>
        <w:pStyle w:val="32"/>
        <w:spacing w:line="360" w:lineRule="auto"/>
        <w:rPr>
          <w:rFonts w:eastAsia="宋体"/>
          <w:color w:val="auto"/>
          <w:sz w:val="24"/>
          <w:szCs w:val="24"/>
          <w:highlight w:val="none"/>
        </w:rPr>
        <w:sectPr>
          <w:pgSz w:w="11906" w:h="16838"/>
          <w:pgMar w:top="1440" w:right="1080" w:bottom="1440" w:left="1080" w:header="851" w:footer="992" w:gutter="0"/>
          <w:pgNumType w:fmt="numberInDash"/>
          <w:cols w:space="425" w:num="1"/>
          <w:docGrid w:type="lines" w:linePitch="312" w:charSpace="0"/>
        </w:sectPr>
      </w:pPr>
    </w:p>
    <w:bookmarkEnd w:id="156"/>
    <w:bookmarkEnd w:id="157"/>
    <w:p>
      <w:pPr>
        <w:pStyle w:val="5"/>
        <w:numPr>
          <w:ilvl w:val="0"/>
          <w:numId w:val="3"/>
        </w:numPr>
        <w:rPr>
          <w:color w:val="auto"/>
          <w:highlight w:val="none"/>
        </w:rPr>
      </w:pPr>
      <w:r>
        <w:rPr>
          <w:rFonts w:hint="eastAsia"/>
          <w:color w:val="auto"/>
          <w:highlight w:val="none"/>
        </w:rPr>
        <w:t>技术规范书</w:t>
      </w:r>
    </w:p>
    <w:p>
      <w:pPr>
        <w:pStyle w:val="42"/>
        <w:widowControl w:val="0"/>
        <w:numPr>
          <w:ilvl w:val="-1"/>
          <w:numId w:val="0"/>
        </w:numPr>
        <w:ind w:leftChars="200" w:firstLine="0" w:firstLineChars="0"/>
        <w:rPr>
          <w:rFonts w:ascii="宋体" w:hAnsi="宋体" w:eastAsia="宋体"/>
          <w:b/>
          <w:bCs/>
          <w:color w:val="auto"/>
          <w:sz w:val="24"/>
          <w:szCs w:val="24"/>
          <w:highlight w:val="none"/>
        </w:rPr>
      </w:pPr>
      <w:r>
        <w:rPr>
          <w:rFonts w:hint="eastAsia" w:ascii="宋体" w:hAnsi="宋体" w:eastAsia="宋体"/>
          <w:b/>
          <w:bCs/>
          <w:color w:val="auto"/>
          <w:sz w:val="24"/>
          <w:szCs w:val="24"/>
          <w:highlight w:val="none"/>
        </w:rPr>
        <w:t>一、总则</w:t>
      </w:r>
    </w:p>
    <w:p>
      <w:pPr>
        <w:pStyle w:val="42"/>
        <w:widowControl w:val="0"/>
        <w:numPr>
          <w:ilvl w:val="-1"/>
          <w:numId w:val="0"/>
        </w:numPr>
        <w:ind w:leftChars="0" w:firstLine="480" w:firstLineChars="200"/>
        <w:rPr>
          <w:rFonts w:ascii="宋体" w:hAnsi="宋体" w:eastAsia="宋体"/>
          <w:b/>
          <w:bCs/>
          <w:color w:val="auto"/>
          <w:sz w:val="24"/>
          <w:szCs w:val="24"/>
          <w:highlight w:val="none"/>
        </w:rPr>
      </w:pPr>
      <w:r>
        <w:rPr>
          <w:rFonts w:hint="eastAsia" w:ascii="宋体" w:hAnsi="宋体" w:eastAsia="宋体"/>
          <w:color w:val="auto"/>
          <w:sz w:val="24"/>
          <w:szCs w:val="24"/>
          <w:highlight w:val="none"/>
        </w:rPr>
        <w:t>本技术规范书仅对云能（曲靖）综合能源服务有限公司（以下简称综能公司）白水风电场、麒麟北风电场（二期）项目地形图测绘及可研报告编制咨询做出最基本的、最低限度的技术服务要求，并未对一切技术服务细节规定所有的技术服务要求和适用标准，投标人应保证按照符合本技术规范书和国家相关政府部门最新的法律法规、政策标准开展相关用地预审及建设用地报批服务工作。</w:t>
      </w:r>
    </w:p>
    <w:p>
      <w:pPr>
        <w:pStyle w:val="42"/>
        <w:widowControl w:val="0"/>
        <w:numPr>
          <w:ilvl w:val="-1"/>
          <w:numId w:val="0"/>
        </w:numPr>
        <w:ind w:leftChars="0" w:firstLine="482" w:firstLineChars="200"/>
        <w:rPr>
          <w:rFonts w:ascii="宋体" w:hAnsi="宋体" w:eastAsia="宋体"/>
          <w:b/>
          <w:bCs/>
          <w:color w:val="auto"/>
          <w:sz w:val="24"/>
          <w:szCs w:val="24"/>
          <w:highlight w:val="none"/>
        </w:rPr>
      </w:pPr>
      <w:r>
        <w:rPr>
          <w:rFonts w:hint="eastAsia" w:ascii="宋体" w:hAnsi="宋体" w:eastAsia="宋体"/>
          <w:b/>
          <w:bCs/>
          <w:color w:val="auto"/>
          <w:sz w:val="24"/>
          <w:szCs w:val="24"/>
          <w:highlight w:val="none"/>
        </w:rPr>
        <w:t>二、项目概况</w:t>
      </w:r>
    </w:p>
    <w:p>
      <w:pPr>
        <w:pStyle w:val="42"/>
        <w:widowControl w:val="0"/>
        <w:numPr>
          <w:ilvl w:val="-1"/>
          <w:numId w:val="0"/>
        </w:numPr>
        <w:ind w:leftChars="0" w:firstLine="480" w:firstLineChars="200"/>
        <w:rPr>
          <w:color w:val="auto"/>
          <w:highlight w:val="none"/>
        </w:rPr>
      </w:pPr>
      <w:r>
        <w:rPr>
          <w:rFonts w:hint="eastAsia" w:ascii="宋体" w:hAnsi="宋体" w:eastAsia="宋体" w:cs="宋体"/>
          <w:color w:val="auto"/>
          <w:sz w:val="24"/>
          <w:szCs w:val="24"/>
          <w:highlight w:val="none"/>
        </w:rPr>
        <w:t>1.项目名称：云能（曲靖）综合能源服务有限公司白水风电场37.5MW风电项目、麒麟北风电场（二期）43.75MW风电项目地形图测绘及可研报告编制咨询。</w:t>
      </w:r>
    </w:p>
    <w:p>
      <w:pPr>
        <w:pStyle w:val="42"/>
        <w:widowControl w:val="0"/>
        <w:numPr>
          <w:ilvl w:val="-1"/>
          <w:numId w:val="0"/>
        </w:numPr>
        <w:ind w:leftChars="0"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2.项目概况：</w:t>
      </w:r>
    </w:p>
    <w:p>
      <w:pPr>
        <w:pStyle w:val="42"/>
        <w:widowControl w:val="0"/>
        <w:numPr>
          <w:ilvl w:val="-1"/>
          <w:numId w:val="0"/>
        </w:numPr>
        <w:ind w:leftChars="0" w:firstLine="480" w:firstLineChars="200"/>
        <w:outlineLvl w:val="9"/>
        <w:rPr>
          <w:rFonts w:ascii="宋体" w:hAnsi="宋体" w:eastAsia="宋体"/>
          <w:color w:val="auto"/>
          <w:sz w:val="24"/>
          <w:szCs w:val="24"/>
          <w:highlight w:val="none"/>
        </w:rPr>
      </w:pPr>
      <w:r>
        <w:rPr>
          <w:rFonts w:hint="eastAsia" w:ascii="宋体" w:hAnsi="宋体" w:eastAsia="宋体"/>
          <w:color w:val="auto"/>
          <w:sz w:val="24"/>
          <w:szCs w:val="24"/>
          <w:highlight w:val="none"/>
        </w:rPr>
        <w:t>（1）白水风电场项目位于云南省曲靖市沾益区东部周围的山包地上，项目场址中心点坐标为北纬25°31.056′，东经104°1.789′，地形为山地，海拔高程介于2050m～2150m之间。场址距沾益区中心直线距离约20km，场址内部有乡村道，风电场进场及场内道路可以充分利用现有道路。风电场规划装机容量为37.5MW，拟安装6台6.25MW的风电机组，轮毂高度125m，总装机容量为37.5MW。年上网电量8426万kW·h，年等效满负荷小时数约2247h。</w:t>
      </w:r>
    </w:p>
    <w:p>
      <w:pPr>
        <w:pStyle w:val="42"/>
        <w:widowControl w:val="0"/>
        <w:numPr>
          <w:ilvl w:val="-1"/>
          <w:numId w:val="0"/>
        </w:numPr>
        <w:ind w:leftChars="0" w:firstLine="480" w:firstLineChars="200"/>
        <w:outlineLvl w:val="9"/>
        <w:rPr>
          <w:rFonts w:ascii="宋体" w:hAnsi="宋体" w:eastAsia="宋体"/>
          <w:color w:val="auto"/>
          <w:sz w:val="24"/>
          <w:szCs w:val="24"/>
          <w:highlight w:val="none"/>
        </w:rPr>
      </w:pPr>
      <w:r>
        <w:rPr>
          <w:rFonts w:hint="eastAsia" w:ascii="宋体" w:hAnsi="宋体" w:eastAsia="宋体"/>
          <w:color w:val="auto"/>
          <w:sz w:val="24"/>
          <w:szCs w:val="24"/>
          <w:highlight w:val="none"/>
        </w:rPr>
        <w:t>（2）麒麟北风电场（二期）项目位于云南省曲靖市麒麟区青龙村委会、三家村委会、下村村委周围的山包地上，规划场址范围约为8平方公里，场址相对开阔，项目场址中心点坐标为北纬25.4877°，东经103.9590°，地形为山地，海拔高程介于2050m～2200m之间。场址距沾益区中心直线距离约20km，场址内部有乡村道，风电场进场及场内道路可以充分利用现有道路。风电场规划装机容量为43.75MW，拟安装7台6.25MW的风电机组，轮毂高度125m，总装机容量为43.75MW。年上网电量9406万kW·h，年等效满负荷小时数约2150h。</w:t>
      </w:r>
    </w:p>
    <w:p>
      <w:pPr>
        <w:pStyle w:val="42"/>
        <w:widowControl w:val="0"/>
        <w:numPr>
          <w:ilvl w:val="-1"/>
          <w:numId w:val="0"/>
        </w:numPr>
        <w:ind w:leftChars="0" w:firstLine="482" w:firstLineChars="200"/>
        <w:rPr>
          <w:rFonts w:ascii="宋体" w:hAnsi="宋体" w:eastAsia="宋体"/>
          <w:b/>
          <w:bCs/>
          <w:color w:val="auto"/>
          <w:sz w:val="24"/>
          <w:szCs w:val="24"/>
          <w:highlight w:val="none"/>
        </w:rPr>
      </w:pPr>
      <w:r>
        <w:rPr>
          <w:rFonts w:hint="eastAsia" w:ascii="宋体" w:hAnsi="宋体" w:eastAsia="宋体"/>
          <w:b/>
          <w:bCs/>
          <w:color w:val="auto"/>
          <w:sz w:val="24"/>
          <w:szCs w:val="24"/>
          <w:highlight w:val="none"/>
        </w:rPr>
        <w:t>三、服务范围及内容</w:t>
      </w:r>
    </w:p>
    <w:p>
      <w:pPr>
        <w:pStyle w:val="42"/>
        <w:widowControl w:val="0"/>
        <w:numPr>
          <w:ilvl w:val="255"/>
          <w:numId w:val="0"/>
        </w:numPr>
        <w:ind w:firstLine="480" w:firstLineChars="200"/>
        <w:outlineLvl w:val="9"/>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1.服务范围：根据</w:t>
      </w:r>
      <w:r>
        <w:rPr>
          <w:rFonts w:hint="eastAsia" w:ascii="宋体" w:hAnsi="宋体" w:eastAsia="宋体"/>
          <w:color w:val="auto"/>
          <w:sz w:val="24"/>
          <w:szCs w:val="24"/>
          <w:highlight w:val="none"/>
        </w:rPr>
        <w:t>白水风电场、麒麟北风电场（二期）</w:t>
      </w:r>
      <w:r>
        <w:rPr>
          <w:rFonts w:ascii="宋体" w:hAnsi="宋体" w:eastAsia="宋体" w:cs="宋体"/>
          <w:color w:val="auto"/>
          <w:sz w:val="24"/>
          <w:szCs w:val="24"/>
          <w:highlight w:val="none"/>
        </w:rPr>
        <w:t>项目</w:t>
      </w:r>
      <w:r>
        <w:rPr>
          <w:rFonts w:hint="eastAsia" w:ascii="宋体" w:hAnsi="宋体" w:eastAsia="宋体" w:cs="宋体"/>
          <w:color w:val="auto"/>
          <w:sz w:val="24"/>
          <w:szCs w:val="24"/>
          <w:highlight w:val="none"/>
        </w:rPr>
        <w:t>规划建设，开展</w:t>
      </w:r>
      <w:r>
        <w:rPr>
          <w:rFonts w:ascii="宋体" w:hAnsi="宋体" w:eastAsia="宋体" w:cs="宋体"/>
          <w:color w:val="auto"/>
          <w:sz w:val="24"/>
          <w:szCs w:val="24"/>
          <w:highlight w:val="none"/>
        </w:rPr>
        <w:t>地形图测绘及可行性研究报告编制服务，包含：风电场场区、升压站、场内道路及集电线路走廊范围内1:2000地形图测绘、测绘成果编制及交付；开展现场踏勘、微观选址优化，编制风电场可行性研究报告、项目申请报告，完成报告内审、专家评审及修改完善，配合招标人开展项目评审、申报等相关技术服务。</w:t>
      </w:r>
    </w:p>
    <w:p>
      <w:pPr>
        <w:spacing w:line="360" w:lineRule="auto"/>
        <w:ind w:firstLine="480" w:firstLineChars="200"/>
        <w:rPr>
          <w:color w:val="auto"/>
          <w:sz w:val="24"/>
          <w:highlight w:val="none"/>
        </w:rPr>
      </w:pPr>
      <w:r>
        <w:rPr>
          <w:rFonts w:hint="eastAsia"/>
          <w:color w:val="auto"/>
          <w:sz w:val="24"/>
          <w:highlight w:val="none"/>
        </w:rPr>
        <w:t>2.服务内容</w:t>
      </w:r>
    </w:p>
    <w:p>
      <w:pPr>
        <w:spacing w:line="360" w:lineRule="auto"/>
        <w:ind w:firstLine="480" w:firstLineChars="200"/>
        <w:rPr>
          <w:color w:val="auto"/>
          <w:sz w:val="24"/>
          <w:highlight w:val="none"/>
        </w:rPr>
      </w:pPr>
      <w:r>
        <w:rPr>
          <w:rFonts w:hint="eastAsia"/>
          <w:color w:val="auto"/>
          <w:sz w:val="24"/>
          <w:highlight w:val="none"/>
        </w:rPr>
        <w:t>（1）开展</w:t>
      </w:r>
      <w:r>
        <w:rPr>
          <w:rFonts w:hint="eastAsia" w:ascii="宋体" w:hAnsi="宋体"/>
          <w:color w:val="auto"/>
          <w:sz w:val="24"/>
          <w:szCs w:val="24"/>
          <w:highlight w:val="none"/>
        </w:rPr>
        <w:t>白水风电场、麒麟北风电场（二期）</w:t>
      </w:r>
      <w:r>
        <w:rPr>
          <w:rFonts w:ascii="宋体" w:hAnsi="宋体" w:cs="宋体"/>
          <w:color w:val="auto"/>
          <w:sz w:val="24"/>
          <w:szCs w:val="24"/>
          <w:highlight w:val="none"/>
        </w:rPr>
        <w:t>项目</w:t>
      </w:r>
      <w:r>
        <w:rPr>
          <w:color w:val="auto"/>
          <w:sz w:val="24"/>
          <w:highlight w:val="none"/>
        </w:rPr>
        <w:t>项目可行性研究报告编制及相关技术服务，可研报告须达到初步设计程度；</w:t>
      </w:r>
    </w:p>
    <w:p>
      <w:pPr>
        <w:spacing w:line="360" w:lineRule="auto"/>
        <w:ind w:firstLine="480" w:firstLineChars="200"/>
        <w:rPr>
          <w:color w:val="auto"/>
          <w:sz w:val="24"/>
          <w:highlight w:val="none"/>
        </w:rPr>
      </w:pPr>
      <w:r>
        <w:rPr>
          <w:rFonts w:hint="eastAsia"/>
          <w:color w:val="auto"/>
          <w:sz w:val="24"/>
          <w:highlight w:val="none"/>
        </w:rPr>
        <w:t>（2）开展</w:t>
      </w:r>
      <w:r>
        <w:rPr>
          <w:rFonts w:hint="eastAsia" w:ascii="宋体" w:hAnsi="宋体"/>
          <w:color w:val="auto"/>
          <w:sz w:val="24"/>
          <w:szCs w:val="24"/>
          <w:highlight w:val="none"/>
        </w:rPr>
        <w:t>白水风电场、麒麟北风电场（二期）</w:t>
      </w:r>
      <w:r>
        <w:rPr>
          <w:rFonts w:ascii="宋体" w:hAnsi="宋体" w:cs="宋体"/>
          <w:color w:val="auto"/>
          <w:sz w:val="24"/>
          <w:szCs w:val="24"/>
          <w:highlight w:val="none"/>
        </w:rPr>
        <w:t>项目</w:t>
      </w:r>
      <w:r>
        <w:rPr>
          <w:color w:val="auto"/>
          <w:sz w:val="24"/>
          <w:highlight w:val="none"/>
        </w:rPr>
        <w:t>地形图测绘，同时提供地理位置示意图、正射影像图（DOM）等相关图纸；</w:t>
      </w:r>
    </w:p>
    <w:p>
      <w:pPr>
        <w:pStyle w:val="42"/>
        <w:widowControl w:val="0"/>
        <w:numPr>
          <w:ilvl w:val="-1"/>
          <w:numId w:val="0"/>
        </w:numPr>
        <w:ind w:leftChars="0" w:firstLine="482" w:firstLineChars="200"/>
        <w:outlineLvl w:val="9"/>
        <w:rPr>
          <w:rFonts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t>四、服务要求</w:t>
      </w:r>
    </w:p>
    <w:p>
      <w:pPr>
        <w:pStyle w:val="42"/>
        <w:widowControl w:val="0"/>
        <w:numPr>
          <w:ilvl w:val="-1"/>
          <w:numId w:val="0"/>
        </w:numPr>
        <w:ind w:leftChars="0" w:firstLine="480" w:firstLineChars="200"/>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1.可行性研究报告编制</w:t>
      </w:r>
    </w:p>
    <w:p>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（1）白水风电场、麒麟北风电场（二期）项目</w:t>
      </w:r>
      <w:r>
        <w:rPr>
          <w:rFonts w:hint="eastAsia" w:ascii="宋体" w:hAnsi="宋体" w:cs="宋体"/>
          <w:color w:val="auto"/>
          <w:sz w:val="24"/>
          <w:highlight w:val="none"/>
        </w:rPr>
        <w:t>项目可行性研究报告编制及相关技术服务，可研报告须达到初步设计程度；</w:t>
      </w:r>
      <w:r>
        <w:rPr>
          <w:rFonts w:ascii="宋体" w:hAnsi="宋体" w:cs="宋体"/>
          <w:color w:val="auto"/>
          <w:sz w:val="24"/>
          <w:szCs w:val="24"/>
          <w:highlight w:val="none"/>
        </w:rPr>
        <w:t>可研报告包含项目建设必要性、风能资源分析、场址及工程地质、机组选型、总体布置、电气及接入系统、土建、施工组织、消防、劳动安全、环保水保、节能、土地利用、投资估算、财务评价等完整章节，开展多方案技术经济比选；财务评价采用单一电量制模式测算，完成发电量计算、财务指标及敏感性分析。</w:t>
      </w:r>
    </w:p>
    <w:p>
      <w:pPr>
        <w:spacing w:line="360" w:lineRule="auto"/>
        <w:ind w:firstLine="480" w:firstLineChars="200"/>
        <w:rPr>
          <w:color w:val="auto"/>
          <w:sz w:val="24"/>
          <w:highlight w:val="none"/>
          <w:u w:val="single"/>
        </w:rPr>
      </w:pPr>
      <w:r>
        <w:rPr>
          <w:rFonts w:hint="eastAsia" w:ascii="宋体" w:hAnsi="宋体" w:cs="宋体"/>
          <w:color w:val="auto"/>
          <w:sz w:val="24"/>
          <w:szCs w:val="24"/>
          <w:highlight w:val="none"/>
        </w:rPr>
        <w:t>（2）投标人</w:t>
      </w:r>
      <w:r>
        <w:rPr>
          <w:rFonts w:ascii="宋体" w:hAnsi="宋体" w:cs="宋体"/>
          <w:color w:val="auto"/>
          <w:sz w:val="24"/>
          <w:szCs w:val="24"/>
          <w:highlight w:val="none"/>
        </w:rPr>
        <w:t>须完成报告内审修改、专家评审汇报及答疑工作，根据内审、专家及主管部门意见修改完善报告，直至可研评审通过；配合招标人开展项目核准相关技术对接工作。中标人负责统筹测绘与可研工作界面，保证报告、附图与测绘地形图成果数据一致。</w:t>
      </w:r>
    </w:p>
    <w:p>
      <w:pPr>
        <w:spacing w:line="360" w:lineRule="auto"/>
        <w:ind w:firstLine="480" w:firstLineChars="200"/>
        <w:rPr>
          <w:rFonts w:ascii="宋体" w:hAnsi="宋体" w:cs="宋体"/>
          <w:color w:val="auto"/>
          <w:sz w:val="24"/>
          <w:szCs w:val="24"/>
          <w:highlight w:val="none"/>
        </w:rPr>
      </w:pPr>
      <w:r>
        <w:rPr>
          <w:rFonts w:hint="eastAsia"/>
          <w:color w:val="auto"/>
          <w:sz w:val="24"/>
          <w:highlight w:val="none"/>
          <w:u w:val="single"/>
        </w:rPr>
        <w:t>（3）可研报告编制</w:t>
      </w:r>
      <w:r>
        <w:rPr>
          <w:rFonts w:ascii="宋体" w:hAnsi="宋体" w:cs="宋体"/>
          <w:color w:val="auto"/>
          <w:sz w:val="24"/>
          <w:szCs w:val="24"/>
          <w:highlight w:val="none"/>
        </w:rPr>
        <w:t>按照NB/T</w:t>
      </w:r>
      <w:r>
        <w:rPr>
          <w:rFonts w:hint="eastAsia" w:ascii="宋体" w:hAnsi="宋体" w:cs="宋体"/>
          <w:color w:val="auto"/>
          <w:sz w:val="24"/>
          <w:szCs w:val="24"/>
          <w:highlight w:val="none"/>
        </w:rPr>
        <w:t xml:space="preserve"> </w:t>
      </w:r>
      <w:r>
        <w:rPr>
          <w:rFonts w:ascii="宋体" w:hAnsi="宋体" w:cs="宋体"/>
          <w:color w:val="auto"/>
          <w:sz w:val="24"/>
          <w:szCs w:val="24"/>
          <w:highlight w:val="none"/>
        </w:rPr>
        <w:t>31105-2016《陆上风电场工程可行性研究报告编制规程》、国家及云南省现行相关法规政策开展可研编制工作，在本项目地形图测绘成果基础上完成现场踏勘、风能资源评估、场址限制性因素核查、工程方案比选，编制</w:t>
      </w:r>
      <w:r>
        <w:rPr>
          <w:rFonts w:hint="eastAsia" w:asciiTheme="minorEastAsia" w:hAnsiTheme="minorEastAsia" w:eastAsiaTheme="minorEastAsia" w:cstheme="minorEastAsia"/>
          <w:color w:val="auto"/>
          <w:sz w:val="24"/>
          <w:szCs w:val="24"/>
          <w:highlight w:val="none"/>
        </w:rPr>
        <w:t>白水风电场项目、麒麟北（二期）风电场项目</w:t>
      </w:r>
      <w:r>
        <w:rPr>
          <w:rFonts w:ascii="宋体" w:hAnsi="宋体" w:cs="宋体"/>
          <w:color w:val="auto"/>
          <w:sz w:val="24"/>
          <w:szCs w:val="24"/>
          <w:highlight w:val="none"/>
        </w:rPr>
        <w:t>可行性研究报告及</w:t>
      </w:r>
      <w:r>
        <w:rPr>
          <w:rFonts w:hint="eastAsia" w:asciiTheme="minorEastAsia" w:hAnsiTheme="minorEastAsia" w:eastAsiaTheme="minorEastAsia" w:cstheme="minorEastAsia"/>
          <w:color w:val="auto"/>
          <w:sz w:val="24"/>
          <w:szCs w:val="24"/>
          <w:highlight w:val="none"/>
        </w:rPr>
        <w:t>白水风电场项目、麒麟北（二期）风电场项目</w:t>
      </w:r>
      <w:r>
        <w:rPr>
          <w:rFonts w:ascii="宋体" w:hAnsi="宋体" w:cs="宋体"/>
          <w:color w:val="auto"/>
          <w:sz w:val="24"/>
          <w:szCs w:val="24"/>
          <w:highlight w:val="none"/>
        </w:rPr>
        <w:t>申请报告，</w:t>
      </w:r>
      <w:r>
        <w:rPr>
          <w:rFonts w:ascii="宋体" w:hAnsi="宋体" w:cs="宋体"/>
          <w:b/>
          <w:bCs/>
          <w:color w:val="auto"/>
          <w:sz w:val="24"/>
          <w:szCs w:val="24"/>
          <w:highlight w:val="none"/>
        </w:rPr>
        <w:t>成果深度满足专家评审及项目核准申报要求。</w:t>
      </w:r>
      <w:r>
        <w:rPr>
          <w:rFonts w:hint="eastAsia" w:ascii="宋体" w:hAnsi="宋体" w:cs="宋体"/>
          <w:color w:val="auto"/>
          <w:sz w:val="24"/>
          <w:szCs w:val="24"/>
          <w:highlight w:val="none"/>
        </w:rPr>
        <w:t>具体服务要求包括但不限于：</w:t>
      </w:r>
    </w:p>
    <w:p>
      <w:pPr>
        <w:pStyle w:val="42"/>
        <w:widowControl w:val="0"/>
        <w:numPr>
          <w:ilvl w:val="-1"/>
          <w:numId w:val="0"/>
        </w:numPr>
        <w:ind w:leftChars="0" w:firstLine="480" w:firstLineChars="200"/>
        <w:outlineLvl w:val="9"/>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1）编制可行性研究报告前应进行现场踏勘，收集报告编制所需资料，确保报告编制内容真实、可靠，满足现行国家和行业规范标准要求。</w:t>
      </w:r>
    </w:p>
    <w:p>
      <w:pPr>
        <w:pStyle w:val="42"/>
        <w:widowControl w:val="0"/>
        <w:numPr>
          <w:ilvl w:val="-1"/>
          <w:numId w:val="0"/>
        </w:numPr>
        <w:ind w:leftChars="0" w:firstLine="480" w:firstLineChars="200"/>
        <w:outlineLvl w:val="9"/>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2）可行性研究报告编制内容应包括但不限于工程概况、</w:t>
      </w:r>
      <w:r>
        <w:rPr>
          <w:rFonts w:hint="eastAsia" w:ascii="宋体" w:hAnsi="宋体" w:eastAsia="宋体" w:cs="宋体"/>
          <w:color w:val="auto"/>
          <w:kern w:val="2"/>
          <w:sz w:val="24"/>
          <w:szCs w:val="24"/>
          <w:highlight w:val="none"/>
          <w:lang w:val="en-US" w:eastAsia="zh-CN"/>
        </w:rPr>
        <w:t>风</w:t>
      </w:r>
      <w:r>
        <w:rPr>
          <w:rFonts w:hint="eastAsia" w:ascii="宋体" w:hAnsi="宋体" w:eastAsia="宋体" w:cs="宋体"/>
          <w:color w:val="auto"/>
          <w:kern w:val="2"/>
          <w:sz w:val="24"/>
          <w:szCs w:val="24"/>
          <w:highlight w:val="none"/>
        </w:rPr>
        <w:t>资源、工程地质、工程任务与规模、</w:t>
      </w:r>
      <w:r>
        <w:rPr>
          <w:rFonts w:hint="eastAsia" w:ascii="宋体" w:hAnsi="宋体" w:eastAsia="宋体" w:cs="宋体"/>
          <w:color w:val="auto"/>
          <w:kern w:val="2"/>
          <w:sz w:val="24"/>
          <w:szCs w:val="24"/>
          <w:highlight w:val="none"/>
          <w:lang w:val="en-US" w:eastAsia="zh-CN"/>
        </w:rPr>
        <w:t>风机选型</w:t>
      </w:r>
      <w:r>
        <w:rPr>
          <w:rFonts w:hint="eastAsia" w:ascii="宋体" w:hAnsi="宋体" w:eastAsia="宋体" w:cs="宋体"/>
          <w:color w:val="auto"/>
          <w:kern w:val="2"/>
          <w:sz w:val="24"/>
          <w:szCs w:val="24"/>
          <w:highlight w:val="none"/>
        </w:rPr>
        <w:t>及发电量计算、电气、土建工程、工程消防设计、施工组织设计、工程管理设计、环境保护和水土保持设计、劳动安全与工业卫生、节能降耗、工程设计概算、财务评价与经济效益分析、工程招标、社会稳定风险分析、结论和建议、附图（附表与附件）等。</w:t>
      </w:r>
    </w:p>
    <w:p>
      <w:pPr>
        <w:pStyle w:val="42"/>
        <w:widowControl w:val="0"/>
        <w:numPr>
          <w:ilvl w:val="-1"/>
          <w:numId w:val="0"/>
        </w:numPr>
        <w:ind w:leftChars="0" w:firstLine="480" w:firstLineChars="200"/>
        <w:outlineLvl w:val="9"/>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3）可行性研究报告内容应符合国家经济和社会发展的长期规划、地区规划、经济建设的指导方针、任务、产业政策、投资政策和技术经济政策以及国家和地方法规等。</w:t>
      </w:r>
    </w:p>
    <w:p>
      <w:pPr>
        <w:pStyle w:val="42"/>
        <w:widowControl w:val="0"/>
        <w:numPr>
          <w:ilvl w:val="-1"/>
          <w:numId w:val="0"/>
        </w:numPr>
        <w:ind w:leftChars="0" w:firstLine="480" w:firstLineChars="200"/>
        <w:outlineLvl w:val="9"/>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4）可行性研究报告的内容深度必须达到国家规定的标准，应达到内容齐全、数据准确、论据充分、结论明确的要求。</w:t>
      </w:r>
    </w:p>
    <w:p>
      <w:pPr>
        <w:pStyle w:val="42"/>
        <w:widowControl w:val="0"/>
        <w:numPr>
          <w:ilvl w:val="-1"/>
          <w:numId w:val="0"/>
        </w:numPr>
        <w:ind w:leftChars="0" w:firstLine="480" w:firstLineChars="200"/>
        <w:outlineLvl w:val="9"/>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5）可行性研究中确定的主要工程技术数据，应能满足项目初步设计的要求。</w:t>
      </w:r>
    </w:p>
    <w:p>
      <w:pPr>
        <w:pStyle w:val="42"/>
        <w:widowControl w:val="0"/>
        <w:numPr>
          <w:ilvl w:val="-1"/>
          <w:numId w:val="0"/>
        </w:numPr>
        <w:ind w:leftChars="0" w:firstLine="480" w:firstLineChars="200"/>
        <w:outlineLvl w:val="9"/>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可行性研究阶段对投资和成本费用的估算结果可靠准确，并提供相关取值依据，保证通过有关政府职能部门、云南省能源集团有限公司和云南省电力投资有限公司组织的审查。可行性研究报告的内容以收到正式的可研审查通过意见为准。</w:t>
      </w:r>
    </w:p>
    <w:p>
      <w:pPr>
        <w:pStyle w:val="42"/>
        <w:widowControl w:val="0"/>
        <w:numPr>
          <w:ilvl w:val="-1"/>
          <w:numId w:val="0"/>
        </w:numPr>
        <w:ind w:leftChars="0" w:firstLine="480" w:firstLineChars="200"/>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2.地形图测绘</w:t>
      </w:r>
    </w:p>
    <w:p>
      <w:pPr>
        <w:pStyle w:val="42"/>
        <w:widowControl w:val="0"/>
        <w:numPr>
          <w:ilvl w:val="-1"/>
          <w:numId w:val="0"/>
        </w:numPr>
        <w:ind w:leftChars="0" w:firstLine="480" w:firstLineChars="200"/>
        <w:rPr>
          <w:rFonts w:ascii="宋体" w:hAnsi="宋体" w:eastAsia="宋体" w:cs="宋体"/>
          <w:color w:val="auto"/>
          <w:kern w:val="2"/>
          <w:sz w:val="24"/>
          <w:szCs w:val="24"/>
          <w:highlight w:val="none"/>
        </w:rPr>
      </w:pPr>
      <w:r>
        <w:rPr>
          <w:rFonts w:hint="eastAsia" w:ascii="宋体" w:hAnsi="宋体" w:eastAsia="宋体" w:cs="宋体"/>
          <w:color w:val="auto"/>
          <w:sz w:val="24"/>
          <w:szCs w:val="24"/>
          <w:highlight w:val="none"/>
        </w:rPr>
        <w:t>白水风电场、麒麟北风电场（二期）项目</w:t>
      </w:r>
      <w:r>
        <w:rPr>
          <w:rFonts w:hint="eastAsia" w:ascii="宋体" w:hAnsi="宋体" w:eastAsia="宋体" w:cs="宋体"/>
          <w:color w:val="auto"/>
          <w:sz w:val="24"/>
          <w:highlight w:val="none"/>
        </w:rPr>
        <w:t>地形图测绘，同时提供地理位置示意图、正射影像图（DOM）等相关图纸；</w:t>
      </w:r>
      <w:r>
        <w:rPr>
          <w:rFonts w:hint="eastAsia" w:ascii="宋体" w:hAnsi="宋体" w:eastAsia="宋体" w:cs="宋体"/>
          <w:color w:val="auto"/>
          <w:sz w:val="24"/>
          <w:szCs w:val="24"/>
          <w:highlight w:val="none"/>
        </w:rPr>
        <w:t>所有测绘图纸、可研附图统一采用2000国家大地坐标系（CGCS2000）、1985国家高程基准。风电场场区、风机机位、集电线路及场内道路范围提供1:2000数字地形图。地形图包含完整地貌、地物信息，叠加生态红线、永久基本农田、林地等管控边界。</w:t>
      </w:r>
    </w:p>
    <w:p>
      <w:pPr>
        <w:pStyle w:val="42"/>
        <w:widowControl w:val="0"/>
        <w:numPr>
          <w:ilvl w:val="-1"/>
          <w:numId w:val="0"/>
        </w:numPr>
        <w:ind w:leftChars="0" w:firstLine="480" w:firstLineChars="200"/>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3.风资源评估</w:t>
      </w:r>
    </w:p>
    <w:p>
      <w:pPr>
        <w:pStyle w:val="42"/>
        <w:widowControl w:val="0"/>
        <w:numPr>
          <w:ilvl w:val="-1"/>
          <w:numId w:val="0"/>
        </w:numPr>
        <w:ind w:leftChars="0" w:firstLine="480" w:firstLineChars="200"/>
        <w:outlineLvl w:val="9"/>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依据《风电场风能资源测量方法》GB/T 18709—2002、《风电场工程风能资源测量与评估技术规范》NB/T 31147-2018、《风电场气象观测资料审核、插补与订正技术规范》GB/T 37523—2019等相关技术规范要求，进行风电场风能资源评估，完成风电项目风能资源评估报告编制工作，并配合发包人参与评审。</w:t>
      </w:r>
    </w:p>
    <w:p>
      <w:pPr>
        <w:pStyle w:val="42"/>
        <w:widowControl w:val="0"/>
        <w:numPr>
          <w:ilvl w:val="-1"/>
          <w:numId w:val="0"/>
        </w:numPr>
        <w:ind w:leftChars="0" w:firstLine="480" w:firstLineChars="200"/>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4.可研阶段的地质勘探</w:t>
      </w:r>
    </w:p>
    <w:p>
      <w:pPr>
        <w:pStyle w:val="42"/>
        <w:widowControl w:val="0"/>
        <w:numPr>
          <w:ilvl w:val="-1"/>
          <w:numId w:val="0"/>
        </w:numPr>
        <w:ind w:leftChars="0" w:firstLine="480" w:firstLineChars="200"/>
        <w:outlineLvl w:val="9"/>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按照国家相关法律法规和行业相关标准、规范以及云能（曲靖）综合能源服务有限公司相关制度规定的要求，完成风电项目地质勘探报告、勘探点平面布置图、工程地质剖面图、勘探点主要地质参数等编制。</w:t>
      </w:r>
    </w:p>
    <w:p>
      <w:pPr>
        <w:pStyle w:val="42"/>
        <w:widowControl w:val="0"/>
        <w:numPr>
          <w:ilvl w:val="-1"/>
          <w:numId w:val="0"/>
        </w:numPr>
        <w:ind w:leftChars="0" w:firstLine="480" w:firstLineChars="200"/>
        <w:outlineLvl w:val="9"/>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（1）进一步查明厂址区地形、地貌和地层的分布、成因、类别、时代及岩土物理力学性质，提出地基基础方案设计所需的计算参数。</w:t>
      </w:r>
    </w:p>
    <w:p>
      <w:pPr>
        <w:pStyle w:val="42"/>
        <w:widowControl w:val="0"/>
        <w:numPr>
          <w:ilvl w:val="-1"/>
          <w:numId w:val="0"/>
        </w:numPr>
        <w:ind w:leftChars="0" w:firstLine="480" w:firstLineChars="200"/>
        <w:outlineLvl w:val="9"/>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（2）进一步查明不良地质作用的成员、类型、范围、性质、发生发展的规律及危害程度等，并对其整治方案进行论证。</w:t>
      </w:r>
    </w:p>
    <w:p>
      <w:pPr>
        <w:pStyle w:val="42"/>
        <w:widowControl w:val="0"/>
        <w:numPr>
          <w:ilvl w:val="-1"/>
          <w:numId w:val="0"/>
        </w:numPr>
        <w:ind w:leftChars="0" w:firstLine="480" w:firstLineChars="200"/>
        <w:outlineLvl w:val="9"/>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（3）给出场址区的地震参数和地震基本烈度，查明可能对建筑物有影响的天然边坡或人工开挖边坡地段的工程地质条件，评价其稳定性，并对其处理方案进行论证。</w:t>
      </w:r>
    </w:p>
    <w:p>
      <w:pPr>
        <w:pStyle w:val="42"/>
        <w:widowControl w:val="0"/>
        <w:numPr>
          <w:ilvl w:val="-1"/>
          <w:numId w:val="0"/>
        </w:numPr>
        <w:ind w:leftChars="0" w:firstLine="480" w:firstLineChars="200"/>
        <w:outlineLvl w:val="9"/>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（4）进一步查明地下水的埋藏条件及变化规律，分析地下水对施工可能产生的影响，提出防治措施，并对建筑场地地下水和土层对建筑材料和金属接地材料的腐蚀性作出评价。</w:t>
      </w:r>
    </w:p>
    <w:p>
      <w:pPr>
        <w:pStyle w:val="42"/>
        <w:widowControl w:val="0"/>
        <w:numPr>
          <w:ilvl w:val="-1"/>
          <w:numId w:val="0"/>
        </w:numPr>
        <w:ind w:leftChars="0" w:firstLine="480" w:firstLineChars="200"/>
        <w:outlineLvl w:val="9"/>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（5）对复杂场地的厂址进行岩土工程分区、分带（或分段）。</w:t>
      </w:r>
    </w:p>
    <w:p>
      <w:pPr>
        <w:pStyle w:val="42"/>
        <w:widowControl w:val="0"/>
        <w:numPr>
          <w:ilvl w:val="-1"/>
          <w:numId w:val="0"/>
        </w:numPr>
        <w:ind w:leftChars="0" w:firstLine="480" w:firstLineChars="200"/>
        <w:outlineLvl w:val="9"/>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（6）研究工程活动与地质环境间的相互关系和影响，阐明工程建设可能引起的环境地质问题，并提出防治意见。</w:t>
      </w:r>
    </w:p>
    <w:p>
      <w:pPr>
        <w:pStyle w:val="42"/>
        <w:widowControl w:val="0"/>
        <w:numPr>
          <w:ilvl w:val="-1"/>
          <w:numId w:val="0"/>
        </w:numPr>
        <w:ind w:leftChars="0" w:firstLine="480" w:firstLineChars="200"/>
        <w:outlineLvl w:val="9"/>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（7）提供场址区土壤标准冻结深度和最大冻结深度等资料。</w:t>
      </w:r>
    </w:p>
    <w:p>
      <w:pPr>
        <w:pStyle w:val="42"/>
        <w:widowControl w:val="0"/>
        <w:numPr>
          <w:ilvl w:val="-1"/>
          <w:numId w:val="0"/>
        </w:numPr>
        <w:ind w:leftChars="0" w:firstLine="480" w:firstLineChars="200"/>
        <w:outlineLvl w:val="9"/>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当50年超越概率10%的地震动峰值加速度不小于0.05g，地震基本烈度为Ⅵ度及以上时，应对厂址内饱和砂土和饱和粉土进行地震液化判定与评价并确定液化等级，同时评价地震作用下发生滑坡、崩塌或塌陷的可能性。</w:t>
      </w:r>
    </w:p>
    <w:p>
      <w:pPr>
        <w:pStyle w:val="42"/>
        <w:widowControl w:val="0"/>
        <w:numPr>
          <w:ilvl w:val="-1"/>
          <w:numId w:val="0"/>
        </w:numPr>
        <w:ind w:leftChars="0" w:firstLine="480" w:firstLineChars="200"/>
        <w:outlineLvl w:val="9"/>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山区场区勘测范围应适当扩大，主要工作应布置在地貌变化、基岩起伏较大和第四系覆盖层岩性复杂的地段，并考虑在施工和运行时可能发生变化的情况。勘测应着重查明：a、地形特征、地貌成因类型、地貌单元的分布；b、地质构造特征及不良地质作用；c、各类岩层的分布、厚度、接触关系、地质时代及工程地质特征，如产状、不同等级的风化层厚度、起伏情况、节理裂隙性状、不利结构面的组合等；软弱层、软化层、复杂和不稳定的岩土层的分布及厚度。</w:t>
      </w:r>
    </w:p>
    <w:p>
      <w:pPr>
        <w:pStyle w:val="42"/>
        <w:widowControl w:val="0"/>
        <w:numPr>
          <w:ilvl w:val="-1"/>
          <w:numId w:val="0"/>
        </w:numPr>
        <w:ind w:leftChars="0" w:firstLine="480" w:firstLineChars="200"/>
        <w:outlineLvl w:val="9"/>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10）山区场区勘测应着重研究以下问题：a、分析地基变形特性，估算不均匀沉降变形量；b、分析不良地质作用对场区建筑的影响，并提出整治措施；c、当场区一侧存在临空面时应分析评价建筑场地稳定性；d、当确定采用人工地基或桩基时，应针对场区不同建（构）筑物提出推荐方案。</w:t>
      </w:r>
    </w:p>
    <w:p>
      <w:pPr>
        <w:pStyle w:val="42"/>
        <w:widowControl w:val="0"/>
        <w:numPr>
          <w:ilvl w:val="-1"/>
          <w:numId w:val="0"/>
        </w:numPr>
        <w:ind w:leftChars="0" w:firstLine="480" w:firstLineChars="200"/>
        <w:outlineLvl w:val="9"/>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（11）查明站区原始土壤电阻率（地表及地表以下0-6m范围）。</w:t>
      </w:r>
    </w:p>
    <w:p>
      <w:pPr>
        <w:pStyle w:val="42"/>
        <w:widowControl w:val="0"/>
        <w:numPr>
          <w:ilvl w:val="-1"/>
          <w:numId w:val="0"/>
        </w:numPr>
        <w:ind w:leftChars="0" w:firstLine="480" w:firstLineChars="200"/>
        <w:outlineLvl w:val="9"/>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（12）根据不同场地类型、地质复杂程度及装机规模设置勘测点的数量和位置。新建升压（开关）站内应布置钻孔，且不少于2个。</w:t>
      </w:r>
    </w:p>
    <w:p>
      <w:pPr>
        <w:pStyle w:val="42"/>
        <w:widowControl w:val="0"/>
        <w:numPr>
          <w:ilvl w:val="-1"/>
          <w:numId w:val="0"/>
        </w:numPr>
        <w:ind w:leftChars="0" w:firstLine="480" w:firstLineChars="200"/>
        <w:outlineLvl w:val="9"/>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（13）提供满足相关规范标准深度要求的地质勘探报告。</w:t>
      </w:r>
    </w:p>
    <w:p>
      <w:pPr>
        <w:widowControl/>
        <w:spacing w:line="360" w:lineRule="auto"/>
        <w:ind w:firstLine="480" w:firstLineChars="200"/>
        <w:jc w:val="left"/>
        <w:outlineLvl w:val="2"/>
        <w:rPr>
          <w:color w:val="auto"/>
          <w:sz w:val="24"/>
          <w:highlight w:val="none"/>
          <w:u w:val="single"/>
        </w:rPr>
      </w:pPr>
      <w:r>
        <w:rPr>
          <w:rFonts w:hint="eastAsia"/>
          <w:color w:val="auto"/>
          <w:sz w:val="24"/>
          <w:highlight w:val="none"/>
          <w:u w:val="single"/>
        </w:rPr>
        <w:t>5.</w:t>
      </w:r>
      <w:r>
        <w:rPr>
          <w:color w:val="auto"/>
          <w:sz w:val="24"/>
          <w:highlight w:val="none"/>
          <w:u w:val="single"/>
        </w:rPr>
        <w:t>交付设计成果后，按规定参加有关部门组织的设计文件审查、咨询、评估会议，负责上述会议资料的准备和汇报工作，根据会议结论及时做调整补充。</w:t>
      </w:r>
    </w:p>
    <w:p>
      <w:pPr>
        <w:pStyle w:val="42"/>
        <w:widowControl w:val="0"/>
        <w:numPr>
          <w:ilvl w:val="-1"/>
          <w:numId w:val="0"/>
        </w:numPr>
        <w:ind w:leftChars="0" w:firstLine="480" w:firstLineChars="200"/>
        <w:rPr>
          <w:rFonts w:ascii="宋体" w:hAnsi="宋体" w:eastAsia="宋体"/>
          <w:b/>
          <w:bCs/>
          <w:color w:val="auto"/>
          <w:sz w:val="24"/>
          <w:szCs w:val="24"/>
          <w:highlight w:val="none"/>
        </w:rPr>
      </w:pPr>
      <w:r>
        <w:rPr>
          <w:rFonts w:hint="eastAsia" w:ascii="宋体" w:hAnsi="宋体" w:eastAsia="宋体" w:cs="宋体"/>
          <w:color w:val="auto"/>
          <w:sz w:val="24"/>
          <w:highlight w:val="none"/>
          <w:u w:val="single"/>
        </w:rPr>
        <w:t>6.甲方为本工程申报、备案、施工等需要委托第三方编制相关专项报告时，若与可研报告相关，乙方应积极配合并提供相关资料。</w:t>
      </w:r>
    </w:p>
    <w:p>
      <w:pPr>
        <w:pStyle w:val="42"/>
        <w:widowControl w:val="0"/>
        <w:numPr>
          <w:ilvl w:val="-1"/>
          <w:numId w:val="0"/>
        </w:numPr>
        <w:ind w:leftChars="0" w:firstLine="482" w:firstLineChars="200"/>
        <w:rPr>
          <w:rFonts w:ascii="宋体" w:hAnsi="宋体" w:eastAsia="宋体"/>
          <w:b/>
          <w:bCs/>
          <w:color w:val="auto"/>
          <w:sz w:val="24"/>
          <w:szCs w:val="24"/>
          <w:highlight w:val="none"/>
        </w:rPr>
      </w:pPr>
      <w:r>
        <w:rPr>
          <w:rFonts w:hint="eastAsia" w:ascii="宋体" w:hAnsi="宋体" w:eastAsia="宋体"/>
          <w:b/>
          <w:bCs/>
          <w:color w:val="auto"/>
          <w:sz w:val="24"/>
          <w:szCs w:val="24"/>
          <w:highlight w:val="none"/>
        </w:rPr>
        <w:t>五、单位资质及业绩要求</w:t>
      </w:r>
    </w:p>
    <w:p>
      <w:pPr>
        <w:widowControl/>
        <w:spacing w:line="360" w:lineRule="auto"/>
        <w:ind w:firstLine="470" w:firstLineChars="196"/>
        <w:jc w:val="left"/>
        <w:rPr>
          <w:color w:val="auto"/>
          <w:kern w:val="0"/>
          <w:sz w:val="24"/>
          <w:szCs w:val="24"/>
          <w:highlight w:val="none"/>
        </w:rPr>
      </w:pPr>
      <w:r>
        <w:rPr>
          <w:rFonts w:hint="eastAsia"/>
          <w:color w:val="auto"/>
          <w:sz w:val="24"/>
          <w:szCs w:val="24"/>
          <w:highlight w:val="none"/>
          <w:lang w:val="en-US" w:eastAsia="zh-CN"/>
        </w:rPr>
        <w:t>同采购公告</w:t>
      </w:r>
      <w:r>
        <w:rPr>
          <w:rFonts w:hint="eastAsia"/>
          <w:color w:val="auto"/>
          <w:sz w:val="24"/>
          <w:szCs w:val="24"/>
          <w:highlight w:val="none"/>
        </w:rPr>
        <w:t>。</w:t>
      </w:r>
    </w:p>
    <w:p>
      <w:pPr>
        <w:pStyle w:val="42"/>
        <w:widowControl w:val="0"/>
        <w:numPr>
          <w:ilvl w:val="-1"/>
          <w:numId w:val="0"/>
        </w:numPr>
        <w:ind w:leftChars="0" w:firstLine="482" w:firstLineChars="200"/>
        <w:rPr>
          <w:rFonts w:ascii="宋体" w:hAnsi="宋体" w:eastAsia="宋体"/>
          <w:b/>
          <w:bCs/>
          <w:color w:val="auto"/>
          <w:sz w:val="24"/>
          <w:szCs w:val="24"/>
          <w:highlight w:val="none"/>
        </w:rPr>
      </w:pPr>
      <w:r>
        <w:rPr>
          <w:rFonts w:hint="eastAsia" w:ascii="宋体" w:hAnsi="宋体" w:eastAsia="宋体"/>
          <w:b/>
          <w:bCs/>
          <w:color w:val="auto"/>
          <w:sz w:val="24"/>
          <w:szCs w:val="24"/>
          <w:highlight w:val="none"/>
        </w:rPr>
        <w:t>六、工期及要求</w:t>
      </w:r>
    </w:p>
    <w:p>
      <w:pPr>
        <w:pStyle w:val="2"/>
        <w:widowControl/>
        <w:spacing w:line="360" w:lineRule="auto"/>
        <w:ind w:left="0" w:leftChars="0" w:firstLine="480" w:firstLineChars="200"/>
        <w:jc w:val="left"/>
        <w:rPr>
          <w:rFonts w:asciiTheme="minorEastAsia" w:hAnsiTheme="minorEastAsia" w:eastAsiaTheme="minorEastAsia" w:cstheme="minorEastAsia"/>
          <w:color w:val="auto"/>
          <w:kern w:val="0"/>
          <w:sz w:val="24"/>
          <w:szCs w:val="24"/>
          <w:highlight w:val="none"/>
          <w:lang w:bidi="ar"/>
        </w:rPr>
      </w:pPr>
      <w:r>
        <w:rPr>
          <w:rFonts w:hint="eastAsia" w:ascii="宋体" w:hAnsi="宋体"/>
          <w:color w:val="auto"/>
          <w:sz w:val="24"/>
          <w:szCs w:val="24"/>
          <w:highlight w:val="none"/>
        </w:rPr>
        <w:t>工期要求：</w:t>
      </w:r>
      <w:r>
        <w:rPr>
          <w:rFonts w:hint="eastAsia"/>
          <w:color w:val="auto"/>
          <w:kern w:val="0"/>
          <w:sz w:val="24"/>
          <w:szCs w:val="24"/>
          <w:highlight w:val="none"/>
          <w:lang w:val="en-US" w:eastAsia="zh-CN"/>
        </w:rPr>
        <w:t>自</w:t>
      </w:r>
      <w:r>
        <w:rPr>
          <w:rFonts w:hint="eastAsia" w:asciiTheme="minorEastAsia" w:hAnsiTheme="minorEastAsia" w:eastAsiaTheme="minorEastAsia" w:cstheme="minorEastAsia"/>
          <w:color w:val="auto"/>
          <w:sz w:val="24"/>
          <w:szCs w:val="24"/>
          <w:highlight w:val="none"/>
        </w:rPr>
        <w:t>合同签订</w:t>
      </w:r>
      <w:r>
        <w:rPr>
          <w:rFonts w:hint="eastAsia" w:asciiTheme="minorEastAsia" w:hAnsiTheme="minorEastAsia" w:eastAsiaTheme="minorEastAsia" w:cstheme="minorEastAsia"/>
          <w:color w:val="auto"/>
          <w:sz w:val="24"/>
          <w:szCs w:val="24"/>
          <w:highlight w:val="none"/>
          <w:lang w:val="en-US" w:eastAsia="zh-CN"/>
        </w:rPr>
        <w:t>招标人提供全部资料</w:t>
      </w:r>
      <w:r>
        <w:rPr>
          <w:rFonts w:hint="eastAsia" w:asciiTheme="minorEastAsia" w:hAnsiTheme="minorEastAsia" w:eastAsiaTheme="minorEastAsia" w:cstheme="minorEastAsia"/>
          <w:color w:val="auto"/>
          <w:sz w:val="24"/>
          <w:szCs w:val="24"/>
          <w:highlight w:val="none"/>
        </w:rPr>
        <w:t>后直至分别取得白水风电场项目、麒麟北（二期）风电场项目可研评审意见及核准批复</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总工期不超过16个月。</w:t>
      </w:r>
    </w:p>
    <w:p>
      <w:pPr>
        <w:widowControl/>
        <w:spacing w:line="360" w:lineRule="auto"/>
        <w:ind w:firstLine="482" w:firstLineChars="200"/>
        <w:jc w:val="left"/>
        <w:rPr>
          <w:rFonts w:asciiTheme="minorEastAsia" w:hAnsiTheme="minorEastAsia" w:eastAsiaTheme="minorEastAsia" w:cstheme="minorEastAsia"/>
          <w:b/>
          <w:bCs/>
          <w:color w:val="auto"/>
          <w:kern w:val="0"/>
          <w:sz w:val="24"/>
          <w:szCs w:val="24"/>
          <w:highlight w:val="none"/>
          <w:lang w:bidi="ar"/>
        </w:rPr>
      </w:pPr>
      <w:r>
        <w:rPr>
          <w:rFonts w:hint="eastAsia" w:asciiTheme="minorEastAsia" w:hAnsiTheme="minorEastAsia" w:eastAsiaTheme="minorEastAsia" w:cstheme="minorEastAsia"/>
          <w:b/>
          <w:bCs/>
          <w:color w:val="auto"/>
          <w:kern w:val="0"/>
          <w:sz w:val="24"/>
          <w:szCs w:val="24"/>
          <w:highlight w:val="none"/>
          <w:lang w:bidi="ar"/>
        </w:rPr>
        <w:t>七、</w:t>
      </w:r>
      <w:r>
        <w:rPr>
          <w:rFonts w:asciiTheme="minorEastAsia" w:hAnsiTheme="minorEastAsia" w:eastAsiaTheme="minorEastAsia" w:cstheme="minorEastAsia"/>
          <w:b/>
          <w:bCs/>
          <w:color w:val="auto"/>
          <w:kern w:val="0"/>
          <w:sz w:val="24"/>
          <w:szCs w:val="24"/>
          <w:highlight w:val="none"/>
          <w:lang w:bidi="ar"/>
        </w:rPr>
        <w:t>成果提交要求</w:t>
      </w:r>
    </w:p>
    <w:p>
      <w:pPr>
        <w:pStyle w:val="37"/>
        <w:spacing w:before="40" w:after="40" w:line="340" w:lineRule="auto"/>
        <w:ind w:firstLine="480"/>
        <w:rPr>
          <w:rFonts w:ascii="宋体" w:hAnsi="宋体" w:cs="宋体"/>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1.测绘图纸：</w:t>
      </w:r>
      <w:r>
        <w:rPr>
          <w:rFonts w:hint="eastAsia" w:ascii="宋体" w:hAnsi="宋体" w:cs="宋体"/>
          <w:color w:val="auto"/>
          <w:sz w:val="24"/>
          <w:szCs w:val="24"/>
          <w:highlight w:val="none"/>
        </w:rPr>
        <w:t>白水风电场、麒麟北风电场（二期）项目</w:t>
      </w:r>
      <w:r>
        <w:rPr>
          <w:rFonts w:ascii="宋体" w:hAnsi="宋体" w:cs="宋体"/>
          <w:color w:val="auto"/>
          <w:sz w:val="24"/>
          <w:szCs w:val="24"/>
          <w:highlight w:val="none"/>
        </w:rPr>
        <w:t>可编辑DWG矢量图纸及高清PDF文件，纸质附图随可研报告一并提供</w:t>
      </w:r>
      <w:r>
        <w:rPr>
          <w:rFonts w:hint="eastAsia" w:ascii="宋体" w:hAnsi="宋体" w:cs="宋体"/>
          <w:color w:val="auto"/>
          <w:sz w:val="24"/>
          <w:szCs w:val="24"/>
          <w:highlight w:val="none"/>
        </w:rPr>
        <w:t>4</w:t>
      </w:r>
      <w:r>
        <w:rPr>
          <w:rFonts w:ascii="宋体" w:hAnsi="宋体" w:cs="宋体"/>
          <w:color w:val="auto"/>
          <w:sz w:val="24"/>
          <w:szCs w:val="24"/>
          <w:highlight w:val="none"/>
        </w:rPr>
        <w:t>套。文件格式DWG采用AutoCAD2018及以下版本，图层规范、可编辑；不得仅提供图片格式图纸。全部成果知识产权归招标人，中标人须根据评审意见修改图纸直至可研通过评审，并配合完成成果归档。</w:t>
      </w:r>
    </w:p>
    <w:p>
      <w:pPr>
        <w:widowControl/>
        <w:spacing w:line="360" w:lineRule="auto"/>
        <w:ind w:firstLine="480" w:firstLineChars="200"/>
        <w:jc w:val="left"/>
        <w:rPr>
          <w:rFonts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2.可研报告编制：</w:t>
      </w:r>
      <w:r>
        <w:rPr>
          <w:rFonts w:hint="eastAsia" w:ascii="宋体" w:hAnsi="宋体" w:cs="宋体"/>
          <w:color w:val="auto"/>
          <w:sz w:val="24"/>
          <w:szCs w:val="24"/>
          <w:highlight w:val="none"/>
        </w:rPr>
        <w:t>白水风电场、麒麟北风电场（二期）项目</w:t>
      </w:r>
      <w:r>
        <w:rPr>
          <w:rFonts w:ascii="宋体" w:hAnsi="宋体" w:cs="宋体"/>
          <w:color w:val="auto"/>
          <w:sz w:val="24"/>
          <w:szCs w:val="24"/>
          <w:highlight w:val="none"/>
        </w:rPr>
        <w:t>可研报告、项目申请报告纸质</w:t>
      </w:r>
      <w:r>
        <w:rPr>
          <w:rFonts w:hint="eastAsia" w:ascii="宋体" w:hAnsi="宋体" w:cs="宋体"/>
          <w:color w:val="auto"/>
          <w:sz w:val="24"/>
          <w:szCs w:val="24"/>
          <w:highlight w:val="none"/>
        </w:rPr>
        <w:t>最终</w:t>
      </w:r>
      <w:r>
        <w:rPr>
          <w:rFonts w:ascii="宋体" w:hAnsi="宋体" w:cs="宋体"/>
          <w:color w:val="auto"/>
          <w:sz w:val="24"/>
          <w:szCs w:val="24"/>
          <w:highlight w:val="none"/>
        </w:rPr>
        <w:t>版各</w:t>
      </w:r>
      <w:r>
        <w:rPr>
          <w:rFonts w:hint="eastAsia" w:ascii="宋体" w:hAnsi="宋体" w:cs="宋体"/>
          <w:color w:val="auto"/>
          <w:sz w:val="24"/>
          <w:szCs w:val="24"/>
          <w:highlight w:val="none"/>
        </w:rPr>
        <w:t>8</w:t>
      </w:r>
      <w:r>
        <w:rPr>
          <w:rFonts w:ascii="宋体" w:hAnsi="宋体" w:cs="宋体"/>
          <w:color w:val="auto"/>
          <w:sz w:val="24"/>
          <w:szCs w:val="24"/>
          <w:highlight w:val="none"/>
        </w:rPr>
        <w:t>套；电子成果提供可编辑Word、Excel、分层DWG图纸及PDF文件</w:t>
      </w:r>
      <w:r>
        <w:rPr>
          <w:rFonts w:hint="eastAsia" w:ascii="宋体" w:hAnsi="宋体" w:cs="宋体"/>
          <w:color w:val="auto"/>
          <w:sz w:val="24"/>
          <w:szCs w:val="24"/>
          <w:highlight w:val="none"/>
        </w:rPr>
        <w:t>各1套</w:t>
      </w:r>
      <w:r>
        <w:rPr>
          <w:rFonts w:ascii="宋体" w:hAnsi="宋体" w:cs="宋体"/>
          <w:color w:val="auto"/>
          <w:sz w:val="24"/>
          <w:szCs w:val="24"/>
          <w:highlight w:val="none"/>
        </w:rPr>
        <w:t>。全部成果知识产权归属招标人。</w:t>
      </w:r>
    </w:p>
    <w:p>
      <w:pPr>
        <w:pStyle w:val="42"/>
        <w:widowControl w:val="0"/>
        <w:numPr>
          <w:ilvl w:val="-1"/>
          <w:numId w:val="0"/>
        </w:numPr>
        <w:ind w:leftChars="0" w:firstLine="482" w:firstLineChars="200"/>
        <w:rPr>
          <w:rFonts w:ascii="宋体" w:hAnsi="宋体" w:eastAsia="宋体"/>
          <w:b/>
          <w:bCs/>
          <w:color w:val="auto"/>
          <w:sz w:val="24"/>
          <w:szCs w:val="24"/>
          <w:highlight w:val="none"/>
        </w:rPr>
      </w:pPr>
      <w:r>
        <w:rPr>
          <w:rFonts w:hint="eastAsia" w:ascii="宋体" w:hAnsi="宋体" w:eastAsia="宋体"/>
          <w:b/>
          <w:bCs/>
          <w:color w:val="auto"/>
          <w:sz w:val="24"/>
          <w:szCs w:val="24"/>
          <w:highlight w:val="none"/>
        </w:rPr>
        <w:t>八、验收及合同款支付</w:t>
      </w:r>
    </w:p>
    <w:p>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1.验收</w:t>
      </w:r>
    </w:p>
    <w:p>
      <w:pPr>
        <w:widowControl/>
        <w:spacing w:line="360" w:lineRule="auto"/>
        <w:ind w:firstLine="480" w:firstLineChars="200"/>
        <w:jc w:val="left"/>
        <w:rPr>
          <w:rFonts w:ascii="宋体" w:hAnsi="宋体"/>
          <w:color w:val="auto"/>
          <w:sz w:val="24"/>
          <w:szCs w:val="24"/>
          <w:highlight w:val="none"/>
        </w:rPr>
      </w:pPr>
      <w:r>
        <w:rPr>
          <w:rFonts w:hint="eastAsia" w:ascii="宋体" w:hAnsi="宋体"/>
          <w:color w:val="auto"/>
          <w:sz w:val="24"/>
          <w:szCs w:val="24"/>
          <w:highlight w:val="none"/>
        </w:rPr>
        <w:t>分别提交</w:t>
      </w:r>
      <w:r>
        <w:rPr>
          <w:rFonts w:hint="eastAsia" w:ascii="宋体" w:hAnsi="宋体" w:cs="宋体"/>
          <w:color w:val="auto"/>
          <w:sz w:val="24"/>
          <w:szCs w:val="24"/>
          <w:highlight w:val="none"/>
        </w:rPr>
        <w:t>白水风电场、麒麟北风电场（二期）项目</w:t>
      </w:r>
      <w:r>
        <w:rPr>
          <w:rFonts w:ascii="宋体" w:hAnsi="宋体" w:cs="宋体"/>
          <w:color w:val="auto"/>
          <w:sz w:val="24"/>
          <w:szCs w:val="24"/>
          <w:highlight w:val="none"/>
        </w:rPr>
        <w:t>可研报告、项目申请</w:t>
      </w:r>
      <w:r>
        <w:rPr>
          <w:rFonts w:hint="eastAsia" w:ascii="宋体" w:hAnsi="宋体"/>
          <w:color w:val="auto"/>
          <w:sz w:val="24"/>
          <w:szCs w:val="24"/>
          <w:highlight w:val="none"/>
        </w:rPr>
        <w:t>正式报告，并取得第三方评审意见及项目核准批复。</w:t>
      </w:r>
    </w:p>
    <w:p>
      <w:pPr>
        <w:widowControl/>
        <w:ind w:firstLine="480" w:firstLineChars="200"/>
        <w:jc w:val="left"/>
        <w:rPr>
          <w:rFonts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2.合同支付</w:t>
      </w:r>
    </w:p>
    <w:p>
      <w:pPr>
        <w:pStyle w:val="42"/>
        <w:widowControl w:val="0"/>
        <w:numPr>
          <w:ilvl w:val="0"/>
          <w:numId w:val="0"/>
        </w:numPr>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（1）乙方提交白水风电场项目可行性研究报告</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lang w:val="en-US" w:eastAsia="zh-CN"/>
        </w:rPr>
        <w:t>可研报告通过甲方集团组织的评审，完成可研报告收口</w:t>
      </w:r>
      <w:r>
        <w:rPr>
          <w:rFonts w:hint="eastAsia" w:ascii="宋体" w:hAnsi="宋体" w:eastAsia="宋体"/>
          <w:color w:val="auto"/>
          <w:sz w:val="24"/>
          <w:szCs w:val="24"/>
          <w:highlight w:val="none"/>
        </w:rPr>
        <w:t>后30个工作日内，甲方支付该项目总价的</w:t>
      </w:r>
      <w:r>
        <w:rPr>
          <w:rFonts w:ascii="宋体" w:hAnsi="宋体" w:eastAsia="宋体"/>
          <w:color w:val="auto"/>
          <w:sz w:val="24"/>
          <w:szCs w:val="24"/>
          <w:highlight w:val="none"/>
        </w:rPr>
        <w:t>60%</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lang w:val="en-US" w:eastAsia="zh-CN"/>
        </w:rPr>
        <w:t>乙方完成项目核准申请报告编制，通过主管部门组织的评审并取得核准批复后</w:t>
      </w:r>
      <w:r>
        <w:rPr>
          <w:rFonts w:hint="eastAsia" w:ascii="宋体" w:hAnsi="宋体" w:eastAsia="宋体"/>
          <w:color w:val="auto"/>
          <w:sz w:val="24"/>
          <w:szCs w:val="24"/>
          <w:highlight w:val="none"/>
        </w:rPr>
        <w:t>30个工作日内，甲方支付该项目剩余款项。</w:t>
      </w:r>
    </w:p>
    <w:p>
      <w:pPr>
        <w:pStyle w:val="42"/>
        <w:widowControl w:val="0"/>
        <w:numPr>
          <w:ilvl w:val="-1"/>
          <w:numId w:val="0"/>
        </w:numPr>
        <w:ind w:leftChars="0" w:firstLine="480" w:firstLineChars="200"/>
        <w:rPr>
          <w:rFonts w:hint="eastAsia" w:asciiTheme="majorEastAsia" w:hAnsiTheme="majorEastAsia" w:eastAsiaTheme="majorEastAsia" w:cstheme="majorEastAsia"/>
          <w:b/>
          <w:bCs/>
          <w:color w:val="auto"/>
          <w:sz w:val="24"/>
          <w:szCs w:val="24"/>
          <w:highlight w:val="none"/>
        </w:rPr>
      </w:pPr>
      <w:r>
        <w:rPr>
          <w:rFonts w:hint="eastAsia" w:eastAsia="宋体"/>
          <w:color w:val="auto"/>
          <w:sz w:val="24"/>
          <w:szCs w:val="24"/>
          <w:highlight w:val="none"/>
        </w:rPr>
        <w:t>（2）</w:t>
      </w:r>
      <w:r>
        <w:rPr>
          <w:rFonts w:hint="eastAsia" w:ascii="宋体" w:hAnsi="宋体" w:eastAsia="宋体"/>
          <w:color w:val="auto"/>
          <w:sz w:val="24"/>
          <w:szCs w:val="24"/>
          <w:highlight w:val="none"/>
        </w:rPr>
        <w:t>乙方提交</w:t>
      </w:r>
      <w:r>
        <w:rPr>
          <w:rFonts w:hint="eastAsia" w:ascii="宋体" w:hAnsi="宋体" w:eastAsia="宋体"/>
          <w:color w:val="auto"/>
          <w:sz w:val="24"/>
          <w:szCs w:val="24"/>
          <w:highlight w:val="none"/>
          <w:lang w:val="en-US" w:eastAsia="zh-CN"/>
        </w:rPr>
        <w:t>麒麟北风电场（二期）项目</w:t>
      </w:r>
      <w:r>
        <w:rPr>
          <w:rFonts w:hint="eastAsia" w:ascii="宋体" w:hAnsi="宋体" w:eastAsia="宋体"/>
          <w:color w:val="auto"/>
          <w:sz w:val="24"/>
          <w:szCs w:val="24"/>
          <w:highlight w:val="none"/>
        </w:rPr>
        <w:t>可行性研究报告</w:t>
      </w:r>
      <w:r>
        <w:rPr>
          <w:rFonts w:hint="eastAsia" w:ascii="宋体" w:hAnsi="宋体" w:eastAsia="宋体"/>
          <w:color w:val="auto"/>
          <w:sz w:val="24"/>
          <w:szCs w:val="24"/>
          <w:highlight w:val="none"/>
          <w:lang w:eastAsia="zh-CN"/>
        </w:rPr>
        <w:t>，</w:t>
      </w:r>
      <w:r>
        <w:rPr>
          <w:rFonts w:hint="eastAsia" w:ascii="宋体" w:hAnsi="宋体" w:eastAsia="宋体"/>
          <w:color w:val="auto"/>
          <w:sz w:val="24"/>
          <w:szCs w:val="24"/>
          <w:highlight w:val="none"/>
          <w:lang w:val="en-US" w:eastAsia="zh-CN"/>
        </w:rPr>
        <w:t>可研报告通过甲方集团组织的评审，完成可研报告收口</w:t>
      </w:r>
      <w:r>
        <w:rPr>
          <w:rFonts w:hint="eastAsia" w:ascii="宋体" w:hAnsi="宋体" w:eastAsia="宋体"/>
          <w:color w:val="auto"/>
          <w:sz w:val="24"/>
          <w:szCs w:val="24"/>
          <w:highlight w:val="none"/>
        </w:rPr>
        <w:t>后30个工作日内，甲方支付该项目总价的</w:t>
      </w:r>
      <w:r>
        <w:rPr>
          <w:rFonts w:ascii="宋体" w:hAnsi="宋体" w:eastAsia="宋体"/>
          <w:color w:val="auto"/>
          <w:sz w:val="24"/>
          <w:szCs w:val="24"/>
          <w:highlight w:val="none"/>
        </w:rPr>
        <w:t>60%</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lang w:val="en-US" w:eastAsia="zh-CN"/>
        </w:rPr>
        <w:t>乙方完成项目核准申请报告编制，通过主管部门组织的评审并取得核准批复后</w:t>
      </w:r>
      <w:r>
        <w:rPr>
          <w:rFonts w:hint="eastAsia" w:ascii="宋体" w:hAnsi="宋体" w:eastAsia="宋体"/>
          <w:color w:val="auto"/>
          <w:sz w:val="24"/>
          <w:szCs w:val="24"/>
          <w:highlight w:val="none"/>
        </w:rPr>
        <w:t>30个工作日内，甲方支付该项目剩余款项。</w:t>
      </w:r>
    </w:p>
    <w:p>
      <w:pPr>
        <w:pStyle w:val="42"/>
        <w:widowControl w:val="0"/>
        <w:numPr>
          <w:ilvl w:val="-1"/>
          <w:numId w:val="0"/>
        </w:numPr>
        <w:ind w:leftChars="0" w:firstLine="482" w:firstLineChars="200"/>
        <w:rPr>
          <w:rFonts w:ascii="宋体" w:hAnsi="宋体" w:eastAsia="宋体"/>
          <w:b/>
          <w:bCs/>
          <w:color w:val="auto"/>
          <w:sz w:val="24"/>
          <w:szCs w:val="24"/>
          <w:highlight w:val="none"/>
        </w:rPr>
      </w:pPr>
      <w:r>
        <w:rPr>
          <w:rFonts w:hint="eastAsia" w:asciiTheme="majorEastAsia" w:hAnsiTheme="majorEastAsia" w:eastAsiaTheme="majorEastAsia" w:cstheme="majorEastAsia"/>
          <w:b/>
          <w:bCs/>
          <w:color w:val="auto"/>
          <w:sz w:val="24"/>
          <w:szCs w:val="24"/>
          <w:highlight w:val="none"/>
        </w:rPr>
        <w:t>九、</w:t>
      </w:r>
      <w:r>
        <w:rPr>
          <w:rFonts w:hint="eastAsia" w:ascii="宋体" w:hAnsi="宋体" w:eastAsia="宋体"/>
          <w:b/>
          <w:bCs/>
          <w:color w:val="auto"/>
          <w:sz w:val="24"/>
          <w:szCs w:val="24"/>
          <w:highlight w:val="none"/>
        </w:rPr>
        <w:t>其他要求</w:t>
      </w:r>
    </w:p>
    <w:p>
      <w:pPr>
        <w:adjustRightInd w:val="0"/>
        <w:spacing w:line="360" w:lineRule="auto"/>
        <w:ind w:firstLine="480" w:firstLineChars="200"/>
        <w:rPr>
          <w:rFonts w:ascii="宋体" w:hAnsi="宋体" w:cs="宋体"/>
          <w:color w:val="auto"/>
          <w:sz w:val="24"/>
          <w:szCs w:val="24"/>
          <w:highlight w:val="none"/>
        </w:rPr>
      </w:pPr>
      <w:bookmarkStart w:id="326" w:name="_Toc334104440"/>
      <w:bookmarkStart w:id="327" w:name="_Toc447097850"/>
      <w:r>
        <w:rPr>
          <w:rFonts w:hint="eastAsia" w:ascii="宋体" w:hAnsi="宋体" w:cs="宋体"/>
          <w:color w:val="auto"/>
          <w:sz w:val="24"/>
          <w:szCs w:val="24"/>
          <w:highlight w:val="none"/>
        </w:rPr>
        <w:t>1.投标人应对提交的各阶段技术成果内容承担相应的法律责任。</w:t>
      </w:r>
    </w:p>
    <w:p>
      <w:pPr>
        <w:adjustRightInd w:val="0"/>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2.双方均应保护对方的知识产权，未经对方同意，任何一方均不得擅自修改、复制或向第三方转让从对方取得的资料及文件，也不得将上述资料或文件用于本项目以外的其他项目。</w:t>
      </w:r>
    </w:p>
    <w:p>
      <w:pPr>
        <w:adjustRightInd w:val="0"/>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招标人和投标人双方保证对在讨论、签订、执行本合同过程中所获悉的属于对方的且无法自公开渠道获得的文件及资料(包括公司计划、运营活动、财务信息、技术信息、经营信息及其他商业秘密)予以保密。未经该资料和文件的原提供方同意，另一方不得向任何第三方泄露该商业秘密的全部或部分内容。</w:t>
      </w:r>
    </w:p>
    <w:bookmarkEnd w:id="326"/>
    <w:bookmarkEnd w:id="327"/>
    <w:p>
      <w:pPr>
        <w:keepNext w:val="0"/>
        <w:keepLines w:val="0"/>
        <w:adjustRightInd w:val="0"/>
        <w:spacing w:before="0" w:after="0" w:line="360" w:lineRule="auto"/>
        <w:ind w:firstLine="720" w:firstLineChars="300"/>
        <w:outlineLvl w:val="9"/>
        <w:rPr>
          <w:rFonts w:hint="eastAsia"/>
          <w:b/>
          <w:bCs/>
          <w:color w:val="auto"/>
          <w:w w:val="90"/>
          <w:kern w:val="44"/>
          <w:sz w:val="44"/>
          <w:szCs w:val="44"/>
          <w:highlight w:val="none"/>
        </w:rPr>
      </w:pPr>
      <w:r>
        <w:rPr>
          <w:rFonts w:hint="eastAsia" w:ascii="宋体" w:hAnsi="宋体" w:cs="宋体"/>
          <w:color w:val="auto"/>
          <w:sz w:val="24"/>
          <w:szCs w:val="24"/>
          <w:highlight w:val="none"/>
        </w:rPr>
        <w:t>4.在项目实施过程中，必须遵守国家及行业的各项安全规程、规定，并严格遵守采购人的各项安全生产管理制度，确保不发生人身及设备事故。</w:t>
      </w:r>
    </w:p>
    <w:p>
      <w:pPr>
        <w:rPr>
          <w:rFonts w:hint="eastAsia"/>
          <w:b/>
          <w:bCs/>
          <w:color w:val="auto"/>
          <w:w w:val="90"/>
          <w:kern w:val="44"/>
          <w:sz w:val="44"/>
          <w:szCs w:val="44"/>
          <w:highlight w:val="none"/>
        </w:rPr>
      </w:pPr>
    </w:p>
    <w:p>
      <w:pPr>
        <w:pStyle w:val="2"/>
        <w:rPr>
          <w:rFonts w:hint="eastAsia"/>
          <w:color w:val="auto"/>
        </w:rPr>
      </w:pPr>
    </w:p>
    <w:p>
      <w:pPr>
        <w:rPr>
          <w:rFonts w:hint="eastAsia"/>
          <w:color w:val="auto"/>
          <w:highlight w:val="none"/>
        </w:rPr>
      </w:pPr>
    </w:p>
    <w:p>
      <w:pPr>
        <w:keepNext/>
        <w:keepLines w:val="0"/>
        <w:spacing w:before="0" w:after="0" w:line="360" w:lineRule="auto"/>
        <w:ind w:firstLine="0" w:firstLineChars="0"/>
        <w:jc w:val="center"/>
        <w:outlineLvl w:val="0"/>
        <w:rPr>
          <w:bCs/>
          <w:color w:val="auto"/>
          <w:w w:val="90"/>
          <w:kern w:val="44"/>
          <w:sz w:val="24"/>
          <w:szCs w:val="24"/>
          <w:highlight w:val="none"/>
        </w:rPr>
      </w:pPr>
      <w:r>
        <w:rPr>
          <w:rFonts w:hint="eastAsia"/>
          <w:b/>
          <w:bCs/>
          <w:color w:val="auto"/>
          <w:w w:val="90"/>
          <w:kern w:val="44"/>
          <w:sz w:val="44"/>
          <w:szCs w:val="44"/>
          <w:highlight w:val="none"/>
        </w:rPr>
        <w:t>第六章  报价文件格式</w:t>
      </w:r>
    </w:p>
    <w:p>
      <w:pPr>
        <w:pStyle w:val="9"/>
        <w:spacing w:line="360" w:lineRule="auto"/>
        <w:ind w:firstLine="0" w:firstLineChars="0"/>
        <w:jc w:val="center"/>
        <w:outlineLvl w:val="0"/>
        <w:rPr>
          <w:b/>
          <w:color w:val="auto"/>
          <w:sz w:val="52"/>
          <w:szCs w:val="52"/>
          <w:highlight w:val="none"/>
        </w:rPr>
      </w:pPr>
      <w:r>
        <w:rPr>
          <w:rFonts w:hint="eastAsia"/>
          <w:b/>
          <w:color w:val="auto"/>
          <w:sz w:val="52"/>
          <w:szCs w:val="52"/>
          <w:highlight w:val="none"/>
        </w:rPr>
        <w:t>云能（曲靖）综合能源服务有限公司</w:t>
      </w:r>
    </w:p>
    <w:p>
      <w:pPr>
        <w:spacing w:line="360" w:lineRule="auto"/>
        <w:jc w:val="center"/>
        <w:rPr>
          <w:b/>
          <w:color w:val="auto"/>
          <w:sz w:val="72"/>
          <w:highlight w:val="none"/>
        </w:rPr>
      </w:pPr>
    </w:p>
    <w:p>
      <w:pPr>
        <w:spacing w:line="360" w:lineRule="auto"/>
        <w:jc w:val="center"/>
        <w:rPr>
          <w:b/>
          <w:color w:val="auto"/>
          <w:sz w:val="52"/>
          <w:szCs w:val="52"/>
          <w:highlight w:val="none"/>
        </w:rPr>
      </w:pPr>
      <w:r>
        <w:rPr>
          <w:rFonts w:hint="eastAsia"/>
          <w:b/>
          <w:color w:val="auto"/>
          <w:sz w:val="52"/>
          <w:szCs w:val="52"/>
          <w:highlight w:val="none"/>
        </w:rPr>
        <w:t>白水风电场项目、麒麟北风电场（二期）项目地形图测绘及可研报告编制</w:t>
      </w:r>
    </w:p>
    <w:p>
      <w:pPr>
        <w:spacing w:line="360" w:lineRule="auto"/>
        <w:jc w:val="center"/>
        <w:rPr>
          <w:b/>
          <w:color w:val="auto"/>
          <w:sz w:val="72"/>
          <w:highlight w:val="none"/>
        </w:rPr>
      </w:pPr>
      <w:r>
        <w:rPr>
          <w:rFonts w:hint="eastAsia"/>
          <w:b/>
          <w:color w:val="auto"/>
          <w:sz w:val="52"/>
          <w:szCs w:val="52"/>
          <w:highlight w:val="none"/>
        </w:rPr>
        <w:t>咨询服务项目</w:t>
      </w:r>
    </w:p>
    <w:p>
      <w:pPr>
        <w:spacing w:line="360" w:lineRule="auto"/>
        <w:jc w:val="center"/>
        <w:rPr>
          <w:b/>
          <w:color w:val="auto"/>
          <w:sz w:val="72"/>
          <w:highlight w:val="none"/>
        </w:rPr>
      </w:pPr>
      <w:r>
        <w:rPr>
          <w:rFonts w:hint="eastAsia"/>
          <w:b/>
          <w:color w:val="auto"/>
          <w:sz w:val="72"/>
          <w:highlight w:val="none"/>
        </w:rPr>
        <w:t>报 价 文 件</w:t>
      </w:r>
    </w:p>
    <w:p>
      <w:pPr>
        <w:spacing w:line="360" w:lineRule="auto"/>
        <w:jc w:val="center"/>
        <w:rPr>
          <w:b/>
          <w:color w:val="auto"/>
          <w:sz w:val="32"/>
          <w:highlight w:val="none"/>
        </w:rPr>
      </w:pPr>
    </w:p>
    <w:p>
      <w:pPr>
        <w:spacing w:line="360" w:lineRule="auto"/>
        <w:jc w:val="center"/>
        <w:rPr>
          <w:b/>
          <w:color w:val="auto"/>
          <w:sz w:val="32"/>
          <w:highlight w:val="none"/>
        </w:rPr>
      </w:pPr>
    </w:p>
    <w:p>
      <w:pPr>
        <w:spacing w:line="360" w:lineRule="auto"/>
        <w:jc w:val="center"/>
        <w:rPr>
          <w:b/>
          <w:color w:val="auto"/>
          <w:sz w:val="32"/>
          <w:highlight w:val="none"/>
        </w:rPr>
      </w:pPr>
    </w:p>
    <w:p>
      <w:pPr>
        <w:pStyle w:val="32"/>
        <w:widowControl w:val="0"/>
        <w:rPr>
          <w:rFonts w:eastAsia="宋体"/>
          <w:color w:val="auto"/>
          <w:sz w:val="32"/>
          <w:highlight w:val="none"/>
        </w:rPr>
      </w:pPr>
    </w:p>
    <w:p>
      <w:pPr>
        <w:pStyle w:val="32"/>
        <w:widowControl w:val="0"/>
        <w:rPr>
          <w:color w:val="auto"/>
          <w:highlight w:val="none"/>
        </w:rPr>
      </w:pPr>
    </w:p>
    <w:p>
      <w:pPr>
        <w:spacing w:line="360" w:lineRule="auto"/>
        <w:jc w:val="center"/>
        <w:rPr>
          <w:b/>
          <w:color w:val="auto"/>
          <w:sz w:val="32"/>
          <w:highlight w:val="none"/>
        </w:rPr>
      </w:pPr>
    </w:p>
    <w:p>
      <w:pPr>
        <w:snapToGrid w:val="0"/>
        <w:spacing w:line="480" w:lineRule="auto"/>
        <w:rPr>
          <w:b/>
          <w:color w:val="auto"/>
          <w:sz w:val="30"/>
          <w:highlight w:val="none"/>
        </w:rPr>
      </w:pPr>
      <w:r>
        <w:rPr>
          <w:rFonts w:hint="eastAsia"/>
          <w:b/>
          <w:color w:val="auto"/>
          <w:sz w:val="30"/>
          <w:highlight w:val="none"/>
        </w:rPr>
        <w:t>供应商（盖公章）：</w:t>
      </w:r>
      <w:r>
        <w:rPr>
          <w:rFonts w:hint="eastAsia"/>
          <w:b/>
          <w:color w:val="auto"/>
          <w:sz w:val="30"/>
          <w:highlight w:val="none"/>
          <w:u w:val="single"/>
        </w:rPr>
        <w:t xml:space="preserve">                          </w:t>
      </w:r>
      <w:r>
        <w:rPr>
          <w:rFonts w:hint="eastAsia"/>
          <w:b/>
          <w:color w:val="auto"/>
          <w:sz w:val="30"/>
          <w:highlight w:val="none"/>
          <w:u w:val="single"/>
        </w:rPr>
        <w:tab/>
      </w:r>
      <w:r>
        <w:rPr>
          <w:rFonts w:hint="eastAsia"/>
          <w:b/>
          <w:color w:val="auto"/>
          <w:sz w:val="30"/>
          <w:highlight w:val="none"/>
          <w:u w:val="single"/>
        </w:rPr>
        <w:t xml:space="preserve">  </w:t>
      </w:r>
    </w:p>
    <w:p>
      <w:pPr>
        <w:snapToGrid w:val="0"/>
        <w:jc w:val="left"/>
        <w:rPr>
          <w:b/>
          <w:color w:val="auto"/>
          <w:sz w:val="30"/>
          <w:highlight w:val="none"/>
        </w:rPr>
      </w:pPr>
      <w:r>
        <w:rPr>
          <w:rFonts w:hint="eastAsia"/>
          <w:b/>
          <w:color w:val="auto"/>
          <w:sz w:val="30"/>
          <w:highlight w:val="none"/>
        </w:rPr>
        <w:t>法 定 代 表 人或其委托代理人（签字或盖章）：</w:t>
      </w:r>
      <w:r>
        <w:rPr>
          <w:rFonts w:hint="eastAsia"/>
          <w:b/>
          <w:color w:val="auto"/>
          <w:sz w:val="30"/>
          <w:highlight w:val="none"/>
          <w:u w:val="single"/>
        </w:rPr>
        <w:t xml:space="preserve">                  </w:t>
      </w:r>
    </w:p>
    <w:p>
      <w:pPr>
        <w:rPr>
          <w:b/>
          <w:color w:val="auto"/>
          <w:sz w:val="30"/>
          <w:highlight w:val="none"/>
        </w:rPr>
      </w:pPr>
      <w:r>
        <w:rPr>
          <w:rFonts w:hint="eastAsia"/>
          <w:b/>
          <w:color w:val="auto"/>
          <w:sz w:val="30"/>
          <w:highlight w:val="none"/>
        </w:rPr>
        <w:t xml:space="preserve">       </w:t>
      </w:r>
    </w:p>
    <w:p>
      <w:pPr>
        <w:keepNext w:val="0"/>
        <w:keepLines w:val="0"/>
        <w:spacing w:before="0" w:after="0" w:line="240" w:lineRule="auto"/>
        <w:jc w:val="left"/>
        <w:outlineLvl w:val="9"/>
        <w:rPr>
          <w:b/>
          <w:bCs/>
          <w:color w:val="auto"/>
          <w:kern w:val="0"/>
          <w:sz w:val="32"/>
          <w:szCs w:val="32"/>
          <w:highlight w:val="none"/>
        </w:rPr>
      </w:pPr>
      <w:r>
        <w:rPr>
          <w:rFonts w:hint="eastAsia"/>
          <w:b/>
          <w:color w:val="auto"/>
          <w:sz w:val="30"/>
          <w:highlight w:val="none"/>
        </w:rPr>
        <w:t>日  期：</w:t>
      </w:r>
      <w:r>
        <w:rPr>
          <w:rFonts w:hint="eastAsia"/>
          <w:b/>
          <w:color w:val="auto"/>
          <w:sz w:val="30"/>
          <w:highlight w:val="none"/>
          <w:u w:val="single"/>
        </w:rPr>
        <w:t xml:space="preserve">      </w:t>
      </w:r>
      <w:r>
        <w:rPr>
          <w:rFonts w:hint="eastAsia"/>
          <w:b/>
          <w:color w:val="auto"/>
          <w:sz w:val="30"/>
          <w:highlight w:val="none"/>
        </w:rPr>
        <w:t xml:space="preserve"> 年</w:t>
      </w:r>
      <w:r>
        <w:rPr>
          <w:rFonts w:hint="eastAsia"/>
          <w:b/>
          <w:color w:val="auto"/>
          <w:sz w:val="30"/>
          <w:highlight w:val="none"/>
          <w:u w:val="single"/>
        </w:rPr>
        <w:t xml:space="preserve">     </w:t>
      </w:r>
      <w:r>
        <w:rPr>
          <w:rFonts w:hint="eastAsia"/>
          <w:b/>
          <w:color w:val="auto"/>
          <w:sz w:val="30"/>
          <w:highlight w:val="none"/>
        </w:rPr>
        <w:t xml:space="preserve"> 月</w:t>
      </w:r>
      <w:r>
        <w:rPr>
          <w:rFonts w:hint="eastAsia"/>
          <w:b/>
          <w:color w:val="auto"/>
          <w:sz w:val="30"/>
          <w:highlight w:val="none"/>
          <w:u w:val="single"/>
        </w:rPr>
        <w:t xml:space="preserve">     </w:t>
      </w:r>
      <w:r>
        <w:rPr>
          <w:rFonts w:hint="eastAsia"/>
          <w:b/>
          <w:color w:val="auto"/>
          <w:sz w:val="30"/>
          <w:highlight w:val="none"/>
        </w:rPr>
        <w:t>日</w:t>
      </w:r>
      <w:bookmarkStart w:id="328" w:name="_Toc414463509"/>
      <w:r>
        <w:rPr>
          <w:rFonts w:hint="eastAsia"/>
          <w:b/>
          <w:bCs/>
          <w:color w:val="auto"/>
          <w:kern w:val="0"/>
          <w:sz w:val="32"/>
          <w:szCs w:val="32"/>
          <w:highlight w:val="none"/>
        </w:rPr>
        <w:br w:type="page"/>
      </w:r>
      <w:bookmarkStart w:id="329" w:name="_Toc19155"/>
      <w:bookmarkStart w:id="330" w:name="_Toc13825"/>
      <w:r>
        <w:rPr>
          <w:rFonts w:hint="eastAsia"/>
          <w:b/>
          <w:bCs/>
          <w:color w:val="auto"/>
          <w:kern w:val="0"/>
          <w:sz w:val="32"/>
          <w:szCs w:val="32"/>
          <w:highlight w:val="none"/>
        </w:rPr>
        <w:t>一、报价表</w:t>
      </w:r>
      <w:bookmarkEnd w:id="329"/>
      <w:bookmarkEnd w:id="330"/>
    </w:p>
    <w:p>
      <w:pPr>
        <w:autoSpaceDE w:val="0"/>
        <w:autoSpaceDN w:val="0"/>
        <w:adjustRightInd w:val="0"/>
        <w:spacing w:line="500" w:lineRule="exact"/>
        <w:ind w:right="244" w:firstLine="420" w:firstLineChars="200"/>
        <w:rPr>
          <w:color w:val="auto"/>
          <w:szCs w:val="21"/>
          <w:highlight w:val="none"/>
        </w:rPr>
      </w:pPr>
      <w:r>
        <w:rPr>
          <w:rFonts w:hint="eastAsia"/>
          <w:color w:val="auto"/>
          <w:szCs w:val="21"/>
          <w:highlight w:val="none"/>
        </w:rPr>
        <w:t xml:space="preserve">项目名称：白水风电场、麒麟北风电场（二期）项目地形图测绘及可研报告编制咨询服务项目                               </w:t>
      </w:r>
    </w:p>
    <w:p>
      <w:pPr>
        <w:autoSpaceDE w:val="0"/>
        <w:autoSpaceDN w:val="0"/>
        <w:adjustRightInd w:val="0"/>
        <w:spacing w:line="500" w:lineRule="exact"/>
        <w:ind w:right="244"/>
        <w:rPr>
          <w:color w:val="auto"/>
          <w:szCs w:val="21"/>
          <w:highlight w:val="none"/>
        </w:rPr>
      </w:pPr>
      <w:r>
        <w:rPr>
          <w:rFonts w:hint="eastAsia"/>
          <w:color w:val="auto"/>
          <w:szCs w:val="21"/>
          <w:highlight w:val="none"/>
        </w:rPr>
        <w:t xml:space="preserve">    项目编号：SRC2610130018</w:t>
      </w:r>
    </w:p>
    <w:tbl>
      <w:tblPr>
        <w:tblStyle w:val="21"/>
        <w:tblW w:w="85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1"/>
        <w:gridCol w:w="2975"/>
        <w:gridCol w:w="2430"/>
        <w:gridCol w:w="26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vMerge w:val="restart"/>
            <w:tcBorders>
              <w:top w:val="single" w:color="auto" w:sz="4" w:space="0"/>
              <w:left w:val="single" w:color="auto" w:sz="4" w:space="0"/>
              <w:bottom w:val="single" w:color="auto" w:sz="4" w:space="0"/>
              <w:right w:val="single" w:color="auto" w:sz="4" w:space="0"/>
            </w:tcBorders>
            <w:vAlign w:val="center"/>
          </w:tcPr>
          <w:p>
            <w:pPr>
              <w:jc w:val="center"/>
              <w:rPr>
                <w:color w:val="auto"/>
                <w:szCs w:val="21"/>
                <w:highlight w:val="none"/>
              </w:rPr>
            </w:pPr>
            <w:r>
              <w:rPr>
                <w:rFonts w:hint="eastAsia"/>
                <w:color w:val="auto"/>
                <w:szCs w:val="21"/>
                <w:highlight w:val="none"/>
              </w:rPr>
              <w:t>序号</w:t>
            </w:r>
          </w:p>
        </w:tc>
        <w:tc>
          <w:tcPr>
            <w:tcW w:w="2975" w:type="dxa"/>
            <w:vMerge w:val="restart"/>
            <w:tcBorders>
              <w:top w:val="single" w:color="auto" w:sz="4" w:space="0"/>
              <w:left w:val="single" w:color="auto" w:sz="4" w:space="0"/>
              <w:bottom w:val="single" w:color="auto" w:sz="4" w:space="0"/>
              <w:right w:val="single" w:color="auto" w:sz="4" w:space="0"/>
            </w:tcBorders>
            <w:vAlign w:val="center"/>
          </w:tcPr>
          <w:p>
            <w:pPr>
              <w:jc w:val="center"/>
              <w:rPr>
                <w:color w:val="auto"/>
                <w:szCs w:val="21"/>
                <w:highlight w:val="none"/>
              </w:rPr>
            </w:pPr>
            <w:r>
              <w:rPr>
                <w:rFonts w:hint="eastAsia"/>
                <w:color w:val="auto"/>
                <w:szCs w:val="21"/>
                <w:highlight w:val="none"/>
              </w:rPr>
              <w:t>项    目</w:t>
            </w:r>
          </w:p>
        </w:tc>
        <w:tc>
          <w:tcPr>
            <w:tcW w:w="5048" w:type="dxa"/>
            <w:gridSpan w:val="2"/>
            <w:tcBorders>
              <w:top w:val="single" w:color="auto" w:sz="4" w:space="0"/>
              <w:left w:val="single" w:color="auto" w:sz="4" w:space="0"/>
              <w:bottom w:val="single" w:color="auto" w:sz="4" w:space="0"/>
              <w:right w:val="single" w:color="auto" w:sz="4" w:space="0"/>
            </w:tcBorders>
            <w:vAlign w:val="center"/>
          </w:tcPr>
          <w:p>
            <w:pPr>
              <w:ind w:firstLine="210" w:firstLineChars="100"/>
              <w:jc w:val="center"/>
              <w:rPr>
                <w:color w:val="auto"/>
                <w:szCs w:val="21"/>
                <w:highlight w:val="none"/>
              </w:rPr>
            </w:pPr>
            <w:r>
              <w:rPr>
                <w:rFonts w:hint="eastAsia"/>
                <w:color w:val="auto"/>
                <w:szCs w:val="21"/>
                <w:highlight w:val="none"/>
              </w:rPr>
              <w:t>金     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vMerge w:val="continue"/>
            <w:vAlign w:val="center"/>
          </w:tcPr>
          <w:p>
            <w:pPr>
              <w:jc w:val="center"/>
              <w:rPr>
                <w:bCs/>
                <w:color w:val="auto"/>
                <w:szCs w:val="21"/>
                <w:highlight w:val="none"/>
              </w:rPr>
            </w:pPr>
          </w:p>
        </w:tc>
        <w:tc>
          <w:tcPr>
            <w:tcW w:w="2975" w:type="dxa"/>
            <w:vMerge w:val="continue"/>
            <w:vAlign w:val="center"/>
          </w:tcPr>
          <w:p>
            <w:pPr>
              <w:jc w:val="center"/>
              <w:rPr>
                <w:b/>
                <w:color w:val="auto"/>
                <w:szCs w:val="21"/>
                <w:highlight w:val="none"/>
              </w:rPr>
            </w:pPr>
          </w:p>
        </w:tc>
        <w:tc>
          <w:tcPr>
            <w:tcW w:w="2430" w:type="dxa"/>
            <w:vAlign w:val="center"/>
          </w:tcPr>
          <w:p>
            <w:pPr>
              <w:jc w:val="center"/>
              <w:rPr>
                <w:bCs/>
                <w:color w:val="auto"/>
                <w:szCs w:val="21"/>
                <w:highlight w:val="none"/>
              </w:rPr>
            </w:pPr>
            <w:r>
              <w:rPr>
                <w:rFonts w:hint="eastAsia"/>
                <w:bCs/>
                <w:color w:val="auto"/>
                <w:szCs w:val="21"/>
                <w:highlight w:val="none"/>
              </w:rPr>
              <w:t>小 写</w:t>
            </w:r>
          </w:p>
        </w:tc>
        <w:tc>
          <w:tcPr>
            <w:tcW w:w="2618" w:type="dxa"/>
            <w:vAlign w:val="center"/>
          </w:tcPr>
          <w:p>
            <w:pPr>
              <w:jc w:val="center"/>
              <w:rPr>
                <w:bCs/>
                <w:color w:val="auto"/>
                <w:szCs w:val="21"/>
                <w:highlight w:val="none"/>
              </w:rPr>
            </w:pPr>
            <w:r>
              <w:rPr>
                <w:rFonts w:hint="eastAsia"/>
                <w:bCs/>
                <w:color w:val="auto"/>
                <w:szCs w:val="21"/>
                <w:highlight w:val="none"/>
              </w:rPr>
              <w:t>大 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tcBorders>
              <w:bottom w:val="single" w:color="auto" w:sz="4" w:space="0"/>
            </w:tcBorders>
            <w:vAlign w:val="center"/>
          </w:tcPr>
          <w:p>
            <w:pPr>
              <w:jc w:val="center"/>
              <w:rPr>
                <w:bCs/>
                <w:color w:val="auto"/>
                <w:szCs w:val="21"/>
                <w:highlight w:val="none"/>
              </w:rPr>
            </w:pPr>
            <w:r>
              <w:rPr>
                <w:rFonts w:hint="eastAsia"/>
                <w:bCs/>
                <w:color w:val="auto"/>
                <w:szCs w:val="21"/>
                <w:highlight w:val="none"/>
              </w:rPr>
              <w:t>1</w:t>
            </w:r>
          </w:p>
        </w:tc>
        <w:tc>
          <w:tcPr>
            <w:tcW w:w="2975" w:type="dxa"/>
            <w:tcBorders>
              <w:bottom w:val="single" w:color="auto" w:sz="4" w:space="0"/>
            </w:tcBorders>
            <w:vAlign w:val="center"/>
          </w:tcPr>
          <w:p>
            <w:pPr>
              <w:rPr>
                <w:color w:val="auto"/>
                <w:szCs w:val="21"/>
                <w:highlight w:val="none"/>
              </w:rPr>
            </w:pPr>
            <w:r>
              <w:rPr>
                <w:rFonts w:hint="eastAsia"/>
                <w:color w:val="auto"/>
                <w:szCs w:val="21"/>
                <w:highlight w:val="none"/>
              </w:rPr>
              <w:t>含税报价总报价（元）</w:t>
            </w:r>
          </w:p>
        </w:tc>
        <w:tc>
          <w:tcPr>
            <w:tcW w:w="2430" w:type="dxa"/>
            <w:tcBorders>
              <w:bottom w:val="single" w:color="auto" w:sz="4" w:space="0"/>
            </w:tcBorders>
            <w:vAlign w:val="center"/>
          </w:tcPr>
          <w:p>
            <w:pPr>
              <w:jc w:val="center"/>
              <w:rPr>
                <w:b/>
                <w:color w:val="auto"/>
                <w:szCs w:val="21"/>
                <w:highlight w:val="none"/>
              </w:rPr>
            </w:pPr>
          </w:p>
        </w:tc>
        <w:tc>
          <w:tcPr>
            <w:tcW w:w="2618" w:type="dxa"/>
            <w:tcBorders>
              <w:bottom w:val="single" w:color="auto" w:sz="4" w:space="0"/>
            </w:tcBorders>
            <w:vAlign w:val="center"/>
          </w:tcPr>
          <w:p>
            <w:pPr>
              <w:jc w:val="center"/>
              <w:rPr>
                <w:b/>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vAlign w:val="center"/>
          </w:tcPr>
          <w:p>
            <w:pPr>
              <w:jc w:val="center"/>
              <w:rPr>
                <w:bCs/>
                <w:color w:val="auto"/>
                <w:szCs w:val="21"/>
                <w:highlight w:val="none"/>
              </w:rPr>
            </w:pPr>
            <w:r>
              <w:rPr>
                <w:rFonts w:hint="eastAsia"/>
                <w:bCs/>
                <w:color w:val="auto"/>
                <w:szCs w:val="21"/>
                <w:highlight w:val="none"/>
              </w:rPr>
              <w:t>2</w:t>
            </w:r>
          </w:p>
        </w:tc>
        <w:tc>
          <w:tcPr>
            <w:tcW w:w="2975" w:type="dxa"/>
            <w:vAlign w:val="center"/>
          </w:tcPr>
          <w:p>
            <w:pPr>
              <w:jc w:val="left"/>
              <w:rPr>
                <w:color w:val="auto"/>
                <w:szCs w:val="21"/>
                <w:highlight w:val="none"/>
              </w:rPr>
            </w:pPr>
            <w:r>
              <w:rPr>
                <w:rFonts w:hint="eastAsia"/>
                <w:color w:val="auto"/>
                <w:szCs w:val="21"/>
                <w:highlight w:val="none"/>
              </w:rPr>
              <w:t>税率</w:t>
            </w:r>
          </w:p>
        </w:tc>
        <w:tc>
          <w:tcPr>
            <w:tcW w:w="5048" w:type="dxa"/>
            <w:gridSpan w:val="2"/>
            <w:vAlign w:val="center"/>
          </w:tcPr>
          <w:p>
            <w:pPr>
              <w:jc w:val="center"/>
              <w:rPr>
                <w:b/>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vAlign w:val="center"/>
          </w:tcPr>
          <w:p>
            <w:pPr>
              <w:jc w:val="center"/>
              <w:rPr>
                <w:bCs/>
                <w:color w:val="auto"/>
                <w:szCs w:val="21"/>
                <w:highlight w:val="none"/>
              </w:rPr>
            </w:pPr>
            <w:r>
              <w:rPr>
                <w:rFonts w:hint="eastAsia"/>
                <w:bCs/>
                <w:color w:val="auto"/>
                <w:szCs w:val="21"/>
                <w:highlight w:val="none"/>
              </w:rPr>
              <w:t>3</w:t>
            </w:r>
          </w:p>
        </w:tc>
        <w:tc>
          <w:tcPr>
            <w:tcW w:w="2975" w:type="dxa"/>
            <w:vAlign w:val="center"/>
          </w:tcPr>
          <w:p>
            <w:pPr>
              <w:rPr>
                <w:color w:val="auto"/>
                <w:szCs w:val="21"/>
                <w:highlight w:val="none"/>
              </w:rPr>
            </w:pPr>
            <w:r>
              <w:rPr>
                <w:rFonts w:hint="eastAsia"/>
                <w:color w:val="auto"/>
                <w:szCs w:val="21"/>
                <w:highlight w:val="none"/>
              </w:rPr>
              <w:t>不含税报价总报价（元）</w:t>
            </w:r>
          </w:p>
        </w:tc>
        <w:tc>
          <w:tcPr>
            <w:tcW w:w="5048" w:type="dxa"/>
            <w:gridSpan w:val="2"/>
            <w:vAlign w:val="center"/>
          </w:tcPr>
          <w:p>
            <w:pPr>
              <w:jc w:val="center"/>
              <w:rPr>
                <w:b/>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571" w:type="dxa"/>
            <w:vAlign w:val="center"/>
          </w:tcPr>
          <w:p>
            <w:pPr>
              <w:jc w:val="center"/>
              <w:rPr>
                <w:bCs/>
                <w:color w:val="auto"/>
                <w:szCs w:val="21"/>
                <w:highlight w:val="none"/>
              </w:rPr>
            </w:pPr>
            <w:r>
              <w:rPr>
                <w:rFonts w:hint="eastAsia"/>
                <w:bCs/>
                <w:color w:val="auto"/>
                <w:szCs w:val="21"/>
                <w:highlight w:val="none"/>
              </w:rPr>
              <w:t>4</w:t>
            </w:r>
          </w:p>
        </w:tc>
        <w:tc>
          <w:tcPr>
            <w:tcW w:w="2975" w:type="dxa"/>
            <w:vAlign w:val="center"/>
          </w:tcPr>
          <w:p>
            <w:pPr>
              <w:rPr>
                <w:bCs/>
                <w:color w:val="auto"/>
                <w:szCs w:val="21"/>
                <w:highlight w:val="none"/>
              </w:rPr>
            </w:pPr>
            <w:r>
              <w:rPr>
                <w:rFonts w:hint="eastAsia"/>
                <w:color w:val="auto"/>
                <w:szCs w:val="21"/>
                <w:highlight w:val="none"/>
              </w:rPr>
              <w:t>质量承诺</w:t>
            </w:r>
          </w:p>
        </w:tc>
        <w:tc>
          <w:tcPr>
            <w:tcW w:w="5048" w:type="dxa"/>
            <w:gridSpan w:val="2"/>
            <w:vAlign w:val="center"/>
          </w:tcPr>
          <w:p>
            <w:pPr>
              <w:jc w:val="center"/>
              <w:rPr>
                <w:b/>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vAlign w:val="center"/>
          </w:tcPr>
          <w:p>
            <w:pPr>
              <w:jc w:val="center"/>
              <w:rPr>
                <w:bCs/>
                <w:color w:val="auto"/>
                <w:szCs w:val="21"/>
                <w:highlight w:val="none"/>
              </w:rPr>
            </w:pPr>
            <w:r>
              <w:rPr>
                <w:rFonts w:hint="eastAsia"/>
                <w:bCs/>
                <w:color w:val="auto"/>
                <w:szCs w:val="21"/>
                <w:highlight w:val="none"/>
              </w:rPr>
              <w:t>5</w:t>
            </w:r>
          </w:p>
        </w:tc>
        <w:tc>
          <w:tcPr>
            <w:tcW w:w="2975" w:type="dxa"/>
            <w:vAlign w:val="center"/>
          </w:tcPr>
          <w:p>
            <w:pPr>
              <w:rPr>
                <w:color w:val="auto"/>
                <w:szCs w:val="21"/>
                <w:highlight w:val="none"/>
              </w:rPr>
            </w:pPr>
            <w:r>
              <w:rPr>
                <w:rFonts w:hint="eastAsia"/>
                <w:color w:val="auto"/>
                <w:szCs w:val="21"/>
                <w:highlight w:val="none"/>
              </w:rPr>
              <w:t>工期</w:t>
            </w:r>
          </w:p>
        </w:tc>
        <w:tc>
          <w:tcPr>
            <w:tcW w:w="5048" w:type="dxa"/>
            <w:gridSpan w:val="2"/>
            <w:vAlign w:val="center"/>
          </w:tcPr>
          <w:p>
            <w:pPr>
              <w:jc w:val="center"/>
              <w:rPr>
                <w:b/>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71" w:type="dxa"/>
            <w:vAlign w:val="center"/>
          </w:tcPr>
          <w:p>
            <w:pPr>
              <w:jc w:val="center"/>
              <w:rPr>
                <w:bCs/>
                <w:color w:val="auto"/>
                <w:szCs w:val="21"/>
                <w:highlight w:val="none"/>
              </w:rPr>
            </w:pPr>
            <w:r>
              <w:rPr>
                <w:rFonts w:hint="eastAsia"/>
                <w:bCs/>
                <w:color w:val="auto"/>
                <w:szCs w:val="21"/>
                <w:highlight w:val="none"/>
              </w:rPr>
              <w:t>6</w:t>
            </w:r>
          </w:p>
        </w:tc>
        <w:tc>
          <w:tcPr>
            <w:tcW w:w="2975" w:type="dxa"/>
            <w:vAlign w:val="center"/>
          </w:tcPr>
          <w:p>
            <w:pPr>
              <w:rPr>
                <w:color w:val="auto"/>
                <w:szCs w:val="21"/>
                <w:highlight w:val="none"/>
              </w:rPr>
            </w:pPr>
            <w:r>
              <w:rPr>
                <w:rFonts w:hint="eastAsia"/>
                <w:color w:val="auto"/>
                <w:szCs w:val="21"/>
                <w:highlight w:val="none"/>
              </w:rPr>
              <w:t>质保期</w:t>
            </w:r>
          </w:p>
        </w:tc>
        <w:tc>
          <w:tcPr>
            <w:tcW w:w="5048" w:type="dxa"/>
            <w:gridSpan w:val="2"/>
            <w:vAlign w:val="center"/>
          </w:tcPr>
          <w:p>
            <w:pPr>
              <w:jc w:val="center"/>
              <w:rPr>
                <w:b/>
                <w:color w:val="auto"/>
                <w:szCs w:val="21"/>
                <w:highlight w:val="none"/>
              </w:rPr>
            </w:pPr>
          </w:p>
        </w:tc>
      </w:tr>
    </w:tbl>
    <w:p>
      <w:pPr>
        <w:spacing w:before="240"/>
        <w:rPr>
          <w:color w:val="auto"/>
          <w:sz w:val="24"/>
          <w:highlight w:val="none"/>
        </w:rPr>
      </w:pPr>
    </w:p>
    <w:p>
      <w:pPr>
        <w:spacing w:before="240"/>
        <w:rPr>
          <w:color w:val="auto"/>
          <w:sz w:val="24"/>
          <w:highlight w:val="none"/>
        </w:rPr>
      </w:pPr>
      <w:r>
        <w:rPr>
          <w:rFonts w:hint="eastAsia"/>
          <w:color w:val="auto"/>
          <w:sz w:val="24"/>
          <w:highlight w:val="none"/>
        </w:rPr>
        <w:t>供应商：</w:t>
      </w:r>
      <w:r>
        <w:rPr>
          <w:rFonts w:hint="eastAsia"/>
          <w:color w:val="auto"/>
          <w:sz w:val="24"/>
          <w:highlight w:val="none"/>
          <w:u w:val="single"/>
        </w:rPr>
        <w:t xml:space="preserve">                        </w:t>
      </w:r>
      <w:r>
        <w:rPr>
          <w:rFonts w:hint="eastAsia"/>
          <w:color w:val="auto"/>
          <w:sz w:val="24"/>
          <w:highlight w:val="none"/>
        </w:rPr>
        <w:t>（盖单位章）</w:t>
      </w:r>
    </w:p>
    <w:p>
      <w:pPr>
        <w:spacing w:before="240"/>
        <w:rPr>
          <w:color w:val="auto"/>
          <w:sz w:val="24"/>
          <w:highlight w:val="none"/>
        </w:rPr>
      </w:pPr>
      <w:r>
        <w:rPr>
          <w:rFonts w:hint="eastAsia"/>
          <w:color w:val="auto"/>
          <w:sz w:val="24"/>
          <w:highlight w:val="none"/>
        </w:rPr>
        <w:t>法定代表人或委托代理人：</w:t>
      </w:r>
      <w:r>
        <w:rPr>
          <w:rFonts w:hint="eastAsia"/>
          <w:color w:val="auto"/>
          <w:sz w:val="24"/>
          <w:highlight w:val="none"/>
          <w:u w:val="single"/>
        </w:rPr>
        <w:t xml:space="preserve">                  </w:t>
      </w:r>
      <w:r>
        <w:rPr>
          <w:rFonts w:hint="eastAsia"/>
          <w:color w:val="auto"/>
          <w:sz w:val="24"/>
          <w:highlight w:val="none"/>
        </w:rPr>
        <w:t>（签字或盖章）</w:t>
      </w:r>
    </w:p>
    <w:p>
      <w:pPr>
        <w:rPr>
          <w:color w:val="auto"/>
          <w:sz w:val="24"/>
          <w:highlight w:val="none"/>
        </w:rPr>
      </w:pPr>
    </w:p>
    <w:p>
      <w:pPr>
        <w:spacing w:before="240"/>
        <w:rPr>
          <w:color w:val="auto"/>
          <w:sz w:val="24"/>
          <w:highlight w:val="none"/>
        </w:rPr>
      </w:pPr>
      <w:r>
        <w:rPr>
          <w:rFonts w:hint="eastAsia"/>
          <w:color w:val="auto"/>
          <w:sz w:val="24"/>
          <w:highlight w:val="none"/>
        </w:rPr>
        <w:t>日期：</w:t>
      </w:r>
      <w:r>
        <w:rPr>
          <w:rFonts w:hint="eastAsia"/>
          <w:color w:val="auto"/>
          <w:sz w:val="24"/>
          <w:highlight w:val="none"/>
          <w:u w:val="single"/>
        </w:rPr>
        <w:t xml:space="preserve">    </w:t>
      </w:r>
      <w:r>
        <w:rPr>
          <w:rFonts w:hint="eastAsia"/>
          <w:color w:val="auto"/>
          <w:sz w:val="24"/>
          <w:highlight w:val="none"/>
        </w:rPr>
        <w:t>年</w:t>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 xml:space="preserve">     </w:t>
      </w:r>
      <w:r>
        <w:rPr>
          <w:rFonts w:hint="eastAsia"/>
          <w:color w:val="auto"/>
          <w:sz w:val="24"/>
          <w:highlight w:val="none"/>
        </w:rPr>
        <w:t>日</w:t>
      </w:r>
    </w:p>
    <w:p>
      <w:pPr>
        <w:spacing w:line="360" w:lineRule="auto"/>
        <w:rPr>
          <w:color w:val="auto"/>
          <w:sz w:val="24"/>
          <w:highlight w:val="none"/>
        </w:rPr>
      </w:pPr>
      <w:r>
        <w:rPr>
          <w:rFonts w:hint="eastAsia"/>
          <w:color w:val="auto"/>
          <w:sz w:val="24"/>
          <w:highlight w:val="none"/>
        </w:rPr>
        <w:t xml:space="preserve"> </w:t>
      </w:r>
    </w:p>
    <w:p>
      <w:pPr>
        <w:keepNext/>
        <w:keepLines/>
        <w:spacing w:before="260" w:after="260" w:line="416" w:lineRule="auto"/>
        <w:jc w:val="center"/>
        <w:rPr>
          <w:color w:val="auto"/>
          <w:highlight w:val="none"/>
        </w:rPr>
      </w:pPr>
      <w:r>
        <w:rPr>
          <w:rFonts w:hint="eastAsia"/>
          <w:color w:val="auto"/>
          <w:highlight w:val="none"/>
        </w:rPr>
        <w:br w:type="page"/>
      </w:r>
      <w:bookmarkStart w:id="331" w:name="_Toc19214"/>
      <w:bookmarkStart w:id="332" w:name="_Toc15419"/>
    </w:p>
    <w:p>
      <w:pPr>
        <w:autoSpaceDE w:val="0"/>
        <w:autoSpaceDN w:val="0"/>
        <w:adjustRightInd w:val="0"/>
        <w:spacing w:line="500" w:lineRule="exact"/>
        <w:ind w:right="244" w:firstLine="643" w:firstLineChars="200"/>
        <w:jc w:val="center"/>
        <w:rPr>
          <w:b/>
          <w:color w:val="auto"/>
          <w:szCs w:val="21"/>
          <w:highlight w:val="none"/>
        </w:rPr>
      </w:pPr>
      <w:r>
        <w:rPr>
          <w:rFonts w:hint="eastAsia"/>
          <w:b/>
          <w:color w:val="auto"/>
          <w:sz w:val="32"/>
          <w:szCs w:val="21"/>
          <w:highlight w:val="none"/>
        </w:rPr>
        <w:t>分项报价表</w:t>
      </w:r>
    </w:p>
    <w:p>
      <w:pPr>
        <w:autoSpaceDE w:val="0"/>
        <w:autoSpaceDN w:val="0"/>
        <w:adjustRightInd w:val="0"/>
        <w:spacing w:line="500" w:lineRule="exact"/>
        <w:ind w:right="244"/>
        <w:rPr>
          <w:color w:val="auto"/>
          <w:szCs w:val="21"/>
          <w:highlight w:val="none"/>
        </w:rPr>
      </w:pPr>
      <w:r>
        <w:rPr>
          <w:rFonts w:hint="eastAsia"/>
          <w:color w:val="auto"/>
          <w:szCs w:val="21"/>
          <w:highlight w:val="none"/>
        </w:rPr>
        <w:t xml:space="preserve">    </w:t>
      </w:r>
    </w:p>
    <w:tbl>
      <w:tblPr>
        <w:tblStyle w:val="21"/>
        <w:tblW w:w="10245" w:type="dxa"/>
        <w:jc w:val="center"/>
        <w:tblLayout w:type="fixed"/>
        <w:tblCellMar>
          <w:top w:w="0" w:type="dxa"/>
          <w:left w:w="108" w:type="dxa"/>
          <w:bottom w:w="0" w:type="dxa"/>
          <w:right w:w="108" w:type="dxa"/>
        </w:tblCellMar>
      </w:tblPr>
      <w:tblGrid>
        <w:gridCol w:w="663"/>
        <w:gridCol w:w="2773"/>
        <w:gridCol w:w="770"/>
        <w:gridCol w:w="709"/>
        <w:gridCol w:w="1134"/>
        <w:gridCol w:w="1134"/>
        <w:gridCol w:w="708"/>
        <w:gridCol w:w="1095"/>
        <w:gridCol w:w="1259"/>
      </w:tblGrid>
      <w:tr>
        <w:tblPrEx>
          <w:tblCellMar>
            <w:top w:w="0" w:type="dxa"/>
            <w:left w:w="108" w:type="dxa"/>
            <w:bottom w:w="0" w:type="dxa"/>
            <w:right w:w="108" w:type="dxa"/>
          </w:tblCellMar>
        </w:tblPrEx>
        <w:trPr>
          <w:trHeight w:val="81"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pPr>
              <w:jc w:val="center"/>
              <w:rPr>
                <w:b/>
                <w:color w:val="auto"/>
                <w:kern w:val="0"/>
                <w:szCs w:val="21"/>
                <w:highlight w:val="none"/>
              </w:rPr>
            </w:pPr>
            <w:r>
              <w:rPr>
                <w:b/>
                <w:color w:val="auto"/>
                <w:kern w:val="0"/>
                <w:szCs w:val="21"/>
                <w:highlight w:val="none"/>
              </w:rPr>
              <w:t>序号</w:t>
            </w:r>
          </w:p>
        </w:tc>
        <w:tc>
          <w:tcPr>
            <w:tcW w:w="2773" w:type="dxa"/>
            <w:tcBorders>
              <w:top w:val="single" w:color="auto" w:sz="4" w:space="0"/>
              <w:left w:val="nil"/>
              <w:bottom w:val="single" w:color="auto" w:sz="4" w:space="0"/>
              <w:right w:val="single" w:color="auto" w:sz="4" w:space="0"/>
            </w:tcBorders>
            <w:vAlign w:val="center"/>
          </w:tcPr>
          <w:p>
            <w:pPr>
              <w:jc w:val="center"/>
              <w:rPr>
                <w:b/>
                <w:color w:val="auto"/>
                <w:kern w:val="0"/>
                <w:szCs w:val="21"/>
                <w:highlight w:val="none"/>
              </w:rPr>
            </w:pPr>
            <w:r>
              <w:rPr>
                <w:b/>
                <w:color w:val="auto"/>
                <w:kern w:val="0"/>
                <w:szCs w:val="21"/>
                <w:highlight w:val="none"/>
              </w:rPr>
              <w:t>名称</w:t>
            </w:r>
          </w:p>
        </w:tc>
        <w:tc>
          <w:tcPr>
            <w:tcW w:w="770" w:type="dxa"/>
            <w:tcBorders>
              <w:top w:val="single" w:color="auto" w:sz="4" w:space="0"/>
              <w:left w:val="single" w:color="auto" w:sz="4" w:space="0"/>
              <w:bottom w:val="single" w:color="auto" w:sz="4" w:space="0"/>
              <w:right w:val="single" w:color="auto" w:sz="4" w:space="0"/>
            </w:tcBorders>
            <w:vAlign w:val="center"/>
          </w:tcPr>
          <w:p>
            <w:pPr>
              <w:jc w:val="center"/>
              <w:rPr>
                <w:b/>
                <w:color w:val="auto"/>
                <w:kern w:val="0"/>
                <w:szCs w:val="21"/>
                <w:highlight w:val="none"/>
              </w:rPr>
            </w:pPr>
            <w:r>
              <w:rPr>
                <w:b/>
                <w:color w:val="auto"/>
                <w:kern w:val="0"/>
                <w:szCs w:val="21"/>
                <w:highlight w:val="none"/>
              </w:rPr>
              <w:t>单位</w:t>
            </w:r>
          </w:p>
        </w:tc>
        <w:tc>
          <w:tcPr>
            <w:tcW w:w="709" w:type="dxa"/>
            <w:tcBorders>
              <w:top w:val="single" w:color="auto" w:sz="4" w:space="0"/>
              <w:left w:val="nil"/>
              <w:bottom w:val="single" w:color="auto" w:sz="4" w:space="0"/>
              <w:right w:val="single" w:color="auto" w:sz="4" w:space="0"/>
            </w:tcBorders>
            <w:vAlign w:val="center"/>
          </w:tcPr>
          <w:p>
            <w:pPr>
              <w:jc w:val="center"/>
              <w:rPr>
                <w:b/>
                <w:color w:val="auto"/>
                <w:kern w:val="0"/>
                <w:szCs w:val="21"/>
                <w:highlight w:val="none"/>
              </w:rPr>
            </w:pPr>
            <w:r>
              <w:rPr>
                <w:b/>
                <w:color w:val="auto"/>
                <w:kern w:val="0"/>
                <w:szCs w:val="21"/>
                <w:highlight w:val="none"/>
              </w:rPr>
              <w:t>数量</w:t>
            </w:r>
          </w:p>
        </w:tc>
        <w:tc>
          <w:tcPr>
            <w:tcW w:w="1134" w:type="dxa"/>
            <w:tcBorders>
              <w:top w:val="single" w:color="auto" w:sz="4" w:space="0"/>
              <w:left w:val="nil"/>
              <w:bottom w:val="single" w:color="auto" w:sz="4" w:space="0"/>
              <w:right w:val="single" w:color="auto" w:sz="4" w:space="0"/>
            </w:tcBorders>
            <w:vAlign w:val="center"/>
          </w:tcPr>
          <w:p>
            <w:pPr>
              <w:jc w:val="center"/>
              <w:rPr>
                <w:b/>
                <w:color w:val="auto"/>
                <w:kern w:val="0"/>
                <w:szCs w:val="21"/>
                <w:highlight w:val="none"/>
              </w:rPr>
            </w:pPr>
            <w:r>
              <w:rPr>
                <w:b/>
                <w:color w:val="auto"/>
                <w:kern w:val="0"/>
                <w:szCs w:val="21"/>
                <w:highlight w:val="none"/>
              </w:rPr>
              <w:t>不含税单价（元）</w:t>
            </w:r>
          </w:p>
        </w:tc>
        <w:tc>
          <w:tcPr>
            <w:tcW w:w="1134" w:type="dxa"/>
            <w:tcBorders>
              <w:top w:val="single" w:color="auto" w:sz="4" w:space="0"/>
              <w:left w:val="nil"/>
              <w:bottom w:val="single" w:color="auto" w:sz="4" w:space="0"/>
              <w:right w:val="single" w:color="auto" w:sz="4" w:space="0"/>
            </w:tcBorders>
            <w:vAlign w:val="center"/>
          </w:tcPr>
          <w:p>
            <w:pPr>
              <w:jc w:val="center"/>
              <w:rPr>
                <w:b/>
                <w:color w:val="auto"/>
                <w:kern w:val="0"/>
                <w:szCs w:val="21"/>
                <w:highlight w:val="none"/>
              </w:rPr>
            </w:pPr>
            <w:r>
              <w:rPr>
                <w:b/>
                <w:color w:val="auto"/>
                <w:kern w:val="0"/>
                <w:szCs w:val="21"/>
                <w:highlight w:val="none"/>
              </w:rPr>
              <w:t>不含税合价（元）</w:t>
            </w:r>
          </w:p>
        </w:tc>
        <w:tc>
          <w:tcPr>
            <w:tcW w:w="708" w:type="dxa"/>
            <w:tcBorders>
              <w:top w:val="single" w:color="auto" w:sz="4" w:space="0"/>
              <w:left w:val="nil"/>
              <w:bottom w:val="single" w:color="auto" w:sz="4" w:space="0"/>
              <w:right w:val="single" w:color="auto" w:sz="4" w:space="0"/>
            </w:tcBorders>
            <w:vAlign w:val="center"/>
          </w:tcPr>
          <w:p>
            <w:pPr>
              <w:jc w:val="center"/>
              <w:rPr>
                <w:b/>
                <w:color w:val="auto"/>
                <w:kern w:val="0"/>
                <w:szCs w:val="21"/>
                <w:highlight w:val="none"/>
              </w:rPr>
            </w:pPr>
            <w:r>
              <w:rPr>
                <w:b/>
                <w:color w:val="auto"/>
                <w:kern w:val="0"/>
                <w:szCs w:val="21"/>
                <w:highlight w:val="none"/>
              </w:rPr>
              <w:t>税率</w:t>
            </w:r>
          </w:p>
        </w:tc>
        <w:tc>
          <w:tcPr>
            <w:tcW w:w="1095" w:type="dxa"/>
            <w:tcBorders>
              <w:top w:val="single" w:color="auto" w:sz="4" w:space="0"/>
              <w:left w:val="nil"/>
              <w:bottom w:val="single" w:color="auto" w:sz="4" w:space="0"/>
              <w:right w:val="single" w:color="auto" w:sz="4" w:space="0"/>
            </w:tcBorders>
            <w:vAlign w:val="center"/>
          </w:tcPr>
          <w:p>
            <w:pPr>
              <w:jc w:val="center"/>
              <w:rPr>
                <w:b/>
                <w:color w:val="auto"/>
                <w:kern w:val="0"/>
                <w:szCs w:val="21"/>
                <w:highlight w:val="none"/>
              </w:rPr>
            </w:pPr>
            <w:r>
              <w:rPr>
                <w:b/>
                <w:color w:val="auto"/>
                <w:kern w:val="0"/>
                <w:szCs w:val="21"/>
                <w:highlight w:val="none"/>
              </w:rPr>
              <w:t>含税合价（元）</w:t>
            </w:r>
          </w:p>
        </w:tc>
        <w:tc>
          <w:tcPr>
            <w:tcW w:w="1259" w:type="dxa"/>
            <w:tcBorders>
              <w:top w:val="single" w:color="auto" w:sz="4" w:space="0"/>
              <w:left w:val="single" w:color="auto" w:sz="4" w:space="0"/>
              <w:bottom w:val="single" w:color="auto" w:sz="4" w:space="0"/>
              <w:right w:val="single" w:color="auto" w:sz="4" w:space="0"/>
            </w:tcBorders>
            <w:vAlign w:val="center"/>
          </w:tcPr>
          <w:p>
            <w:pPr>
              <w:jc w:val="center"/>
              <w:rPr>
                <w:b/>
                <w:color w:val="auto"/>
                <w:kern w:val="0"/>
                <w:szCs w:val="21"/>
                <w:highlight w:val="none"/>
              </w:rPr>
            </w:pPr>
            <w:r>
              <w:rPr>
                <w:b/>
                <w:color w:val="auto"/>
                <w:kern w:val="0"/>
                <w:szCs w:val="21"/>
                <w:highlight w:val="none"/>
              </w:rPr>
              <w:t>备注</w:t>
            </w:r>
          </w:p>
        </w:tc>
      </w:tr>
      <w:tr>
        <w:tblPrEx>
          <w:tblCellMar>
            <w:top w:w="0" w:type="dxa"/>
            <w:left w:w="108" w:type="dxa"/>
            <w:bottom w:w="0" w:type="dxa"/>
            <w:right w:w="108" w:type="dxa"/>
          </w:tblCellMar>
        </w:tblPrEx>
        <w:trPr>
          <w:trHeight w:val="547" w:hRule="atLeast"/>
          <w:jc w:val="center"/>
        </w:trPr>
        <w:tc>
          <w:tcPr>
            <w:tcW w:w="663" w:type="dxa"/>
            <w:tcBorders>
              <w:top w:val="nil"/>
              <w:left w:val="single" w:color="auto" w:sz="4" w:space="0"/>
              <w:bottom w:val="single" w:color="auto" w:sz="4" w:space="0"/>
              <w:right w:val="single" w:color="auto" w:sz="4" w:space="0"/>
            </w:tcBorders>
            <w:vAlign w:val="center"/>
          </w:tcPr>
          <w:p>
            <w:pPr>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2773" w:type="dxa"/>
            <w:tcBorders>
              <w:top w:val="nil"/>
              <w:left w:val="nil"/>
              <w:bottom w:val="single" w:color="auto" w:sz="4" w:space="0"/>
              <w:right w:val="single" w:color="auto" w:sz="4" w:space="0"/>
            </w:tcBorders>
            <w:vAlign w:val="center"/>
          </w:tcPr>
          <w:p>
            <w:pPr>
              <w:jc w:val="center"/>
              <w:rPr>
                <w:rFonts w:ascii="宋体" w:hAnsi="宋体" w:cs="宋体"/>
                <w:color w:val="auto"/>
                <w:szCs w:val="21"/>
                <w:highlight w:val="none"/>
              </w:rPr>
            </w:pPr>
            <w:r>
              <w:rPr>
                <w:rFonts w:hint="eastAsia"/>
                <w:color w:val="auto"/>
                <w:szCs w:val="21"/>
                <w:highlight w:val="none"/>
              </w:rPr>
              <w:t>白水风电场地形图测绘及可研报告编制咨询服务项目</w:t>
            </w:r>
          </w:p>
        </w:tc>
        <w:tc>
          <w:tcPr>
            <w:tcW w:w="770" w:type="dxa"/>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highlight w:val="none"/>
              </w:rPr>
            </w:pPr>
            <w:r>
              <w:rPr>
                <w:rFonts w:hint="eastAsia" w:ascii="宋体" w:hAnsi="宋体" w:cs="宋体"/>
                <w:color w:val="auto"/>
                <w:szCs w:val="21"/>
                <w:highlight w:val="none"/>
              </w:rPr>
              <w:t>项</w:t>
            </w:r>
          </w:p>
        </w:tc>
        <w:tc>
          <w:tcPr>
            <w:tcW w:w="709" w:type="dxa"/>
            <w:tcBorders>
              <w:top w:val="nil"/>
              <w:left w:val="nil"/>
              <w:bottom w:val="single" w:color="auto" w:sz="4" w:space="0"/>
              <w:right w:val="single" w:color="auto" w:sz="4" w:space="0"/>
            </w:tcBorders>
            <w:vAlign w:val="center"/>
          </w:tcPr>
          <w:p>
            <w:pPr>
              <w:jc w:val="center"/>
              <w:rPr>
                <w:rFonts w:ascii="宋体" w:hAnsi="宋体" w:cs="宋体"/>
                <w:color w:val="auto"/>
                <w:szCs w:val="21"/>
                <w:highlight w:val="none"/>
              </w:rPr>
            </w:pPr>
            <w:r>
              <w:rPr>
                <w:rFonts w:hint="eastAsia" w:ascii="宋体" w:hAnsi="宋体" w:cs="宋体"/>
                <w:color w:val="auto"/>
                <w:szCs w:val="21"/>
                <w:highlight w:val="none"/>
              </w:rPr>
              <w:t>1</w:t>
            </w:r>
          </w:p>
        </w:tc>
        <w:tc>
          <w:tcPr>
            <w:tcW w:w="1134" w:type="dxa"/>
            <w:tcBorders>
              <w:top w:val="nil"/>
              <w:left w:val="nil"/>
              <w:bottom w:val="single" w:color="auto" w:sz="4" w:space="0"/>
              <w:right w:val="single" w:color="auto" w:sz="4" w:space="0"/>
            </w:tcBorders>
            <w:vAlign w:val="center"/>
          </w:tcPr>
          <w:p>
            <w:pPr>
              <w:jc w:val="center"/>
              <w:rPr>
                <w:rFonts w:ascii="宋体" w:hAnsi="宋体" w:cs="宋体"/>
                <w:color w:val="auto"/>
                <w:szCs w:val="21"/>
                <w:highlight w:val="none"/>
              </w:rPr>
            </w:pPr>
          </w:p>
        </w:tc>
        <w:tc>
          <w:tcPr>
            <w:tcW w:w="1134" w:type="dxa"/>
            <w:tcBorders>
              <w:top w:val="nil"/>
              <w:left w:val="nil"/>
              <w:bottom w:val="single" w:color="auto" w:sz="4" w:space="0"/>
              <w:right w:val="single" w:color="auto" w:sz="4" w:space="0"/>
            </w:tcBorders>
            <w:vAlign w:val="center"/>
          </w:tcPr>
          <w:p>
            <w:pPr>
              <w:jc w:val="center"/>
              <w:rPr>
                <w:rFonts w:ascii="宋体" w:hAnsi="宋体" w:cs="宋体"/>
                <w:color w:val="auto"/>
                <w:szCs w:val="21"/>
                <w:highlight w:val="none"/>
              </w:rPr>
            </w:pPr>
          </w:p>
        </w:tc>
        <w:tc>
          <w:tcPr>
            <w:tcW w:w="708" w:type="dxa"/>
            <w:tcBorders>
              <w:top w:val="nil"/>
              <w:left w:val="nil"/>
              <w:bottom w:val="single" w:color="auto" w:sz="4" w:space="0"/>
              <w:right w:val="single" w:color="auto" w:sz="4" w:space="0"/>
            </w:tcBorders>
            <w:vAlign w:val="center"/>
          </w:tcPr>
          <w:p>
            <w:pPr>
              <w:jc w:val="center"/>
              <w:rPr>
                <w:rFonts w:ascii="宋体" w:hAnsi="宋体" w:cs="宋体"/>
                <w:color w:val="auto"/>
                <w:szCs w:val="21"/>
                <w:highlight w:val="none"/>
              </w:rPr>
            </w:pPr>
          </w:p>
        </w:tc>
        <w:tc>
          <w:tcPr>
            <w:tcW w:w="1095" w:type="dxa"/>
            <w:tcBorders>
              <w:top w:val="single" w:color="auto" w:sz="4" w:space="0"/>
              <w:left w:val="nil"/>
              <w:bottom w:val="single" w:color="auto" w:sz="4" w:space="0"/>
              <w:right w:val="single" w:color="auto" w:sz="4" w:space="0"/>
            </w:tcBorders>
            <w:vAlign w:val="center"/>
          </w:tcPr>
          <w:p>
            <w:pPr>
              <w:jc w:val="center"/>
              <w:rPr>
                <w:rFonts w:ascii="宋体" w:hAnsi="宋体" w:cs="宋体"/>
                <w:color w:val="auto"/>
                <w:szCs w:val="21"/>
                <w:highlight w:val="none"/>
              </w:rPr>
            </w:pPr>
          </w:p>
        </w:tc>
        <w:tc>
          <w:tcPr>
            <w:tcW w:w="1259" w:type="dxa"/>
            <w:tcBorders>
              <w:top w:val="nil"/>
              <w:left w:val="single" w:color="auto" w:sz="4" w:space="0"/>
              <w:bottom w:val="single" w:color="auto" w:sz="4" w:space="0"/>
              <w:right w:val="single" w:color="auto" w:sz="4" w:space="0"/>
            </w:tcBorders>
            <w:vAlign w:val="center"/>
          </w:tcPr>
          <w:p>
            <w:pPr>
              <w:jc w:val="center"/>
              <w:rPr>
                <w:rFonts w:hint="eastAsia" w:ascii="宋体" w:hAnsi="宋体" w:cs="宋体"/>
                <w:color w:val="auto"/>
                <w:szCs w:val="21"/>
                <w:highlight w:val="none"/>
              </w:rPr>
            </w:pPr>
            <w:r>
              <w:rPr>
                <w:rFonts w:hint="eastAsia" w:ascii="宋体" w:hAnsi="宋体" w:cs="宋体"/>
                <w:color w:val="auto"/>
                <w:szCs w:val="21"/>
                <w:highlight w:val="none"/>
              </w:rPr>
              <w:t>含</w:t>
            </w:r>
            <w:r>
              <w:rPr>
                <w:rFonts w:hint="eastAsia" w:ascii="宋体" w:hAnsi="宋体" w:cs="宋体"/>
                <w:color w:val="auto"/>
                <w:szCs w:val="21"/>
                <w:highlight w:val="none"/>
                <w:lang w:val="en-US" w:eastAsia="zh-CN"/>
              </w:rPr>
              <w:t>地形图测绘、可研报告</w:t>
            </w:r>
            <w:r>
              <w:rPr>
                <w:rFonts w:hint="eastAsia" w:ascii="宋体" w:hAnsi="宋体" w:cs="宋体"/>
                <w:color w:val="auto"/>
                <w:szCs w:val="21"/>
                <w:highlight w:val="none"/>
              </w:rPr>
              <w:t>、项目申请报告</w:t>
            </w:r>
          </w:p>
        </w:tc>
      </w:tr>
      <w:tr>
        <w:tblPrEx>
          <w:tblCellMar>
            <w:top w:w="0" w:type="dxa"/>
            <w:left w:w="108" w:type="dxa"/>
            <w:bottom w:w="0" w:type="dxa"/>
            <w:right w:w="108" w:type="dxa"/>
          </w:tblCellMar>
        </w:tblPrEx>
        <w:trPr>
          <w:trHeight w:val="472" w:hRule="atLeast"/>
          <w:jc w:val="center"/>
        </w:trPr>
        <w:tc>
          <w:tcPr>
            <w:tcW w:w="663" w:type="dxa"/>
            <w:tcBorders>
              <w:top w:val="nil"/>
              <w:left w:val="single" w:color="auto" w:sz="4" w:space="0"/>
              <w:bottom w:val="single" w:color="auto" w:sz="4" w:space="0"/>
              <w:right w:val="single" w:color="auto" w:sz="4" w:space="0"/>
            </w:tcBorders>
            <w:vAlign w:val="center"/>
          </w:tcPr>
          <w:p>
            <w:pPr>
              <w:jc w:val="center"/>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2773" w:type="dxa"/>
            <w:tcBorders>
              <w:top w:val="nil"/>
              <w:left w:val="nil"/>
              <w:bottom w:val="single" w:color="auto" w:sz="4" w:space="0"/>
              <w:right w:val="single" w:color="auto" w:sz="4" w:space="0"/>
            </w:tcBorders>
            <w:vAlign w:val="center"/>
          </w:tcPr>
          <w:p>
            <w:pPr>
              <w:jc w:val="center"/>
              <w:rPr>
                <w:rFonts w:ascii="宋体" w:hAnsi="宋体" w:cs="宋体"/>
                <w:color w:val="auto"/>
                <w:szCs w:val="21"/>
                <w:highlight w:val="none"/>
              </w:rPr>
            </w:pPr>
            <w:r>
              <w:rPr>
                <w:rFonts w:hint="eastAsia"/>
                <w:color w:val="auto"/>
                <w:szCs w:val="21"/>
                <w:highlight w:val="none"/>
              </w:rPr>
              <w:t>麒麟北风电场（二期）地形图测绘及可研报告编制咨询服务项目</w:t>
            </w:r>
          </w:p>
        </w:tc>
        <w:tc>
          <w:tcPr>
            <w:tcW w:w="770" w:type="dxa"/>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highlight w:val="none"/>
              </w:rPr>
            </w:pPr>
            <w:r>
              <w:rPr>
                <w:rFonts w:hint="eastAsia" w:ascii="宋体" w:hAnsi="宋体" w:cs="宋体"/>
                <w:color w:val="auto"/>
                <w:szCs w:val="21"/>
                <w:highlight w:val="none"/>
              </w:rPr>
              <w:t>项</w:t>
            </w:r>
          </w:p>
        </w:tc>
        <w:tc>
          <w:tcPr>
            <w:tcW w:w="709" w:type="dxa"/>
            <w:tcBorders>
              <w:top w:val="nil"/>
              <w:left w:val="nil"/>
              <w:bottom w:val="single" w:color="auto" w:sz="4" w:space="0"/>
              <w:right w:val="single" w:color="auto" w:sz="4" w:space="0"/>
            </w:tcBorders>
            <w:vAlign w:val="center"/>
          </w:tcPr>
          <w:p>
            <w:pPr>
              <w:jc w:val="center"/>
              <w:rPr>
                <w:rFonts w:ascii="宋体" w:hAnsi="宋体" w:cs="宋体"/>
                <w:color w:val="auto"/>
                <w:szCs w:val="21"/>
                <w:highlight w:val="none"/>
              </w:rPr>
            </w:pPr>
            <w:r>
              <w:rPr>
                <w:rFonts w:hint="eastAsia" w:ascii="宋体" w:hAnsi="宋体" w:cs="宋体"/>
                <w:color w:val="auto"/>
                <w:szCs w:val="21"/>
                <w:highlight w:val="none"/>
              </w:rPr>
              <w:t>1</w:t>
            </w:r>
          </w:p>
        </w:tc>
        <w:tc>
          <w:tcPr>
            <w:tcW w:w="1134" w:type="dxa"/>
            <w:tcBorders>
              <w:top w:val="nil"/>
              <w:left w:val="nil"/>
              <w:bottom w:val="single" w:color="auto" w:sz="4" w:space="0"/>
              <w:right w:val="single" w:color="auto" w:sz="4" w:space="0"/>
            </w:tcBorders>
            <w:vAlign w:val="center"/>
          </w:tcPr>
          <w:p>
            <w:pPr>
              <w:jc w:val="center"/>
              <w:rPr>
                <w:rFonts w:ascii="宋体" w:hAnsi="宋体" w:cs="宋体"/>
                <w:color w:val="auto"/>
                <w:szCs w:val="21"/>
                <w:highlight w:val="none"/>
              </w:rPr>
            </w:pPr>
          </w:p>
        </w:tc>
        <w:tc>
          <w:tcPr>
            <w:tcW w:w="1134" w:type="dxa"/>
            <w:tcBorders>
              <w:top w:val="nil"/>
              <w:left w:val="nil"/>
              <w:bottom w:val="single" w:color="auto" w:sz="4" w:space="0"/>
              <w:right w:val="single" w:color="auto" w:sz="4" w:space="0"/>
            </w:tcBorders>
            <w:vAlign w:val="center"/>
          </w:tcPr>
          <w:p>
            <w:pPr>
              <w:jc w:val="center"/>
              <w:rPr>
                <w:rFonts w:ascii="宋体" w:hAnsi="宋体" w:cs="宋体"/>
                <w:color w:val="auto"/>
                <w:szCs w:val="21"/>
                <w:highlight w:val="none"/>
              </w:rPr>
            </w:pPr>
          </w:p>
        </w:tc>
        <w:tc>
          <w:tcPr>
            <w:tcW w:w="708" w:type="dxa"/>
            <w:tcBorders>
              <w:top w:val="nil"/>
              <w:left w:val="nil"/>
              <w:bottom w:val="single" w:color="auto" w:sz="4" w:space="0"/>
              <w:right w:val="single" w:color="auto" w:sz="4" w:space="0"/>
            </w:tcBorders>
            <w:vAlign w:val="center"/>
          </w:tcPr>
          <w:p>
            <w:pPr>
              <w:jc w:val="center"/>
              <w:rPr>
                <w:rFonts w:ascii="宋体" w:hAnsi="宋体" w:cs="宋体"/>
                <w:color w:val="auto"/>
                <w:szCs w:val="21"/>
                <w:highlight w:val="none"/>
              </w:rPr>
            </w:pPr>
          </w:p>
        </w:tc>
        <w:tc>
          <w:tcPr>
            <w:tcW w:w="1095" w:type="dxa"/>
            <w:tcBorders>
              <w:top w:val="single" w:color="auto" w:sz="4" w:space="0"/>
              <w:left w:val="nil"/>
              <w:bottom w:val="single" w:color="auto" w:sz="4" w:space="0"/>
              <w:right w:val="single" w:color="auto" w:sz="4" w:space="0"/>
            </w:tcBorders>
            <w:vAlign w:val="center"/>
          </w:tcPr>
          <w:p>
            <w:pPr>
              <w:jc w:val="center"/>
              <w:rPr>
                <w:rFonts w:ascii="宋体" w:hAnsi="宋体" w:cs="宋体"/>
                <w:color w:val="auto"/>
                <w:szCs w:val="21"/>
                <w:highlight w:val="none"/>
              </w:rPr>
            </w:pPr>
          </w:p>
        </w:tc>
        <w:tc>
          <w:tcPr>
            <w:tcW w:w="1259" w:type="dxa"/>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highlight w:val="none"/>
              </w:rPr>
            </w:pPr>
            <w:r>
              <w:rPr>
                <w:rFonts w:hint="eastAsia" w:ascii="宋体" w:hAnsi="宋体" w:cs="宋体"/>
                <w:color w:val="auto"/>
                <w:szCs w:val="21"/>
                <w:highlight w:val="none"/>
              </w:rPr>
              <w:t>含</w:t>
            </w:r>
            <w:r>
              <w:rPr>
                <w:rFonts w:hint="eastAsia" w:ascii="宋体" w:hAnsi="宋体" w:cs="宋体"/>
                <w:color w:val="auto"/>
                <w:szCs w:val="21"/>
                <w:highlight w:val="none"/>
                <w:lang w:val="en-US" w:eastAsia="zh-CN"/>
              </w:rPr>
              <w:t>地形图测绘、可研报告</w:t>
            </w:r>
            <w:r>
              <w:rPr>
                <w:rFonts w:hint="eastAsia" w:ascii="宋体" w:hAnsi="宋体" w:cs="宋体"/>
                <w:color w:val="auto"/>
                <w:szCs w:val="21"/>
                <w:highlight w:val="none"/>
              </w:rPr>
              <w:t>、项目申请报告</w:t>
            </w:r>
          </w:p>
        </w:tc>
      </w:tr>
      <w:tr>
        <w:tblPrEx>
          <w:tblCellMar>
            <w:top w:w="0" w:type="dxa"/>
            <w:left w:w="108" w:type="dxa"/>
            <w:bottom w:w="0" w:type="dxa"/>
            <w:right w:w="108" w:type="dxa"/>
          </w:tblCellMar>
        </w:tblPrEx>
        <w:trPr>
          <w:trHeight w:val="76" w:hRule="atLeast"/>
          <w:jc w:val="center"/>
        </w:trPr>
        <w:tc>
          <w:tcPr>
            <w:tcW w:w="663" w:type="dxa"/>
            <w:tcBorders>
              <w:top w:val="nil"/>
              <w:left w:val="single" w:color="auto" w:sz="4" w:space="0"/>
              <w:bottom w:val="single" w:color="auto" w:sz="4" w:space="0"/>
              <w:right w:val="single" w:color="auto" w:sz="4" w:space="0"/>
            </w:tcBorders>
            <w:vAlign w:val="center"/>
          </w:tcPr>
          <w:p>
            <w:pPr>
              <w:jc w:val="center"/>
              <w:rPr>
                <w:rFonts w:ascii="宋体" w:hAnsi="宋体" w:cs="宋体"/>
                <w:b/>
                <w:bCs/>
                <w:color w:val="auto"/>
                <w:kern w:val="0"/>
                <w:szCs w:val="21"/>
                <w:highlight w:val="none"/>
              </w:rPr>
            </w:pPr>
          </w:p>
        </w:tc>
        <w:tc>
          <w:tcPr>
            <w:tcW w:w="2773" w:type="dxa"/>
            <w:tcBorders>
              <w:top w:val="nil"/>
              <w:left w:val="nil"/>
              <w:bottom w:val="single" w:color="auto" w:sz="4" w:space="0"/>
              <w:right w:val="single" w:color="auto" w:sz="4" w:space="0"/>
            </w:tcBorders>
            <w:vAlign w:val="center"/>
          </w:tcPr>
          <w:p>
            <w:pPr>
              <w:jc w:val="left"/>
              <w:rPr>
                <w:rFonts w:ascii="宋体" w:hAnsi="宋体" w:cs="宋体"/>
                <w:b/>
                <w:bCs/>
                <w:color w:val="auto"/>
                <w:szCs w:val="21"/>
                <w:highlight w:val="none"/>
              </w:rPr>
            </w:pPr>
            <w:r>
              <w:rPr>
                <w:rFonts w:hint="eastAsia" w:ascii="宋体" w:hAnsi="宋体" w:cs="宋体"/>
                <w:b/>
                <w:bCs/>
                <w:color w:val="auto"/>
                <w:kern w:val="0"/>
                <w:szCs w:val="21"/>
                <w:highlight w:val="none"/>
              </w:rPr>
              <w:t>合    计</w:t>
            </w:r>
          </w:p>
        </w:tc>
        <w:tc>
          <w:tcPr>
            <w:tcW w:w="770" w:type="dxa"/>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项</w:t>
            </w:r>
          </w:p>
        </w:tc>
        <w:tc>
          <w:tcPr>
            <w:tcW w:w="709" w:type="dxa"/>
            <w:tcBorders>
              <w:top w:val="nil"/>
              <w:left w:val="nil"/>
              <w:bottom w:val="single" w:color="auto" w:sz="4" w:space="0"/>
              <w:right w:val="single" w:color="auto" w:sz="4" w:space="0"/>
            </w:tcBorders>
            <w:vAlign w:val="center"/>
          </w:tcPr>
          <w:p>
            <w:pPr>
              <w:jc w:val="center"/>
              <w:rPr>
                <w:rFonts w:hint="eastAsia"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2</w:t>
            </w:r>
          </w:p>
        </w:tc>
        <w:tc>
          <w:tcPr>
            <w:tcW w:w="1134" w:type="dxa"/>
            <w:tcBorders>
              <w:top w:val="nil"/>
              <w:left w:val="nil"/>
              <w:bottom w:val="single" w:color="auto" w:sz="4" w:space="0"/>
              <w:right w:val="single" w:color="auto" w:sz="4" w:space="0"/>
            </w:tcBorders>
            <w:vAlign w:val="center"/>
          </w:tcPr>
          <w:p>
            <w:pPr>
              <w:jc w:val="center"/>
              <w:rPr>
                <w:rFonts w:ascii="宋体" w:hAnsi="宋体" w:cs="宋体"/>
                <w:b/>
                <w:bCs/>
                <w:color w:val="auto"/>
                <w:szCs w:val="21"/>
                <w:highlight w:val="none"/>
              </w:rPr>
            </w:pPr>
          </w:p>
        </w:tc>
        <w:tc>
          <w:tcPr>
            <w:tcW w:w="1134" w:type="dxa"/>
            <w:tcBorders>
              <w:top w:val="nil"/>
              <w:left w:val="nil"/>
              <w:bottom w:val="single" w:color="auto" w:sz="4" w:space="0"/>
              <w:right w:val="single" w:color="auto" w:sz="4" w:space="0"/>
            </w:tcBorders>
            <w:vAlign w:val="center"/>
          </w:tcPr>
          <w:p>
            <w:pPr>
              <w:jc w:val="center"/>
              <w:rPr>
                <w:rFonts w:ascii="宋体" w:hAnsi="宋体" w:cs="宋体"/>
                <w:b/>
                <w:bCs/>
                <w:color w:val="auto"/>
                <w:szCs w:val="21"/>
                <w:highlight w:val="none"/>
              </w:rPr>
            </w:pPr>
          </w:p>
        </w:tc>
        <w:tc>
          <w:tcPr>
            <w:tcW w:w="708" w:type="dxa"/>
            <w:tcBorders>
              <w:top w:val="nil"/>
              <w:left w:val="nil"/>
              <w:bottom w:val="single" w:color="auto" w:sz="4" w:space="0"/>
              <w:right w:val="single" w:color="auto" w:sz="4" w:space="0"/>
            </w:tcBorders>
            <w:vAlign w:val="center"/>
          </w:tcPr>
          <w:p>
            <w:pPr>
              <w:jc w:val="center"/>
              <w:rPr>
                <w:rFonts w:ascii="宋体" w:hAnsi="宋体" w:cs="宋体"/>
                <w:b/>
                <w:bCs/>
                <w:color w:val="auto"/>
                <w:szCs w:val="21"/>
                <w:highlight w:val="none"/>
              </w:rPr>
            </w:pPr>
          </w:p>
        </w:tc>
        <w:tc>
          <w:tcPr>
            <w:tcW w:w="1095" w:type="dxa"/>
            <w:tcBorders>
              <w:top w:val="single" w:color="auto" w:sz="4" w:space="0"/>
              <w:left w:val="nil"/>
              <w:bottom w:val="single" w:color="auto" w:sz="4" w:space="0"/>
              <w:right w:val="single" w:color="auto" w:sz="4" w:space="0"/>
            </w:tcBorders>
            <w:vAlign w:val="center"/>
          </w:tcPr>
          <w:p>
            <w:pPr>
              <w:jc w:val="center"/>
              <w:rPr>
                <w:rFonts w:ascii="宋体" w:hAnsi="宋体" w:cs="宋体"/>
                <w:b/>
                <w:bCs/>
                <w:color w:val="auto"/>
                <w:szCs w:val="21"/>
                <w:highlight w:val="none"/>
              </w:rPr>
            </w:pPr>
          </w:p>
        </w:tc>
        <w:tc>
          <w:tcPr>
            <w:tcW w:w="1259" w:type="dxa"/>
            <w:tcBorders>
              <w:top w:val="nil"/>
              <w:left w:val="single" w:color="auto" w:sz="4" w:space="0"/>
              <w:bottom w:val="single" w:color="auto" w:sz="4" w:space="0"/>
              <w:right w:val="single" w:color="auto" w:sz="4" w:space="0"/>
            </w:tcBorders>
            <w:vAlign w:val="center"/>
          </w:tcPr>
          <w:p>
            <w:pPr>
              <w:jc w:val="center"/>
              <w:rPr>
                <w:rFonts w:ascii="宋体" w:hAnsi="宋体" w:cs="宋体"/>
                <w:b/>
                <w:bCs/>
                <w:color w:val="auto"/>
                <w:szCs w:val="21"/>
                <w:highlight w:val="none"/>
              </w:rPr>
            </w:pPr>
          </w:p>
        </w:tc>
      </w:tr>
    </w:tbl>
    <w:p>
      <w:pPr>
        <w:spacing w:before="240"/>
        <w:rPr>
          <w:color w:val="auto"/>
          <w:sz w:val="24"/>
          <w:highlight w:val="none"/>
        </w:rPr>
      </w:pPr>
    </w:p>
    <w:p>
      <w:pPr>
        <w:spacing w:before="240"/>
        <w:rPr>
          <w:color w:val="auto"/>
          <w:sz w:val="24"/>
          <w:highlight w:val="none"/>
        </w:rPr>
      </w:pPr>
      <w:r>
        <w:rPr>
          <w:rFonts w:hint="eastAsia"/>
          <w:color w:val="auto"/>
          <w:sz w:val="24"/>
          <w:highlight w:val="none"/>
        </w:rPr>
        <w:t>供应商：</w:t>
      </w:r>
      <w:r>
        <w:rPr>
          <w:rFonts w:hint="eastAsia"/>
          <w:color w:val="auto"/>
          <w:sz w:val="24"/>
          <w:highlight w:val="none"/>
          <w:u w:val="single"/>
        </w:rPr>
        <w:t xml:space="preserve">                        </w:t>
      </w:r>
      <w:r>
        <w:rPr>
          <w:rFonts w:hint="eastAsia"/>
          <w:color w:val="auto"/>
          <w:sz w:val="24"/>
          <w:highlight w:val="none"/>
        </w:rPr>
        <w:t>（盖单位章）</w:t>
      </w:r>
    </w:p>
    <w:p>
      <w:pPr>
        <w:spacing w:before="240"/>
        <w:rPr>
          <w:color w:val="auto"/>
          <w:sz w:val="24"/>
          <w:highlight w:val="none"/>
        </w:rPr>
      </w:pPr>
      <w:r>
        <w:rPr>
          <w:rFonts w:hint="eastAsia"/>
          <w:color w:val="auto"/>
          <w:sz w:val="24"/>
          <w:highlight w:val="none"/>
        </w:rPr>
        <w:t>法定代表人或委托代理人：</w:t>
      </w:r>
      <w:r>
        <w:rPr>
          <w:rFonts w:hint="eastAsia"/>
          <w:color w:val="auto"/>
          <w:sz w:val="24"/>
          <w:highlight w:val="none"/>
          <w:u w:val="single"/>
        </w:rPr>
        <w:t xml:space="preserve">                  </w:t>
      </w:r>
      <w:r>
        <w:rPr>
          <w:rFonts w:hint="eastAsia"/>
          <w:color w:val="auto"/>
          <w:sz w:val="24"/>
          <w:highlight w:val="none"/>
        </w:rPr>
        <w:t>（签字或盖章）</w:t>
      </w:r>
    </w:p>
    <w:p>
      <w:pPr>
        <w:spacing w:before="240"/>
        <w:rPr>
          <w:color w:val="auto"/>
          <w:sz w:val="24"/>
          <w:highlight w:val="none"/>
        </w:rPr>
      </w:pPr>
      <w:r>
        <w:rPr>
          <w:rFonts w:hint="eastAsia"/>
          <w:color w:val="auto"/>
          <w:sz w:val="24"/>
          <w:highlight w:val="none"/>
        </w:rPr>
        <w:t>日期：</w:t>
      </w:r>
      <w:r>
        <w:rPr>
          <w:rFonts w:hint="eastAsia"/>
          <w:color w:val="auto"/>
          <w:sz w:val="24"/>
          <w:highlight w:val="none"/>
          <w:u w:val="single"/>
        </w:rPr>
        <w:t xml:space="preserve">    </w:t>
      </w:r>
      <w:r>
        <w:rPr>
          <w:rFonts w:hint="eastAsia"/>
          <w:color w:val="auto"/>
          <w:sz w:val="24"/>
          <w:highlight w:val="none"/>
        </w:rPr>
        <w:t>年</w:t>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 xml:space="preserve">     </w:t>
      </w:r>
      <w:r>
        <w:rPr>
          <w:rFonts w:hint="eastAsia"/>
          <w:color w:val="auto"/>
          <w:sz w:val="24"/>
          <w:highlight w:val="none"/>
        </w:rPr>
        <w:t>日</w:t>
      </w:r>
    </w:p>
    <w:bookmarkEnd w:id="331"/>
    <w:bookmarkEnd w:id="332"/>
    <w:p>
      <w:pPr>
        <w:keepNext/>
        <w:keepLines/>
        <w:ind w:firstLine="3855" w:firstLineChars="1200"/>
        <w:outlineLvl w:val="2"/>
        <w:rPr>
          <w:b/>
          <w:bCs/>
          <w:color w:val="auto"/>
          <w:kern w:val="0"/>
          <w:sz w:val="32"/>
          <w:szCs w:val="32"/>
          <w:highlight w:val="none"/>
        </w:rPr>
      </w:pPr>
      <w:bookmarkStart w:id="333" w:name="_Toc6197"/>
      <w:bookmarkStart w:id="334" w:name="_Toc21947"/>
      <w:bookmarkStart w:id="335" w:name="_Toc49019232"/>
      <w:bookmarkStart w:id="336" w:name="_Toc47262065"/>
      <w:bookmarkStart w:id="337" w:name="_Toc203648064"/>
      <w:bookmarkStart w:id="338" w:name="_Toc47418251"/>
      <w:bookmarkStart w:id="339" w:name="_Toc47261686"/>
      <w:bookmarkStart w:id="340" w:name="_Toc47418727"/>
      <w:bookmarkStart w:id="341" w:name="_Toc47418934"/>
      <w:bookmarkStart w:id="342" w:name="_Toc48995847"/>
      <w:bookmarkStart w:id="343" w:name="_Toc47261881"/>
      <w:bookmarkStart w:id="344" w:name="_Toc48791231"/>
      <w:bookmarkStart w:id="345" w:name="_Toc198021516"/>
    </w:p>
    <w:p>
      <w:pPr>
        <w:pStyle w:val="2"/>
        <w:ind w:firstLine="643"/>
        <w:rPr>
          <w:b/>
          <w:bCs/>
          <w:color w:val="auto"/>
          <w:kern w:val="0"/>
          <w:sz w:val="32"/>
          <w:szCs w:val="32"/>
          <w:highlight w:val="none"/>
        </w:rPr>
      </w:pPr>
    </w:p>
    <w:p>
      <w:pPr>
        <w:rPr>
          <w:b/>
          <w:bCs/>
          <w:color w:val="auto"/>
          <w:kern w:val="0"/>
          <w:sz w:val="32"/>
          <w:szCs w:val="32"/>
          <w:highlight w:val="none"/>
        </w:rPr>
      </w:pPr>
    </w:p>
    <w:p>
      <w:pPr>
        <w:pStyle w:val="2"/>
        <w:ind w:firstLine="643"/>
        <w:rPr>
          <w:b/>
          <w:bCs/>
          <w:color w:val="auto"/>
          <w:kern w:val="0"/>
          <w:sz w:val="32"/>
          <w:szCs w:val="32"/>
          <w:highlight w:val="none"/>
        </w:rPr>
      </w:pPr>
    </w:p>
    <w:p>
      <w:pPr>
        <w:rPr>
          <w:b/>
          <w:bCs/>
          <w:color w:val="auto"/>
          <w:kern w:val="0"/>
          <w:sz w:val="32"/>
          <w:szCs w:val="32"/>
          <w:highlight w:val="none"/>
        </w:rPr>
      </w:pPr>
    </w:p>
    <w:p>
      <w:pPr>
        <w:pStyle w:val="2"/>
        <w:ind w:firstLine="643"/>
        <w:rPr>
          <w:b/>
          <w:bCs/>
          <w:color w:val="auto"/>
          <w:kern w:val="0"/>
          <w:sz w:val="32"/>
          <w:szCs w:val="32"/>
          <w:highlight w:val="none"/>
        </w:rPr>
      </w:pPr>
    </w:p>
    <w:p>
      <w:pPr>
        <w:rPr>
          <w:b/>
          <w:bCs/>
          <w:color w:val="auto"/>
          <w:kern w:val="0"/>
          <w:sz w:val="32"/>
          <w:szCs w:val="32"/>
          <w:highlight w:val="none"/>
        </w:rPr>
      </w:pPr>
    </w:p>
    <w:p>
      <w:pPr>
        <w:pStyle w:val="2"/>
        <w:ind w:firstLine="643"/>
        <w:rPr>
          <w:b/>
          <w:bCs/>
          <w:color w:val="auto"/>
          <w:kern w:val="0"/>
          <w:sz w:val="32"/>
          <w:szCs w:val="32"/>
          <w:highlight w:val="none"/>
        </w:rPr>
      </w:pPr>
    </w:p>
    <w:p>
      <w:pPr>
        <w:rPr>
          <w:color w:val="auto"/>
        </w:rPr>
      </w:pPr>
    </w:p>
    <w:p>
      <w:pPr>
        <w:rPr>
          <w:color w:val="auto"/>
          <w:sz w:val="24"/>
          <w:szCs w:val="24"/>
          <w:highlight w:val="none"/>
        </w:rPr>
      </w:pPr>
    </w:p>
    <w:p>
      <w:pPr>
        <w:rPr>
          <w:color w:val="auto"/>
          <w:sz w:val="24"/>
          <w:szCs w:val="24"/>
          <w:highlight w:val="none"/>
        </w:rPr>
      </w:pPr>
    </w:p>
    <w:p>
      <w:pPr>
        <w:keepNext/>
        <w:keepLines/>
        <w:ind w:firstLine="3213" w:firstLineChars="1000"/>
        <w:outlineLvl w:val="2"/>
        <w:rPr>
          <w:b/>
          <w:bCs/>
          <w:color w:val="auto"/>
          <w:kern w:val="0"/>
          <w:sz w:val="32"/>
          <w:szCs w:val="32"/>
          <w:highlight w:val="none"/>
        </w:rPr>
      </w:pPr>
      <w:r>
        <w:rPr>
          <w:rFonts w:hint="eastAsia"/>
          <w:b/>
          <w:bCs/>
          <w:color w:val="auto"/>
          <w:kern w:val="0"/>
          <w:sz w:val="32"/>
          <w:szCs w:val="32"/>
          <w:highlight w:val="none"/>
        </w:rPr>
        <w:t>二、报价申请函</w:t>
      </w:r>
    </w:p>
    <w:p>
      <w:pPr>
        <w:rPr>
          <w:color w:val="auto"/>
          <w:sz w:val="24"/>
          <w:szCs w:val="24"/>
          <w:highlight w:val="none"/>
        </w:rPr>
      </w:pPr>
    </w:p>
    <w:p>
      <w:pPr>
        <w:rPr>
          <w:color w:val="auto"/>
          <w:sz w:val="24"/>
          <w:szCs w:val="24"/>
          <w:highlight w:val="none"/>
        </w:rPr>
      </w:pPr>
    </w:p>
    <w:p>
      <w:pPr>
        <w:rPr>
          <w:color w:val="auto"/>
          <w:sz w:val="24"/>
          <w:szCs w:val="24"/>
          <w:highlight w:val="none"/>
        </w:rPr>
      </w:pPr>
      <w:r>
        <w:rPr>
          <w:rFonts w:hint="eastAsia"/>
          <w:color w:val="auto"/>
          <w:sz w:val="24"/>
          <w:szCs w:val="24"/>
          <w:highlight w:val="none"/>
        </w:rPr>
        <w:t>致：云能（曲靖）综合能源服务有限公司</w:t>
      </w:r>
    </w:p>
    <w:p>
      <w:pPr>
        <w:rPr>
          <w:color w:val="auto"/>
          <w:sz w:val="24"/>
          <w:szCs w:val="24"/>
          <w:highlight w:val="none"/>
        </w:rPr>
      </w:pPr>
    </w:p>
    <w:p>
      <w:pPr>
        <w:spacing w:line="360" w:lineRule="auto"/>
        <w:ind w:firstLine="480"/>
        <w:rPr>
          <w:color w:val="auto"/>
          <w:sz w:val="24"/>
          <w:highlight w:val="none"/>
        </w:rPr>
      </w:pPr>
      <w:r>
        <w:rPr>
          <w:rFonts w:hint="eastAsia"/>
          <w:color w:val="auto"/>
          <w:sz w:val="24"/>
          <w:highlight w:val="none"/>
        </w:rPr>
        <w:t>经详细阅读和研究</w:t>
      </w:r>
      <w:r>
        <w:rPr>
          <w:rFonts w:hint="eastAsia"/>
          <w:color w:val="auto"/>
          <w:sz w:val="24"/>
          <w:highlight w:val="none"/>
          <w:u w:val="single"/>
        </w:rPr>
        <w:t>（项目名称）</w:t>
      </w:r>
      <w:r>
        <w:rPr>
          <w:rFonts w:hint="eastAsia"/>
          <w:color w:val="auto"/>
          <w:sz w:val="24"/>
          <w:highlight w:val="none"/>
        </w:rPr>
        <w:t>，</w:t>
      </w:r>
      <w:r>
        <w:rPr>
          <w:rFonts w:hint="eastAsia"/>
          <w:color w:val="auto"/>
          <w:sz w:val="24"/>
          <w:highlight w:val="none"/>
          <w:u w:val="single"/>
        </w:rPr>
        <w:t>（项目编号：）</w:t>
      </w:r>
      <w:r>
        <w:rPr>
          <w:rFonts w:hint="eastAsia"/>
          <w:color w:val="auto"/>
          <w:sz w:val="24"/>
          <w:highlight w:val="none"/>
        </w:rPr>
        <w:t>的报价文件, 我们决定参加报价并作如下保证:</w:t>
      </w:r>
    </w:p>
    <w:p>
      <w:pPr>
        <w:spacing w:line="360" w:lineRule="auto"/>
        <w:ind w:firstLine="480"/>
        <w:rPr>
          <w:color w:val="auto"/>
          <w:sz w:val="24"/>
          <w:highlight w:val="none"/>
        </w:rPr>
      </w:pPr>
      <w:r>
        <w:rPr>
          <w:rFonts w:hint="eastAsia"/>
          <w:color w:val="auto"/>
          <w:sz w:val="24"/>
          <w:highlight w:val="none"/>
        </w:rPr>
        <w:t>1.愿按照报价文件中的要求, 提供所需服务，</w:t>
      </w:r>
      <w:r>
        <w:rPr>
          <w:rFonts w:hint="eastAsia"/>
          <w:color w:val="auto"/>
          <w:sz w:val="24"/>
          <w:highlight w:val="none"/>
          <w:lang w:eastAsia="zh-CN"/>
        </w:rPr>
        <w:t>报价</w:t>
      </w:r>
      <w:r>
        <w:rPr>
          <w:rFonts w:hint="eastAsia"/>
          <w:color w:val="auto"/>
          <w:sz w:val="24"/>
          <w:highlight w:val="none"/>
        </w:rPr>
        <w:t>为含税总价：_________,大写：__________，税率：</w:t>
      </w:r>
      <w:r>
        <w:rPr>
          <w:rFonts w:hint="eastAsia"/>
          <w:color w:val="auto"/>
          <w:sz w:val="24"/>
          <w:highlight w:val="none"/>
          <w:u w:val="single"/>
        </w:rPr>
        <w:t xml:space="preserve">      </w:t>
      </w:r>
      <w:r>
        <w:rPr>
          <w:rFonts w:hint="eastAsia"/>
          <w:color w:val="auto"/>
          <w:sz w:val="24"/>
          <w:highlight w:val="none"/>
        </w:rPr>
        <w:t>。</w:t>
      </w:r>
    </w:p>
    <w:p>
      <w:pPr>
        <w:spacing w:line="360" w:lineRule="auto"/>
        <w:ind w:firstLine="480"/>
        <w:rPr>
          <w:color w:val="auto"/>
          <w:sz w:val="24"/>
          <w:highlight w:val="none"/>
        </w:rPr>
      </w:pPr>
      <w:r>
        <w:rPr>
          <w:rFonts w:hint="eastAsia"/>
          <w:color w:val="auto"/>
          <w:sz w:val="24"/>
          <w:highlight w:val="none"/>
        </w:rPr>
        <w:t>2．如果我们的报价申请文件被接受</w:t>
      </w:r>
      <w:r>
        <w:rPr>
          <w:rFonts w:hint="eastAsia"/>
          <w:color w:val="auto"/>
          <w:sz w:val="24"/>
          <w:highlight w:val="none"/>
          <w:lang w:eastAsia="zh-CN"/>
        </w:rPr>
        <w:t>，</w:t>
      </w:r>
      <w:r>
        <w:rPr>
          <w:rFonts w:hint="eastAsia"/>
          <w:color w:val="auto"/>
          <w:sz w:val="24"/>
          <w:highlight w:val="none"/>
        </w:rPr>
        <w:t xml:space="preserve"> 我们愿按《中华人民共和国民法典》履行自己的全部责任。</w:t>
      </w:r>
    </w:p>
    <w:p>
      <w:pPr>
        <w:spacing w:line="360" w:lineRule="auto"/>
        <w:ind w:firstLine="480"/>
        <w:rPr>
          <w:color w:val="auto"/>
          <w:sz w:val="24"/>
          <w:highlight w:val="none"/>
        </w:rPr>
      </w:pPr>
      <w:r>
        <w:rPr>
          <w:rFonts w:hint="eastAsia"/>
          <w:color w:val="auto"/>
          <w:sz w:val="24"/>
          <w:highlight w:val="none"/>
        </w:rPr>
        <w:t>3．我们同意按报价文件中的规定, 本报价文件的有效期为报价申请文件递交截止之日起90天,如果成交有效期延至合同终止日止。在此期间, 对我们具有法律上的约束。</w:t>
      </w:r>
    </w:p>
    <w:p>
      <w:pPr>
        <w:spacing w:line="360" w:lineRule="auto"/>
        <w:ind w:firstLine="480"/>
        <w:rPr>
          <w:color w:val="auto"/>
          <w:sz w:val="24"/>
          <w:highlight w:val="none"/>
        </w:rPr>
      </w:pPr>
      <w:r>
        <w:rPr>
          <w:rFonts w:hint="eastAsia"/>
          <w:color w:val="auto"/>
          <w:sz w:val="24"/>
          <w:highlight w:val="none"/>
        </w:rPr>
        <w:t>4．我们愿意提供采购人在报价文件中要求的所有资料。</w:t>
      </w:r>
    </w:p>
    <w:p>
      <w:pPr>
        <w:spacing w:line="360" w:lineRule="auto"/>
        <w:ind w:firstLine="480"/>
        <w:rPr>
          <w:color w:val="auto"/>
          <w:sz w:val="24"/>
          <w:highlight w:val="none"/>
        </w:rPr>
      </w:pPr>
      <w:r>
        <w:rPr>
          <w:rFonts w:hint="eastAsia"/>
          <w:color w:val="auto"/>
          <w:sz w:val="24"/>
          <w:highlight w:val="none"/>
        </w:rPr>
        <w:t>5.</w:t>
      </w:r>
      <w:r>
        <w:rPr>
          <w:rFonts w:hint="eastAsia"/>
          <w:color w:val="auto"/>
          <w:highlight w:val="none"/>
        </w:rPr>
        <w:t xml:space="preserve"> </w:t>
      </w:r>
      <w:r>
        <w:rPr>
          <w:rFonts w:hint="eastAsia"/>
          <w:color w:val="auto"/>
          <w:sz w:val="24"/>
          <w:szCs w:val="24"/>
          <w:highlight w:val="none"/>
        </w:rPr>
        <w:t>我方承诺</w:t>
      </w:r>
      <w:r>
        <w:rPr>
          <w:rFonts w:hint="eastAsia"/>
          <w:color w:val="auto"/>
          <w:sz w:val="24"/>
          <w:highlight w:val="none"/>
        </w:rPr>
        <w:t>成交后若使用方（</w:t>
      </w:r>
      <w:r>
        <w:rPr>
          <w:rFonts w:hint="eastAsia" w:ascii="宋体" w:hAnsi="宋体" w:eastAsia="宋体" w:cs="宋体"/>
          <w:color w:val="auto"/>
          <w:kern w:val="2"/>
          <w:sz w:val="24"/>
          <w:szCs w:val="24"/>
          <w:highlight w:val="none"/>
        </w:rPr>
        <w:t>云能（曲靖）综合能源服务有限公司</w:t>
      </w:r>
      <w:r>
        <w:rPr>
          <w:rFonts w:hint="eastAsia"/>
          <w:color w:val="auto"/>
          <w:sz w:val="24"/>
          <w:highlight w:val="none"/>
        </w:rPr>
        <w:t>）如有需求，将以本次采购项目同样的价格、质量标准为使用方提供相同技术参数的货物。</w:t>
      </w:r>
    </w:p>
    <w:p>
      <w:pPr>
        <w:spacing w:line="360" w:lineRule="auto"/>
        <w:ind w:firstLine="480"/>
        <w:rPr>
          <w:color w:val="auto"/>
          <w:sz w:val="24"/>
          <w:szCs w:val="24"/>
          <w:highlight w:val="none"/>
        </w:rPr>
      </w:pPr>
      <w:r>
        <w:rPr>
          <w:rFonts w:hint="eastAsia"/>
          <w:color w:val="auto"/>
          <w:sz w:val="24"/>
          <w:szCs w:val="24"/>
          <w:highlight w:val="none"/>
        </w:rPr>
        <w:t>6．</w:t>
      </w:r>
      <w:r>
        <w:rPr>
          <w:rFonts w:hint="eastAsia"/>
          <w:color w:val="auto"/>
          <w:sz w:val="24"/>
          <w:szCs w:val="24"/>
          <w:highlight w:val="none"/>
          <w:u w:val="single"/>
        </w:rPr>
        <w:t xml:space="preserve">                              </w:t>
      </w:r>
      <w:r>
        <w:rPr>
          <w:rFonts w:hint="eastAsia"/>
          <w:color w:val="auto"/>
          <w:sz w:val="24"/>
          <w:szCs w:val="24"/>
          <w:highlight w:val="none"/>
        </w:rPr>
        <w:t>（其他补充说明）。</w:t>
      </w:r>
    </w:p>
    <w:p>
      <w:pPr>
        <w:spacing w:line="500" w:lineRule="exact"/>
        <w:ind w:firstLine="480" w:firstLineChars="200"/>
        <w:rPr>
          <w:color w:val="auto"/>
          <w:sz w:val="24"/>
          <w:szCs w:val="24"/>
          <w:highlight w:val="none"/>
        </w:rPr>
      </w:pPr>
    </w:p>
    <w:p>
      <w:pPr>
        <w:spacing w:line="500" w:lineRule="exact"/>
        <w:ind w:firstLine="480" w:firstLineChars="200"/>
        <w:rPr>
          <w:color w:val="auto"/>
          <w:sz w:val="24"/>
          <w:szCs w:val="24"/>
          <w:highlight w:val="none"/>
        </w:rPr>
      </w:pPr>
    </w:p>
    <w:p>
      <w:pPr>
        <w:spacing w:line="500" w:lineRule="exact"/>
        <w:ind w:firstLine="480" w:firstLineChars="200"/>
        <w:rPr>
          <w:color w:val="auto"/>
          <w:sz w:val="24"/>
          <w:szCs w:val="24"/>
          <w:highlight w:val="none"/>
        </w:rPr>
      </w:pPr>
    </w:p>
    <w:p>
      <w:pPr>
        <w:spacing w:line="500" w:lineRule="exact"/>
        <w:ind w:firstLine="480" w:firstLineChars="200"/>
        <w:rPr>
          <w:color w:val="auto"/>
          <w:sz w:val="24"/>
          <w:szCs w:val="24"/>
          <w:highlight w:val="none"/>
        </w:rPr>
      </w:pPr>
    </w:p>
    <w:p>
      <w:pPr>
        <w:spacing w:line="500" w:lineRule="exact"/>
        <w:ind w:firstLine="480" w:firstLineChars="200"/>
        <w:rPr>
          <w:color w:val="auto"/>
          <w:sz w:val="24"/>
          <w:szCs w:val="24"/>
          <w:highlight w:val="none"/>
        </w:rPr>
      </w:pPr>
    </w:p>
    <w:p>
      <w:pPr>
        <w:spacing w:line="276" w:lineRule="auto"/>
        <w:rPr>
          <w:color w:val="auto"/>
          <w:sz w:val="24"/>
          <w:szCs w:val="24"/>
          <w:highlight w:val="none"/>
        </w:rPr>
      </w:pPr>
      <w:bookmarkStart w:id="346" w:name="OLE_LINK10"/>
      <w:r>
        <w:rPr>
          <w:rFonts w:hint="eastAsia"/>
          <w:color w:val="auto"/>
          <w:sz w:val="24"/>
          <w:szCs w:val="24"/>
          <w:highlight w:val="none"/>
        </w:rPr>
        <w:t>供应商：</w:t>
      </w:r>
      <w:r>
        <w:rPr>
          <w:rFonts w:hint="eastAsia"/>
          <w:color w:val="auto"/>
          <w:sz w:val="24"/>
          <w:szCs w:val="24"/>
          <w:highlight w:val="none"/>
          <w:u w:val="single"/>
        </w:rPr>
        <w:t xml:space="preserve">                                  </w:t>
      </w:r>
      <w:r>
        <w:rPr>
          <w:rFonts w:hint="eastAsia"/>
          <w:color w:val="auto"/>
          <w:sz w:val="24"/>
          <w:szCs w:val="24"/>
          <w:highlight w:val="none"/>
        </w:rPr>
        <w:t>（盖章）</w:t>
      </w:r>
    </w:p>
    <w:p>
      <w:pPr>
        <w:spacing w:line="276" w:lineRule="auto"/>
        <w:ind w:firstLine="480" w:firstLineChars="200"/>
        <w:rPr>
          <w:color w:val="auto"/>
          <w:sz w:val="24"/>
          <w:szCs w:val="24"/>
          <w:highlight w:val="none"/>
        </w:rPr>
      </w:pPr>
    </w:p>
    <w:p>
      <w:pPr>
        <w:spacing w:line="276" w:lineRule="auto"/>
        <w:rPr>
          <w:color w:val="auto"/>
          <w:sz w:val="24"/>
          <w:szCs w:val="24"/>
          <w:highlight w:val="none"/>
        </w:rPr>
      </w:pPr>
      <w:r>
        <w:rPr>
          <w:rFonts w:hint="eastAsia"/>
          <w:color w:val="auto"/>
          <w:sz w:val="24"/>
          <w:szCs w:val="24"/>
          <w:highlight w:val="none"/>
        </w:rPr>
        <w:t>法定代表人或其委托代理人：</w:t>
      </w:r>
      <w:r>
        <w:rPr>
          <w:rFonts w:hint="eastAsia"/>
          <w:color w:val="auto"/>
          <w:sz w:val="24"/>
          <w:szCs w:val="24"/>
          <w:highlight w:val="none"/>
          <w:u w:val="single"/>
        </w:rPr>
        <w:t xml:space="preserve">                </w:t>
      </w:r>
      <w:r>
        <w:rPr>
          <w:rFonts w:hint="eastAsia"/>
          <w:color w:val="auto"/>
          <w:sz w:val="24"/>
          <w:szCs w:val="24"/>
          <w:highlight w:val="none"/>
        </w:rPr>
        <w:t>（签字或盖章）</w:t>
      </w:r>
    </w:p>
    <w:p>
      <w:pPr>
        <w:spacing w:line="276" w:lineRule="auto"/>
        <w:ind w:firstLine="480" w:firstLineChars="200"/>
        <w:rPr>
          <w:color w:val="auto"/>
          <w:sz w:val="24"/>
          <w:szCs w:val="24"/>
          <w:highlight w:val="none"/>
        </w:rPr>
      </w:pPr>
    </w:p>
    <w:p>
      <w:pPr>
        <w:spacing w:line="276" w:lineRule="auto"/>
        <w:rPr>
          <w:color w:val="auto"/>
          <w:sz w:val="24"/>
          <w:szCs w:val="24"/>
          <w:highlight w:val="none"/>
        </w:rPr>
      </w:pPr>
      <w:r>
        <w:rPr>
          <w:rFonts w:hint="eastAsia"/>
          <w:color w:val="auto"/>
          <w:sz w:val="24"/>
          <w:szCs w:val="24"/>
          <w:highlight w:val="none"/>
        </w:rPr>
        <w:t>日　期：</w:t>
      </w:r>
      <w:r>
        <w:rPr>
          <w:rFonts w:hint="eastAsia"/>
          <w:color w:val="auto"/>
          <w:sz w:val="24"/>
          <w:szCs w:val="24"/>
          <w:highlight w:val="none"/>
          <w:u w:val="single"/>
        </w:rPr>
        <w:t xml:space="preserve">      </w:t>
      </w:r>
      <w:r>
        <w:rPr>
          <w:rFonts w:hint="eastAsia"/>
          <w:color w:val="auto"/>
          <w:sz w:val="24"/>
          <w:szCs w:val="24"/>
          <w:highlight w:val="none"/>
        </w:rPr>
        <w:t>年</w:t>
      </w:r>
      <w:r>
        <w:rPr>
          <w:rFonts w:hint="eastAsia"/>
          <w:color w:val="auto"/>
          <w:sz w:val="24"/>
          <w:szCs w:val="24"/>
          <w:highlight w:val="none"/>
          <w:u w:val="single"/>
        </w:rPr>
        <w:t xml:space="preserve">     </w:t>
      </w:r>
      <w:r>
        <w:rPr>
          <w:rFonts w:hint="eastAsia"/>
          <w:color w:val="auto"/>
          <w:sz w:val="24"/>
          <w:szCs w:val="24"/>
          <w:highlight w:val="none"/>
        </w:rPr>
        <w:t>月</w:t>
      </w:r>
      <w:r>
        <w:rPr>
          <w:rFonts w:hint="eastAsia"/>
          <w:color w:val="auto"/>
          <w:sz w:val="24"/>
          <w:szCs w:val="24"/>
          <w:highlight w:val="none"/>
          <w:u w:val="single"/>
        </w:rPr>
        <w:t xml:space="preserve">     </w:t>
      </w:r>
      <w:r>
        <w:rPr>
          <w:rFonts w:hint="eastAsia"/>
          <w:color w:val="auto"/>
          <w:sz w:val="24"/>
          <w:szCs w:val="24"/>
          <w:highlight w:val="none"/>
        </w:rPr>
        <w:t>日</w:t>
      </w:r>
    </w:p>
    <w:bookmarkEnd w:id="346"/>
    <w:p>
      <w:pPr>
        <w:keepNext/>
        <w:keepLines/>
        <w:spacing w:before="260" w:after="260" w:line="416" w:lineRule="auto"/>
        <w:rPr>
          <w:b/>
          <w:bCs/>
          <w:color w:val="auto"/>
          <w:kern w:val="0"/>
          <w:sz w:val="32"/>
          <w:szCs w:val="32"/>
          <w:highlight w:val="none"/>
        </w:rPr>
      </w:pPr>
    </w:p>
    <w:p>
      <w:pPr>
        <w:keepNext/>
        <w:keepLines/>
        <w:spacing w:before="260" w:after="260" w:line="416" w:lineRule="auto"/>
        <w:jc w:val="center"/>
        <w:outlineLvl w:val="2"/>
        <w:rPr>
          <w:b/>
          <w:bCs/>
          <w:color w:val="auto"/>
          <w:kern w:val="0"/>
          <w:sz w:val="32"/>
          <w:szCs w:val="32"/>
          <w:highlight w:val="none"/>
        </w:rPr>
      </w:pPr>
      <w:r>
        <w:rPr>
          <w:rFonts w:hint="eastAsia"/>
          <w:b/>
          <w:bCs/>
          <w:color w:val="auto"/>
          <w:kern w:val="0"/>
          <w:sz w:val="32"/>
          <w:szCs w:val="32"/>
          <w:highlight w:val="none"/>
        </w:rPr>
        <w:t>三、法定代表人身份证明书</w:t>
      </w:r>
      <w:bookmarkEnd w:id="333"/>
      <w:bookmarkEnd w:id="334"/>
    </w:p>
    <w:p>
      <w:pPr>
        <w:autoSpaceDE w:val="0"/>
        <w:autoSpaceDN w:val="0"/>
        <w:adjustRightInd w:val="0"/>
        <w:spacing w:before="240" w:line="440" w:lineRule="exact"/>
        <w:jc w:val="center"/>
        <w:rPr>
          <w:color w:val="auto"/>
          <w:spacing w:val="6"/>
          <w:kern w:val="0"/>
          <w:sz w:val="26"/>
          <w:highlight w:val="none"/>
        </w:rPr>
      </w:pPr>
    </w:p>
    <w:p>
      <w:pPr>
        <w:autoSpaceDE w:val="0"/>
        <w:autoSpaceDN w:val="0"/>
        <w:adjustRightInd w:val="0"/>
        <w:spacing w:before="240" w:line="480" w:lineRule="auto"/>
        <w:rPr>
          <w:color w:val="auto"/>
          <w:sz w:val="28"/>
          <w:szCs w:val="28"/>
          <w:highlight w:val="none"/>
        </w:rPr>
      </w:pPr>
      <w:r>
        <w:rPr>
          <w:rFonts w:hint="eastAsia"/>
          <w:color w:val="auto"/>
          <w:sz w:val="28"/>
          <w:szCs w:val="28"/>
          <w:highlight w:val="none"/>
        </w:rPr>
        <w:t>单位名称：</w:t>
      </w:r>
      <w:r>
        <w:rPr>
          <w:rFonts w:hint="eastAsia"/>
          <w:color w:val="auto"/>
          <w:sz w:val="28"/>
          <w:szCs w:val="28"/>
          <w:highlight w:val="none"/>
          <w:u w:val="single"/>
        </w:rPr>
        <w:t xml:space="preserve">                                    </w:t>
      </w:r>
    </w:p>
    <w:p>
      <w:pPr>
        <w:autoSpaceDE w:val="0"/>
        <w:autoSpaceDN w:val="0"/>
        <w:adjustRightInd w:val="0"/>
        <w:spacing w:before="240" w:line="480" w:lineRule="auto"/>
        <w:rPr>
          <w:color w:val="auto"/>
          <w:sz w:val="28"/>
          <w:szCs w:val="28"/>
          <w:highlight w:val="none"/>
        </w:rPr>
      </w:pPr>
      <w:r>
        <w:rPr>
          <w:rFonts w:hint="eastAsia"/>
          <w:color w:val="auto"/>
          <w:sz w:val="28"/>
          <w:szCs w:val="28"/>
          <w:highlight w:val="none"/>
        </w:rPr>
        <w:t>地    址：</w:t>
      </w:r>
      <w:r>
        <w:rPr>
          <w:rFonts w:hint="eastAsia"/>
          <w:color w:val="auto"/>
          <w:sz w:val="28"/>
          <w:szCs w:val="28"/>
          <w:highlight w:val="none"/>
          <w:u w:val="single"/>
        </w:rPr>
        <w:t xml:space="preserve">                                     </w:t>
      </w:r>
    </w:p>
    <w:p>
      <w:pPr>
        <w:autoSpaceDE w:val="0"/>
        <w:autoSpaceDN w:val="0"/>
        <w:adjustRightInd w:val="0"/>
        <w:spacing w:before="240" w:line="480" w:lineRule="auto"/>
        <w:rPr>
          <w:color w:val="auto"/>
          <w:sz w:val="28"/>
          <w:szCs w:val="28"/>
          <w:highlight w:val="none"/>
        </w:rPr>
      </w:pPr>
      <w:r>
        <w:rPr>
          <w:rFonts w:hint="eastAsia"/>
          <w:color w:val="auto"/>
          <w:sz w:val="28"/>
          <w:szCs w:val="28"/>
          <w:highlight w:val="none"/>
        </w:rPr>
        <w:t>姓    名：</w:t>
      </w:r>
      <w:r>
        <w:rPr>
          <w:rFonts w:hint="eastAsia"/>
          <w:color w:val="auto"/>
          <w:sz w:val="28"/>
          <w:szCs w:val="28"/>
          <w:highlight w:val="none"/>
          <w:u w:val="single"/>
        </w:rPr>
        <w:t xml:space="preserve">              </w:t>
      </w:r>
      <w:r>
        <w:rPr>
          <w:rFonts w:hint="eastAsia"/>
          <w:color w:val="auto"/>
          <w:sz w:val="28"/>
          <w:szCs w:val="28"/>
          <w:highlight w:val="none"/>
        </w:rPr>
        <w:t>性别：</w:t>
      </w:r>
      <w:r>
        <w:rPr>
          <w:rFonts w:hint="eastAsia"/>
          <w:color w:val="auto"/>
          <w:sz w:val="28"/>
          <w:szCs w:val="28"/>
          <w:highlight w:val="none"/>
          <w:u w:val="single"/>
        </w:rPr>
        <w:t xml:space="preserve">    </w:t>
      </w:r>
      <w:r>
        <w:rPr>
          <w:rFonts w:hint="eastAsia"/>
          <w:color w:val="auto"/>
          <w:sz w:val="28"/>
          <w:szCs w:val="28"/>
          <w:highlight w:val="none"/>
          <w:u w:val="single"/>
        </w:rPr>
        <w:tab/>
      </w:r>
      <w:r>
        <w:rPr>
          <w:rFonts w:hint="eastAsia"/>
          <w:color w:val="auto"/>
          <w:sz w:val="28"/>
          <w:szCs w:val="28"/>
          <w:highlight w:val="none"/>
        </w:rPr>
        <w:t>年龄：</w:t>
      </w:r>
      <w:r>
        <w:rPr>
          <w:rFonts w:hint="eastAsia"/>
          <w:color w:val="auto"/>
          <w:sz w:val="28"/>
          <w:szCs w:val="28"/>
          <w:highlight w:val="none"/>
          <w:u w:val="single"/>
        </w:rPr>
        <w:t xml:space="preserve">    </w:t>
      </w:r>
      <w:r>
        <w:rPr>
          <w:rFonts w:hint="eastAsia"/>
          <w:color w:val="auto"/>
          <w:sz w:val="28"/>
          <w:szCs w:val="28"/>
          <w:highlight w:val="none"/>
          <w:u w:val="single"/>
        </w:rPr>
        <w:tab/>
      </w:r>
      <w:r>
        <w:rPr>
          <w:rFonts w:hint="eastAsia"/>
          <w:color w:val="auto"/>
          <w:sz w:val="28"/>
          <w:szCs w:val="28"/>
          <w:highlight w:val="none"/>
        </w:rPr>
        <w:t>职务：</w:t>
      </w:r>
      <w:r>
        <w:rPr>
          <w:rFonts w:hint="eastAsia"/>
          <w:color w:val="auto"/>
          <w:sz w:val="28"/>
          <w:szCs w:val="28"/>
          <w:highlight w:val="none"/>
          <w:u w:val="single"/>
        </w:rPr>
        <w:t xml:space="preserve">    </w:t>
      </w:r>
      <w:r>
        <w:rPr>
          <w:rFonts w:hint="eastAsia"/>
          <w:color w:val="auto"/>
          <w:sz w:val="28"/>
          <w:szCs w:val="28"/>
          <w:highlight w:val="none"/>
          <w:u w:val="single"/>
        </w:rPr>
        <w:tab/>
      </w:r>
      <w:r>
        <w:rPr>
          <w:rFonts w:hint="eastAsia"/>
          <w:color w:val="auto"/>
          <w:sz w:val="28"/>
          <w:szCs w:val="28"/>
          <w:highlight w:val="none"/>
        </w:rPr>
        <w:t xml:space="preserve"> </w:t>
      </w:r>
    </w:p>
    <w:p>
      <w:pPr>
        <w:autoSpaceDE w:val="0"/>
        <w:autoSpaceDN w:val="0"/>
        <w:adjustRightInd w:val="0"/>
        <w:spacing w:before="240" w:line="480" w:lineRule="auto"/>
        <w:rPr>
          <w:color w:val="auto"/>
          <w:sz w:val="28"/>
          <w:szCs w:val="28"/>
          <w:highlight w:val="none"/>
          <w:u w:val="single"/>
        </w:rPr>
      </w:pPr>
      <w:r>
        <w:rPr>
          <w:rFonts w:hint="eastAsia"/>
          <w:color w:val="auto"/>
          <w:sz w:val="28"/>
          <w:szCs w:val="28"/>
          <w:highlight w:val="none"/>
        </w:rPr>
        <w:t>身份证号码：</w:t>
      </w:r>
      <w:r>
        <w:rPr>
          <w:rFonts w:hint="eastAsia"/>
          <w:color w:val="auto"/>
          <w:sz w:val="28"/>
          <w:szCs w:val="28"/>
          <w:highlight w:val="none"/>
          <w:u w:val="single"/>
        </w:rPr>
        <w:t xml:space="preserve">            </w:t>
      </w:r>
    </w:p>
    <w:p>
      <w:pPr>
        <w:autoSpaceDE w:val="0"/>
        <w:autoSpaceDN w:val="0"/>
        <w:adjustRightInd w:val="0"/>
        <w:spacing w:before="240" w:line="480" w:lineRule="auto"/>
        <w:ind w:firstLine="560" w:firstLineChars="200"/>
        <w:rPr>
          <w:color w:val="auto"/>
          <w:sz w:val="28"/>
          <w:szCs w:val="28"/>
          <w:highlight w:val="none"/>
        </w:rPr>
      </w:pPr>
      <w:r>
        <w:rPr>
          <w:rFonts w:hint="eastAsia"/>
          <w:color w:val="auto"/>
          <w:sz w:val="28"/>
          <w:szCs w:val="28"/>
          <w:highlight w:val="none"/>
        </w:rPr>
        <w:t>系</w:t>
      </w:r>
      <w:r>
        <w:rPr>
          <w:rFonts w:hint="eastAsia"/>
          <w:color w:val="auto"/>
          <w:sz w:val="28"/>
          <w:szCs w:val="28"/>
          <w:highlight w:val="none"/>
          <w:u w:val="single"/>
        </w:rPr>
        <w:t xml:space="preserve">                                  </w:t>
      </w:r>
      <w:r>
        <w:rPr>
          <w:rFonts w:hint="eastAsia"/>
          <w:color w:val="auto"/>
          <w:sz w:val="28"/>
          <w:szCs w:val="28"/>
          <w:highlight w:val="none"/>
        </w:rPr>
        <w:t>（单位）的法定代表人。</w:t>
      </w:r>
    </w:p>
    <w:p>
      <w:pPr>
        <w:autoSpaceDE w:val="0"/>
        <w:autoSpaceDN w:val="0"/>
        <w:adjustRightInd w:val="0"/>
        <w:spacing w:before="240" w:line="440" w:lineRule="exact"/>
        <w:ind w:firstLine="1052" w:firstLineChars="376"/>
        <w:rPr>
          <w:color w:val="auto"/>
          <w:sz w:val="28"/>
          <w:szCs w:val="28"/>
          <w:highlight w:val="none"/>
        </w:rPr>
      </w:pPr>
      <w:r>
        <w:rPr>
          <w:rFonts w:hint="eastAsia"/>
          <w:color w:val="auto"/>
          <w:sz w:val="28"/>
          <w:szCs w:val="28"/>
          <w:highlight w:val="none"/>
        </w:rPr>
        <w:t>特此证明。</w:t>
      </w:r>
    </w:p>
    <w:p>
      <w:pPr>
        <w:autoSpaceDE w:val="0"/>
        <w:autoSpaceDN w:val="0"/>
        <w:adjustRightInd w:val="0"/>
        <w:spacing w:before="240" w:line="440" w:lineRule="exact"/>
        <w:rPr>
          <w:color w:val="auto"/>
          <w:sz w:val="28"/>
          <w:szCs w:val="28"/>
          <w:highlight w:val="none"/>
        </w:rPr>
      </w:pPr>
    </w:p>
    <w:p>
      <w:pPr>
        <w:autoSpaceDE w:val="0"/>
        <w:autoSpaceDN w:val="0"/>
        <w:adjustRightInd w:val="0"/>
        <w:spacing w:before="240" w:line="440" w:lineRule="exact"/>
        <w:rPr>
          <w:color w:val="auto"/>
          <w:sz w:val="28"/>
          <w:szCs w:val="28"/>
          <w:highlight w:val="none"/>
        </w:rPr>
      </w:pPr>
      <w:r>
        <w:rPr>
          <w:rFonts w:hint="eastAsia"/>
          <w:color w:val="auto"/>
          <w:sz w:val="28"/>
          <w:szCs w:val="28"/>
          <w:highlight w:val="none"/>
        </w:rPr>
        <w:t>供应商：（公章）</w:t>
      </w:r>
      <w:r>
        <w:rPr>
          <w:rFonts w:hint="eastAsia"/>
          <w:color w:val="auto"/>
          <w:sz w:val="28"/>
          <w:szCs w:val="28"/>
          <w:highlight w:val="none"/>
        </w:rPr>
        <w:tab/>
      </w:r>
      <w:r>
        <w:rPr>
          <w:rFonts w:hint="eastAsia"/>
          <w:color w:val="auto"/>
          <w:sz w:val="28"/>
          <w:szCs w:val="28"/>
          <w:highlight w:val="none"/>
        </w:rPr>
        <w:tab/>
      </w:r>
      <w:r>
        <w:rPr>
          <w:rFonts w:hint="eastAsia"/>
          <w:color w:val="auto"/>
          <w:sz w:val="28"/>
          <w:szCs w:val="28"/>
          <w:highlight w:val="none"/>
        </w:rPr>
        <w:tab/>
      </w:r>
      <w:r>
        <w:rPr>
          <w:rFonts w:hint="eastAsia"/>
          <w:color w:val="auto"/>
          <w:sz w:val="28"/>
          <w:szCs w:val="28"/>
          <w:highlight w:val="none"/>
        </w:rPr>
        <w:tab/>
      </w:r>
      <w:r>
        <w:rPr>
          <w:rFonts w:hint="eastAsia"/>
          <w:color w:val="auto"/>
          <w:sz w:val="28"/>
          <w:szCs w:val="28"/>
          <w:highlight w:val="none"/>
        </w:rPr>
        <w:t>日期：_____年____月___日</w:t>
      </w:r>
    </w:p>
    <w:p>
      <w:pPr>
        <w:autoSpaceDE w:val="0"/>
        <w:autoSpaceDN w:val="0"/>
        <w:adjustRightInd w:val="0"/>
        <w:spacing w:before="240" w:line="440" w:lineRule="exact"/>
        <w:rPr>
          <w:color w:val="auto"/>
          <w:sz w:val="24"/>
          <w:highlight w:val="none"/>
        </w:rPr>
      </w:pPr>
    </w:p>
    <w:tbl>
      <w:tblPr>
        <w:tblStyle w:val="21"/>
        <w:tblW w:w="54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5" w:hRule="atLeast"/>
          <w:jc w:val="center"/>
        </w:trPr>
        <w:tc>
          <w:tcPr>
            <w:tcW w:w="5407" w:type="dxa"/>
            <w:vAlign w:val="center"/>
          </w:tcPr>
          <w:p>
            <w:pPr>
              <w:spacing w:before="240" w:line="500" w:lineRule="exact"/>
              <w:jc w:val="center"/>
              <w:rPr>
                <w:b/>
                <w:bCs/>
                <w:color w:val="auto"/>
                <w:sz w:val="36"/>
                <w:highlight w:val="none"/>
              </w:rPr>
            </w:pPr>
            <w:r>
              <w:rPr>
                <w:rFonts w:hint="eastAsia"/>
                <w:b/>
                <w:bCs/>
                <w:color w:val="auto"/>
                <w:sz w:val="36"/>
                <w:highlight w:val="none"/>
              </w:rPr>
              <w:t>法定代表人身份证复印件</w:t>
            </w:r>
          </w:p>
          <w:p>
            <w:pPr>
              <w:spacing w:before="240" w:line="500" w:lineRule="exact"/>
              <w:jc w:val="center"/>
              <w:rPr>
                <w:b/>
                <w:bCs/>
                <w:color w:val="auto"/>
                <w:sz w:val="36"/>
                <w:highlight w:val="none"/>
              </w:rPr>
            </w:pPr>
            <w:r>
              <w:rPr>
                <w:rFonts w:hint="eastAsia"/>
                <w:b/>
                <w:bCs/>
                <w:color w:val="auto"/>
                <w:sz w:val="36"/>
                <w:highlight w:val="none"/>
              </w:rPr>
              <w:t>（正反面）</w:t>
            </w:r>
          </w:p>
        </w:tc>
      </w:tr>
    </w:tbl>
    <w:p>
      <w:pPr>
        <w:rPr>
          <w:color w:val="auto"/>
          <w:highlight w:val="none"/>
        </w:rPr>
      </w:pPr>
    </w:p>
    <w:p>
      <w:pPr>
        <w:rPr>
          <w:color w:val="auto"/>
          <w:highlight w:val="none"/>
        </w:rPr>
      </w:pPr>
    </w:p>
    <w:p>
      <w:pPr>
        <w:rPr>
          <w:color w:val="auto"/>
          <w:sz w:val="24"/>
          <w:szCs w:val="24"/>
          <w:highlight w:val="none"/>
        </w:rPr>
      </w:pPr>
    </w:p>
    <w:p>
      <w:pPr>
        <w:keepNext/>
        <w:keepLines/>
        <w:spacing w:before="260" w:after="260" w:line="416" w:lineRule="auto"/>
        <w:jc w:val="center"/>
        <w:outlineLvl w:val="2"/>
        <w:rPr>
          <w:b/>
          <w:bCs/>
          <w:color w:val="auto"/>
          <w:kern w:val="0"/>
          <w:sz w:val="32"/>
          <w:szCs w:val="32"/>
          <w:highlight w:val="none"/>
        </w:rPr>
      </w:pPr>
      <w:bookmarkStart w:id="347" w:name="_Toc1579"/>
      <w:bookmarkStart w:id="348" w:name="_Toc19943"/>
      <w:r>
        <w:rPr>
          <w:rFonts w:hint="eastAsia"/>
          <w:b/>
          <w:bCs/>
          <w:color w:val="auto"/>
          <w:kern w:val="0"/>
          <w:sz w:val="32"/>
          <w:szCs w:val="32"/>
          <w:highlight w:val="none"/>
        </w:rPr>
        <w:t>四、法定代表人授权书</w:t>
      </w:r>
      <w:bookmarkEnd w:id="347"/>
      <w:bookmarkEnd w:id="348"/>
    </w:p>
    <w:p>
      <w:pPr>
        <w:spacing w:line="360" w:lineRule="auto"/>
        <w:rPr>
          <w:color w:val="auto"/>
          <w:sz w:val="24"/>
          <w:szCs w:val="24"/>
          <w:highlight w:val="none"/>
        </w:rPr>
      </w:pPr>
    </w:p>
    <w:p>
      <w:pPr>
        <w:spacing w:line="480" w:lineRule="auto"/>
        <w:ind w:firstLine="480" w:firstLineChars="200"/>
        <w:rPr>
          <w:color w:val="auto"/>
          <w:sz w:val="24"/>
          <w:szCs w:val="24"/>
          <w:highlight w:val="none"/>
        </w:rPr>
      </w:pPr>
      <w:r>
        <w:rPr>
          <w:rFonts w:hint="eastAsia"/>
          <w:color w:val="auto"/>
          <w:sz w:val="24"/>
          <w:szCs w:val="24"/>
          <w:highlight w:val="none"/>
        </w:rPr>
        <w:t>本授权书声明：注册于中华人民共和国的</w:t>
      </w:r>
      <w:r>
        <w:rPr>
          <w:rFonts w:hint="eastAsia"/>
          <w:color w:val="auto"/>
          <w:sz w:val="24"/>
          <w:szCs w:val="24"/>
          <w:highlight w:val="none"/>
          <w:u w:val="single"/>
        </w:rPr>
        <w:t>（供应商名称）</w:t>
      </w:r>
      <w:r>
        <w:rPr>
          <w:rFonts w:hint="eastAsia"/>
          <w:color w:val="auto"/>
          <w:sz w:val="24"/>
          <w:szCs w:val="24"/>
          <w:highlight w:val="none"/>
        </w:rPr>
        <w:t>的在下面签字的</w:t>
      </w:r>
      <w:r>
        <w:rPr>
          <w:rFonts w:hint="eastAsia"/>
          <w:color w:val="auto"/>
          <w:sz w:val="24"/>
          <w:szCs w:val="24"/>
          <w:highlight w:val="none"/>
          <w:u w:val="single"/>
        </w:rPr>
        <w:t>（法定代表人姓名、职务、身份证号码）</w:t>
      </w:r>
      <w:r>
        <w:rPr>
          <w:rFonts w:hint="eastAsia"/>
          <w:color w:val="auto"/>
          <w:sz w:val="24"/>
          <w:szCs w:val="24"/>
          <w:highlight w:val="none"/>
        </w:rPr>
        <w:t>代表本公司授权的在下面签字的</w:t>
      </w:r>
      <w:r>
        <w:rPr>
          <w:rFonts w:hint="eastAsia"/>
          <w:color w:val="auto"/>
          <w:sz w:val="24"/>
          <w:szCs w:val="24"/>
          <w:highlight w:val="none"/>
          <w:u w:val="single"/>
        </w:rPr>
        <w:t>（被授权人的姓名、职务、身份证号码）</w:t>
      </w:r>
      <w:r>
        <w:rPr>
          <w:rFonts w:hint="eastAsia"/>
          <w:color w:val="auto"/>
          <w:sz w:val="24"/>
          <w:szCs w:val="24"/>
          <w:highlight w:val="none"/>
        </w:rPr>
        <w:t>为本公司的合法代理人，就 (项目名称)的报价，以本公司名义处理一切与之有关的事务。</w:t>
      </w:r>
    </w:p>
    <w:p>
      <w:pPr>
        <w:spacing w:line="480" w:lineRule="auto"/>
        <w:rPr>
          <w:color w:val="auto"/>
          <w:sz w:val="24"/>
          <w:szCs w:val="24"/>
          <w:highlight w:val="none"/>
        </w:rPr>
      </w:pPr>
      <w:r>
        <w:rPr>
          <w:rFonts w:hint="eastAsia"/>
          <w:color w:val="auto"/>
          <w:sz w:val="24"/>
          <w:szCs w:val="24"/>
          <w:highlight w:val="none"/>
        </w:rPr>
        <w:t>本授权书于</w:t>
      </w:r>
      <w:r>
        <w:rPr>
          <w:rFonts w:hint="eastAsia"/>
          <w:color w:val="auto"/>
          <w:sz w:val="24"/>
          <w:szCs w:val="24"/>
          <w:highlight w:val="none"/>
          <w:u w:val="single"/>
        </w:rPr>
        <w:t xml:space="preserve">      </w:t>
      </w:r>
      <w:r>
        <w:rPr>
          <w:rFonts w:hint="eastAsia"/>
          <w:color w:val="auto"/>
          <w:sz w:val="24"/>
          <w:szCs w:val="24"/>
          <w:highlight w:val="none"/>
        </w:rPr>
        <w:t>年</w:t>
      </w:r>
      <w:r>
        <w:rPr>
          <w:rFonts w:hint="eastAsia"/>
          <w:color w:val="auto"/>
          <w:sz w:val="24"/>
          <w:szCs w:val="24"/>
          <w:highlight w:val="none"/>
          <w:u w:val="single"/>
        </w:rPr>
        <w:t xml:space="preserve">    </w:t>
      </w:r>
      <w:r>
        <w:rPr>
          <w:rFonts w:hint="eastAsia"/>
          <w:color w:val="auto"/>
          <w:sz w:val="24"/>
          <w:szCs w:val="24"/>
          <w:highlight w:val="none"/>
        </w:rPr>
        <w:t>月</w:t>
      </w:r>
      <w:r>
        <w:rPr>
          <w:rFonts w:hint="eastAsia"/>
          <w:color w:val="auto"/>
          <w:sz w:val="24"/>
          <w:szCs w:val="24"/>
          <w:highlight w:val="none"/>
          <w:u w:val="single"/>
        </w:rPr>
        <w:t xml:space="preserve">    </w:t>
      </w:r>
      <w:r>
        <w:rPr>
          <w:rFonts w:hint="eastAsia"/>
          <w:color w:val="auto"/>
          <w:sz w:val="24"/>
          <w:szCs w:val="24"/>
          <w:highlight w:val="none"/>
        </w:rPr>
        <w:t>日签字生效，特此声明。</w:t>
      </w:r>
    </w:p>
    <w:p>
      <w:pPr>
        <w:spacing w:line="360" w:lineRule="auto"/>
        <w:rPr>
          <w:color w:val="auto"/>
          <w:sz w:val="24"/>
          <w:szCs w:val="24"/>
          <w:highlight w:val="none"/>
        </w:rPr>
      </w:pPr>
    </w:p>
    <w:p>
      <w:pPr>
        <w:spacing w:line="360" w:lineRule="auto"/>
        <w:rPr>
          <w:color w:val="auto"/>
          <w:sz w:val="24"/>
          <w:szCs w:val="24"/>
          <w:highlight w:val="none"/>
        </w:rPr>
      </w:pPr>
    </w:p>
    <w:p>
      <w:pPr>
        <w:spacing w:line="480" w:lineRule="auto"/>
        <w:rPr>
          <w:color w:val="auto"/>
          <w:sz w:val="24"/>
          <w:szCs w:val="24"/>
          <w:highlight w:val="none"/>
          <w:u w:val="single"/>
        </w:rPr>
      </w:pPr>
      <w:r>
        <w:rPr>
          <w:rFonts w:hint="eastAsia"/>
          <w:color w:val="auto"/>
          <w:sz w:val="24"/>
          <w:szCs w:val="24"/>
          <w:highlight w:val="none"/>
        </w:rPr>
        <w:t>法定代表人签字</w:t>
      </w:r>
      <w:r>
        <w:rPr>
          <w:rFonts w:hint="eastAsia"/>
          <w:color w:val="auto"/>
          <w:sz w:val="24"/>
          <w:szCs w:val="24"/>
          <w:highlight w:val="none"/>
          <w:u w:val="single"/>
        </w:rPr>
        <w:t xml:space="preserve">                          </w:t>
      </w:r>
    </w:p>
    <w:p>
      <w:pPr>
        <w:spacing w:line="480" w:lineRule="auto"/>
        <w:rPr>
          <w:color w:val="auto"/>
          <w:sz w:val="24"/>
          <w:szCs w:val="24"/>
          <w:highlight w:val="none"/>
          <w:u w:val="single"/>
        </w:rPr>
      </w:pPr>
      <w:r>
        <w:rPr>
          <w:rFonts w:hint="eastAsia"/>
          <w:color w:val="auto"/>
          <w:sz w:val="24"/>
          <w:szCs w:val="24"/>
          <w:highlight w:val="none"/>
        </w:rPr>
        <w:t>被授权人签字</w:t>
      </w:r>
      <w:r>
        <w:rPr>
          <w:rFonts w:hint="eastAsia"/>
          <w:color w:val="auto"/>
          <w:sz w:val="24"/>
          <w:szCs w:val="24"/>
          <w:highlight w:val="none"/>
          <w:u w:val="single"/>
        </w:rPr>
        <w:t xml:space="preserve">                            </w:t>
      </w:r>
    </w:p>
    <w:p>
      <w:pPr>
        <w:spacing w:line="480" w:lineRule="auto"/>
        <w:rPr>
          <w:color w:val="auto"/>
          <w:sz w:val="24"/>
          <w:szCs w:val="24"/>
          <w:highlight w:val="none"/>
          <w:u w:val="single"/>
        </w:rPr>
      </w:pPr>
      <w:r>
        <w:rPr>
          <w:rFonts w:hint="eastAsia"/>
          <w:color w:val="auto"/>
          <w:sz w:val="24"/>
          <w:szCs w:val="24"/>
          <w:highlight w:val="none"/>
        </w:rPr>
        <w:t>供应商公章</w:t>
      </w:r>
      <w:r>
        <w:rPr>
          <w:rFonts w:hint="eastAsia"/>
          <w:color w:val="auto"/>
          <w:sz w:val="24"/>
          <w:szCs w:val="24"/>
          <w:highlight w:val="none"/>
          <w:u w:val="single"/>
        </w:rPr>
        <w:t xml:space="preserve">                              </w:t>
      </w:r>
    </w:p>
    <w:p>
      <w:pPr>
        <w:autoSpaceDE w:val="0"/>
        <w:autoSpaceDN w:val="0"/>
        <w:adjustRightInd w:val="0"/>
        <w:spacing w:before="240" w:line="440" w:lineRule="exact"/>
        <w:rPr>
          <w:color w:val="auto"/>
          <w:sz w:val="24"/>
          <w:highlight w:val="none"/>
        </w:rPr>
      </w:pPr>
    </w:p>
    <w:tbl>
      <w:tblPr>
        <w:tblStyle w:val="21"/>
        <w:tblW w:w="54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5" w:hRule="atLeast"/>
          <w:jc w:val="center"/>
        </w:trPr>
        <w:tc>
          <w:tcPr>
            <w:tcW w:w="5407" w:type="dxa"/>
            <w:vAlign w:val="center"/>
          </w:tcPr>
          <w:p>
            <w:pPr>
              <w:spacing w:before="240" w:line="500" w:lineRule="exact"/>
              <w:jc w:val="center"/>
              <w:rPr>
                <w:b/>
                <w:bCs/>
                <w:color w:val="auto"/>
                <w:sz w:val="36"/>
                <w:highlight w:val="none"/>
              </w:rPr>
            </w:pPr>
            <w:r>
              <w:rPr>
                <w:rFonts w:hint="eastAsia"/>
                <w:b/>
                <w:bCs/>
                <w:color w:val="auto"/>
                <w:sz w:val="36"/>
                <w:highlight w:val="none"/>
              </w:rPr>
              <w:t>被授权人身份证复印件</w:t>
            </w:r>
          </w:p>
          <w:p>
            <w:pPr>
              <w:spacing w:before="240" w:line="500" w:lineRule="exact"/>
              <w:jc w:val="center"/>
              <w:rPr>
                <w:b/>
                <w:bCs/>
                <w:color w:val="auto"/>
                <w:sz w:val="36"/>
                <w:highlight w:val="none"/>
              </w:rPr>
            </w:pPr>
            <w:r>
              <w:rPr>
                <w:rFonts w:hint="eastAsia"/>
                <w:b/>
                <w:bCs/>
                <w:color w:val="auto"/>
                <w:sz w:val="36"/>
                <w:highlight w:val="none"/>
              </w:rPr>
              <w:t>（正反面）</w:t>
            </w:r>
          </w:p>
        </w:tc>
      </w:tr>
    </w:tbl>
    <w:p>
      <w:pPr>
        <w:rPr>
          <w:color w:val="auto"/>
          <w:sz w:val="28"/>
          <w:szCs w:val="28"/>
          <w:highlight w:val="none"/>
        </w:rPr>
      </w:pPr>
    </w:p>
    <w:p>
      <w:pPr>
        <w:keepNext/>
        <w:keepLines/>
        <w:spacing w:before="260" w:after="260" w:line="416" w:lineRule="auto"/>
        <w:jc w:val="center"/>
        <w:outlineLvl w:val="2"/>
        <w:rPr>
          <w:b/>
          <w:bCs/>
          <w:color w:val="auto"/>
          <w:kern w:val="0"/>
          <w:sz w:val="32"/>
          <w:szCs w:val="32"/>
          <w:highlight w:val="none"/>
        </w:rPr>
      </w:pPr>
      <w:r>
        <w:rPr>
          <w:rFonts w:hint="eastAsia"/>
          <w:b/>
          <w:bCs/>
          <w:color w:val="auto"/>
          <w:kern w:val="0"/>
          <w:sz w:val="28"/>
          <w:szCs w:val="28"/>
          <w:highlight w:val="none"/>
        </w:rPr>
        <w:br w:type="page"/>
      </w:r>
      <w:bookmarkStart w:id="349" w:name="_Toc14756"/>
      <w:bookmarkStart w:id="350" w:name="_Toc360"/>
      <w:r>
        <w:rPr>
          <w:rFonts w:hint="eastAsia"/>
          <w:b/>
          <w:bCs/>
          <w:color w:val="auto"/>
          <w:kern w:val="0"/>
          <w:sz w:val="32"/>
          <w:szCs w:val="32"/>
          <w:highlight w:val="none"/>
        </w:rPr>
        <w:t>五、供应商资格要求</w:t>
      </w:r>
      <w:bookmarkEnd w:id="349"/>
      <w:bookmarkEnd w:id="350"/>
    </w:p>
    <w:p>
      <w:pPr>
        <w:autoSpaceDE w:val="0"/>
        <w:autoSpaceDN w:val="0"/>
        <w:adjustRightInd w:val="0"/>
        <w:spacing w:line="360" w:lineRule="auto"/>
        <w:ind w:right="6"/>
        <w:rPr>
          <w:b/>
          <w:bCs/>
          <w:color w:val="auto"/>
          <w:sz w:val="24"/>
          <w:szCs w:val="24"/>
          <w:highlight w:val="none"/>
        </w:rPr>
      </w:pPr>
      <w:r>
        <w:rPr>
          <w:rFonts w:hint="eastAsia"/>
          <w:color w:val="auto"/>
          <w:sz w:val="24"/>
          <w:szCs w:val="24"/>
          <w:highlight w:val="none"/>
        </w:rPr>
        <w:t>1、供应商须具有独立承担民事责任的能力</w:t>
      </w:r>
      <w:r>
        <w:rPr>
          <w:rFonts w:hint="eastAsia"/>
          <w:b/>
          <w:bCs/>
          <w:color w:val="auto"/>
          <w:sz w:val="24"/>
          <w:szCs w:val="24"/>
          <w:highlight w:val="none"/>
        </w:rPr>
        <w:t>（提供营业执照扫描件）</w:t>
      </w:r>
    </w:p>
    <w:p>
      <w:pPr>
        <w:autoSpaceDE w:val="0"/>
        <w:autoSpaceDN w:val="0"/>
        <w:adjustRightInd w:val="0"/>
        <w:spacing w:line="360" w:lineRule="auto"/>
        <w:ind w:right="6"/>
        <w:rPr>
          <w:color w:val="auto"/>
          <w:sz w:val="24"/>
          <w:szCs w:val="24"/>
          <w:highlight w:val="none"/>
        </w:rPr>
      </w:pPr>
      <w:r>
        <w:rPr>
          <w:rFonts w:hint="eastAsia"/>
          <w:color w:val="auto"/>
          <w:sz w:val="24"/>
          <w:szCs w:val="24"/>
          <w:highlight w:val="none"/>
        </w:rPr>
        <w:t>2、供应商资格能力</w:t>
      </w:r>
      <w:r>
        <w:rPr>
          <w:rFonts w:hint="eastAsia"/>
          <w:b/>
          <w:bCs/>
          <w:color w:val="auto"/>
          <w:sz w:val="24"/>
          <w:szCs w:val="24"/>
          <w:highlight w:val="none"/>
        </w:rPr>
        <w:t>（提供</w:t>
      </w:r>
      <w:r>
        <w:rPr>
          <w:rFonts w:hint="eastAsia"/>
          <w:b/>
          <w:bCs/>
          <w:color w:val="auto"/>
          <w:sz w:val="24"/>
          <w:szCs w:val="24"/>
          <w:highlight w:val="none"/>
          <w:lang w:val="en-US" w:eastAsia="zh-CN"/>
        </w:rPr>
        <w:t>单</w:t>
      </w:r>
      <w:r>
        <w:rPr>
          <w:rFonts w:hint="eastAsia"/>
          <w:b/>
          <w:bCs/>
          <w:color w:val="0000FF"/>
          <w:sz w:val="24"/>
          <w:szCs w:val="24"/>
          <w:highlight w:val="none"/>
          <w:lang w:val="en-US" w:eastAsia="zh-CN"/>
        </w:rPr>
        <w:t>位</w:t>
      </w:r>
      <w:r>
        <w:rPr>
          <w:rFonts w:hint="eastAsia"/>
          <w:b/>
          <w:bCs/>
          <w:color w:val="0000FF"/>
          <w:sz w:val="24"/>
          <w:szCs w:val="24"/>
          <w:highlight w:val="none"/>
        </w:rPr>
        <w:t>资</w:t>
      </w:r>
      <w:r>
        <w:rPr>
          <w:rFonts w:hint="eastAsia"/>
          <w:b/>
          <w:bCs/>
          <w:color w:val="auto"/>
          <w:sz w:val="24"/>
          <w:szCs w:val="24"/>
          <w:highlight w:val="none"/>
        </w:rPr>
        <w:t>质及业绩证明资料）</w:t>
      </w:r>
    </w:p>
    <w:p>
      <w:pPr>
        <w:autoSpaceDE w:val="0"/>
        <w:autoSpaceDN w:val="0"/>
        <w:adjustRightInd w:val="0"/>
        <w:spacing w:line="360" w:lineRule="auto"/>
        <w:ind w:right="6"/>
        <w:rPr>
          <w:color w:val="auto"/>
          <w:sz w:val="24"/>
          <w:szCs w:val="24"/>
          <w:highlight w:val="none"/>
        </w:rPr>
      </w:pPr>
      <w:r>
        <w:rPr>
          <w:rFonts w:hint="eastAsia"/>
          <w:color w:val="auto"/>
          <w:sz w:val="24"/>
          <w:szCs w:val="24"/>
          <w:highlight w:val="none"/>
        </w:rPr>
        <w:t>3、信用要求</w:t>
      </w:r>
    </w:p>
    <w:p>
      <w:pPr>
        <w:autoSpaceDE w:val="0"/>
        <w:autoSpaceDN w:val="0"/>
        <w:adjustRightInd w:val="0"/>
        <w:spacing w:line="360" w:lineRule="auto"/>
        <w:ind w:right="6"/>
        <w:rPr>
          <w:color w:val="auto"/>
          <w:highlight w:val="none"/>
        </w:rPr>
      </w:pPr>
      <w:r>
        <w:rPr>
          <w:rFonts w:hint="eastAsia"/>
          <w:color w:val="auto"/>
          <w:kern w:val="0"/>
          <w:sz w:val="24"/>
          <w:szCs w:val="24"/>
          <w:highlight w:val="none"/>
        </w:rPr>
        <w:t>没有处于被责令停业，财产被接管、冻结或破产状态；并在人员、设备、资金等方面具有承担本项目的能力，无不良纪录；在“信用中国”网站（www.creditchina.gov.cn）无不良行为记录。（须提供相关承诺，信用中国信用信息</w:t>
      </w:r>
      <w:r>
        <w:rPr>
          <w:rFonts w:hint="eastAsia"/>
          <w:color w:val="auto"/>
          <w:kern w:val="0"/>
          <w:sz w:val="24"/>
          <w:szCs w:val="24"/>
          <w:highlight w:val="none"/>
          <w:lang w:val="en-US" w:eastAsia="zh-CN"/>
        </w:rPr>
        <w:t>查询截图须为采购公告发布至投标截止日之间的</w:t>
      </w:r>
      <w:r>
        <w:rPr>
          <w:rFonts w:hint="eastAsia"/>
          <w:color w:val="auto"/>
          <w:kern w:val="0"/>
          <w:sz w:val="24"/>
          <w:szCs w:val="24"/>
          <w:highlight w:val="none"/>
        </w:rPr>
        <w:t>）</w:t>
      </w:r>
    </w:p>
    <w:p>
      <w:pPr>
        <w:spacing w:line="360" w:lineRule="auto"/>
        <w:jc w:val="left"/>
        <w:rPr>
          <w:color w:val="auto"/>
          <w:sz w:val="24"/>
          <w:szCs w:val="24"/>
          <w:highlight w:val="none"/>
        </w:rPr>
      </w:pPr>
      <w:r>
        <w:rPr>
          <w:rFonts w:hint="eastAsia"/>
          <w:color w:val="auto"/>
          <w:sz w:val="24"/>
          <w:szCs w:val="24"/>
          <w:highlight w:val="none"/>
        </w:rPr>
        <w:t>4、在“信用中国”网站（www.creditchina.gov.cn）无不良行为记录。</w:t>
      </w:r>
    </w:p>
    <w:p>
      <w:pPr>
        <w:autoSpaceDE w:val="0"/>
        <w:autoSpaceDN w:val="0"/>
        <w:adjustRightInd w:val="0"/>
        <w:spacing w:line="360" w:lineRule="auto"/>
        <w:ind w:right="6"/>
        <w:rPr>
          <w:color w:val="auto"/>
          <w:highlight w:val="none"/>
        </w:rPr>
        <w:sectPr>
          <w:headerReference r:id="rId7" w:type="default"/>
          <w:footerReference r:id="rId8" w:type="default"/>
          <w:pgSz w:w="11906" w:h="16838"/>
          <w:pgMar w:top="1440" w:right="1080" w:bottom="1440" w:left="1080" w:header="851" w:footer="992" w:gutter="0"/>
          <w:pgNumType w:fmt="numberInDash"/>
          <w:cols w:space="425" w:num="1"/>
          <w:docGrid w:type="lines" w:linePitch="312" w:charSpace="0"/>
        </w:sectPr>
      </w:pPr>
    </w:p>
    <w:p>
      <w:pPr>
        <w:pStyle w:val="32"/>
        <w:rPr>
          <w:rFonts w:eastAsia="宋体"/>
          <w:color w:val="auto"/>
          <w:sz w:val="24"/>
          <w:szCs w:val="24"/>
          <w:highlight w:val="none"/>
        </w:rPr>
      </w:pPr>
    </w:p>
    <w:p>
      <w:pPr>
        <w:rPr>
          <w:color w:val="auto"/>
          <w:kern w:val="0"/>
          <w:sz w:val="24"/>
          <w:szCs w:val="24"/>
          <w:highlight w:val="none"/>
        </w:rPr>
      </w:pPr>
    </w:p>
    <w:p>
      <w:pPr>
        <w:pStyle w:val="32"/>
        <w:jc w:val="center"/>
        <w:rPr>
          <w:rFonts w:eastAsia="宋体"/>
          <w:color w:val="auto"/>
          <w:sz w:val="24"/>
          <w:szCs w:val="24"/>
          <w:highlight w:val="none"/>
          <w:lang w:val="en-US"/>
        </w:rPr>
      </w:pPr>
      <w:r>
        <w:rPr>
          <w:rFonts w:hint="eastAsia" w:eastAsia="宋体"/>
          <w:color w:val="auto"/>
          <w:sz w:val="24"/>
          <w:szCs w:val="24"/>
          <w:highlight w:val="none"/>
          <w:lang w:val="en-US"/>
        </w:rPr>
        <w:t>承诺函</w:t>
      </w:r>
    </w:p>
    <w:p>
      <w:pPr>
        <w:rPr>
          <w:color w:val="auto"/>
          <w:kern w:val="0"/>
          <w:sz w:val="24"/>
          <w:szCs w:val="24"/>
          <w:highlight w:val="none"/>
        </w:rPr>
      </w:pPr>
    </w:p>
    <w:p>
      <w:pPr>
        <w:rPr>
          <w:color w:val="auto"/>
          <w:sz w:val="24"/>
          <w:szCs w:val="24"/>
          <w:highlight w:val="none"/>
        </w:rPr>
      </w:pPr>
      <w:r>
        <w:rPr>
          <w:rFonts w:hint="eastAsia"/>
          <w:color w:val="auto"/>
          <w:sz w:val="24"/>
          <w:szCs w:val="24"/>
          <w:highlight w:val="none"/>
        </w:rPr>
        <w:t>致：云能（曲靖）综合能源服务有限公司</w:t>
      </w:r>
    </w:p>
    <w:p>
      <w:pPr>
        <w:rPr>
          <w:color w:val="auto"/>
          <w:sz w:val="24"/>
          <w:szCs w:val="24"/>
          <w:highlight w:val="none"/>
        </w:rPr>
      </w:pPr>
    </w:p>
    <w:p>
      <w:pPr>
        <w:spacing w:line="360" w:lineRule="auto"/>
        <w:ind w:firstLine="480"/>
        <w:rPr>
          <w:color w:val="auto"/>
          <w:sz w:val="24"/>
          <w:szCs w:val="24"/>
          <w:highlight w:val="none"/>
        </w:rPr>
      </w:pPr>
      <w:r>
        <w:rPr>
          <w:rFonts w:hint="eastAsia"/>
          <w:color w:val="auto"/>
          <w:sz w:val="24"/>
          <w:highlight w:val="none"/>
        </w:rPr>
        <w:t>我公司没有处于被责令停业，财产被接管、冻结或破产状态；并在人员、设备、资金等方面具有承担本项目的能力，无不良纪录；在“信用中国”网站（www.creditchina.gov.cn）无不良行为记录。</w:t>
      </w:r>
    </w:p>
    <w:p>
      <w:pPr>
        <w:spacing w:line="500" w:lineRule="exact"/>
        <w:ind w:firstLine="480" w:firstLineChars="200"/>
        <w:rPr>
          <w:color w:val="auto"/>
          <w:sz w:val="24"/>
          <w:szCs w:val="24"/>
          <w:highlight w:val="none"/>
        </w:rPr>
      </w:pPr>
    </w:p>
    <w:p>
      <w:pPr>
        <w:spacing w:line="500" w:lineRule="exact"/>
        <w:ind w:firstLine="480" w:firstLineChars="200"/>
        <w:rPr>
          <w:color w:val="auto"/>
          <w:sz w:val="24"/>
          <w:szCs w:val="24"/>
          <w:highlight w:val="none"/>
        </w:rPr>
      </w:pPr>
    </w:p>
    <w:p>
      <w:pPr>
        <w:spacing w:line="500" w:lineRule="exact"/>
        <w:ind w:firstLine="480" w:firstLineChars="200"/>
        <w:rPr>
          <w:color w:val="auto"/>
          <w:sz w:val="24"/>
          <w:szCs w:val="24"/>
          <w:highlight w:val="none"/>
        </w:rPr>
      </w:pPr>
    </w:p>
    <w:p>
      <w:pPr>
        <w:spacing w:line="500" w:lineRule="exact"/>
        <w:ind w:firstLine="480" w:firstLineChars="200"/>
        <w:rPr>
          <w:color w:val="auto"/>
          <w:sz w:val="24"/>
          <w:szCs w:val="24"/>
          <w:highlight w:val="none"/>
        </w:rPr>
      </w:pPr>
    </w:p>
    <w:p>
      <w:pPr>
        <w:spacing w:line="500" w:lineRule="exact"/>
        <w:ind w:firstLine="480" w:firstLineChars="200"/>
        <w:rPr>
          <w:color w:val="auto"/>
          <w:sz w:val="24"/>
          <w:szCs w:val="24"/>
          <w:highlight w:val="none"/>
        </w:rPr>
      </w:pPr>
    </w:p>
    <w:p>
      <w:pPr>
        <w:spacing w:line="276" w:lineRule="auto"/>
        <w:rPr>
          <w:color w:val="auto"/>
          <w:sz w:val="24"/>
          <w:szCs w:val="24"/>
          <w:highlight w:val="none"/>
        </w:rPr>
      </w:pPr>
      <w:r>
        <w:rPr>
          <w:rFonts w:hint="eastAsia"/>
          <w:color w:val="auto"/>
          <w:sz w:val="24"/>
          <w:szCs w:val="24"/>
          <w:highlight w:val="none"/>
        </w:rPr>
        <w:t>供应商：</w:t>
      </w:r>
      <w:r>
        <w:rPr>
          <w:rFonts w:hint="eastAsia"/>
          <w:color w:val="auto"/>
          <w:sz w:val="24"/>
          <w:szCs w:val="24"/>
          <w:highlight w:val="none"/>
          <w:u w:val="single"/>
        </w:rPr>
        <w:t xml:space="preserve">                                  </w:t>
      </w:r>
      <w:r>
        <w:rPr>
          <w:rFonts w:hint="eastAsia"/>
          <w:color w:val="auto"/>
          <w:sz w:val="24"/>
          <w:szCs w:val="24"/>
          <w:highlight w:val="none"/>
        </w:rPr>
        <w:t>（盖章）</w:t>
      </w:r>
    </w:p>
    <w:p>
      <w:pPr>
        <w:spacing w:line="276" w:lineRule="auto"/>
        <w:ind w:firstLine="480" w:firstLineChars="200"/>
        <w:rPr>
          <w:color w:val="auto"/>
          <w:sz w:val="24"/>
          <w:szCs w:val="24"/>
          <w:highlight w:val="none"/>
        </w:rPr>
      </w:pPr>
    </w:p>
    <w:p>
      <w:pPr>
        <w:spacing w:line="276" w:lineRule="auto"/>
        <w:rPr>
          <w:color w:val="auto"/>
          <w:sz w:val="24"/>
          <w:szCs w:val="24"/>
          <w:highlight w:val="none"/>
        </w:rPr>
      </w:pPr>
      <w:r>
        <w:rPr>
          <w:rFonts w:hint="eastAsia"/>
          <w:color w:val="auto"/>
          <w:sz w:val="24"/>
          <w:szCs w:val="24"/>
          <w:highlight w:val="none"/>
        </w:rPr>
        <w:t>法定代表人或其委托代理人：</w:t>
      </w:r>
      <w:r>
        <w:rPr>
          <w:rFonts w:hint="eastAsia"/>
          <w:color w:val="auto"/>
          <w:sz w:val="24"/>
          <w:szCs w:val="24"/>
          <w:highlight w:val="none"/>
          <w:u w:val="single"/>
        </w:rPr>
        <w:t xml:space="preserve">                </w:t>
      </w:r>
      <w:r>
        <w:rPr>
          <w:rFonts w:hint="eastAsia"/>
          <w:color w:val="auto"/>
          <w:sz w:val="24"/>
          <w:szCs w:val="24"/>
          <w:highlight w:val="none"/>
        </w:rPr>
        <w:t>（签字或盖章）</w:t>
      </w:r>
    </w:p>
    <w:p>
      <w:pPr>
        <w:spacing w:line="276" w:lineRule="auto"/>
        <w:ind w:firstLine="480" w:firstLineChars="200"/>
        <w:rPr>
          <w:color w:val="auto"/>
          <w:sz w:val="24"/>
          <w:szCs w:val="24"/>
          <w:highlight w:val="none"/>
        </w:rPr>
      </w:pPr>
    </w:p>
    <w:p>
      <w:pPr>
        <w:pStyle w:val="32"/>
        <w:rPr>
          <w:color w:val="auto"/>
          <w:highlight w:val="none"/>
          <w:lang w:val="en-US"/>
        </w:rPr>
        <w:sectPr>
          <w:pgSz w:w="11906" w:h="16838"/>
          <w:pgMar w:top="1440" w:right="1080" w:bottom="1440" w:left="1080" w:header="851" w:footer="992" w:gutter="0"/>
          <w:pgNumType w:fmt="numberInDash"/>
          <w:cols w:space="425" w:num="1"/>
          <w:docGrid w:type="lines" w:linePitch="312" w:charSpace="0"/>
        </w:sectPr>
      </w:pPr>
      <w:r>
        <w:rPr>
          <w:rFonts w:hint="eastAsia" w:eastAsia="宋体"/>
          <w:color w:val="auto"/>
          <w:sz w:val="24"/>
          <w:szCs w:val="24"/>
          <w:highlight w:val="none"/>
        </w:rPr>
        <w:t>日　期：</w:t>
      </w:r>
      <w:r>
        <w:rPr>
          <w:rFonts w:hint="eastAsia" w:eastAsia="宋体"/>
          <w:color w:val="auto"/>
          <w:sz w:val="24"/>
          <w:szCs w:val="24"/>
          <w:highlight w:val="none"/>
          <w:u w:val="single"/>
        </w:rPr>
        <w:t xml:space="preserve">      </w:t>
      </w:r>
      <w:r>
        <w:rPr>
          <w:rFonts w:hint="eastAsia" w:eastAsia="宋体"/>
          <w:color w:val="auto"/>
          <w:sz w:val="24"/>
          <w:szCs w:val="24"/>
          <w:highlight w:val="none"/>
        </w:rPr>
        <w:t>年</w:t>
      </w:r>
      <w:r>
        <w:rPr>
          <w:rFonts w:hint="eastAsia" w:eastAsia="宋体"/>
          <w:color w:val="auto"/>
          <w:sz w:val="24"/>
          <w:szCs w:val="24"/>
          <w:highlight w:val="none"/>
          <w:u w:val="single"/>
        </w:rPr>
        <w:t xml:space="preserve">     </w:t>
      </w:r>
      <w:r>
        <w:rPr>
          <w:rFonts w:hint="eastAsia" w:eastAsia="宋体"/>
          <w:color w:val="auto"/>
          <w:sz w:val="24"/>
          <w:szCs w:val="24"/>
          <w:highlight w:val="none"/>
        </w:rPr>
        <w:t>月</w:t>
      </w:r>
      <w:r>
        <w:rPr>
          <w:rFonts w:hint="eastAsia" w:eastAsia="宋体"/>
          <w:color w:val="auto"/>
          <w:sz w:val="24"/>
          <w:szCs w:val="24"/>
          <w:highlight w:val="none"/>
          <w:u w:val="single"/>
        </w:rPr>
        <w:t xml:space="preserve">     </w:t>
      </w:r>
      <w:r>
        <w:rPr>
          <w:rFonts w:hint="eastAsia" w:eastAsia="宋体"/>
          <w:color w:val="auto"/>
          <w:sz w:val="24"/>
          <w:szCs w:val="24"/>
          <w:highlight w:val="none"/>
        </w:rPr>
        <w:t>日</w:t>
      </w:r>
    </w:p>
    <w:p>
      <w:pPr>
        <w:keepNext/>
        <w:keepLines/>
        <w:spacing w:before="260" w:after="260" w:line="416" w:lineRule="auto"/>
        <w:ind w:firstLine="4176" w:firstLineChars="1300"/>
        <w:outlineLvl w:val="2"/>
        <w:rPr>
          <w:b/>
          <w:bCs/>
          <w:color w:val="auto"/>
          <w:kern w:val="0"/>
          <w:sz w:val="32"/>
          <w:szCs w:val="32"/>
          <w:highlight w:val="none"/>
        </w:rPr>
      </w:pPr>
      <w:bookmarkStart w:id="351" w:name="_Toc5327"/>
      <w:bookmarkStart w:id="352" w:name="_Toc28240"/>
      <w:r>
        <w:rPr>
          <w:rFonts w:hint="eastAsia"/>
          <w:b/>
          <w:bCs/>
          <w:color w:val="auto"/>
          <w:kern w:val="0"/>
          <w:sz w:val="32"/>
          <w:szCs w:val="32"/>
          <w:highlight w:val="none"/>
        </w:rPr>
        <w:t>六、承诺书</w:t>
      </w:r>
      <w:bookmarkEnd w:id="351"/>
      <w:bookmarkEnd w:id="352"/>
    </w:p>
    <w:p>
      <w:pPr>
        <w:spacing w:line="480" w:lineRule="auto"/>
        <w:jc w:val="left"/>
        <w:rPr>
          <w:color w:val="auto"/>
          <w:sz w:val="28"/>
          <w:szCs w:val="24"/>
          <w:highlight w:val="none"/>
        </w:rPr>
      </w:pPr>
      <w:r>
        <w:rPr>
          <w:rFonts w:hint="eastAsia"/>
          <w:color w:val="auto"/>
          <w:sz w:val="24"/>
          <w:szCs w:val="24"/>
          <w:highlight w:val="none"/>
        </w:rPr>
        <w:t xml:space="preserve"> </w:t>
      </w:r>
      <w:r>
        <w:rPr>
          <w:rFonts w:hint="eastAsia"/>
          <w:color w:val="auto"/>
          <w:sz w:val="28"/>
          <w:szCs w:val="24"/>
          <w:highlight w:val="none"/>
        </w:rPr>
        <w:t xml:space="preserve">致： 云能（曲靖）综合能源服务有限公司  </w:t>
      </w:r>
    </w:p>
    <w:p>
      <w:pPr>
        <w:spacing w:line="480" w:lineRule="auto"/>
        <w:ind w:firstLine="560" w:firstLineChars="200"/>
        <w:jc w:val="left"/>
        <w:rPr>
          <w:color w:val="auto"/>
          <w:sz w:val="28"/>
          <w:szCs w:val="24"/>
          <w:highlight w:val="none"/>
        </w:rPr>
      </w:pPr>
      <w:r>
        <w:rPr>
          <w:rFonts w:hint="eastAsia"/>
          <w:color w:val="auto"/>
          <w:sz w:val="28"/>
          <w:szCs w:val="24"/>
          <w:highlight w:val="none"/>
        </w:rPr>
        <w:t>我方参与本项目承诺如下：</w:t>
      </w:r>
    </w:p>
    <w:p>
      <w:pPr>
        <w:spacing w:line="480" w:lineRule="auto"/>
        <w:ind w:firstLine="560" w:firstLineChars="200"/>
        <w:jc w:val="left"/>
        <w:rPr>
          <w:color w:val="auto"/>
          <w:sz w:val="28"/>
          <w:szCs w:val="24"/>
          <w:highlight w:val="none"/>
        </w:rPr>
      </w:pPr>
      <w:r>
        <w:rPr>
          <w:rFonts w:hint="eastAsia"/>
          <w:color w:val="auto"/>
          <w:sz w:val="28"/>
          <w:szCs w:val="24"/>
          <w:highlight w:val="none"/>
        </w:rPr>
        <w:t>（1）我方承诺采购人在使用该产品（服务）或其任何一部分时不受到第三方关于侵犯专利权、商标权或工业设计权等知识产权的指控。如果任何第三方提出侵权指控与采购人无关，我方自愿与第三方交涉并承担可能发生的责任与一切费用。如采购人因此而遭受损失的，我方承诺赔偿该损失；</w:t>
      </w:r>
    </w:p>
    <w:p>
      <w:pPr>
        <w:spacing w:line="480" w:lineRule="auto"/>
        <w:ind w:firstLine="560" w:firstLineChars="200"/>
        <w:jc w:val="left"/>
        <w:rPr>
          <w:color w:val="auto"/>
          <w:sz w:val="28"/>
          <w:szCs w:val="24"/>
          <w:highlight w:val="none"/>
        </w:rPr>
      </w:pPr>
      <w:r>
        <w:rPr>
          <w:rFonts w:hint="eastAsia"/>
          <w:color w:val="auto"/>
          <w:sz w:val="28"/>
          <w:szCs w:val="24"/>
          <w:highlight w:val="none"/>
        </w:rPr>
        <w:t>（2）我方完成接受合同条款内的所有内容；</w:t>
      </w:r>
    </w:p>
    <w:p>
      <w:pPr>
        <w:spacing w:line="480" w:lineRule="auto"/>
        <w:ind w:firstLine="560" w:firstLineChars="200"/>
        <w:jc w:val="left"/>
        <w:rPr>
          <w:color w:val="auto"/>
          <w:sz w:val="28"/>
          <w:szCs w:val="24"/>
          <w:highlight w:val="none"/>
        </w:rPr>
      </w:pPr>
      <w:r>
        <w:rPr>
          <w:rFonts w:hint="eastAsia"/>
          <w:color w:val="auto"/>
          <w:sz w:val="28"/>
          <w:szCs w:val="24"/>
          <w:highlight w:val="none"/>
        </w:rPr>
        <w:t>（3）我方报价文件完全符合法律法规规定的所有文件；</w:t>
      </w:r>
    </w:p>
    <w:p>
      <w:pPr>
        <w:spacing w:line="480" w:lineRule="auto"/>
        <w:ind w:firstLine="560" w:firstLineChars="200"/>
        <w:jc w:val="left"/>
        <w:rPr>
          <w:color w:val="auto"/>
          <w:sz w:val="28"/>
          <w:szCs w:val="24"/>
          <w:highlight w:val="none"/>
        </w:rPr>
      </w:pPr>
      <w:r>
        <w:rPr>
          <w:rFonts w:hint="eastAsia"/>
          <w:color w:val="auto"/>
          <w:sz w:val="28"/>
          <w:szCs w:val="24"/>
          <w:highlight w:val="none"/>
        </w:rPr>
        <w:t>（4）我方接受采购人对我方的考核要求。</w:t>
      </w:r>
    </w:p>
    <w:p>
      <w:pPr>
        <w:spacing w:line="480" w:lineRule="auto"/>
        <w:ind w:firstLine="560" w:firstLineChars="200"/>
        <w:jc w:val="left"/>
        <w:rPr>
          <w:color w:val="auto"/>
          <w:sz w:val="24"/>
          <w:szCs w:val="24"/>
          <w:highlight w:val="none"/>
        </w:rPr>
      </w:pPr>
      <w:r>
        <w:rPr>
          <w:rFonts w:hint="eastAsia"/>
          <w:color w:val="auto"/>
          <w:sz w:val="28"/>
          <w:szCs w:val="24"/>
          <w:highlight w:val="none"/>
        </w:rPr>
        <w:t>（5）我方保证不为寻求成交而以低于成本价报价，因我方以低价成交后而我方未能履行合同的，我方自愿接受采购人对我方处以合同金额100%的处罚。</w:t>
      </w:r>
    </w:p>
    <w:p>
      <w:pPr>
        <w:spacing w:line="360" w:lineRule="auto"/>
        <w:jc w:val="left"/>
        <w:rPr>
          <w:color w:val="auto"/>
          <w:highlight w:val="none"/>
        </w:rPr>
      </w:pPr>
    </w:p>
    <w:p>
      <w:pPr>
        <w:spacing w:line="360" w:lineRule="auto"/>
        <w:jc w:val="left"/>
        <w:rPr>
          <w:color w:val="auto"/>
          <w:highlight w:val="none"/>
        </w:rPr>
      </w:pPr>
    </w:p>
    <w:p>
      <w:pPr>
        <w:spacing w:line="500" w:lineRule="exact"/>
        <w:ind w:firstLine="480" w:firstLineChars="200"/>
        <w:rPr>
          <w:color w:val="auto"/>
          <w:sz w:val="24"/>
          <w:szCs w:val="24"/>
          <w:highlight w:val="none"/>
        </w:rPr>
      </w:pPr>
    </w:p>
    <w:p>
      <w:pPr>
        <w:spacing w:line="276" w:lineRule="auto"/>
        <w:rPr>
          <w:color w:val="auto"/>
          <w:sz w:val="24"/>
          <w:szCs w:val="24"/>
          <w:highlight w:val="none"/>
        </w:rPr>
      </w:pPr>
      <w:r>
        <w:rPr>
          <w:rFonts w:hint="eastAsia"/>
          <w:color w:val="auto"/>
          <w:sz w:val="24"/>
          <w:szCs w:val="24"/>
          <w:highlight w:val="none"/>
        </w:rPr>
        <w:t>供应商：</w:t>
      </w:r>
      <w:r>
        <w:rPr>
          <w:rFonts w:hint="eastAsia"/>
          <w:color w:val="auto"/>
          <w:sz w:val="24"/>
          <w:szCs w:val="24"/>
          <w:highlight w:val="none"/>
          <w:u w:val="single"/>
        </w:rPr>
        <w:t xml:space="preserve">                                  </w:t>
      </w:r>
      <w:r>
        <w:rPr>
          <w:rFonts w:hint="eastAsia"/>
          <w:color w:val="auto"/>
          <w:sz w:val="24"/>
          <w:szCs w:val="24"/>
          <w:highlight w:val="none"/>
        </w:rPr>
        <w:t>（盖章）</w:t>
      </w:r>
    </w:p>
    <w:p>
      <w:pPr>
        <w:spacing w:line="276" w:lineRule="auto"/>
        <w:ind w:firstLine="480" w:firstLineChars="200"/>
        <w:rPr>
          <w:color w:val="auto"/>
          <w:sz w:val="24"/>
          <w:szCs w:val="24"/>
          <w:highlight w:val="none"/>
        </w:rPr>
      </w:pPr>
    </w:p>
    <w:p>
      <w:pPr>
        <w:spacing w:line="276" w:lineRule="auto"/>
        <w:rPr>
          <w:color w:val="auto"/>
          <w:sz w:val="24"/>
          <w:szCs w:val="24"/>
          <w:highlight w:val="none"/>
        </w:rPr>
      </w:pPr>
      <w:r>
        <w:rPr>
          <w:rFonts w:hint="eastAsia"/>
          <w:color w:val="auto"/>
          <w:sz w:val="24"/>
          <w:szCs w:val="24"/>
          <w:highlight w:val="none"/>
        </w:rPr>
        <w:t>法定代表人或其委托代理人：</w:t>
      </w:r>
      <w:r>
        <w:rPr>
          <w:rFonts w:hint="eastAsia"/>
          <w:color w:val="auto"/>
          <w:sz w:val="24"/>
          <w:szCs w:val="24"/>
          <w:highlight w:val="none"/>
          <w:u w:val="single"/>
        </w:rPr>
        <w:t xml:space="preserve">                </w:t>
      </w:r>
      <w:r>
        <w:rPr>
          <w:rFonts w:hint="eastAsia"/>
          <w:color w:val="auto"/>
          <w:sz w:val="24"/>
          <w:szCs w:val="24"/>
          <w:highlight w:val="none"/>
        </w:rPr>
        <w:t>（签字或盖章）</w:t>
      </w:r>
    </w:p>
    <w:p>
      <w:pPr>
        <w:spacing w:line="276" w:lineRule="auto"/>
        <w:ind w:firstLine="480" w:firstLineChars="200"/>
        <w:rPr>
          <w:color w:val="auto"/>
          <w:sz w:val="24"/>
          <w:szCs w:val="24"/>
          <w:highlight w:val="none"/>
        </w:rPr>
      </w:pPr>
    </w:p>
    <w:p>
      <w:pPr>
        <w:spacing w:line="360" w:lineRule="auto"/>
        <w:jc w:val="left"/>
        <w:rPr>
          <w:color w:val="auto"/>
          <w:highlight w:val="none"/>
        </w:rPr>
      </w:pPr>
      <w:r>
        <w:rPr>
          <w:rFonts w:hint="eastAsia"/>
          <w:color w:val="auto"/>
          <w:sz w:val="24"/>
          <w:szCs w:val="24"/>
          <w:highlight w:val="none"/>
        </w:rPr>
        <w:t>日　期：</w:t>
      </w:r>
      <w:r>
        <w:rPr>
          <w:rFonts w:hint="eastAsia"/>
          <w:color w:val="auto"/>
          <w:sz w:val="24"/>
          <w:szCs w:val="24"/>
          <w:highlight w:val="none"/>
          <w:u w:val="single"/>
        </w:rPr>
        <w:t xml:space="preserve">      </w:t>
      </w:r>
      <w:r>
        <w:rPr>
          <w:rFonts w:hint="eastAsia"/>
          <w:color w:val="auto"/>
          <w:sz w:val="24"/>
          <w:szCs w:val="24"/>
          <w:highlight w:val="none"/>
        </w:rPr>
        <w:t>年</w:t>
      </w:r>
      <w:r>
        <w:rPr>
          <w:rFonts w:hint="eastAsia"/>
          <w:color w:val="auto"/>
          <w:sz w:val="24"/>
          <w:szCs w:val="24"/>
          <w:highlight w:val="none"/>
          <w:u w:val="single"/>
        </w:rPr>
        <w:t xml:space="preserve">     </w:t>
      </w:r>
      <w:r>
        <w:rPr>
          <w:rFonts w:hint="eastAsia"/>
          <w:color w:val="auto"/>
          <w:sz w:val="24"/>
          <w:szCs w:val="24"/>
          <w:highlight w:val="none"/>
        </w:rPr>
        <w:t>月</w:t>
      </w:r>
      <w:r>
        <w:rPr>
          <w:rFonts w:hint="eastAsia"/>
          <w:color w:val="auto"/>
          <w:sz w:val="24"/>
          <w:szCs w:val="24"/>
          <w:highlight w:val="none"/>
          <w:u w:val="single"/>
        </w:rPr>
        <w:t xml:space="preserve">     </w:t>
      </w:r>
      <w:r>
        <w:rPr>
          <w:rFonts w:hint="eastAsia"/>
          <w:color w:val="auto"/>
          <w:sz w:val="24"/>
          <w:szCs w:val="24"/>
          <w:highlight w:val="none"/>
        </w:rPr>
        <w:t>日</w:t>
      </w:r>
    </w:p>
    <w:p>
      <w:pPr>
        <w:spacing w:line="360" w:lineRule="auto"/>
        <w:jc w:val="center"/>
        <w:rPr>
          <w:color w:val="auto"/>
          <w:highlight w:val="none"/>
        </w:rPr>
      </w:pPr>
    </w:p>
    <w:p>
      <w:pPr>
        <w:keepNext/>
        <w:keepLines/>
        <w:spacing w:before="260" w:after="260" w:line="416" w:lineRule="auto"/>
        <w:jc w:val="center"/>
        <w:outlineLvl w:val="2"/>
        <w:rPr>
          <w:b/>
          <w:bCs/>
          <w:color w:val="auto"/>
          <w:kern w:val="0"/>
          <w:sz w:val="32"/>
          <w:szCs w:val="32"/>
          <w:highlight w:val="none"/>
        </w:rPr>
        <w:sectPr>
          <w:pgSz w:w="11906" w:h="16838"/>
          <w:pgMar w:top="1440" w:right="1080" w:bottom="1440" w:left="1080" w:header="851" w:footer="992" w:gutter="0"/>
          <w:pgNumType w:fmt="numberInDash"/>
          <w:cols w:space="425" w:num="1"/>
          <w:docGrid w:type="lines" w:linePitch="312" w:charSpace="0"/>
        </w:sectPr>
      </w:pPr>
      <w:bookmarkStart w:id="353" w:name="_Toc3530"/>
      <w:bookmarkStart w:id="354" w:name="_Toc19128"/>
    </w:p>
    <w:bookmarkEnd w:id="328"/>
    <w:bookmarkEnd w:id="335"/>
    <w:bookmarkEnd w:id="336"/>
    <w:bookmarkEnd w:id="337"/>
    <w:bookmarkEnd w:id="338"/>
    <w:bookmarkEnd w:id="339"/>
    <w:bookmarkEnd w:id="340"/>
    <w:bookmarkEnd w:id="341"/>
    <w:bookmarkEnd w:id="342"/>
    <w:bookmarkEnd w:id="343"/>
    <w:bookmarkEnd w:id="344"/>
    <w:bookmarkEnd w:id="345"/>
    <w:bookmarkEnd w:id="353"/>
    <w:bookmarkEnd w:id="354"/>
    <w:p>
      <w:pPr>
        <w:keepNext/>
        <w:keepLines/>
        <w:spacing w:before="260" w:after="260" w:line="416" w:lineRule="auto"/>
        <w:outlineLvl w:val="2"/>
        <w:rPr>
          <w:b/>
          <w:bCs/>
          <w:color w:val="auto"/>
          <w:kern w:val="0"/>
          <w:sz w:val="32"/>
          <w:szCs w:val="32"/>
          <w:highlight w:val="none"/>
        </w:rPr>
      </w:pPr>
      <w:r>
        <w:rPr>
          <w:rFonts w:hint="eastAsia"/>
          <w:b/>
          <w:bCs/>
          <w:color w:val="auto"/>
          <w:kern w:val="0"/>
          <w:sz w:val="32"/>
          <w:szCs w:val="32"/>
          <w:highlight w:val="none"/>
        </w:rPr>
        <w:t>七、业绩表</w:t>
      </w:r>
    </w:p>
    <w:tbl>
      <w:tblPr>
        <w:tblStyle w:val="21"/>
        <w:tblW w:w="93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985"/>
        <w:gridCol w:w="1417"/>
        <w:gridCol w:w="1739"/>
        <w:gridCol w:w="851"/>
        <w:gridCol w:w="812"/>
        <w:gridCol w:w="954"/>
        <w:gridCol w:w="9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jc w:val="center"/>
              <w:rPr>
                <w:color w:val="auto"/>
                <w:highlight w:val="none"/>
              </w:rPr>
            </w:pPr>
            <w:bookmarkStart w:id="355" w:name="_Hlk69110475"/>
            <w:r>
              <w:rPr>
                <w:color w:val="auto"/>
                <w:highlight w:val="none"/>
              </w:rPr>
              <w:t>序号</w:t>
            </w:r>
          </w:p>
        </w:tc>
        <w:tc>
          <w:tcPr>
            <w:tcW w:w="1985" w:type="dxa"/>
            <w:vAlign w:val="center"/>
          </w:tcPr>
          <w:p>
            <w:pPr>
              <w:jc w:val="center"/>
              <w:rPr>
                <w:color w:val="auto"/>
                <w:highlight w:val="none"/>
              </w:rPr>
            </w:pPr>
            <w:r>
              <w:rPr>
                <w:color w:val="auto"/>
                <w:szCs w:val="21"/>
                <w:highlight w:val="none"/>
              </w:rPr>
              <w:t>项目名称</w:t>
            </w:r>
          </w:p>
        </w:tc>
        <w:tc>
          <w:tcPr>
            <w:tcW w:w="1417" w:type="dxa"/>
            <w:vAlign w:val="center"/>
          </w:tcPr>
          <w:p>
            <w:pPr>
              <w:jc w:val="center"/>
              <w:rPr>
                <w:color w:val="auto"/>
                <w:highlight w:val="none"/>
              </w:rPr>
            </w:pPr>
            <w:r>
              <w:rPr>
                <w:color w:val="auto"/>
                <w:szCs w:val="21"/>
                <w:highlight w:val="none"/>
              </w:rPr>
              <w:t>发包人</w:t>
            </w:r>
          </w:p>
        </w:tc>
        <w:tc>
          <w:tcPr>
            <w:tcW w:w="1739" w:type="dxa"/>
            <w:vAlign w:val="center"/>
          </w:tcPr>
          <w:p>
            <w:pPr>
              <w:jc w:val="center"/>
              <w:rPr>
                <w:color w:val="auto"/>
                <w:highlight w:val="none"/>
              </w:rPr>
            </w:pPr>
            <w:r>
              <w:rPr>
                <w:color w:val="auto"/>
                <w:highlight w:val="none"/>
              </w:rPr>
              <w:t>项目主要内容</w:t>
            </w:r>
          </w:p>
        </w:tc>
        <w:tc>
          <w:tcPr>
            <w:tcW w:w="851" w:type="dxa"/>
            <w:vAlign w:val="center"/>
          </w:tcPr>
          <w:p>
            <w:pPr>
              <w:jc w:val="center"/>
              <w:rPr>
                <w:color w:val="auto"/>
                <w:szCs w:val="21"/>
                <w:highlight w:val="none"/>
              </w:rPr>
            </w:pPr>
            <w:r>
              <w:rPr>
                <w:color w:val="auto"/>
                <w:szCs w:val="21"/>
                <w:highlight w:val="none"/>
              </w:rPr>
              <w:t>合同</w:t>
            </w:r>
          </w:p>
          <w:p>
            <w:pPr>
              <w:jc w:val="center"/>
              <w:rPr>
                <w:color w:val="auto"/>
                <w:highlight w:val="none"/>
              </w:rPr>
            </w:pPr>
            <w:r>
              <w:rPr>
                <w:color w:val="auto"/>
                <w:szCs w:val="21"/>
                <w:highlight w:val="none"/>
              </w:rPr>
              <w:t>价格</w:t>
            </w:r>
          </w:p>
        </w:tc>
        <w:tc>
          <w:tcPr>
            <w:tcW w:w="812" w:type="dxa"/>
            <w:vAlign w:val="center"/>
          </w:tcPr>
          <w:p>
            <w:pPr>
              <w:jc w:val="center"/>
              <w:rPr>
                <w:color w:val="auto"/>
                <w:highlight w:val="none"/>
              </w:rPr>
            </w:pPr>
            <w:r>
              <w:rPr>
                <w:color w:val="auto"/>
                <w:szCs w:val="21"/>
                <w:highlight w:val="none"/>
              </w:rPr>
              <w:t>完成时间</w:t>
            </w:r>
          </w:p>
        </w:tc>
        <w:tc>
          <w:tcPr>
            <w:tcW w:w="954" w:type="dxa"/>
            <w:vAlign w:val="center"/>
          </w:tcPr>
          <w:p>
            <w:pPr>
              <w:jc w:val="center"/>
              <w:rPr>
                <w:color w:val="auto"/>
                <w:highlight w:val="none"/>
              </w:rPr>
            </w:pPr>
            <w:r>
              <w:rPr>
                <w:color w:val="auto"/>
                <w:szCs w:val="21"/>
                <w:highlight w:val="none"/>
              </w:rPr>
              <w:t>发包人项目负责人及电话</w:t>
            </w:r>
          </w:p>
        </w:tc>
        <w:tc>
          <w:tcPr>
            <w:tcW w:w="955" w:type="dxa"/>
            <w:vAlign w:val="center"/>
          </w:tcPr>
          <w:p>
            <w:pPr>
              <w:jc w:val="center"/>
              <w:rPr>
                <w:color w:val="auto"/>
                <w:highlight w:val="none"/>
              </w:rPr>
            </w:pPr>
            <w:r>
              <w:rPr>
                <w:color w:val="auto"/>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rPr>
                <w:color w:val="auto"/>
                <w:highlight w:val="none"/>
              </w:rPr>
            </w:pPr>
          </w:p>
        </w:tc>
        <w:tc>
          <w:tcPr>
            <w:tcW w:w="1985" w:type="dxa"/>
            <w:vAlign w:val="center"/>
          </w:tcPr>
          <w:p>
            <w:pPr>
              <w:rPr>
                <w:color w:val="auto"/>
                <w:highlight w:val="none"/>
              </w:rPr>
            </w:pPr>
          </w:p>
        </w:tc>
        <w:tc>
          <w:tcPr>
            <w:tcW w:w="1417" w:type="dxa"/>
            <w:vAlign w:val="center"/>
          </w:tcPr>
          <w:p>
            <w:pPr>
              <w:rPr>
                <w:color w:val="auto"/>
                <w:highlight w:val="none"/>
              </w:rPr>
            </w:pPr>
          </w:p>
        </w:tc>
        <w:tc>
          <w:tcPr>
            <w:tcW w:w="1739" w:type="dxa"/>
            <w:vAlign w:val="center"/>
          </w:tcPr>
          <w:p>
            <w:pPr>
              <w:rPr>
                <w:color w:val="auto"/>
                <w:highlight w:val="none"/>
              </w:rPr>
            </w:pPr>
          </w:p>
        </w:tc>
        <w:tc>
          <w:tcPr>
            <w:tcW w:w="851" w:type="dxa"/>
            <w:vAlign w:val="center"/>
          </w:tcPr>
          <w:p>
            <w:pPr>
              <w:rPr>
                <w:color w:val="auto"/>
                <w:highlight w:val="none"/>
              </w:rPr>
            </w:pPr>
          </w:p>
        </w:tc>
        <w:tc>
          <w:tcPr>
            <w:tcW w:w="812" w:type="dxa"/>
            <w:vAlign w:val="center"/>
          </w:tcPr>
          <w:p>
            <w:pPr>
              <w:rPr>
                <w:color w:val="auto"/>
                <w:highlight w:val="none"/>
              </w:rPr>
            </w:pPr>
          </w:p>
        </w:tc>
        <w:tc>
          <w:tcPr>
            <w:tcW w:w="954" w:type="dxa"/>
            <w:vAlign w:val="center"/>
          </w:tcPr>
          <w:p>
            <w:pPr>
              <w:rPr>
                <w:color w:val="auto"/>
                <w:highlight w:val="none"/>
              </w:rPr>
            </w:pPr>
          </w:p>
        </w:tc>
        <w:tc>
          <w:tcPr>
            <w:tcW w:w="955" w:type="dxa"/>
            <w:vAlign w:val="center"/>
          </w:tcPr>
          <w:p>
            <w:pP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rPr>
                <w:color w:val="auto"/>
                <w:highlight w:val="none"/>
              </w:rPr>
            </w:pPr>
          </w:p>
        </w:tc>
        <w:tc>
          <w:tcPr>
            <w:tcW w:w="1985" w:type="dxa"/>
            <w:vAlign w:val="center"/>
          </w:tcPr>
          <w:p>
            <w:pPr>
              <w:rPr>
                <w:color w:val="auto"/>
                <w:highlight w:val="none"/>
              </w:rPr>
            </w:pPr>
          </w:p>
        </w:tc>
        <w:tc>
          <w:tcPr>
            <w:tcW w:w="1417" w:type="dxa"/>
            <w:vAlign w:val="center"/>
          </w:tcPr>
          <w:p>
            <w:pPr>
              <w:rPr>
                <w:color w:val="auto"/>
                <w:highlight w:val="none"/>
              </w:rPr>
            </w:pPr>
          </w:p>
        </w:tc>
        <w:tc>
          <w:tcPr>
            <w:tcW w:w="1739" w:type="dxa"/>
            <w:vAlign w:val="center"/>
          </w:tcPr>
          <w:p>
            <w:pPr>
              <w:rPr>
                <w:color w:val="auto"/>
                <w:highlight w:val="none"/>
              </w:rPr>
            </w:pPr>
          </w:p>
        </w:tc>
        <w:tc>
          <w:tcPr>
            <w:tcW w:w="851" w:type="dxa"/>
            <w:vAlign w:val="center"/>
          </w:tcPr>
          <w:p>
            <w:pPr>
              <w:rPr>
                <w:color w:val="auto"/>
                <w:highlight w:val="none"/>
              </w:rPr>
            </w:pPr>
          </w:p>
        </w:tc>
        <w:tc>
          <w:tcPr>
            <w:tcW w:w="812" w:type="dxa"/>
            <w:vAlign w:val="center"/>
          </w:tcPr>
          <w:p>
            <w:pPr>
              <w:rPr>
                <w:color w:val="auto"/>
                <w:highlight w:val="none"/>
              </w:rPr>
            </w:pPr>
          </w:p>
        </w:tc>
        <w:tc>
          <w:tcPr>
            <w:tcW w:w="954" w:type="dxa"/>
            <w:vAlign w:val="center"/>
          </w:tcPr>
          <w:p>
            <w:pPr>
              <w:rPr>
                <w:color w:val="auto"/>
                <w:highlight w:val="none"/>
              </w:rPr>
            </w:pPr>
          </w:p>
        </w:tc>
        <w:tc>
          <w:tcPr>
            <w:tcW w:w="955" w:type="dxa"/>
            <w:vAlign w:val="center"/>
          </w:tcPr>
          <w:p>
            <w:pP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pPr>
              <w:rPr>
                <w:color w:val="auto"/>
                <w:highlight w:val="none"/>
              </w:rPr>
            </w:pPr>
          </w:p>
        </w:tc>
        <w:tc>
          <w:tcPr>
            <w:tcW w:w="1985" w:type="dxa"/>
            <w:vAlign w:val="center"/>
          </w:tcPr>
          <w:p>
            <w:pPr>
              <w:rPr>
                <w:color w:val="auto"/>
                <w:highlight w:val="none"/>
              </w:rPr>
            </w:pPr>
          </w:p>
        </w:tc>
        <w:tc>
          <w:tcPr>
            <w:tcW w:w="1417" w:type="dxa"/>
            <w:vAlign w:val="center"/>
          </w:tcPr>
          <w:p>
            <w:pPr>
              <w:rPr>
                <w:color w:val="auto"/>
                <w:highlight w:val="none"/>
              </w:rPr>
            </w:pPr>
          </w:p>
        </w:tc>
        <w:tc>
          <w:tcPr>
            <w:tcW w:w="1739" w:type="dxa"/>
            <w:vAlign w:val="center"/>
          </w:tcPr>
          <w:p>
            <w:pPr>
              <w:rPr>
                <w:color w:val="auto"/>
                <w:highlight w:val="none"/>
              </w:rPr>
            </w:pPr>
          </w:p>
        </w:tc>
        <w:tc>
          <w:tcPr>
            <w:tcW w:w="851" w:type="dxa"/>
            <w:vAlign w:val="center"/>
          </w:tcPr>
          <w:p>
            <w:pPr>
              <w:rPr>
                <w:color w:val="auto"/>
                <w:highlight w:val="none"/>
              </w:rPr>
            </w:pPr>
          </w:p>
        </w:tc>
        <w:tc>
          <w:tcPr>
            <w:tcW w:w="812" w:type="dxa"/>
            <w:vAlign w:val="center"/>
          </w:tcPr>
          <w:p>
            <w:pPr>
              <w:rPr>
                <w:color w:val="auto"/>
                <w:highlight w:val="none"/>
              </w:rPr>
            </w:pPr>
          </w:p>
        </w:tc>
        <w:tc>
          <w:tcPr>
            <w:tcW w:w="954" w:type="dxa"/>
            <w:vAlign w:val="center"/>
          </w:tcPr>
          <w:p>
            <w:pPr>
              <w:rPr>
                <w:color w:val="auto"/>
                <w:highlight w:val="none"/>
              </w:rPr>
            </w:pPr>
          </w:p>
        </w:tc>
        <w:tc>
          <w:tcPr>
            <w:tcW w:w="955" w:type="dxa"/>
            <w:vAlign w:val="center"/>
          </w:tcPr>
          <w:p>
            <w:pPr>
              <w:rPr>
                <w:color w:val="auto"/>
                <w:highlight w:val="none"/>
              </w:rPr>
            </w:pPr>
          </w:p>
        </w:tc>
      </w:tr>
      <w:bookmarkEnd w:id="355"/>
    </w:tbl>
    <w:p>
      <w:pPr>
        <w:rPr>
          <w:color w:val="auto"/>
          <w:highlight w:val="none"/>
        </w:rPr>
      </w:pPr>
    </w:p>
    <w:p>
      <w:pPr>
        <w:keepNext/>
        <w:keepLines/>
        <w:spacing w:before="260" w:after="260" w:line="416" w:lineRule="auto"/>
        <w:outlineLvl w:val="2"/>
        <w:rPr>
          <w:b/>
          <w:bCs/>
          <w:color w:val="auto"/>
          <w:kern w:val="0"/>
          <w:sz w:val="32"/>
          <w:szCs w:val="32"/>
          <w:highlight w:val="none"/>
        </w:rPr>
      </w:pPr>
      <w:r>
        <w:rPr>
          <w:rFonts w:hint="eastAsia"/>
          <w:b/>
          <w:bCs/>
          <w:color w:val="auto"/>
          <w:kern w:val="0"/>
          <w:sz w:val="32"/>
          <w:szCs w:val="32"/>
          <w:highlight w:val="none"/>
        </w:rPr>
        <w:t>八、拟服务本项目的主要人员汇总表</w:t>
      </w:r>
    </w:p>
    <w:tbl>
      <w:tblPr>
        <w:tblStyle w:val="21"/>
        <w:tblW w:w="9544" w:type="dxa"/>
        <w:jc w:val="center"/>
        <w:tblLayout w:type="fixed"/>
        <w:tblCellMar>
          <w:top w:w="0" w:type="dxa"/>
          <w:left w:w="108" w:type="dxa"/>
          <w:bottom w:w="0" w:type="dxa"/>
          <w:right w:w="108" w:type="dxa"/>
        </w:tblCellMar>
      </w:tblPr>
      <w:tblGrid>
        <w:gridCol w:w="1061"/>
        <w:gridCol w:w="1061"/>
        <w:gridCol w:w="1061"/>
        <w:gridCol w:w="1061"/>
        <w:gridCol w:w="1061"/>
        <w:gridCol w:w="1061"/>
        <w:gridCol w:w="1061"/>
        <w:gridCol w:w="1062"/>
        <w:gridCol w:w="1055"/>
      </w:tblGrid>
      <w:tr>
        <w:tblPrEx>
          <w:tblCellMar>
            <w:top w:w="0" w:type="dxa"/>
            <w:left w:w="108" w:type="dxa"/>
            <w:bottom w:w="0" w:type="dxa"/>
            <w:right w:w="108" w:type="dxa"/>
          </w:tblCellMar>
        </w:tblPrEx>
        <w:trPr>
          <w:trHeight w:val="288" w:hRule="atLeast"/>
          <w:jc w:val="center"/>
        </w:trPr>
        <w:tc>
          <w:tcPr>
            <w:tcW w:w="1061" w:type="dxa"/>
            <w:vMerge w:val="restart"/>
            <w:tcBorders>
              <w:top w:val="single" w:color="auto" w:sz="4" w:space="0"/>
              <w:left w:val="single" w:color="auto" w:sz="4" w:space="0"/>
              <w:bottom w:val="single" w:color="auto" w:sz="4" w:space="0"/>
              <w:right w:val="single" w:color="auto" w:sz="4" w:space="0"/>
            </w:tcBorders>
            <w:vAlign w:val="center"/>
          </w:tcPr>
          <w:p>
            <w:pPr>
              <w:jc w:val="center"/>
              <w:rPr>
                <w:color w:val="auto"/>
                <w:sz w:val="24"/>
                <w:szCs w:val="24"/>
                <w:highlight w:val="none"/>
              </w:rPr>
            </w:pPr>
            <w:r>
              <w:rPr>
                <w:rFonts w:hint="eastAsia"/>
                <w:color w:val="auto"/>
                <w:sz w:val="24"/>
                <w:szCs w:val="24"/>
                <w:highlight w:val="none"/>
              </w:rPr>
              <w:t>序号</w:t>
            </w:r>
          </w:p>
        </w:tc>
        <w:tc>
          <w:tcPr>
            <w:tcW w:w="1061" w:type="dxa"/>
            <w:vMerge w:val="restart"/>
            <w:tcBorders>
              <w:top w:val="single" w:color="auto" w:sz="4" w:space="0"/>
              <w:left w:val="single" w:color="auto" w:sz="4" w:space="0"/>
              <w:bottom w:val="single" w:color="auto" w:sz="4" w:space="0"/>
              <w:right w:val="single" w:color="auto" w:sz="4" w:space="0"/>
            </w:tcBorders>
            <w:vAlign w:val="center"/>
          </w:tcPr>
          <w:p>
            <w:pPr>
              <w:jc w:val="center"/>
              <w:rPr>
                <w:color w:val="auto"/>
                <w:sz w:val="24"/>
                <w:szCs w:val="24"/>
                <w:highlight w:val="none"/>
              </w:rPr>
            </w:pPr>
            <w:r>
              <w:rPr>
                <w:rFonts w:hint="eastAsia"/>
                <w:color w:val="auto"/>
                <w:sz w:val="24"/>
                <w:szCs w:val="24"/>
                <w:highlight w:val="none"/>
              </w:rPr>
              <w:t>本项目任职</w:t>
            </w:r>
          </w:p>
        </w:tc>
        <w:tc>
          <w:tcPr>
            <w:tcW w:w="1061" w:type="dxa"/>
            <w:vMerge w:val="restart"/>
            <w:tcBorders>
              <w:top w:val="single" w:color="auto" w:sz="4" w:space="0"/>
              <w:left w:val="single" w:color="auto" w:sz="4" w:space="0"/>
              <w:bottom w:val="single" w:color="auto" w:sz="4" w:space="0"/>
              <w:right w:val="single" w:color="auto" w:sz="4" w:space="0"/>
            </w:tcBorders>
            <w:vAlign w:val="center"/>
          </w:tcPr>
          <w:p>
            <w:pPr>
              <w:jc w:val="center"/>
              <w:rPr>
                <w:color w:val="auto"/>
                <w:sz w:val="24"/>
                <w:szCs w:val="24"/>
                <w:highlight w:val="none"/>
              </w:rPr>
            </w:pPr>
            <w:r>
              <w:rPr>
                <w:rFonts w:hint="eastAsia"/>
                <w:color w:val="auto"/>
                <w:sz w:val="24"/>
                <w:szCs w:val="24"/>
                <w:highlight w:val="none"/>
              </w:rPr>
              <w:t>姓名</w:t>
            </w:r>
          </w:p>
        </w:tc>
        <w:tc>
          <w:tcPr>
            <w:tcW w:w="1061" w:type="dxa"/>
            <w:vMerge w:val="restart"/>
            <w:tcBorders>
              <w:top w:val="single" w:color="auto" w:sz="4" w:space="0"/>
              <w:left w:val="single" w:color="auto" w:sz="4" w:space="0"/>
              <w:bottom w:val="single" w:color="auto" w:sz="4" w:space="0"/>
              <w:right w:val="single" w:color="auto" w:sz="4" w:space="0"/>
            </w:tcBorders>
            <w:vAlign w:val="center"/>
          </w:tcPr>
          <w:p>
            <w:pPr>
              <w:jc w:val="center"/>
              <w:rPr>
                <w:color w:val="auto"/>
                <w:sz w:val="24"/>
                <w:szCs w:val="24"/>
                <w:highlight w:val="none"/>
              </w:rPr>
            </w:pPr>
            <w:r>
              <w:rPr>
                <w:rFonts w:hint="eastAsia"/>
                <w:color w:val="auto"/>
                <w:sz w:val="24"/>
                <w:szCs w:val="24"/>
                <w:highlight w:val="none"/>
              </w:rPr>
              <w:t>职称</w:t>
            </w:r>
          </w:p>
        </w:tc>
        <w:tc>
          <w:tcPr>
            <w:tcW w:w="1061" w:type="dxa"/>
            <w:vMerge w:val="restart"/>
            <w:tcBorders>
              <w:top w:val="single" w:color="auto" w:sz="4" w:space="0"/>
              <w:left w:val="single" w:color="auto" w:sz="4" w:space="0"/>
              <w:bottom w:val="single" w:color="auto" w:sz="4" w:space="0"/>
              <w:right w:val="single" w:color="auto" w:sz="4" w:space="0"/>
            </w:tcBorders>
            <w:vAlign w:val="center"/>
          </w:tcPr>
          <w:p>
            <w:pPr>
              <w:jc w:val="center"/>
              <w:rPr>
                <w:color w:val="auto"/>
                <w:sz w:val="24"/>
                <w:szCs w:val="24"/>
                <w:highlight w:val="none"/>
              </w:rPr>
            </w:pPr>
            <w:r>
              <w:rPr>
                <w:rFonts w:hint="eastAsia"/>
                <w:color w:val="auto"/>
                <w:sz w:val="24"/>
                <w:szCs w:val="24"/>
                <w:highlight w:val="none"/>
              </w:rPr>
              <w:t>专业</w:t>
            </w:r>
          </w:p>
        </w:tc>
        <w:tc>
          <w:tcPr>
            <w:tcW w:w="3184" w:type="dxa"/>
            <w:gridSpan w:val="3"/>
            <w:tcBorders>
              <w:top w:val="single" w:color="auto" w:sz="4" w:space="0"/>
              <w:left w:val="nil"/>
              <w:bottom w:val="single" w:color="auto" w:sz="4" w:space="0"/>
              <w:right w:val="single" w:color="auto" w:sz="4" w:space="0"/>
            </w:tcBorders>
            <w:vAlign w:val="center"/>
          </w:tcPr>
          <w:p>
            <w:pPr>
              <w:jc w:val="center"/>
              <w:rPr>
                <w:color w:val="auto"/>
                <w:sz w:val="24"/>
                <w:szCs w:val="24"/>
                <w:highlight w:val="none"/>
              </w:rPr>
            </w:pPr>
            <w:r>
              <w:rPr>
                <w:rFonts w:hint="eastAsia"/>
                <w:color w:val="auto"/>
                <w:sz w:val="24"/>
                <w:szCs w:val="24"/>
                <w:highlight w:val="none"/>
              </w:rPr>
              <w:t>执业或职业资格证明</w:t>
            </w:r>
          </w:p>
        </w:tc>
        <w:tc>
          <w:tcPr>
            <w:tcW w:w="1055" w:type="dxa"/>
            <w:vMerge w:val="restart"/>
            <w:tcBorders>
              <w:top w:val="single" w:color="auto" w:sz="4" w:space="0"/>
              <w:left w:val="single" w:color="auto" w:sz="4" w:space="0"/>
              <w:bottom w:val="single" w:color="auto" w:sz="4" w:space="0"/>
              <w:right w:val="single" w:color="auto" w:sz="4" w:space="0"/>
            </w:tcBorders>
            <w:vAlign w:val="center"/>
          </w:tcPr>
          <w:p>
            <w:pPr>
              <w:jc w:val="center"/>
              <w:rPr>
                <w:color w:val="auto"/>
                <w:sz w:val="24"/>
                <w:szCs w:val="24"/>
                <w:highlight w:val="none"/>
              </w:rPr>
            </w:pPr>
            <w:r>
              <w:rPr>
                <w:rFonts w:hint="eastAsia"/>
                <w:color w:val="auto"/>
                <w:sz w:val="24"/>
                <w:szCs w:val="24"/>
                <w:highlight w:val="none"/>
              </w:rPr>
              <w:t>备注</w:t>
            </w:r>
          </w:p>
        </w:tc>
      </w:tr>
      <w:tr>
        <w:tblPrEx>
          <w:tblCellMar>
            <w:top w:w="0" w:type="dxa"/>
            <w:left w:w="108" w:type="dxa"/>
            <w:bottom w:w="0" w:type="dxa"/>
            <w:right w:w="108" w:type="dxa"/>
          </w:tblCellMar>
        </w:tblPrEx>
        <w:trPr>
          <w:trHeight w:val="288" w:hRule="atLeast"/>
          <w:jc w:val="center"/>
        </w:trPr>
        <w:tc>
          <w:tcPr>
            <w:tcW w:w="1061" w:type="dxa"/>
            <w:vMerge w:val="continue"/>
            <w:tcBorders>
              <w:top w:val="single" w:color="auto" w:sz="4" w:space="0"/>
              <w:left w:val="single" w:color="auto" w:sz="4" w:space="0"/>
              <w:bottom w:val="single" w:color="auto" w:sz="4" w:space="0"/>
              <w:right w:val="single" w:color="auto" w:sz="4" w:space="0"/>
            </w:tcBorders>
            <w:vAlign w:val="center"/>
          </w:tcPr>
          <w:p>
            <w:pPr>
              <w:jc w:val="center"/>
              <w:rPr>
                <w:color w:val="auto"/>
                <w:sz w:val="24"/>
                <w:szCs w:val="24"/>
                <w:highlight w:val="none"/>
              </w:rPr>
            </w:pPr>
          </w:p>
        </w:tc>
        <w:tc>
          <w:tcPr>
            <w:tcW w:w="1061" w:type="dxa"/>
            <w:vMerge w:val="continue"/>
            <w:tcBorders>
              <w:top w:val="single" w:color="auto" w:sz="4" w:space="0"/>
              <w:left w:val="single" w:color="auto" w:sz="4" w:space="0"/>
              <w:bottom w:val="single" w:color="auto" w:sz="4" w:space="0"/>
              <w:right w:val="single" w:color="auto" w:sz="4" w:space="0"/>
            </w:tcBorders>
            <w:vAlign w:val="center"/>
          </w:tcPr>
          <w:p>
            <w:pPr>
              <w:jc w:val="center"/>
              <w:rPr>
                <w:color w:val="auto"/>
                <w:sz w:val="24"/>
                <w:szCs w:val="24"/>
                <w:highlight w:val="none"/>
              </w:rPr>
            </w:pPr>
          </w:p>
        </w:tc>
        <w:tc>
          <w:tcPr>
            <w:tcW w:w="1061" w:type="dxa"/>
            <w:vMerge w:val="continue"/>
            <w:tcBorders>
              <w:top w:val="single" w:color="auto" w:sz="4" w:space="0"/>
              <w:left w:val="single" w:color="auto" w:sz="4" w:space="0"/>
              <w:bottom w:val="single" w:color="auto" w:sz="4" w:space="0"/>
              <w:right w:val="single" w:color="auto" w:sz="4" w:space="0"/>
            </w:tcBorders>
            <w:vAlign w:val="center"/>
          </w:tcPr>
          <w:p>
            <w:pPr>
              <w:jc w:val="center"/>
              <w:rPr>
                <w:color w:val="auto"/>
                <w:sz w:val="24"/>
                <w:szCs w:val="24"/>
                <w:highlight w:val="none"/>
              </w:rPr>
            </w:pPr>
          </w:p>
        </w:tc>
        <w:tc>
          <w:tcPr>
            <w:tcW w:w="1061" w:type="dxa"/>
            <w:vMerge w:val="continue"/>
            <w:tcBorders>
              <w:top w:val="single" w:color="auto" w:sz="4" w:space="0"/>
              <w:left w:val="single" w:color="auto" w:sz="4" w:space="0"/>
              <w:bottom w:val="single" w:color="auto" w:sz="4" w:space="0"/>
              <w:right w:val="single" w:color="auto" w:sz="4" w:space="0"/>
            </w:tcBorders>
            <w:vAlign w:val="center"/>
          </w:tcPr>
          <w:p>
            <w:pPr>
              <w:jc w:val="center"/>
              <w:rPr>
                <w:color w:val="auto"/>
                <w:sz w:val="24"/>
                <w:szCs w:val="24"/>
                <w:highlight w:val="none"/>
              </w:rPr>
            </w:pPr>
          </w:p>
        </w:tc>
        <w:tc>
          <w:tcPr>
            <w:tcW w:w="1061" w:type="dxa"/>
            <w:vMerge w:val="continue"/>
            <w:tcBorders>
              <w:top w:val="single" w:color="auto" w:sz="4" w:space="0"/>
              <w:left w:val="single" w:color="auto" w:sz="4" w:space="0"/>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r>
              <w:rPr>
                <w:rFonts w:hint="eastAsia"/>
                <w:color w:val="auto"/>
                <w:sz w:val="24"/>
                <w:szCs w:val="24"/>
                <w:highlight w:val="none"/>
              </w:rPr>
              <w:t>证书</w:t>
            </w:r>
          </w:p>
          <w:p>
            <w:pPr>
              <w:jc w:val="center"/>
              <w:rPr>
                <w:color w:val="auto"/>
                <w:sz w:val="24"/>
                <w:szCs w:val="24"/>
                <w:highlight w:val="none"/>
              </w:rPr>
            </w:pPr>
            <w:r>
              <w:rPr>
                <w:rFonts w:hint="eastAsia"/>
                <w:color w:val="auto"/>
                <w:sz w:val="24"/>
                <w:szCs w:val="24"/>
                <w:highlight w:val="none"/>
              </w:rPr>
              <w:t>名称</w:t>
            </w: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r>
              <w:rPr>
                <w:rFonts w:hint="eastAsia"/>
                <w:color w:val="auto"/>
                <w:sz w:val="24"/>
                <w:szCs w:val="24"/>
                <w:highlight w:val="none"/>
              </w:rPr>
              <w:t>级别</w:t>
            </w:r>
          </w:p>
        </w:tc>
        <w:tc>
          <w:tcPr>
            <w:tcW w:w="1062" w:type="dxa"/>
            <w:tcBorders>
              <w:top w:val="nil"/>
              <w:left w:val="nil"/>
              <w:bottom w:val="single" w:color="auto" w:sz="4" w:space="0"/>
              <w:right w:val="single" w:color="auto" w:sz="4" w:space="0"/>
            </w:tcBorders>
            <w:vAlign w:val="center"/>
          </w:tcPr>
          <w:p>
            <w:pPr>
              <w:jc w:val="center"/>
              <w:rPr>
                <w:color w:val="auto"/>
                <w:sz w:val="24"/>
                <w:szCs w:val="24"/>
                <w:highlight w:val="none"/>
              </w:rPr>
            </w:pPr>
            <w:r>
              <w:rPr>
                <w:rFonts w:hint="eastAsia"/>
                <w:color w:val="auto"/>
                <w:sz w:val="24"/>
                <w:szCs w:val="24"/>
                <w:highlight w:val="none"/>
              </w:rPr>
              <w:t>证号</w:t>
            </w:r>
          </w:p>
        </w:tc>
        <w:tc>
          <w:tcPr>
            <w:tcW w:w="1055" w:type="dxa"/>
            <w:vMerge w:val="continue"/>
            <w:tcBorders>
              <w:top w:val="single" w:color="auto" w:sz="4" w:space="0"/>
              <w:left w:val="single" w:color="auto" w:sz="4" w:space="0"/>
              <w:bottom w:val="single" w:color="auto" w:sz="4" w:space="0"/>
              <w:right w:val="single" w:color="auto" w:sz="4" w:space="0"/>
            </w:tcBorders>
            <w:vAlign w:val="center"/>
          </w:tcPr>
          <w:p>
            <w:pPr>
              <w:jc w:val="center"/>
              <w:rPr>
                <w:color w:val="auto"/>
                <w:sz w:val="24"/>
                <w:szCs w:val="24"/>
                <w:highlight w:val="none"/>
              </w:rPr>
            </w:pPr>
          </w:p>
        </w:tc>
      </w:tr>
      <w:tr>
        <w:tblPrEx>
          <w:tblCellMar>
            <w:top w:w="0" w:type="dxa"/>
            <w:left w:w="108" w:type="dxa"/>
            <w:bottom w:w="0" w:type="dxa"/>
            <w:right w:w="108" w:type="dxa"/>
          </w:tblCellMar>
        </w:tblPrEx>
        <w:trPr>
          <w:trHeight w:val="288" w:hRule="atLeast"/>
          <w:jc w:val="center"/>
        </w:trPr>
        <w:tc>
          <w:tcPr>
            <w:tcW w:w="1061" w:type="dxa"/>
            <w:tcBorders>
              <w:top w:val="nil"/>
              <w:left w:val="single" w:color="auto" w:sz="4" w:space="0"/>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2"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55" w:type="dxa"/>
            <w:tcBorders>
              <w:top w:val="nil"/>
              <w:left w:val="nil"/>
              <w:bottom w:val="single" w:color="auto" w:sz="4" w:space="0"/>
              <w:right w:val="single" w:color="auto" w:sz="4" w:space="0"/>
            </w:tcBorders>
            <w:vAlign w:val="center"/>
          </w:tcPr>
          <w:p>
            <w:pPr>
              <w:jc w:val="center"/>
              <w:rPr>
                <w:color w:val="auto"/>
                <w:sz w:val="24"/>
                <w:szCs w:val="24"/>
                <w:highlight w:val="none"/>
              </w:rPr>
            </w:pPr>
          </w:p>
        </w:tc>
      </w:tr>
      <w:tr>
        <w:tblPrEx>
          <w:tblCellMar>
            <w:top w:w="0" w:type="dxa"/>
            <w:left w:w="108" w:type="dxa"/>
            <w:bottom w:w="0" w:type="dxa"/>
            <w:right w:w="108" w:type="dxa"/>
          </w:tblCellMar>
        </w:tblPrEx>
        <w:trPr>
          <w:trHeight w:val="288" w:hRule="atLeast"/>
          <w:jc w:val="center"/>
        </w:trPr>
        <w:tc>
          <w:tcPr>
            <w:tcW w:w="1061" w:type="dxa"/>
            <w:tcBorders>
              <w:top w:val="nil"/>
              <w:left w:val="single" w:color="auto" w:sz="4" w:space="0"/>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2"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55" w:type="dxa"/>
            <w:tcBorders>
              <w:top w:val="nil"/>
              <w:left w:val="nil"/>
              <w:bottom w:val="single" w:color="auto" w:sz="4" w:space="0"/>
              <w:right w:val="single" w:color="auto" w:sz="4" w:space="0"/>
            </w:tcBorders>
            <w:vAlign w:val="center"/>
          </w:tcPr>
          <w:p>
            <w:pPr>
              <w:jc w:val="center"/>
              <w:rPr>
                <w:color w:val="auto"/>
                <w:sz w:val="24"/>
                <w:szCs w:val="24"/>
                <w:highlight w:val="none"/>
              </w:rPr>
            </w:pPr>
          </w:p>
        </w:tc>
      </w:tr>
      <w:tr>
        <w:tblPrEx>
          <w:tblCellMar>
            <w:top w:w="0" w:type="dxa"/>
            <w:left w:w="108" w:type="dxa"/>
            <w:bottom w:w="0" w:type="dxa"/>
            <w:right w:w="108" w:type="dxa"/>
          </w:tblCellMar>
        </w:tblPrEx>
        <w:trPr>
          <w:trHeight w:val="288" w:hRule="atLeast"/>
          <w:jc w:val="center"/>
        </w:trPr>
        <w:tc>
          <w:tcPr>
            <w:tcW w:w="1061" w:type="dxa"/>
            <w:tcBorders>
              <w:top w:val="nil"/>
              <w:left w:val="single" w:color="auto" w:sz="4" w:space="0"/>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2"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55" w:type="dxa"/>
            <w:tcBorders>
              <w:top w:val="nil"/>
              <w:left w:val="nil"/>
              <w:bottom w:val="single" w:color="auto" w:sz="4" w:space="0"/>
              <w:right w:val="single" w:color="auto" w:sz="4" w:space="0"/>
            </w:tcBorders>
            <w:vAlign w:val="center"/>
          </w:tcPr>
          <w:p>
            <w:pPr>
              <w:jc w:val="center"/>
              <w:rPr>
                <w:color w:val="auto"/>
                <w:sz w:val="24"/>
                <w:szCs w:val="24"/>
                <w:highlight w:val="none"/>
              </w:rPr>
            </w:pPr>
          </w:p>
        </w:tc>
      </w:tr>
      <w:tr>
        <w:tblPrEx>
          <w:tblCellMar>
            <w:top w:w="0" w:type="dxa"/>
            <w:left w:w="108" w:type="dxa"/>
            <w:bottom w:w="0" w:type="dxa"/>
            <w:right w:w="108" w:type="dxa"/>
          </w:tblCellMar>
        </w:tblPrEx>
        <w:trPr>
          <w:trHeight w:val="288" w:hRule="atLeast"/>
          <w:jc w:val="center"/>
        </w:trPr>
        <w:tc>
          <w:tcPr>
            <w:tcW w:w="1061" w:type="dxa"/>
            <w:tcBorders>
              <w:top w:val="nil"/>
              <w:left w:val="single" w:color="auto" w:sz="4" w:space="0"/>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2"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55" w:type="dxa"/>
            <w:tcBorders>
              <w:top w:val="nil"/>
              <w:left w:val="nil"/>
              <w:bottom w:val="single" w:color="auto" w:sz="4" w:space="0"/>
              <w:right w:val="single" w:color="auto" w:sz="4" w:space="0"/>
            </w:tcBorders>
            <w:vAlign w:val="center"/>
          </w:tcPr>
          <w:p>
            <w:pPr>
              <w:jc w:val="center"/>
              <w:rPr>
                <w:color w:val="auto"/>
                <w:sz w:val="24"/>
                <w:szCs w:val="24"/>
                <w:highlight w:val="none"/>
              </w:rPr>
            </w:pPr>
          </w:p>
        </w:tc>
      </w:tr>
      <w:tr>
        <w:tblPrEx>
          <w:tblCellMar>
            <w:top w:w="0" w:type="dxa"/>
            <w:left w:w="108" w:type="dxa"/>
            <w:bottom w:w="0" w:type="dxa"/>
            <w:right w:w="108" w:type="dxa"/>
          </w:tblCellMar>
        </w:tblPrEx>
        <w:trPr>
          <w:trHeight w:val="288" w:hRule="atLeast"/>
          <w:jc w:val="center"/>
        </w:trPr>
        <w:tc>
          <w:tcPr>
            <w:tcW w:w="1061" w:type="dxa"/>
            <w:tcBorders>
              <w:top w:val="nil"/>
              <w:left w:val="single" w:color="auto" w:sz="4" w:space="0"/>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2"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55" w:type="dxa"/>
            <w:tcBorders>
              <w:top w:val="nil"/>
              <w:left w:val="nil"/>
              <w:bottom w:val="single" w:color="auto" w:sz="4" w:space="0"/>
              <w:right w:val="single" w:color="auto" w:sz="4" w:space="0"/>
            </w:tcBorders>
            <w:vAlign w:val="center"/>
          </w:tcPr>
          <w:p>
            <w:pPr>
              <w:jc w:val="center"/>
              <w:rPr>
                <w:color w:val="auto"/>
                <w:sz w:val="24"/>
                <w:szCs w:val="24"/>
                <w:highlight w:val="none"/>
              </w:rPr>
            </w:pPr>
          </w:p>
        </w:tc>
      </w:tr>
      <w:tr>
        <w:tblPrEx>
          <w:tblCellMar>
            <w:top w:w="0" w:type="dxa"/>
            <w:left w:w="108" w:type="dxa"/>
            <w:bottom w:w="0" w:type="dxa"/>
            <w:right w:w="108" w:type="dxa"/>
          </w:tblCellMar>
        </w:tblPrEx>
        <w:trPr>
          <w:trHeight w:val="288" w:hRule="atLeast"/>
          <w:jc w:val="center"/>
        </w:trPr>
        <w:tc>
          <w:tcPr>
            <w:tcW w:w="1061" w:type="dxa"/>
            <w:tcBorders>
              <w:top w:val="nil"/>
              <w:left w:val="single" w:color="auto" w:sz="4" w:space="0"/>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2"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55" w:type="dxa"/>
            <w:tcBorders>
              <w:top w:val="nil"/>
              <w:left w:val="nil"/>
              <w:bottom w:val="single" w:color="auto" w:sz="4" w:space="0"/>
              <w:right w:val="single" w:color="auto" w:sz="4" w:space="0"/>
            </w:tcBorders>
            <w:vAlign w:val="center"/>
          </w:tcPr>
          <w:p>
            <w:pPr>
              <w:jc w:val="center"/>
              <w:rPr>
                <w:color w:val="auto"/>
                <w:sz w:val="24"/>
                <w:szCs w:val="24"/>
                <w:highlight w:val="none"/>
              </w:rPr>
            </w:pPr>
          </w:p>
        </w:tc>
      </w:tr>
      <w:tr>
        <w:tblPrEx>
          <w:tblCellMar>
            <w:top w:w="0" w:type="dxa"/>
            <w:left w:w="108" w:type="dxa"/>
            <w:bottom w:w="0" w:type="dxa"/>
            <w:right w:w="108" w:type="dxa"/>
          </w:tblCellMar>
        </w:tblPrEx>
        <w:trPr>
          <w:trHeight w:val="288" w:hRule="atLeast"/>
          <w:jc w:val="center"/>
        </w:trPr>
        <w:tc>
          <w:tcPr>
            <w:tcW w:w="1061" w:type="dxa"/>
            <w:tcBorders>
              <w:top w:val="nil"/>
              <w:left w:val="single" w:color="auto" w:sz="4" w:space="0"/>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2"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55" w:type="dxa"/>
            <w:tcBorders>
              <w:top w:val="nil"/>
              <w:left w:val="nil"/>
              <w:bottom w:val="single" w:color="auto" w:sz="4" w:space="0"/>
              <w:right w:val="single" w:color="auto" w:sz="4" w:space="0"/>
            </w:tcBorders>
            <w:vAlign w:val="center"/>
          </w:tcPr>
          <w:p>
            <w:pPr>
              <w:jc w:val="center"/>
              <w:rPr>
                <w:color w:val="auto"/>
                <w:sz w:val="24"/>
                <w:szCs w:val="24"/>
                <w:highlight w:val="none"/>
              </w:rPr>
            </w:pPr>
          </w:p>
        </w:tc>
      </w:tr>
      <w:tr>
        <w:tblPrEx>
          <w:tblCellMar>
            <w:top w:w="0" w:type="dxa"/>
            <w:left w:w="108" w:type="dxa"/>
            <w:bottom w:w="0" w:type="dxa"/>
            <w:right w:w="108" w:type="dxa"/>
          </w:tblCellMar>
        </w:tblPrEx>
        <w:trPr>
          <w:trHeight w:val="288" w:hRule="atLeast"/>
          <w:jc w:val="center"/>
        </w:trPr>
        <w:tc>
          <w:tcPr>
            <w:tcW w:w="1061" w:type="dxa"/>
            <w:tcBorders>
              <w:top w:val="nil"/>
              <w:left w:val="single" w:color="auto" w:sz="4" w:space="0"/>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1"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62" w:type="dxa"/>
            <w:tcBorders>
              <w:top w:val="nil"/>
              <w:left w:val="nil"/>
              <w:bottom w:val="single" w:color="auto" w:sz="4" w:space="0"/>
              <w:right w:val="single" w:color="auto" w:sz="4" w:space="0"/>
            </w:tcBorders>
            <w:vAlign w:val="center"/>
          </w:tcPr>
          <w:p>
            <w:pPr>
              <w:jc w:val="center"/>
              <w:rPr>
                <w:color w:val="auto"/>
                <w:sz w:val="24"/>
                <w:szCs w:val="24"/>
                <w:highlight w:val="none"/>
              </w:rPr>
            </w:pPr>
          </w:p>
        </w:tc>
        <w:tc>
          <w:tcPr>
            <w:tcW w:w="1055" w:type="dxa"/>
            <w:tcBorders>
              <w:top w:val="nil"/>
              <w:left w:val="nil"/>
              <w:bottom w:val="single" w:color="auto" w:sz="4" w:space="0"/>
              <w:right w:val="single" w:color="auto" w:sz="4" w:space="0"/>
            </w:tcBorders>
            <w:vAlign w:val="center"/>
          </w:tcPr>
          <w:p>
            <w:pPr>
              <w:jc w:val="center"/>
              <w:rPr>
                <w:color w:val="auto"/>
                <w:sz w:val="24"/>
                <w:szCs w:val="24"/>
                <w:highlight w:val="none"/>
              </w:rPr>
            </w:pPr>
          </w:p>
        </w:tc>
      </w:tr>
    </w:tbl>
    <w:p>
      <w:pPr>
        <w:rPr>
          <w:rFonts w:hint="eastAsia"/>
          <w:b/>
          <w:bCs/>
          <w:color w:val="auto"/>
          <w:kern w:val="0"/>
          <w:sz w:val="32"/>
          <w:szCs w:val="32"/>
          <w:highlight w:val="none"/>
          <w:lang w:val="en-US" w:eastAsia="zh-CN"/>
        </w:rPr>
      </w:pPr>
      <w:r>
        <w:rPr>
          <w:rFonts w:hint="eastAsia"/>
          <w:b/>
          <w:bCs/>
          <w:color w:val="auto"/>
          <w:kern w:val="0"/>
          <w:sz w:val="32"/>
          <w:szCs w:val="32"/>
          <w:highlight w:val="none"/>
        </w:rPr>
        <w:t>九、</w:t>
      </w:r>
      <w:r>
        <w:rPr>
          <w:rFonts w:hint="eastAsia"/>
          <w:b/>
          <w:bCs/>
          <w:color w:val="auto"/>
          <w:kern w:val="0"/>
          <w:sz w:val="32"/>
          <w:szCs w:val="32"/>
          <w:highlight w:val="none"/>
          <w:lang w:val="en-US" w:eastAsia="zh-CN"/>
        </w:rPr>
        <w:t>实施方案：格式自拟，包括但不限于以下内容：</w:t>
      </w:r>
    </w:p>
    <w:p>
      <w:pPr>
        <w:pStyle w:val="2"/>
        <w:ind w:left="0" w:leftChars="0" w:firstLine="0" w:firstLineChars="0"/>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（1）项目理解与工作总体思路</w:t>
      </w:r>
    </w:p>
    <w:p>
      <w:pPr>
        <w:pStyle w:val="2"/>
        <w:ind w:left="0" w:leftChars="0" w:firstLine="0" w:firstLineChars="0"/>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（2）地形图测绘、可行性研究报告编制方案</w:t>
      </w:r>
    </w:p>
    <w:p>
      <w:pPr>
        <w:pStyle w:val="2"/>
        <w:ind w:left="0" w:leftChars="0" w:firstLine="0" w:firstLineChars="0"/>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（3）进度计划及工期保障措施</w:t>
      </w:r>
    </w:p>
    <w:p>
      <w:pPr>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（4）质量管控、成果交付及后续技术服务保障</w:t>
      </w:r>
    </w:p>
    <w:p>
      <w:pPr>
        <w:pStyle w:val="2"/>
        <w:ind w:left="0" w:leftChars="0" w:firstLine="0" w:firstLineChars="0"/>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（5）项目资源配置</w:t>
      </w:r>
    </w:p>
    <w:p>
      <w:pPr>
        <w:pStyle w:val="2"/>
        <w:ind w:left="0" w:leftChars="0" w:firstLine="0" w:firstLineChars="0"/>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（6）项目重难点分析及应对措施</w:t>
      </w:r>
    </w:p>
    <w:p>
      <w:pPr>
        <w:rPr>
          <w:rFonts w:hint="eastAsia"/>
          <w:b/>
          <w:bCs/>
          <w:color w:val="auto"/>
          <w:kern w:val="0"/>
          <w:sz w:val="32"/>
          <w:szCs w:val="32"/>
          <w:highlight w:val="none"/>
        </w:rPr>
      </w:pPr>
    </w:p>
    <w:p>
      <w:pPr>
        <w:rPr>
          <w:rFonts w:hint="eastAsia" w:eastAsia="宋体"/>
          <w:color w:val="auto"/>
          <w:highlight w:val="none"/>
          <w:lang w:eastAsia="zh-CN"/>
        </w:rPr>
      </w:pPr>
      <w:r>
        <w:rPr>
          <w:rFonts w:hint="eastAsia"/>
          <w:b/>
          <w:bCs/>
          <w:color w:val="auto"/>
          <w:kern w:val="0"/>
          <w:sz w:val="32"/>
          <w:szCs w:val="32"/>
          <w:highlight w:val="none"/>
        </w:rPr>
        <w:t>十、供应商认为有必要提供的其他内容</w:t>
      </w:r>
      <w:r>
        <w:rPr>
          <w:rFonts w:hint="eastAsia"/>
          <w:b/>
          <w:bCs/>
          <w:color w:val="auto"/>
          <w:kern w:val="0"/>
          <w:sz w:val="32"/>
          <w:szCs w:val="32"/>
          <w:highlight w:val="none"/>
          <w:lang w:eastAsia="zh-CN"/>
        </w:rPr>
        <w:t>（</w:t>
      </w:r>
      <w:r>
        <w:rPr>
          <w:rFonts w:hint="eastAsia"/>
          <w:b/>
          <w:bCs/>
          <w:color w:val="auto"/>
          <w:kern w:val="0"/>
          <w:sz w:val="32"/>
          <w:szCs w:val="32"/>
          <w:highlight w:val="none"/>
          <w:lang w:val="en-US" w:eastAsia="zh-CN"/>
        </w:rPr>
        <w:t>若有</w:t>
      </w:r>
      <w:r>
        <w:rPr>
          <w:rFonts w:hint="eastAsia"/>
          <w:b/>
          <w:bCs/>
          <w:color w:val="auto"/>
          <w:kern w:val="0"/>
          <w:sz w:val="32"/>
          <w:szCs w:val="32"/>
          <w:highlight w:val="none"/>
          <w:lang w:eastAsia="zh-CN"/>
        </w:rPr>
        <w:t>）</w:t>
      </w:r>
    </w:p>
    <w:sectPr>
      <w:pgSz w:w="11906" w:h="16838"/>
      <w:pgMar w:top="1440" w:right="1080" w:bottom="1440" w:left="108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center"/>
      <w:rPr>
        <w:kern w:val="0"/>
        <w:sz w:val="18"/>
        <w:szCs w:val="18"/>
      </w:rPr>
    </w:pPr>
    <w:r>
      <w:rPr>
        <w:kern w:val="0"/>
        <w:sz w:val="18"/>
        <w:szCs w:val="18"/>
      </w:rPr>
      <w:fldChar w:fldCharType="begin"/>
    </w:r>
    <w:r>
      <w:rPr>
        <w:kern w:val="0"/>
        <w:sz w:val="18"/>
        <w:szCs w:val="18"/>
      </w:rPr>
      <w:instrText xml:space="preserve"> PAGE   \* MERGEFORMAT </w:instrText>
    </w:r>
    <w:r>
      <w:rPr>
        <w:kern w:val="0"/>
        <w:sz w:val="18"/>
        <w:szCs w:val="18"/>
      </w:rPr>
      <w:fldChar w:fldCharType="separate"/>
    </w:r>
    <w:r>
      <w:rPr>
        <w:kern w:val="0"/>
        <w:sz w:val="18"/>
        <w:szCs w:val="18"/>
        <w:lang w:val="zh-CN"/>
      </w:rPr>
      <w:t>34</w:t>
    </w:r>
    <w:r>
      <w:rPr>
        <w:kern w:val="0"/>
        <w:sz w:val="18"/>
        <w:szCs w:val="18"/>
      </w:rPr>
      <w:fldChar w:fldCharType="end"/>
    </w:r>
  </w:p>
  <w:p>
    <w:pPr>
      <w:snapToGrid w:val="0"/>
      <w:jc w:val="center"/>
      <w:rPr>
        <w:rFonts w:ascii="黑体" w:eastAsia="黑体"/>
        <w:b/>
        <w:kern w:val="0"/>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fldChar w:fldCharType="begin"/>
                          </w:r>
                          <w:r>
                            <w:instrText xml:space="preserve"> PAGE  \* MERGEFORMAT </w:instrText>
                          </w:r>
                          <w:r>
                            <w:fldChar w:fldCharType="separate"/>
                          </w:r>
                          <w:r>
                            <w:t>- 33 -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16"/>
                    </w:pPr>
                    <w:r>
                      <w:fldChar w:fldCharType="begin"/>
                    </w:r>
                    <w:r>
                      <w:instrText xml:space="preserve"> PAGE  \* MERGEFORMAT </w:instrText>
                    </w:r>
                    <w:r>
                      <w:fldChar w:fldCharType="separate"/>
                    </w:r>
                    <w:r>
                      <w:t>- 33 -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rap="around" w:vAnchor="text" w:hAnchor="margin" w:xAlign="center" w:y="1"/>
      <w:rPr>
        <w:rStyle w:val="25"/>
      </w:rPr>
    </w:pPr>
    <w:r>
      <w:rPr>
        <w:rStyle w:val="25"/>
      </w:rPr>
      <w:fldChar w:fldCharType="begin"/>
    </w:r>
    <w:r>
      <w:rPr>
        <w:rStyle w:val="25"/>
      </w:rPr>
      <w:instrText xml:space="preserve">PAGE  </w:instrText>
    </w:r>
    <w:r>
      <w:rPr>
        <w:rStyle w:val="25"/>
      </w:rPr>
      <w:fldChar w:fldCharType="separate"/>
    </w:r>
    <w:r>
      <w:rPr>
        <w:rStyle w:val="25"/>
      </w:rPr>
      <w:t>- 49 -</w:t>
    </w:r>
    <w:r>
      <w:rPr>
        <w:rStyle w:val="25"/>
      </w:rPr>
      <w:fldChar w:fldCharType="end"/>
    </w:r>
  </w:p>
  <w:p>
    <w:pPr>
      <w:pStyle w:val="1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0"/>
      </w:pBdr>
      <w:snapToGrid w:val="0"/>
      <w:ind w:right="-22"/>
      <w:jc w:val="left"/>
      <w:rPr>
        <w:rFonts w:ascii="黑体" w:eastAsia="黑体"/>
        <w:b/>
        <w:bCs/>
        <w:kern w:val="0"/>
        <w:sz w:val="18"/>
        <w:szCs w:val="21"/>
      </w:rPr>
    </w:pPr>
    <w:r>
      <w:rPr>
        <w:rFonts w:hint="eastAsia" w:ascii="黑体" w:eastAsia="黑体"/>
        <w:b/>
        <w:bCs/>
        <w:kern w:val="0"/>
        <w:sz w:val="18"/>
        <w:szCs w:val="21"/>
      </w:rPr>
      <w:t xml:space="preserve">云南云投职教扶贫开发西双版纳有限责任公司2019-2021年人力资源管理系统运行维护项目             </w:t>
    </w:r>
    <w:r>
      <w:rPr>
        <w:rFonts w:hint="eastAsia" w:ascii="黑体" w:eastAsia="黑体"/>
        <w:b/>
        <w:bCs/>
        <w:kern w:val="0"/>
        <w:sz w:val="18"/>
        <w:szCs w:val="21"/>
      </w:rPr>
      <w:sym w:font="Wingdings" w:char="F026"/>
    </w:r>
    <w:r>
      <w:rPr>
        <w:rFonts w:hint="eastAsia" w:ascii="黑体" w:eastAsia="黑体"/>
        <w:b/>
        <w:bCs/>
        <w:kern w:val="0"/>
        <w:sz w:val="18"/>
        <w:szCs w:val="21"/>
      </w:rPr>
      <w:t>报价文件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double" w:color="auto" w:sz="8" w:space="1"/>
      </w:pBdr>
      <w:jc w:val="right"/>
      <w:rPr>
        <w:rFonts w:eastAsiaTheme="minorEastAsia"/>
      </w:rPr>
    </w:pPr>
    <w:r>
      <w:rPr>
        <w:rFonts w:hint="eastAsia"/>
        <w:b/>
        <w:bCs/>
      </w:rPr>
      <w:t>询价采购文件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double" w:color="auto" w:sz="8" w:space="1"/>
      </w:pBdr>
      <w:jc w:val="right"/>
      <w:rPr>
        <w:rFonts w:eastAsiaTheme="minorEastAsia"/>
      </w:rPr>
    </w:pPr>
    <w:r>
      <w:rPr>
        <w:rFonts w:hint="eastAsia"/>
      </w:rPr>
      <w:t xml:space="preserve">                </w:t>
    </w:r>
    <w:r>
      <w:rPr>
        <w:rFonts w:hint="eastAsia" w:ascii="宋体" w:hAnsi="宋体"/>
      </w:rPr>
      <w:t xml:space="preserve"> </w:t>
    </w:r>
    <w:r>
      <w:rPr>
        <w:rFonts w:hint="eastAsia"/>
        <w:b/>
        <w:bCs/>
      </w:rPr>
      <w:t>询价采购文件</w:t>
    </w:r>
  </w:p>
  <w:p>
    <w:pPr>
      <w:pStyle w:val="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pStyle w:val="42"/>
      <w:suff w:val="nothing"/>
      <w:lvlText w:val="%1%2　"/>
      <w:lvlJc w:val="left"/>
      <w:pPr>
        <w:ind w:left="0" w:firstLine="0"/>
      </w:pPr>
      <w:rPr>
        <w:rFonts w:hint="eastAsia" w:ascii="黑体" w:hAnsi="Times New Roman" w:eastAsia="黑体"/>
        <w:b w:val="0"/>
        <w:i w:val="0"/>
        <w:sz w:val="21"/>
      </w:rPr>
    </w:lvl>
    <w:lvl w:ilvl="2" w:tentative="0">
      <w:start w:val="1"/>
      <w:numFmt w:val="decimal"/>
      <w:pStyle w:val="41"/>
      <w:suff w:val="nothing"/>
      <w:lvlText w:val="%1%2.%3　"/>
      <w:lvlJc w:val="left"/>
      <w:pPr>
        <w:ind w:left="0" w:firstLine="0"/>
      </w:pPr>
      <w:rPr>
        <w:rFonts w:hint="eastAsia" w:ascii="黑体" w:hAnsi="Times New Roman" w:eastAsia="黑体"/>
        <w:b w:val="0"/>
        <w:i w:val="0"/>
        <w:sz w:val="21"/>
      </w:rPr>
    </w:lvl>
    <w:lvl w:ilvl="3" w:tentative="0">
      <w:start w:val="1"/>
      <w:numFmt w:val="decimal"/>
      <w:pStyle w:val="40"/>
      <w:suff w:val="nothing"/>
      <w:lvlText w:val="%1%2.%3.%4　"/>
      <w:lvlJc w:val="left"/>
      <w:pPr>
        <w:ind w:left="180" w:firstLine="0"/>
      </w:pPr>
      <w:rPr>
        <w:rFonts w:hint="eastAsia" w:ascii="黑体" w:hAnsi="Times New Roman" w:eastAsia="黑体"/>
        <w:b w:val="0"/>
        <w:i w:val="0"/>
        <w:sz w:val="21"/>
      </w:rPr>
    </w:lvl>
    <w:lvl w:ilvl="4" w:tentative="0">
      <w:start w:val="1"/>
      <w:numFmt w:val="decimal"/>
      <w:pStyle w:val="39"/>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281720AA"/>
    <w:multiLevelType w:val="singleLevel"/>
    <w:tmpl w:val="281720AA"/>
    <w:lvl w:ilvl="0" w:tentative="0">
      <w:start w:val="1"/>
      <w:numFmt w:val="bullet"/>
      <w:pStyle w:val="11"/>
      <w:lvlText w:val=""/>
      <w:lvlJc w:val="left"/>
      <w:pPr>
        <w:tabs>
          <w:tab w:val="left" w:pos="1200"/>
        </w:tabs>
        <w:ind w:left="1200" w:hanging="360"/>
      </w:pPr>
      <w:rPr>
        <w:rFonts w:hint="default" w:ascii="Wingdings" w:hAnsi="Wingdings"/>
      </w:rPr>
    </w:lvl>
  </w:abstractNum>
  <w:abstractNum w:abstractNumId="2">
    <w:nsid w:val="635BBCD0"/>
    <w:multiLevelType w:val="singleLevel"/>
    <w:tmpl w:val="635BBCD0"/>
    <w:lvl w:ilvl="0" w:tentative="0">
      <w:start w:val="5"/>
      <w:numFmt w:val="chineseCounting"/>
      <w:suff w:val="space"/>
      <w:lvlText w:val="第%1章"/>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JmNTAxYTA0NTllZTU0OWY5NWY0MWNlMzBjNGU2OTYifQ=="/>
    <w:docVar w:name="KSO_WPS_MARK_KEY" w:val="ebc0bb12-3009-4554-bfbe-861c61dae7e1"/>
  </w:docVars>
  <w:rsids>
    <w:rsidRoot w:val="00C422E8"/>
    <w:rsid w:val="004C555E"/>
    <w:rsid w:val="0051286D"/>
    <w:rsid w:val="00743CAD"/>
    <w:rsid w:val="00783C6C"/>
    <w:rsid w:val="0094778B"/>
    <w:rsid w:val="00996295"/>
    <w:rsid w:val="00AD195B"/>
    <w:rsid w:val="00C422E8"/>
    <w:rsid w:val="00E52820"/>
    <w:rsid w:val="00F50E1C"/>
    <w:rsid w:val="00FE2B6E"/>
    <w:rsid w:val="01A62A32"/>
    <w:rsid w:val="01EB0BA5"/>
    <w:rsid w:val="021276F6"/>
    <w:rsid w:val="02A01D92"/>
    <w:rsid w:val="02A8649F"/>
    <w:rsid w:val="02A93F45"/>
    <w:rsid w:val="02BE22A2"/>
    <w:rsid w:val="03FF75DE"/>
    <w:rsid w:val="04A63122"/>
    <w:rsid w:val="05792026"/>
    <w:rsid w:val="05BB554F"/>
    <w:rsid w:val="06831C44"/>
    <w:rsid w:val="06A3039C"/>
    <w:rsid w:val="06C60BF4"/>
    <w:rsid w:val="07194B5E"/>
    <w:rsid w:val="0794129C"/>
    <w:rsid w:val="07C03D13"/>
    <w:rsid w:val="07C1568E"/>
    <w:rsid w:val="07FD0453"/>
    <w:rsid w:val="08106E64"/>
    <w:rsid w:val="082C2DD5"/>
    <w:rsid w:val="083C1B2D"/>
    <w:rsid w:val="088F1F60"/>
    <w:rsid w:val="08981BE5"/>
    <w:rsid w:val="09883A11"/>
    <w:rsid w:val="09AF6633"/>
    <w:rsid w:val="0A111923"/>
    <w:rsid w:val="0A3F0C96"/>
    <w:rsid w:val="0A5A3EBA"/>
    <w:rsid w:val="0AC52129"/>
    <w:rsid w:val="0B6F4C68"/>
    <w:rsid w:val="0BA972C6"/>
    <w:rsid w:val="0BEA793B"/>
    <w:rsid w:val="0BF476D3"/>
    <w:rsid w:val="0C420FDE"/>
    <w:rsid w:val="0C4D7446"/>
    <w:rsid w:val="0C657CB6"/>
    <w:rsid w:val="0C6715E2"/>
    <w:rsid w:val="0CA724D8"/>
    <w:rsid w:val="0CAD636D"/>
    <w:rsid w:val="0D6E773D"/>
    <w:rsid w:val="0DB7442F"/>
    <w:rsid w:val="0E186CE1"/>
    <w:rsid w:val="0E3D1CDC"/>
    <w:rsid w:val="0E9A7D13"/>
    <w:rsid w:val="0EA73704"/>
    <w:rsid w:val="0EF35E28"/>
    <w:rsid w:val="0F032FC5"/>
    <w:rsid w:val="0F0F02A1"/>
    <w:rsid w:val="0F18777D"/>
    <w:rsid w:val="0F2D5D69"/>
    <w:rsid w:val="0F3A6F40"/>
    <w:rsid w:val="0F4F7379"/>
    <w:rsid w:val="0FA51CC3"/>
    <w:rsid w:val="0FFF254C"/>
    <w:rsid w:val="108D2FB8"/>
    <w:rsid w:val="10A56742"/>
    <w:rsid w:val="10B16B39"/>
    <w:rsid w:val="10DC513B"/>
    <w:rsid w:val="11856BD8"/>
    <w:rsid w:val="11952209"/>
    <w:rsid w:val="12560DBE"/>
    <w:rsid w:val="126F4FE7"/>
    <w:rsid w:val="13744312"/>
    <w:rsid w:val="13B712A6"/>
    <w:rsid w:val="13FD1211"/>
    <w:rsid w:val="145A33DD"/>
    <w:rsid w:val="149E4993"/>
    <w:rsid w:val="15622A67"/>
    <w:rsid w:val="15EC4A63"/>
    <w:rsid w:val="160C32E2"/>
    <w:rsid w:val="16167BF8"/>
    <w:rsid w:val="167352F4"/>
    <w:rsid w:val="16CE20D6"/>
    <w:rsid w:val="16FC57A9"/>
    <w:rsid w:val="17753536"/>
    <w:rsid w:val="178645DF"/>
    <w:rsid w:val="17946220"/>
    <w:rsid w:val="179656DD"/>
    <w:rsid w:val="181737D7"/>
    <w:rsid w:val="18765817"/>
    <w:rsid w:val="1906310D"/>
    <w:rsid w:val="195162BE"/>
    <w:rsid w:val="19A90F1B"/>
    <w:rsid w:val="19AC4146"/>
    <w:rsid w:val="1A5C7EAA"/>
    <w:rsid w:val="1A6304DE"/>
    <w:rsid w:val="1A7A4DCE"/>
    <w:rsid w:val="1A9C0EFE"/>
    <w:rsid w:val="1AC7256D"/>
    <w:rsid w:val="1AC92A56"/>
    <w:rsid w:val="1B0F6AE6"/>
    <w:rsid w:val="1B2E7B74"/>
    <w:rsid w:val="1B8A0B25"/>
    <w:rsid w:val="1BD80702"/>
    <w:rsid w:val="1BF715A8"/>
    <w:rsid w:val="1C7E57EC"/>
    <w:rsid w:val="1D9B6A09"/>
    <w:rsid w:val="1DC970AF"/>
    <w:rsid w:val="1E38758E"/>
    <w:rsid w:val="1E3C71CA"/>
    <w:rsid w:val="1E5E5466"/>
    <w:rsid w:val="1EB815A7"/>
    <w:rsid w:val="1ECE428C"/>
    <w:rsid w:val="1EE91E96"/>
    <w:rsid w:val="1F5E2DF7"/>
    <w:rsid w:val="1FC449E5"/>
    <w:rsid w:val="1FF0007F"/>
    <w:rsid w:val="202766F2"/>
    <w:rsid w:val="203C4518"/>
    <w:rsid w:val="20951544"/>
    <w:rsid w:val="20AC4FAE"/>
    <w:rsid w:val="20D84D90"/>
    <w:rsid w:val="213A463E"/>
    <w:rsid w:val="21B975B1"/>
    <w:rsid w:val="21BA30E9"/>
    <w:rsid w:val="21DE4CFE"/>
    <w:rsid w:val="22133FD0"/>
    <w:rsid w:val="22392979"/>
    <w:rsid w:val="22952F59"/>
    <w:rsid w:val="22C976C6"/>
    <w:rsid w:val="22DC3845"/>
    <w:rsid w:val="22F4212F"/>
    <w:rsid w:val="22FD4672"/>
    <w:rsid w:val="2303502E"/>
    <w:rsid w:val="23170C27"/>
    <w:rsid w:val="234C6572"/>
    <w:rsid w:val="23E714C3"/>
    <w:rsid w:val="23FF5779"/>
    <w:rsid w:val="241E317B"/>
    <w:rsid w:val="24210594"/>
    <w:rsid w:val="248049B1"/>
    <w:rsid w:val="24830616"/>
    <w:rsid w:val="2490366E"/>
    <w:rsid w:val="25416D93"/>
    <w:rsid w:val="254E5161"/>
    <w:rsid w:val="257B44EB"/>
    <w:rsid w:val="2632740B"/>
    <w:rsid w:val="2661634B"/>
    <w:rsid w:val="266C25BB"/>
    <w:rsid w:val="267E6802"/>
    <w:rsid w:val="26A53820"/>
    <w:rsid w:val="27262A90"/>
    <w:rsid w:val="27852EF5"/>
    <w:rsid w:val="283B33F0"/>
    <w:rsid w:val="28552B93"/>
    <w:rsid w:val="28864F23"/>
    <w:rsid w:val="28B101D9"/>
    <w:rsid w:val="2905289E"/>
    <w:rsid w:val="29D53B07"/>
    <w:rsid w:val="29E737FC"/>
    <w:rsid w:val="29F30F41"/>
    <w:rsid w:val="2A65210C"/>
    <w:rsid w:val="2A7D33C9"/>
    <w:rsid w:val="2AA705C0"/>
    <w:rsid w:val="2AC96B49"/>
    <w:rsid w:val="2AF70D86"/>
    <w:rsid w:val="2AF756FA"/>
    <w:rsid w:val="2B0C2F68"/>
    <w:rsid w:val="2B4223B1"/>
    <w:rsid w:val="2B7A0AC5"/>
    <w:rsid w:val="2B94578C"/>
    <w:rsid w:val="2BBD5CBB"/>
    <w:rsid w:val="2C475DD1"/>
    <w:rsid w:val="2CB6385D"/>
    <w:rsid w:val="2CF83CAD"/>
    <w:rsid w:val="2D022DA4"/>
    <w:rsid w:val="2D62193B"/>
    <w:rsid w:val="2D850D1C"/>
    <w:rsid w:val="2E416C5F"/>
    <w:rsid w:val="2E451B82"/>
    <w:rsid w:val="2E805BD2"/>
    <w:rsid w:val="2EC72657"/>
    <w:rsid w:val="2EDF37D4"/>
    <w:rsid w:val="2F4273E3"/>
    <w:rsid w:val="2F451254"/>
    <w:rsid w:val="2F5F0ED0"/>
    <w:rsid w:val="2F676C7C"/>
    <w:rsid w:val="2F6D3182"/>
    <w:rsid w:val="2F704A24"/>
    <w:rsid w:val="2F827C01"/>
    <w:rsid w:val="2FEC2BCE"/>
    <w:rsid w:val="2FFC5FA9"/>
    <w:rsid w:val="2FFF160C"/>
    <w:rsid w:val="305D790B"/>
    <w:rsid w:val="30AC34AF"/>
    <w:rsid w:val="31800E32"/>
    <w:rsid w:val="319F7A6C"/>
    <w:rsid w:val="31BF2CEC"/>
    <w:rsid w:val="31C821D5"/>
    <w:rsid w:val="31D307A6"/>
    <w:rsid w:val="32394115"/>
    <w:rsid w:val="329A63F2"/>
    <w:rsid w:val="32A92470"/>
    <w:rsid w:val="32B903AB"/>
    <w:rsid w:val="33204FF2"/>
    <w:rsid w:val="333E190C"/>
    <w:rsid w:val="341E38CC"/>
    <w:rsid w:val="34D933F7"/>
    <w:rsid w:val="34E23928"/>
    <w:rsid w:val="351A6094"/>
    <w:rsid w:val="352214E9"/>
    <w:rsid w:val="35622881"/>
    <w:rsid w:val="3573168B"/>
    <w:rsid w:val="35FE5A26"/>
    <w:rsid w:val="362C3940"/>
    <w:rsid w:val="365A61C8"/>
    <w:rsid w:val="36A5375E"/>
    <w:rsid w:val="36D1775A"/>
    <w:rsid w:val="37347252"/>
    <w:rsid w:val="37365E85"/>
    <w:rsid w:val="3761646B"/>
    <w:rsid w:val="378365E5"/>
    <w:rsid w:val="37AA6BBE"/>
    <w:rsid w:val="37BB7660"/>
    <w:rsid w:val="37E834AB"/>
    <w:rsid w:val="37FE075C"/>
    <w:rsid w:val="388572E5"/>
    <w:rsid w:val="393C6A23"/>
    <w:rsid w:val="39862F9D"/>
    <w:rsid w:val="39BB3E74"/>
    <w:rsid w:val="39CB0EAC"/>
    <w:rsid w:val="3A517DBF"/>
    <w:rsid w:val="3A6E1DDD"/>
    <w:rsid w:val="3A8D5EEF"/>
    <w:rsid w:val="3AC65604"/>
    <w:rsid w:val="3AFF335D"/>
    <w:rsid w:val="3B272F4A"/>
    <w:rsid w:val="3B3262E0"/>
    <w:rsid w:val="3B5A7B69"/>
    <w:rsid w:val="3B683AAD"/>
    <w:rsid w:val="3B767521"/>
    <w:rsid w:val="3BB9009F"/>
    <w:rsid w:val="3BF37E2B"/>
    <w:rsid w:val="3C1A38A1"/>
    <w:rsid w:val="3C2F4F8E"/>
    <w:rsid w:val="3C5E3533"/>
    <w:rsid w:val="3CD03585"/>
    <w:rsid w:val="3CDB5DE5"/>
    <w:rsid w:val="3D6441D1"/>
    <w:rsid w:val="3D6C600B"/>
    <w:rsid w:val="3D8B774F"/>
    <w:rsid w:val="3D913B5F"/>
    <w:rsid w:val="3D971C07"/>
    <w:rsid w:val="3DDE4F63"/>
    <w:rsid w:val="3DFE237A"/>
    <w:rsid w:val="3E0A2E40"/>
    <w:rsid w:val="3E6C573D"/>
    <w:rsid w:val="3F23585D"/>
    <w:rsid w:val="400B67C3"/>
    <w:rsid w:val="40934C1A"/>
    <w:rsid w:val="40A720AE"/>
    <w:rsid w:val="40DA3D15"/>
    <w:rsid w:val="40F55F81"/>
    <w:rsid w:val="41DC3352"/>
    <w:rsid w:val="420B5E67"/>
    <w:rsid w:val="426734F7"/>
    <w:rsid w:val="4285019F"/>
    <w:rsid w:val="433F34B0"/>
    <w:rsid w:val="436047BF"/>
    <w:rsid w:val="43BF2526"/>
    <w:rsid w:val="43F91A58"/>
    <w:rsid w:val="43FF4364"/>
    <w:rsid w:val="440B15E9"/>
    <w:rsid w:val="44151637"/>
    <w:rsid w:val="44935151"/>
    <w:rsid w:val="45C837D8"/>
    <w:rsid w:val="45E12200"/>
    <w:rsid w:val="46222B02"/>
    <w:rsid w:val="465618EE"/>
    <w:rsid w:val="466E1929"/>
    <w:rsid w:val="47111F96"/>
    <w:rsid w:val="474A6901"/>
    <w:rsid w:val="47FA6C87"/>
    <w:rsid w:val="483B6E04"/>
    <w:rsid w:val="485C5750"/>
    <w:rsid w:val="48666E62"/>
    <w:rsid w:val="48CF2568"/>
    <w:rsid w:val="48E83F2F"/>
    <w:rsid w:val="49025894"/>
    <w:rsid w:val="49E60786"/>
    <w:rsid w:val="49FC6FA1"/>
    <w:rsid w:val="4B3E168C"/>
    <w:rsid w:val="4B3E5048"/>
    <w:rsid w:val="4B597247"/>
    <w:rsid w:val="4B60452A"/>
    <w:rsid w:val="4B8513B7"/>
    <w:rsid w:val="4B991BE7"/>
    <w:rsid w:val="4BA02823"/>
    <w:rsid w:val="4CA35675"/>
    <w:rsid w:val="4D765704"/>
    <w:rsid w:val="4D795F12"/>
    <w:rsid w:val="4DBC4264"/>
    <w:rsid w:val="4DBF38DD"/>
    <w:rsid w:val="4E034244"/>
    <w:rsid w:val="4E136FB4"/>
    <w:rsid w:val="4E3F2823"/>
    <w:rsid w:val="4EBD5D6A"/>
    <w:rsid w:val="4F162D86"/>
    <w:rsid w:val="4F4077AE"/>
    <w:rsid w:val="4F606D9D"/>
    <w:rsid w:val="4F6306BB"/>
    <w:rsid w:val="50065DD1"/>
    <w:rsid w:val="501E6853"/>
    <w:rsid w:val="5112266E"/>
    <w:rsid w:val="51231A9F"/>
    <w:rsid w:val="51450302"/>
    <w:rsid w:val="51482D06"/>
    <w:rsid w:val="516C164E"/>
    <w:rsid w:val="51A71F5B"/>
    <w:rsid w:val="5205691D"/>
    <w:rsid w:val="524A0B41"/>
    <w:rsid w:val="52B1578F"/>
    <w:rsid w:val="52C12DB0"/>
    <w:rsid w:val="52E1628C"/>
    <w:rsid w:val="533D65BA"/>
    <w:rsid w:val="537B4EBC"/>
    <w:rsid w:val="53936A87"/>
    <w:rsid w:val="53C26105"/>
    <w:rsid w:val="53D8508D"/>
    <w:rsid w:val="549C3FD6"/>
    <w:rsid w:val="54A93948"/>
    <w:rsid w:val="55A926DB"/>
    <w:rsid w:val="56001EC9"/>
    <w:rsid w:val="564236BC"/>
    <w:rsid w:val="565551E2"/>
    <w:rsid w:val="567F5FEC"/>
    <w:rsid w:val="56DE0D78"/>
    <w:rsid w:val="577C65B8"/>
    <w:rsid w:val="57933985"/>
    <w:rsid w:val="57BA248E"/>
    <w:rsid w:val="57C16D9A"/>
    <w:rsid w:val="57D500B6"/>
    <w:rsid w:val="57D54A4D"/>
    <w:rsid w:val="57E4312F"/>
    <w:rsid w:val="583F1B9D"/>
    <w:rsid w:val="591C2D66"/>
    <w:rsid w:val="593A459A"/>
    <w:rsid w:val="59570592"/>
    <w:rsid w:val="597C319E"/>
    <w:rsid w:val="59A351FD"/>
    <w:rsid w:val="59A50B7D"/>
    <w:rsid w:val="59A51A90"/>
    <w:rsid w:val="5A2B1FE3"/>
    <w:rsid w:val="5A3B1C8F"/>
    <w:rsid w:val="5A3D3AF4"/>
    <w:rsid w:val="5A7C6444"/>
    <w:rsid w:val="5AA14521"/>
    <w:rsid w:val="5AC64A4F"/>
    <w:rsid w:val="5B2E2535"/>
    <w:rsid w:val="5BBD6EAF"/>
    <w:rsid w:val="5BBE404E"/>
    <w:rsid w:val="5BD13D87"/>
    <w:rsid w:val="5E053219"/>
    <w:rsid w:val="5E230AA0"/>
    <w:rsid w:val="5E2A58D7"/>
    <w:rsid w:val="5E561FBF"/>
    <w:rsid w:val="5E9D5455"/>
    <w:rsid w:val="5ED9078A"/>
    <w:rsid w:val="5EF37437"/>
    <w:rsid w:val="5EF61D2B"/>
    <w:rsid w:val="5EF66B16"/>
    <w:rsid w:val="5F784C01"/>
    <w:rsid w:val="5FBB63AC"/>
    <w:rsid w:val="5FE84E0C"/>
    <w:rsid w:val="600D4872"/>
    <w:rsid w:val="602270BC"/>
    <w:rsid w:val="60406880"/>
    <w:rsid w:val="60C2578C"/>
    <w:rsid w:val="612B3BE1"/>
    <w:rsid w:val="61532C91"/>
    <w:rsid w:val="618808AB"/>
    <w:rsid w:val="6190048A"/>
    <w:rsid w:val="61EB4B9D"/>
    <w:rsid w:val="61F73C75"/>
    <w:rsid w:val="620B1A8B"/>
    <w:rsid w:val="6214567A"/>
    <w:rsid w:val="623C747C"/>
    <w:rsid w:val="627163CD"/>
    <w:rsid w:val="629674FB"/>
    <w:rsid w:val="63CF035C"/>
    <w:rsid w:val="6450090F"/>
    <w:rsid w:val="64CD49DB"/>
    <w:rsid w:val="64E57388"/>
    <w:rsid w:val="65156E35"/>
    <w:rsid w:val="655063B0"/>
    <w:rsid w:val="657103F0"/>
    <w:rsid w:val="658976C0"/>
    <w:rsid w:val="65C709EA"/>
    <w:rsid w:val="65F9235B"/>
    <w:rsid w:val="66642A0A"/>
    <w:rsid w:val="66BB258E"/>
    <w:rsid w:val="6731693F"/>
    <w:rsid w:val="6768531F"/>
    <w:rsid w:val="67B01C84"/>
    <w:rsid w:val="67D239DC"/>
    <w:rsid w:val="67E426AB"/>
    <w:rsid w:val="68F93632"/>
    <w:rsid w:val="690074B3"/>
    <w:rsid w:val="694861F4"/>
    <w:rsid w:val="697778F4"/>
    <w:rsid w:val="699E034A"/>
    <w:rsid w:val="69F762B5"/>
    <w:rsid w:val="6A4F4950"/>
    <w:rsid w:val="6A6916F5"/>
    <w:rsid w:val="6A994602"/>
    <w:rsid w:val="6B432621"/>
    <w:rsid w:val="6B5B0298"/>
    <w:rsid w:val="6B5E729C"/>
    <w:rsid w:val="6B920707"/>
    <w:rsid w:val="6C434694"/>
    <w:rsid w:val="6C53079A"/>
    <w:rsid w:val="6C8B1EA3"/>
    <w:rsid w:val="6CAA2639"/>
    <w:rsid w:val="6CF77D4E"/>
    <w:rsid w:val="6D1426AB"/>
    <w:rsid w:val="6D286176"/>
    <w:rsid w:val="6D34711E"/>
    <w:rsid w:val="6D950F62"/>
    <w:rsid w:val="6E230848"/>
    <w:rsid w:val="6E8F4C8C"/>
    <w:rsid w:val="6ED0088A"/>
    <w:rsid w:val="6EE45BA5"/>
    <w:rsid w:val="6EF03395"/>
    <w:rsid w:val="6F1601F8"/>
    <w:rsid w:val="6F2C58B0"/>
    <w:rsid w:val="6F510021"/>
    <w:rsid w:val="6F5842B3"/>
    <w:rsid w:val="6F5B0AC7"/>
    <w:rsid w:val="6F827A60"/>
    <w:rsid w:val="6FD7772D"/>
    <w:rsid w:val="6FE63F42"/>
    <w:rsid w:val="70360F72"/>
    <w:rsid w:val="703B6683"/>
    <w:rsid w:val="70424591"/>
    <w:rsid w:val="70484AB6"/>
    <w:rsid w:val="704B1B00"/>
    <w:rsid w:val="70630389"/>
    <w:rsid w:val="70DD666F"/>
    <w:rsid w:val="70E65350"/>
    <w:rsid w:val="71B062BB"/>
    <w:rsid w:val="71BA4B5E"/>
    <w:rsid w:val="71E927D3"/>
    <w:rsid w:val="71FE16B7"/>
    <w:rsid w:val="723F3DBA"/>
    <w:rsid w:val="72772BED"/>
    <w:rsid w:val="72D7478A"/>
    <w:rsid w:val="732B20D4"/>
    <w:rsid w:val="737A3F12"/>
    <w:rsid w:val="73D51ECA"/>
    <w:rsid w:val="73E912BB"/>
    <w:rsid w:val="74624D35"/>
    <w:rsid w:val="749517B7"/>
    <w:rsid w:val="74C72577"/>
    <w:rsid w:val="74D87F99"/>
    <w:rsid w:val="750D2DB4"/>
    <w:rsid w:val="751C40E6"/>
    <w:rsid w:val="753267E0"/>
    <w:rsid w:val="755370DB"/>
    <w:rsid w:val="75627AB6"/>
    <w:rsid w:val="75C06DEF"/>
    <w:rsid w:val="76080F4C"/>
    <w:rsid w:val="76845F67"/>
    <w:rsid w:val="76D311C0"/>
    <w:rsid w:val="773C155A"/>
    <w:rsid w:val="779B196D"/>
    <w:rsid w:val="77EB2163"/>
    <w:rsid w:val="7815521F"/>
    <w:rsid w:val="785A0A9B"/>
    <w:rsid w:val="78C864B4"/>
    <w:rsid w:val="79090C8B"/>
    <w:rsid w:val="79554BBB"/>
    <w:rsid w:val="7A1D09EE"/>
    <w:rsid w:val="7A4B4863"/>
    <w:rsid w:val="7AE7222E"/>
    <w:rsid w:val="7B445896"/>
    <w:rsid w:val="7B47261A"/>
    <w:rsid w:val="7B4E4F42"/>
    <w:rsid w:val="7B632EF4"/>
    <w:rsid w:val="7B6F31C4"/>
    <w:rsid w:val="7B7B6131"/>
    <w:rsid w:val="7BB13383"/>
    <w:rsid w:val="7BCD235F"/>
    <w:rsid w:val="7BEF337E"/>
    <w:rsid w:val="7C055F9E"/>
    <w:rsid w:val="7CC07BF9"/>
    <w:rsid w:val="7D114AC6"/>
    <w:rsid w:val="7D4A7757"/>
    <w:rsid w:val="7DA74D12"/>
    <w:rsid w:val="7E5B7023"/>
    <w:rsid w:val="7EDF488D"/>
    <w:rsid w:val="7F2451E9"/>
    <w:rsid w:val="7F691DBA"/>
    <w:rsid w:val="7F7734D5"/>
    <w:rsid w:val="7F780B00"/>
    <w:rsid w:val="7FB316A0"/>
    <w:rsid w:val="7FE27729"/>
    <w:rsid w:val="7FFD2B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qFormat="1"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99"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5">
    <w:name w:val="heading 1"/>
    <w:basedOn w:val="1"/>
    <w:next w:val="1"/>
    <w:link w:val="33"/>
    <w:qFormat/>
    <w:uiPriority w:val="0"/>
    <w:pPr>
      <w:keepNext/>
      <w:keepLines/>
      <w:spacing w:before="340" w:after="330"/>
      <w:jc w:val="center"/>
      <w:outlineLvl w:val="0"/>
    </w:pPr>
    <w:rPr>
      <w:b/>
      <w:kern w:val="44"/>
      <w:sz w:val="44"/>
      <w:szCs w:val="20"/>
    </w:rPr>
  </w:style>
  <w:style w:type="paragraph" w:styleId="6">
    <w:name w:val="heading 2"/>
    <w:basedOn w:val="1"/>
    <w:next w:val="1"/>
    <w:qFormat/>
    <w:uiPriority w:val="0"/>
    <w:pPr>
      <w:keepNext/>
      <w:keepLines/>
      <w:spacing w:before="260" w:after="260" w:line="416" w:lineRule="auto"/>
      <w:outlineLvl w:val="1"/>
    </w:pPr>
    <w:rPr>
      <w:rFonts w:ascii="Arial" w:hAnsi="Arial" w:eastAsia="黑体"/>
      <w:bCs/>
      <w:kern w:val="0"/>
      <w:sz w:val="32"/>
      <w:szCs w:val="32"/>
    </w:rPr>
  </w:style>
  <w:style w:type="paragraph" w:styleId="7">
    <w:name w:val="heading 3"/>
    <w:basedOn w:val="1"/>
    <w:next w:val="1"/>
    <w:link w:val="27"/>
    <w:unhideWhenUsed/>
    <w:qFormat/>
    <w:uiPriority w:val="0"/>
    <w:pPr>
      <w:keepNext/>
      <w:keepLines/>
      <w:spacing w:before="260" w:after="260"/>
      <w:outlineLvl w:val="2"/>
    </w:pPr>
    <w:rPr>
      <w:b/>
      <w:sz w:val="32"/>
    </w:rPr>
  </w:style>
  <w:style w:type="paragraph" w:styleId="8">
    <w:name w:val="heading 4"/>
    <w:basedOn w:val="1"/>
    <w:next w:val="1"/>
    <w:semiHidden/>
    <w:unhideWhenUsed/>
    <w:qFormat/>
    <w:uiPriority w:val="0"/>
    <w:pPr>
      <w:keepNext/>
      <w:keepLines/>
      <w:spacing w:before="280" w:after="290"/>
      <w:outlineLvl w:val="3"/>
    </w:pPr>
    <w:rPr>
      <w:rFonts w:ascii="Arial" w:hAnsi="Arial" w:eastAsia="黑体"/>
      <w:b/>
      <w:bCs/>
      <w:sz w:val="28"/>
      <w:szCs w:val="28"/>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spacing w:after="120"/>
      <w:ind w:left="420" w:leftChars="200" w:firstLine="420"/>
    </w:pPr>
    <w:rPr>
      <w:sz w:val="21"/>
    </w:rPr>
  </w:style>
  <w:style w:type="paragraph" w:styleId="3">
    <w:name w:val="Body Text Indent"/>
    <w:basedOn w:val="1"/>
    <w:next w:val="4"/>
    <w:unhideWhenUsed/>
    <w:qFormat/>
    <w:uiPriority w:val="0"/>
    <w:pPr>
      <w:spacing w:line="360" w:lineRule="auto"/>
      <w:ind w:firstLine="560" w:firstLineChars="200"/>
    </w:pPr>
    <w:rPr>
      <w:sz w:val="28"/>
    </w:rPr>
  </w:style>
  <w:style w:type="paragraph" w:styleId="4">
    <w:name w:val="Body Text"/>
    <w:basedOn w:val="1"/>
    <w:next w:val="1"/>
    <w:qFormat/>
    <w:uiPriority w:val="0"/>
    <w:pPr>
      <w:spacing w:line="360" w:lineRule="auto"/>
    </w:pPr>
    <w:rPr>
      <w:kern w:val="0"/>
      <w:sz w:val="24"/>
      <w:szCs w:val="20"/>
    </w:rPr>
  </w:style>
  <w:style w:type="paragraph" w:styleId="9">
    <w:name w:val="Normal Indent"/>
    <w:basedOn w:val="1"/>
    <w:qFormat/>
    <w:uiPriority w:val="0"/>
    <w:pPr>
      <w:ind w:firstLine="420" w:firstLineChars="200"/>
    </w:pPr>
    <w:rPr>
      <w:sz w:val="28"/>
      <w:szCs w:val="28"/>
    </w:rPr>
  </w:style>
  <w:style w:type="paragraph" w:styleId="10">
    <w:name w:val="Salutation"/>
    <w:basedOn w:val="1"/>
    <w:next w:val="1"/>
    <w:qFormat/>
    <w:uiPriority w:val="99"/>
    <w:pPr>
      <w:adjustRightInd w:val="0"/>
      <w:spacing w:line="360" w:lineRule="atLeast"/>
      <w:textAlignment w:val="baseline"/>
    </w:pPr>
    <w:rPr>
      <w:kern w:val="0"/>
      <w:sz w:val="28"/>
    </w:rPr>
  </w:style>
  <w:style w:type="paragraph" w:styleId="11">
    <w:name w:val="List Bullet 3"/>
    <w:basedOn w:val="1"/>
    <w:next w:val="10"/>
    <w:qFormat/>
    <w:uiPriority w:val="0"/>
    <w:pPr>
      <w:numPr>
        <w:ilvl w:val="0"/>
        <w:numId w:val="1"/>
      </w:numPr>
    </w:pPr>
  </w:style>
  <w:style w:type="paragraph" w:styleId="12">
    <w:name w:val="toc 3"/>
    <w:basedOn w:val="1"/>
    <w:next w:val="1"/>
    <w:qFormat/>
    <w:uiPriority w:val="39"/>
    <w:pPr>
      <w:tabs>
        <w:tab w:val="right" w:leader="dot" w:pos="9628"/>
      </w:tabs>
      <w:ind w:left="840" w:leftChars="400"/>
    </w:pPr>
    <w:rPr>
      <w:szCs w:val="20"/>
    </w:rPr>
  </w:style>
  <w:style w:type="paragraph" w:styleId="13">
    <w:name w:val="Plain Text"/>
    <w:basedOn w:val="1"/>
    <w:qFormat/>
    <w:uiPriority w:val="0"/>
    <w:pPr>
      <w:adjustRightInd w:val="0"/>
      <w:spacing w:line="360" w:lineRule="auto"/>
      <w:jc w:val="left"/>
      <w:textAlignment w:val="baseline"/>
    </w:pPr>
    <w:rPr>
      <w:sz w:val="24"/>
      <w:szCs w:val="20"/>
    </w:rPr>
  </w:style>
  <w:style w:type="paragraph" w:styleId="14">
    <w:name w:val="Date"/>
    <w:basedOn w:val="1"/>
    <w:next w:val="1"/>
    <w:qFormat/>
    <w:uiPriority w:val="0"/>
    <w:rPr>
      <w:kern w:val="0"/>
      <w:sz w:val="20"/>
      <w:szCs w:val="20"/>
    </w:rPr>
  </w:style>
  <w:style w:type="paragraph" w:styleId="15">
    <w:name w:val="Balloon Text"/>
    <w:basedOn w:val="1"/>
    <w:link w:val="46"/>
    <w:qFormat/>
    <w:uiPriority w:val="0"/>
    <w:rPr>
      <w:sz w:val="18"/>
      <w:szCs w:val="18"/>
    </w:rPr>
  </w:style>
  <w:style w:type="paragraph" w:styleId="16">
    <w:name w:val="footer"/>
    <w:basedOn w:val="1"/>
    <w:qFormat/>
    <w:uiPriority w:val="0"/>
    <w:pPr>
      <w:tabs>
        <w:tab w:val="center" w:pos="4153"/>
        <w:tab w:val="right" w:pos="8306"/>
      </w:tabs>
      <w:snapToGrid w:val="0"/>
      <w:jc w:val="left"/>
    </w:pPr>
    <w:rPr>
      <w:sz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8">
    <w:name w:val="toc 1"/>
    <w:basedOn w:val="1"/>
    <w:next w:val="1"/>
    <w:qFormat/>
    <w:uiPriority w:val="39"/>
    <w:rPr>
      <w:szCs w:val="20"/>
    </w:rPr>
  </w:style>
  <w:style w:type="paragraph" w:styleId="19">
    <w:name w:val="toc 2"/>
    <w:basedOn w:val="1"/>
    <w:next w:val="1"/>
    <w:qFormat/>
    <w:uiPriority w:val="39"/>
    <w:pPr>
      <w:ind w:left="420" w:leftChars="200"/>
    </w:pPr>
    <w:rPr>
      <w:szCs w:val="20"/>
    </w:rPr>
  </w:style>
  <w:style w:type="paragraph" w:styleId="20">
    <w:name w:val="Body Text First Indent"/>
    <w:basedOn w:val="4"/>
    <w:next w:val="1"/>
    <w:qFormat/>
    <w:uiPriority w:val="99"/>
    <w:pPr>
      <w:tabs>
        <w:tab w:val="left" w:pos="482"/>
        <w:tab w:val="left" w:pos="720"/>
      </w:tabs>
      <w:spacing w:after="120" w:line="240" w:lineRule="auto"/>
      <w:ind w:firstLine="420" w:firstLineChars="100"/>
    </w:pPr>
    <w:rPr>
      <w:kern w:val="2"/>
      <w:sz w:val="21"/>
      <w:szCs w:val="21"/>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rPr>
  </w:style>
  <w:style w:type="character" w:styleId="25">
    <w:name w:val="page number"/>
    <w:basedOn w:val="23"/>
    <w:qFormat/>
    <w:uiPriority w:val="0"/>
  </w:style>
  <w:style w:type="character" w:styleId="26">
    <w:name w:val="Hyperlink"/>
    <w:qFormat/>
    <w:uiPriority w:val="99"/>
    <w:rPr>
      <w:color w:val="0000FF"/>
      <w:u w:val="single"/>
    </w:rPr>
  </w:style>
  <w:style w:type="character" w:customStyle="1" w:styleId="27">
    <w:name w:val="标题 3 字符"/>
    <w:basedOn w:val="23"/>
    <w:link w:val="7"/>
    <w:qFormat/>
    <w:uiPriority w:val="0"/>
    <w:rPr>
      <w:rFonts w:ascii="Times New Roman" w:hAnsi="Times New Roman" w:eastAsia="宋体" w:cs="Times New Roman"/>
      <w:b/>
      <w:kern w:val="2"/>
      <w:sz w:val="32"/>
      <w:szCs w:val="22"/>
    </w:rPr>
  </w:style>
  <w:style w:type="paragraph" w:customStyle="1" w:styleId="28">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9">
    <w:name w:val="正文 + 宋体"/>
    <w:basedOn w:val="30"/>
    <w:qFormat/>
    <w:uiPriority w:val="0"/>
    <w:pPr>
      <w:tabs>
        <w:tab w:val="left" w:pos="420"/>
      </w:tabs>
      <w:ind w:hanging="420"/>
    </w:pPr>
    <w:rPr>
      <w:spacing w:val="6"/>
    </w:rPr>
  </w:style>
  <w:style w:type="paragraph" w:customStyle="1" w:styleId="30">
    <w:name w:val="正文1"/>
    <w:basedOn w:val="31"/>
    <w:next w:val="1"/>
    <w:qFormat/>
    <w:uiPriority w:val="0"/>
    <w:pPr>
      <w:widowControl/>
      <w:spacing w:line="360" w:lineRule="auto"/>
      <w:ind w:firstLine="200" w:firstLineChars="200"/>
    </w:pPr>
    <w:rPr>
      <w:sz w:val="24"/>
    </w:rPr>
  </w:style>
  <w:style w:type="paragraph" w:customStyle="1" w:styleId="31">
    <w:name w:val="Body Text Indent1"/>
    <w:basedOn w:val="1"/>
    <w:qFormat/>
    <w:uiPriority w:val="0"/>
    <w:pPr>
      <w:adjustRightInd w:val="0"/>
      <w:spacing w:after="120"/>
      <w:ind w:left="420" w:leftChars="200"/>
      <w:jc w:val="left"/>
      <w:textAlignment w:val="baseline"/>
    </w:pPr>
    <w:rPr>
      <w:rFonts w:ascii="宋体" w:hAnsi="宋体"/>
      <w:kern w:val="0"/>
      <w:szCs w:val="20"/>
    </w:rPr>
  </w:style>
  <w:style w:type="paragraph" w:customStyle="1" w:styleId="32">
    <w:name w:val="Heading1"/>
    <w:basedOn w:val="1"/>
    <w:next w:val="1"/>
    <w:qFormat/>
    <w:uiPriority w:val="0"/>
    <w:pPr>
      <w:keepNext/>
      <w:widowControl/>
      <w:jc w:val="left"/>
      <w:textAlignment w:val="baseline"/>
    </w:pPr>
    <w:rPr>
      <w:rFonts w:eastAsia="黑体"/>
      <w:b/>
      <w:kern w:val="0"/>
      <w:sz w:val="20"/>
      <w:szCs w:val="20"/>
      <w:lang w:val="en-GB"/>
    </w:rPr>
  </w:style>
  <w:style w:type="character" w:customStyle="1" w:styleId="33">
    <w:name w:val="标题 1 字符"/>
    <w:link w:val="5"/>
    <w:qFormat/>
    <w:uiPriority w:val="9"/>
    <w:rPr>
      <w:rFonts w:ascii="Times New Roman" w:hAnsi="Times New Roman" w:eastAsia="宋体" w:cs="Times New Roman"/>
      <w:b/>
      <w:kern w:val="44"/>
      <w:sz w:val="44"/>
    </w:rPr>
  </w:style>
  <w:style w:type="paragraph" w:customStyle="1" w:styleId="34">
    <w:name w:val="bszw表格文字"/>
    <w:basedOn w:val="1"/>
    <w:qFormat/>
    <w:uiPriority w:val="0"/>
    <w:pPr>
      <w:spacing w:line="360" w:lineRule="auto"/>
    </w:pPr>
    <w:rPr>
      <w:kern w:val="0"/>
      <w:szCs w:val="21"/>
    </w:rPr>
  </w:style>
  <w:style w:type="paragraph" w:customStyle="1" w:styleId="35">
    <w:name w:val="bszw封面"/>
    <w:basedOn w:val="1"/>
    <w:qFormat/>
    <w:uiPriority w:val="0"/>
    <w:pPr>
      <w:spacing w:line="360" w:lineRule="auto"/>
      <w:jc w:val="center"/>
    </w:pPr>
    <w:rPr>
      <w:rFonts w:eastAsia="黑体" w:cs="宋体"/>
      <w:spacing w:val="12"/>
      <w:kern w:val="0"/>
      <w:sz w:val="32"/>
      <w:szCs w:val="32"/>
    </w:rPr>
  </w:style>
  <w:style w:type="paragraph" w:customStyle="1" w:styleId="36">
    <w:name w:val="ÕýÎÄ"/>
    <w:qFormat/>
    <w:uiPriority w:val="0"/>
    <w:pPr>
      <w:tabs>
        <w:tab w:val="left" w:pos="630"/>
      </w:tabs>
      <w:overflowPunct w:val="0"/>
      <w:autoSpaceDE w:val="0"/>
      <w:autoSpaceDN w:val="0"/>
      <w:adjustRightInd w:val="0"/>
      <w:spacing w:line="360" w:lineRule="atLeast"/>
      <w:jc w:val="both"/>
      <w:textAlignment w:val="baseline"/>
    </w:pPr>
    <w:rPr>
      <w:rFonts w:ascii="Times New Roman" w:hAnsi="Times New Roman" w:eastAsia="宋体" w:cs="Times New Roman"/>
      <w:sz w:val="22"/>
      <w:lang w:val="en-US" w:eastAsia="zh-CN" w:bidi="ar-SA"/>
    </w:rPr>
  </w:style>
  <w:style w:type="paragraph" w:styleId="37">
    <w:name w:val="List Paragraph"/>
    <w:basedOn w:val="1"/>
    <w:qFormat/>
    <w:uiPriority w:val="34"/>
    <w:pPr>
      <w:ind w:firstLine="420" w:firstLineChars="200"/>
    </w:pPr>
  </w:style>
  <w:style w:type="character" w:customStyle="1" w:styleId="38">
    <w:name w:val="标题 1 Char"/>
    <w:basedOn w:val="23"/>
    <w:qFormat/>
    <w:uiPriority w:val="0"/>
    <w:rPr>
      <w:rFonts w:ascii="Arial" w:hAnsi="Arial" w:eastAsia="宋体"/>
      <w:sz w:val="30"/>
      <w:lang w:val="en-US" w:eastAsia="zh-CN" w:bidi="ar-SA"/>
    </w:rPr>
  </w:style>
  <w:style w:type="paragraph" w:customStyle="1" w:styleId="39">
    <w:name w:val="三级条标题"/>
    <w:basedOn w:val="40"/>
    <w:next w:val="1"/>
    <w:qFormat/>
    <w:uiPriority w:val="0"/>
    <w:pPr>
      <w:numPr>
        <w:ilvl w:val="4"/>
      </w:numPr>
      <w:tabs>
        <w:tab w:val="left" w:pos="360"/>
        <w:tab w:val="left" w:pos="1544"/>
      </w:tabs>
      <w:ind w:left="1544" w:hanging="240"/>
      <w:outlineLvl w:val="4"/>
    </w:pPr>
  </w:style>
  <w:style w:type="paragraph" w:customStyle="1" w:styleId="40">
    <w:name w:val="二级条标题"/>
    <w:basedOn w:val="41"/>
    <w:next w:val="1"/>
    <w:qFormat/>
    <w:uiPriority w:val="0"/>
    <w:pPr>
      <w:numPr>
        <w:ilvl w:val="3"/>
      </w:numPr>
      <w:tabs>
        <w:tab w:val="left" w:pos="360"/>
        <w:tab w:val="left" w:pos="1544"/>
      </w:tabs>
      <w:ind w:left="1544" w:hanging="240"/>
      <w:outlineLvl w:val="3"/>
    </w:pPr>
  </w:style>
  <w:style w:type="paragraph" w:customStyle="1" w:styleId="41">
    <w:name w:val="一级条标题"/>
    <w:basedOn w:val="42"/>
    <w:next w:val="43"/>
    <w:qFormat/>
    <w:uiPriority w:val="0"/>
    <w:pPr>
      <w:numPr>
        <w:ilvl w:val="2"/>
      </w:numPr>
      <w:tabs>
        <w:tab w:val="left" w:pos="360"/>
        <w:tab w:val="left" w:pos="1544"/>
      </w:tabs>
      <w:spacing w:line="240" w:lineRule="auto"/>
      <w:ind w:left="1544" w:hanging="240"/>
      <w:jc w:val="both"/>
      <w:outlineLvl w:val="2"/>
    </w:pPr>
  </w:style>
  <w:style w:type="paragraph" w:customStyle="1" w:styleId="42">
    <w:name w:val="章标题"/>
    <w:next w:val="43"/>
    <w:qFormat/>
    <w:uiPriority w:val="0"/>
    <w:pPr>
      <w:numPr>
        <w:ilvl w:val="1"/>
        <w:numId w:val="2"/>
      </w:numPr>
      <w:spacing w:line="360" w:lineRule="auto"/>
      <w:outlineLvl w:val="1"/>
    </w:pPr>
    <w:rPr>
      <w:rFonts w:ascii="Times New Roman" w:hAnsi="Times New Roman" w:eastAsia="黑体" w:cs="Times New Roman"/>
      <w:sz w:val="21"/>
      <w:lang w:val="en-US" w:eastAsia="zh-CN" w:bidi="ar-SA"/>
    </w:rPr>
  </w:style>
  <w:style w:type="paragraph" w:customStyle="1" w:styleId="43">
    <w:name w:val="段"/>
    <w:basedOn w:val="13"/>
    <w:qFormat/>
    <w:uiPriority w:val="0"/>
    <w:pPr>
      <w:autoSpaceDE w:val="0"/>
      <w:autoSpaceDN w:val="0"/>
      <w:ind w:firstLine="200" w:firstLineChars="200"/>
      <w:jc w:val="both"/>
    </w:pPr>
    <w:rPr>
      <w:rFonts w:ascii="宋体"/>
      <w:sz w:val="21"/>
    </w:rPr>
  </w:style>
  <w:style w:type="paragraph" w:customStyle="1" w:styleId="44">
    <w:name w:val="正文（标准）"/>
    <w:basedOn w:val="1"/>
    <w:next w:val="1"/>
    <w:semiHidden/>
    <w:qFormat/>
    <w:uiPriority w:val="0"/>
    <w:pPr>
      <w:ind w:firstLine="525"/>
    </w:pPr>
    <w:rPr>
      <w:rFonts w:ascii="宋体" w:hAnsi="宋体"/>
    </w:rPr>
  </w:style>
  <w:style w:type="paragraph" w:styleId="45">
    <w:name w:val="No Spacing"/>
    <w:basedOn w:val="1"/>
    <w:qFormat/>
    <w:uiPriority w:val="0"/>
    <w:pPr>
      <w:widowControl/>
      <w:adjustRightInd w:val="0"/>
      <w:snapToGrid w:val="0"/>
      <w:spacing w:line="360" w:lineRule="auto"/>
      <w:ind w:firstLine="200" w:firstLineChars="200"/>
      <w:jc w:val="left"/>
    </w:pPr>
    <w:rPr>
      <w:rFonts w:eastAsia="Times New Roman"/>
      <w:kern w:val="0"/>
      <w:sz w:val="24"/>
      <w:szCs w:val="32"/>
    </w:rPr>
  </w:style>
  <w:style w:type="character" w:customStyle="1" w:styleId="46">
    <w:name w:val="批注框文本 字符"/>
    <w:basedOn w:val="23"/>
    <w:link w:val="15"/>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52</Pages>
  <Words>93</Words>
  <Characters>93</Characters>
  <Lines>223</Lines>
  <Paragraphs>62</Paragraphs>
  <TotalTime>8</TotalTime>
  <ScaleCrop>false</ScaleCrop>
  <LinksUpToDate>false</LinksUpToDate>
  <CharactersWithSpaces>95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2026-09-18T07:17:00Z</dcterms:created>
  <dc:creator>wjl</dc:creator>
  <cp:lastModifiedBy>贾艳艳</cp:lastModifiedBy>
  <cp:lastPrinted>2025-02-13T05:57:00Z</cp:lastPrinted>
  <dcterms:modified xsi:type="dcterms:W3CDTF">2026-10-13T01:57:39Z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48CB2A1E7B6D4A61B31CBE64E4CE79F4</vt:lpwstr>
  </property>
  <property fmtid="{D5CDD505-2E9C-101B-9397-08002B2CF9AE}" pid="4" name="KSOTemplateDocerSaveRecord">
    <vt:lpwstr>eyJoZGlkIjoiOWNlYjg1MWVjM2UzYzM1ZmExMWIzOTU5NjIzODY4YzciLCJ1c2VySWQiOiI2MzUyNDQ1OTQifQ==</vt:lpwstr>
  </property>
</Properties>
</file>