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小标宋_GBK" w:hAnsi="Times New Roman" w:eastAsia="方正小标宋_GBK"/>
          <w:sz w:val="44"/>
          <w:lang w:val="en-US" w:eastAsia="zh-CN"/>
        </w:rPr>
      </w:pPr>
      <w:r>
        <w:rPr>
          <w:rFonts w:hint="eastAsia" w:ascii="方正小标宋_GBK" w:hAnsi="Times New Roman" w:eastAsia="方正小标宋_GBK"/>
          <w:sz w:val="44"/>
          <w:lang w:val="en-US" w:eastAsia="zh-CN"/>
        </w:rPr>
        <w:t>重庆银行股份有限公司西安雁塔南路支行</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小标宋_GBK" w:hAnsi="Times New Roman" w:eastAsia="方正小标宋_GBK"/>
          <w:sz w:val="44"/>
        </w:rPr>
      </w:pPr>
      <w:r>
        <w:rPr>
          <w:rFonts w:hint="eastAsia" w:ascii="方正小标宋_GBK" w:hAnsi="Times New Roman" w:eastAsia="方正小标宋_GBK"/>
          <w:sz w:val="44"/>
          <w:lang w:val="en-US" w:eastAsia="zh-CN"/>
        </w:rPr>
        <w:t>增加户外广告字项目</w:t>
      </w:r>
      <w:r>
        <w:rPr>
          <w:rFonts w:hint="eastAsia" w:ascii="方正小标宋_GBK" w:hAnsi="Times New Roman" w:eastAsia="方正小标宋_GBK"/>
          <w:sz w:val="44"/>
        </w:rPr>
        <w:t>分散采购文件</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ascii="方正小标宋_GBK" w:hAnsi="黑体" w:eastAsia="方正小标宋_GBK"/>
          <w:sz w:val="20"/>
          <w:szCs w:val="20"/>
        </w:rPr>
      </w:pP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default" w:ascii="Times New Roman" w:hAnsi="Times New Roman" w:eastAsia="方正仿宋_GBK" w:cs="Times New Roman"/>
          <w:sz w:val="32"/>
        </w:rPr>
        <w:t>现</w:t>
      </w:r>
      <w:r>
        <w:rPr>
          <w:rFonts w:hint="default" w:ascii="Times New Roman" w:hAnsi="Times New Roman" w:eastAsia="方正仿宋_GBK" w:cs="Times New Roman"/>
          <w:sz w:val="32"/>
          <w:lang w:eastAsia="zh-CN"/>
        </w:rPr>
        <w:t>公开征集不特定供应商</w:t>
      </w:r>
      <w:r>
        <w:rPr>
          <w:rFonts w:hint="eastAsia" w:ascii="方正仿宋_GBK" w:hAnsi="仿宋_GB2312" w:eastAsia="方正仿宋_GBK" w:cs="Times New Roman"/>
          <w:sz w:val="32"/>
          <w:lang w:val="en-US" w:eastAsia="zh-CN"/>
        </w:rPr>
        <w:t>就“重庆银行股份有限公司西安雁塔南路支行增加户外广告字项目”进行报价，</w:t>
      </w:r>
      <w:r>
        <w:rPr>
          <w:rFonts w:hint="eastAsia" w:ascii="方正仿宋_GBK" w:hAnsi="仿宋_GB2312" w:eastAsia="方正仿宋_GBK" w:cs="Times New Roman"/>
          <w:b/>
          <w:bCs/>
          <w:sz w:val="32"/>
          <w:u w:val="single"/>
          <w:lang w:val="en-US" w:eastAsia="zh-CN"/>
        </w:rPr>
        <w:t>本项目预算为4.75万元（报价不得超过该预算金额），</w:t>
      </w:r>
      <w:r>
        <w:rPr>
          <w:rFonts w:hint="eastAsia" w:ascii="方正仿宋_GBK" w:hAnsi="仿宋_GB2312" w:eastAsia="方正仿宋_GBK" w:cs="Times New Roman"/>
          <w:sz w:val="32"/>
          <w:lang w:val="en-US" w:eastAsia="zh-CN"/>
        </w:rPr>
        <w:t>现将相关事项通知如下：</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黑体_GBK" w:hAnsi="方正黑体_GBK" w:eastAsia="方正黑体_GBK" w:cs="方正黑体_GBK"/>
          <w:sz w:val="32"/>
          <w:lang w:val="en-US" w:eastAsia="zh-CN"/>
        </w:rPr>
      </w:pPr>
      <w:bookmarkStart w:id="0" w:name="OLE_LINK1"/>
      <w:r>
        <w:rPr>
          <w:rFonts w:hint="eastAsia" w:ascii="方正黑体_GBK" w:hAnsi="方正黑体_GBK" w:eastAsia="方正黑体_GBK" w:cs="方正黑体_GBK"/>
          <w:sz w:val="32"/>
          <w:lang w:val="en-US" w:eastAsia="zh-CN"/>
        </w:rPr>
        <w:t>一、</w:t>
      </w:r>
      <w:bookmarkEnd w:id="0"/>
      <w:r>
        <w:rPr>
          <w:rFonts w:hint="eastAsia" w:ascii="方正黑体_GBK" w:hAnsi="方正黑体_GBK" w:eastAsia="方正黑体_GBK" w:cs="方正黑体_GBK"/>
          <w:sz w:val="32"/>
          <w:lang w:val="en-US" w:eastAsia="zh-CN"/>
        </w:rPr>
        <w:t>采购内容及服务要求</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40" w:firstLineChars="200"/>
        <w:jc w:val="both"/>
        <w:textAlignment w:val="auto"/>
        <w:outlineLvl w:val="9"/>
        <w:rPr>
          <w:rFonts w:hint="eastAsia" w:ascii="方正仿宋_GBK" w:hAnsi="仿宋_GB2312" w:eastAsia="方正仿宋_GBK"/>
          <w:sz w:val="32"/>
          <w:lang w:val="en-US" w:eastAsia="zh-CN"/>
        </w:rPr>
      </w:pPr>
      <w:r>
        <w:rPr>
          <w:rFonts w:hint="eastAsia" w:ascii="方正仿宋_GBK" w:hAnsi="仿宋_GB2312" w:eastAsia="方正仿宋_GBK" w:cs="Times New Roman"/>
          <w:sz w:val="32"/>
          <w:lang w:val="en-US" w:eastAsia="zh-CN"/>
        </w:rPr>
        <w:t>为重庆银行股份有限公司西安雁塔南路支行增加户外广告字</w:t>
      </w:r>
      <w:r>
        <w:rPr>
          <w:rFonts w:hint="eastAsia" w:ascii="方正仿宋_GBK" w:hAnsi="仿宋_GB2312" w:eastAsia="方正仿宋_GBK"/>
          <w:sz w:val="32"/>
          <w:lang w:eastAsia="zh-CN"/>
        </w:rPr>
        <w:t>的制作安装</w:t>
      </w:r>
      <w:r>
        <w:rPr>
          <w:rFonts w:hint="eastAsia" w:ascii="方正仿宋_GBK" w:hAnsi="仿宋_GB2312" w:eastAsia="方正仿宋_GBK"/>
          <w:sz w:val="32"/>
          <w:lang w:val="en-US" w:eastAsia="zh-CN"/>
        </w:rPr>
        <w:t>服务，具体采购内容详见报价清单。</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40" w:firstLineChars="200"/>
        <w:jc w:val="both"/>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sz w:val="32"/>
          <w:lang w:val="en-US" w:eastAsia="zh-CN"/>
        </w:rPr>
        <w:t>该广告位于重庆银行</w:t>
      </w:r>
      <w:r>
        <w:rPr>
          <w:rFonts w:hint="eastAsia" w:ascii="方正仿宋_GBK" w:hAnsi="仿宋_GB2312" w:eastAsia="方正仿宋_GBK" w:cs="Times New Roman"/>
          <w:sz w:val="32"/>
          <w:lang w:val="en-US" w:eastAsia="zh-CN"/>
        </w:rPr>
        <w:t>西安雁塔南路支行</w:t>
      </w:r>
      <w:r>
        <w:rPr>
          <w:rFonts w:hint="eastAsia" w:ascii="方正仿宋_GBK" w:hAnsi="仿宋_GB2312" w:eastAsia="方正仿宋_GBK"/>
          <w:sz w:val="32"/>
          <w:lang w:eastAsia="zh-CN"/>
        </w:rPr>
        <w:t>大楼外立面</w:t>
      </w:r>
      <w:r>
        <w:rPr>
          <w:rFonts w:hint="eastAsia" w:ascii="方正仿宋_GBK" w:hAnsi="仿宋_GB2312" w:eastAsia="方正仿宋_GBK"/>
          <w:sz w:val="32"/>
          <w:lang w:val="en-US" w:eastAsia="zh-CN"/>
        </w:rPr>
        <w:t>（</w:t>
      </w:r>
      <w:r>
        <w:rPr>
          <w:rFonts w:hint="eastAsia" w:ascii="方正仿宋_GBK" w:hAnsi="仿宋_GB2312" w:eastAsia="方正仿宋_GBK"/>
          <w:sz w:val="32"/>
          <w:lang w:eastAsia="zh-CN"/>
        </w:rPr>
        <w:t>西安市</w:t>
      </w:r>
      <w:r>
        <w:rPr>
          <w:rFonts w:hint="eastAsia" w:ascii="方正仿宋_GBK" w:hAnsi="仿宋_GB2312" w:eastAsia="方正仿宋_GBK"/>
          <w:sz w:val="32"/>
          <w:lang w:val="en-US" w:eastAsia="zh-CN"/>
        </w:rPr>
        <w:t>曲江</w:t>
      </w:r>
      <w:r>
        <w:rPr>
          <w:rFonts w:hint="eastAsia" w:ascii="方正仿宋_GBK" w:hAnsi="仿宋_GB2312" w:eastAsia="方正仿宋_GBK"/>
          <w:sz w:val="32"/>
          <w:lang w:eastAsia="zh-CN"/>
        </w:rPr>
        <w:t>新区</w:t>
      </w:r>
      <w:r>
        <w:rPr>
          <w:rFonts w:hint="eastAsia" w:ascii="方正仿宋_GBK" w:hAnsi="仿宋_GB2312" w:eastAsia="方正仿宋_GBK"/>
          <w:sz w:val="32"/>
          <w:lang w:val="en-US" w:eastAsia="zh-CN"/>
        </w:rPr>
        <w:t>雁塔南路396号1幢临街面，具体位置见效果图），</w:t>
      </w:r>
      <w:r>
        <w:rPr>
          <w:rFonts w:hint="default" w:ascii="方正仿宋_GBK" w:hAnsi="仿宋_GB2312" w:eastAsia="方正仿宋_GBK"/>
          <w:sz w:val="32"/>
          <w:lang w:val="en-US" w:eastAsia="zh-CN"/>
        </w:rPr>
        <w:t>供应商</w:t>
      </w:r>
      <w:r>
        <w:rPr>
          <w:rFonts w:hint="eastAsia" w:ascii="方正仿宋_GBK" w:hAnsi="仿宋_GB2312" w:eastAsia="方正仿宋_GBK"/>
          <w:sz w:val="32"/>
          <w:lang w:val="en-US" w:eastAsia="zh-CN"/>
        </w:rPr>
        <w:t>可自行前往现场实勘。</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jc w:val="left"/>
        <w:textAlignment w:val="auto"/>
        <w:outlineLvl w:val="9"/>
        <w:rPr>
          <w:rFonts w:hint="default"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二、报价要求</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采购报价为全包价（包含勘察、设计、材料、制作安装、高空作业、吊装机械、占道施工、物业审批、行政主管部门设置许可审批、维修维护、巡查质保、垃圾清运、人工费、特种人员保险、</w:t>
      </w:r>
      <w:r>
        <w:rPr>
          <w:rFonts w:hint="default" w:ascii="方正仿宋_GBK" w:hAnsi="仿宋_GB2312" w:eastAsia="方正仿宋_GBK" w:cs="Times New Roman"/>
          <w:sz w:val="32"/>
          <w:lang w:val="en-US" w:eastAsia="zh-CN"/>
        </w:rPr>
        <w:t>市场物价上涨以及税金（增值税专用发票）</w:t>
      </w:r>
      <w:r>
        <w:rPr>
          <w:rFonts w:hint="eastAsia" w:ascii="方正仿宋_GBK" w:hAnsi="仿宋_GB2312" w:eastAsia="方正仿宋_GBK" w:cs="Times New Roman"/>
          <w:sz w:val="32"/>
          <w:lang w:val="en-US" w:eastAsia="zh-CN"/>
        </w:rPr>
        <w:t>等）。因供应商自身原因造成漏报、少报皆由其自行承担责任。</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三、报价文件要求</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eastAsia="zh-CN"/>
        </w:rPr>
        <w:t>请于</w:t>
      </w:r>
      <w:r>
        <w:rPr>
          <w:rFonts w:hint="eastAsia" w:ascii="方正仿宋_GBK" w:hAnsi="仿宋_GB2312" w:eastAsia="方正仿宋_GBK" w:cs="Times New Roman"/>
          <w:sz w:val="32"/>
          <w:lang w:val="en-US" w:eastAsia="zh-CN"/>
        </w:rPr>
        <w:t>2026</w:t>
      </w:r>
      <w:r>
        <w:rPr>
          <w:rFonts w:hint="eastAsia" w:ascii="方正仿宋_GBK" w:hAnsi="仿宋_GB2312" w:eastAsia="方正仿宋_GBK" w:cs="Times New Roman"/>
          <w:sz w:val="32"/>
          <w:lang w:eastAsia="zh-CN"/>
        </w:rPr>
        <w:t>年</w:t>
      </w:r>
      <w:r>
        <w:rPr>
          <w:rFonts w:hint="eastAsia" w:ascii="方正仿宋_GBK" w:hAnsi="仿宋_GB2312" w:eastAsia="方正仿宋_GBK" w:cs="Times New Roman"/>
          <w:sz w:val="32"/>
          <w:lang w:val="en-US" w:eastAsia="zh-CN"/>
        </w:rPr>
        <w:t>10</w:t>
      </w:r>
      <w:r>
        <w:rPr>
          <w:rFonts w:hint="eastAsia" w:ascii="方正仿宋_GBK" w:hAnsi="仿宋_GB2312" w:eastAsia="方正仿宋_GBK" w:cs="Times New Roman"/>
          <w:sz w:val="32"/>
          <w:lang w:eastAsia="zh-CN"/>
        </w:rPr>
        <w:t>月</w:t>
      </w:r>
      <w:r>
        <w:rPr>
          <w:rFonts w:hint="eastAsia" w:ascii="方正仿宋_GBK" w:hAnsi="仿宋_GB2312" w:eastAsia="方正仿宋_GBK" w:cs="Times New Roman"/>
          <w:sz w:val="32"/>
          <w:lang w:val="en-US" w:eastAsia="zh-CN"/>
        </w:rPr>
        <w:t>20</w:t>
      </w:r>
      <w:r>
        <w:rPr>
          <w:rFonts w:hint="eastAsia" w:ascii="方正仿宋_GBK" w:hAnsi="仿宋_GB2312" w:eastAsia="方正仿宋_GBK" w:cs="Times New Roman"/>
          <w:sz w:val="32"/>
          <w:lang w:eastAsia="zh-CN"/>
        </w:rPr>
        <w:t>日</w:t>
      </w:r>
      <w:r>
        <w:rPr>
          <w:rFonts w:hint="eastAsia" w:ascii="方正仿宋_GBK" w:hAnsi="仿宋_GB2312" w:eastAsia="方正仿宋_GBK" w:cs="Times New Roman"/>
          <w:sz w:val="32"/>
          <w:lang w:val="en-US" w:eastAsia="zh-CN"/>
        </w:rPr>
        <w:t>上午10</w:t>
      </w:r>
      <w:r>
        <w:rPr>
          <w:rFonts w:hint="eastAsia" w:ascii="方正仿宋_GBK" w:hAnsi="仿宋_GB2312" w:eastAsia="方正仿宋_GBK" w:cs="Times New Roman"/>
          <w:sz w:val="32"/>
          <w:lang w:eastAsia="zh-CN"/>
        </w:rPr>
        <w:t>时</w:t>
      </w:r>
      <w:r>
        <w:rPr>
          <w:rFonts w:hint="eastAsia" w:ascii="方正仿宋_GBK" w:hAnsi="仿宋_GB2312" w:eastAsia="方正仿宋_GBK" w:cs="Times New Roman"/>
          <w:sz w:val="32"/>
          <w:lang w:val="en-US" w:eastAsia="zh-CN"/>
        </w:rPr>
        <w:t>前</w:t>
      </w:r>
      <w:r>
        <w:rPr>
          <w:rFonts w:hint="eastAsia" w:ascii="方正仿宋_GBK" w:hAnsi="仿宋_GB2312" w:eastAsia="方正仿宋_GBK" w:cs="Times New Roman"/>
          <w:sz w:val="32"/>
          <w:lang w:eastAsia="zh-CN"/>
        </w:rPr>
        <w:t>将以下材料装订成册（不得活页、散页）</w:t>
      </w:r>
      <w:r>
        <w:rPr>
          <w:rFonts w:hint="eastAsia" w:ascii="方正仿宋_GBK" w:hAnsi="仿宋_GB2312" w:eastAsia="方正仿宋_GBK" w:cs="Times New Roman"/>
          <w:sz w:val="32"/>
          <w:highlight w:val="none"/>
          <w:lang w:val="en-US" w:eastAsia="zh-CN"/>
        </w:rPr>
        <w:t>并密封</w:t>
      </w:r>
      <w:r>
        <w:rPr>
          <w:rFonts w:hint="eastAsia" w:ascii="方正仿宋_GBK" w:hAnsi="仿宋_GB2312" w:eastAsia="方正仿宋_GBK" w:cs="Times New Roman"/>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val="en-US" w:eastAsia="zh-CN"/>
        </w:rPr>
        <w:t>1.</w:t>
      </w:r>
      <w:r>
        <w:rPr>
          <w:rFonts w:hint="eastAsia" w:ascii="方正仿宋_GBK" w:hAnsi="仿宋_GB2312" w:eastAsia="方正仿宋_GBK" w:cs="Times New Roman"/>
          <w:sz w:val="32"/>
          <w:lang w:eastAsia="zh-CN"/>
        </w:rPr>
        <w:t>报价资料；</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val="en-US" w:eastAsia="zh-CN"/>
        </w:rPr>
        <w:t>2.</w:t>
      </w:r>
      <w:r>
        <w:rPr>
          <w:rFonts w:hint="eastAsia" w:ascii="方正仿宋_GBK" w:hAnsi="仿宋_GB2312" w:eastAsia="方正仿宋_GBK" w:cs="Times New Roman"/>
          <w:sz w:val="32"/>
          <w:lang w:eastAsia="zh-CN"/>
        </w:rPr>
        <w:t>公司资料（营业执照复印件加盖公章）；</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3.</w:t>
      </w:r>
      <w:r>
        <w:rPr>
          <w:rFonts w:hint="eastAsia" w:ascii="方正仿宋_GBK" w:hAnsi="仿宋_GB2312" w:eastAsia="方正仿宋_GBK" w:cs="Times New Roman"/>
          <w:sz w:val="32"/>
          <w:lang w:eastAsia="zh-CN"/>
        </w:rPr>
        <w:t>法人授权委托书（附授权人和被授权人的身份证复印件</w:t>
      </w:r>
      <w:r>
        <w:rPr>
          <w:rFonts w:hint="eastAsia" w:ascii="方正仿宋_GBK" w:hAnsi="仿宋_GB2312" w:eastAsia="方正仿宋_GBK" w:cs="Times New Roman"/>
          <w:sz w:val="32"/>
          <w:lang w:val="en-US" w:eastAsia="zh-CN"/>
        </w:rPr>
        <w:t>加盖公章</w:t>
      </w:r>
      <w:r>
        <w:rPr>
          <w:rFonts w:hint="eastAsia" w:ascii="方正仿宋_GBK" w:hAnsi="仿宋_GB2312" w:eastAsia="方正仿宋_GBK" w:cs="Times New Roman"/>
          <w:sz w:val="32"/>
          <w:lang w:eastAsia="zh-CN"/>
        </w:rPr>
        <w:t>）</w:t>
      </w:r>
      <w:r>
        <w:rPr>
          <w:rFonts w:hint="eastAsia" w:ascii="方正仿宋_GBK" w:hAnsi="仿宋_GB2312" w:eastAsia="方正仿宋_GBK" w:cs="Times New Roman"/>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4.投标人需提供包含但不限于以下内容的承诺函（加盖投标人公章）：</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4.1投标人未被“信用中国”网站列入失信被执行人和重大税收违法案件当事人名单；</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4.2未列入重庆银行供应商禁用退出名单和负面清单；</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4.3投标人不存在直接或间接地与招标人为本项目所委托的咨询公司或其附属机构有任何关联；</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4.4投标人法定代表人、控股股东或实际控制人与招标人高管人员及使用（需求部门）、采购人员无夫妻、直系血亲、三代以内旁系血亲或者近姻亲关系；</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4.5存在下列关联关系情形的投标人不得同时参与本项目采购：</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highlight w:val="none"/>
          <w:lang w:val="en-US" w:eastAsia="zh-CN"/>
        </w:rPr>
      </w:pPr>
      <w:r>
        <w:rPr>
          <w:rFonts w:hint="eastAsia" w:ascii="方正仿宋_GBK" w:hAnsi="仿宋_GB2312" w:eastAsia="方正仿宋_GBK" w:cs="Times New Roman"/>
          <w:sz w:val="32"/>
          <w:highlight w:val="none"/>
          <w:lang w:val="en-US" w:eastAsia="zh-CN"/>
        </w:rPr>
        <w:t>①存在控股、管理关系；②一方直接持有另一方股权，比例超过 20%；③同时被同一第三方法人或非法人组织或自然人直接持有股权，比例超过20%（国家控股的投标人除外）；④单位负责人、董事、监事等主要人员之一为同一人（以“国家企业信用信息公示系统”显示的“主要人员信息”名单为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方正仿宋_GBK" w:hAnsi="仿宋_GB2312" w:eastAsia="方正仿宋_GBK" w:cs="Times New Roman"/>
          <w:sz w:val="32"/>
          <w:lang w:val="en-US" w:eastAsia="zh-CN"/>
        </w:rPr>
      </w:pPr>
      <w:r>
        <w:rPr>
          <w:rFonts w:hint="eastAsia" w:ascii="方正仿宋_GBK" w:hAnsi="仿宋_GB2312" w:eastAsia="方正仿宋_GBK" w:cs="Times New Roman"/>
          <w:sz w:val="32"/>
          <w:lang w:val="en-US" w:eastAsia="zh-CN"/>
        </w:rPr>
        <w:t>5.不接受联合体投标；</w:t>
      </w:r>
    </w:p>
    <w:p>
      <w:pPr>
        <w:pStyle w:val="4"/>
        <w:keepNext w:val="0"/>
        <w:keepLines w:val="0"/>
        <w:pageBreakBefore w:val="0"/>
        <w:numPr>
          <w:ilvl w:val="0"/>
          <w:numId w:val="0"/>
        </w:numPr>
        <w:kinsoku/>
        <w:wordWrap/>
        <w:overflowPunct/>
        <w:topLinePunct w:val="0"/>
        <w:autoSpaceDE/>
        <w:autoSpaceDN/>
        <w:bidi w:val="0"/>
        <w:adjustRightInd w:val="0"/>
        <w:snapToGrid w:val="0"/>
        <w:spacing w:line="560" w:lineRule="exact"/>
        <w:ind w:left="0" w:right="0" w:rightChars="0" w:firstLine="640" w:firstLineChars="200"/>
        <w:rPr>
          <w:rFonts w:hint="default"/>
          <w:lang w:val="en-US" w:eastAsia="zh-CN"/>
        </w:rPr>
      </w:pPr>
      <w:r>
        <w:rPr>
          <w:rFonts w:hint="eastAsia" w:ascii="方正仿宋_GBK" w:hAnsi="仿宋_GB2312" w:eastAsia="方正仿宋_GBK" w:cs="Times New Roman"/>
          <w:sz w:val="32"/>
          <w:highlight w:val="none"/>
          <w:lang w:val="en-US" w:eastAsia="zh-CN"/>
        </w:rPr>
        <w:t>6.投标人认为需要提供的其它资料（如有）</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s="Times New Roman"/>
          <w:sz w:val="32"/>
          <w:lang w:eastAsia="zh-CN"/>
        </w:rPr>
      </w:pPr>
      <w:r>
        <w:rPr>
          <w:rFonts w:hint="eastAsia" w:ascii="方正仿宋_GBK" w:hAnsi="仿宋_GB2312" w:eastAsia="方正仿宋_GBK" w:cs="Times New Roman"/>
          <w:sz w:val="32"/>
          <w:lang w:eastAsia="zh-CN"/>
        </w:rPr>
        <w:t>投标文件如有制式须按本采购文件要求的文件格式制作，</w:t>
      </w:r>
      <w:r>
        <w:rPr>
          <w:rFonts w:hint="eastAsia" w:ascii="方正仿宋_GBK" w:hAnsi="仿宋_GB2312" w:eastAsia="方正仿宋_GBK" w:cs="Times New Roman"/>
          <w:sz w:val="32"/>
          <w:lang w:val="en-US" w:eastAsia="zh-CN"/>
        </w:rPr>
        <w:t>以上投标文件需密封并在相应的位置签字或盖章，</w:t>
      </w:r>
      <w:r>
        <w:rPr>
          <w:rFonts w:hint="eastAsia" w:ascii="方正仿宋_GBK" w:hAnsi="仿宋_GB2312" w:eastAsia="方正仿宋_GBK" w:cs="Times New Roman"/>
          <w:sz w:val="32"/>
          <w:lang w:eastAsia="zh-CN"/>
        </w:rPr>
        <w:t>送达至（</w:t>
      </w:r>
      <w:r>
        <w:rPr>
          <w:rFonts w:hint="eastAsia" w:ascii="方正仿宋_GBK" w:hAnsi="仿宋_GB2312" w:eastAsia="方正仿宋_GBK" w:cs="Times New Roman"/>
          <w:sz w:val="32"/>
          <w:lang w:val="en-US" w:eastAsia="zh-CN"/>
        </w:rPr>
        <w:t>可邮寄</w:t>
      </w:r>
      <w:r>
        <w:rPr>
          <w:rFonts w:hint="eastAsia" w:ascii="方正仿宋_GBK" w:hAnsi="仿宋_GB2312" w:eastAsia="方正仿宋_GBK" w:cs="Times New Roman"/>
          <w:sz w:val="32"/>
          <w:lang w:eastAsia="zh-CN"/>
        </w:rPr>
        <w:t>）：</w:t>
      </w:r>
      <w:r>
        <w:rPr>
          <w:rFonts w:hint="eastAsia" w:ascii="方正仿宋_GBK" w:hAnsi="仿宋_GB2312" w:eastAsia="方正仿宋_GBK" w:cs="Times New Roman"/>
          <w:sz w:val="32"/>
          <w:lang w:val="en-US" w:eastAsia="zh-CN"/>
        </w:rPr>
        <w:t>陕西省</w:t>
      </w:r>
      <w:r>
        <w:rPr>
          <w:rFonts w:hint="eastAsia" w:ascii="方正仿宋_GBK" w:hAnsi="仿宋_GB2312" w:eastAsia="方正仿宋_GBK" w:cs="Times New Roman"/>
          <w:sz w:val="32"/>
          <w:lang w:eastAsia="zh-CN"/>
        </w:rPr>
        <w:t>西安市唐延路</w:t>
      </w:r>
      <w:r>
        <w:rPr>
          <w:rFonts w:hint="eastAsia" w:ascii="方正仿宋_GBK" w:hAnsi="仿宋_GB2312" w:eastAsia="方正仿宋_GBK" w:cs="Times New Roman"/>
          <w:sz w:val="32"/>
          <w:lang w:val="en-US" w:eastAsia="zh-CN"/>
        </w:rPr>
        <w:t>25号重庆银行西安分行18楼李斌（收），电话：</w:t>
      </w:r>
      <w:r>
        <w:rPr>
          <w:rFonts w:hint="eastAsia" w:ascii="方正仿宋_GBK" w:hAnsi="仿宋_GB2312" w:eastAsia="方正仿宋_GBK" w:cs="Times New Roman"/>
          <w:sz w:val="32"/>
          <w:highlight w:val="none"/>
          <w:lang w:val="en-US" w:eastAsia="zh-CN"/>
        </w:rPr>
        <w:t>029-88195666转6886</w:t>
      </w:r>
      <w:r>
        <w:rPr>
          <w:rFonts w:hint="eastAsia" w:ascii="方正仿宋_GBK" w:hAnsi="仿宋_GB2312" w:eastAsia="方正仿宋_GBK" w:cs="Times New Roman"/>
          <w:sz w:val="32"/>
          <w:lang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四、开标时间</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仿宋_GBK" w:hAnsi="仿宋_GB2312" w:eastAsia="方正仿宋_GBK"/>
          <w:sz w:val="32"/>
          <w:lang w:val="en-US" w:eastAsia="zh-CN"/>
        </w:rPr>
      </w:pPr>
      <w:r>
        <w:rPr>
          <w:rFonts w:hint="eastAsia" w:ascii="方正仿宋_GBK" w:hAnsi="仿宋_GB2312" w:eastAsia="方正仿宋_GBK"/>
          <w:sz w:val="32"/>
          <w:lang w:val="en-US" w:eastAsia="zh-CN"/>
        </w:rPr>
        <w:t>2026年10月20日上午10时00分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firstLine="640"/>
        <w:jc w:val="left"/>
        <w:textAlignment w:val="auto"/>
        <w:outlineLvl w:val="9"/>
        <w:rPr>
          <w:rFonts w:hint="eastAsia" w:ascii="方正仿宋_GBK" w:hAnsi="Times New Roman" w:eastAsia="方正仿宋_GBK"/>
          <w:sz w:val="32"/>
          <w:lang w:val="en-US" w:eastAsia="zh-CN"/>
        </w:rPr>
      </w:pPr>
      <w:r>
        <w:rPr>
          <w:rFonts w:hint="eastAsia" w:ascii="方正黑体_GBK" w:hAnsi="方正黑体_GBK" w:eastAsia="方正黑体_GBK" w:cs="方正黑体_GBK"/>
          <w:sz w:val="32"/>
          <w:lang w:val="en-US" w:eastAsia="zh-CN"/>
        </w:rPr>
        <w:t>五、工期要求：</w:t>
      </w:r>
      <w:r>
        <w:rPr>
          <w:rFonts w:hint="eastAsia" w:ascii="方正仿宋_GBK" w:hAnsi="Times New Roman" w:eastAsia="方正仿宋_GBK"/>
          <w:sz w:val="32"/>
          <w:lang w:val="en-US" w:eastAsia="zh-CN"/>
        </w:rPr>
        <w:t>10日历天。</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default"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六、结算方式</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1.</w:t>
      </w:r>
      <w:r>
        <w:rPr>
          <w:rFonts w:hint="eastAsia" w:ascii="方正仿宋_GBK" w:hAnsi="仿宋_GB2312" w:eastAsia="方正仿宋_GBK"/>
          <w:sz w:val="32"/>
          <w:lang w:val="en-US" w:eastAsia="zh-CN"/>
        </w:rPr>
        <w:t>使用货币币制如未作特别说明均为</w:t>
      </w:r>
      <w:r>
        <w:rPr>
          <w:rFonts w:hint="eastAsia" w:ascii="方正仿宋_GBK" w:hAnsi="仿宋_GB2312" w:eastAsia="方正仿宋_GBK"/>
          <w:sz w:val="32"/>
          <w:lang w:eastAsia="zh-CN"/>
        </w:rPr>
        <w:t>人民币；</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2.付款方式：银行汇款或者电汇；</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3.付款方法：</w:t>
      </w:r>
      <w:r>
        <w:rPr>
          <w:rFonts w:hint="eastAsia" w:ascii="方正仿宋_GBK" w:hAnsi="Times New Roman" w:eastAsia="方正仿宋_GBK"/>
          <w:sz w:val="32"/>
          <w:lang w:val="en-US" w:eastAsia="zh-CN"/>
        </w:rPr>
        <w:t>广告字制作安装完成后且经我行验收合格，我行支付项目价款的97%，剩余3%为质保金，质保期为一年</w:t>
      </w:r>
      <w:r>
        <w:rPr>
          <w:rFonts w:hint="eastAsia" w:ascii="方正仿宋_GBK" w:hAnsi="仿宋_GB2312" w:eastAsia="方正仿宋_GBK"/>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sz w:val="32"/>
          <w:lang w:eastAsia="zh-CN"/>
        </w:rPr>
      </w:pPr>
      <w:r>
        <w:rPr>
          <w:rFonts w:hint="eastAsia" w:ascii="方正仿宋_GBK" w:hAnsi="仿宋_GB2312" w:eastAsia="方正仿宋_GBK"/>
          <w:sz w:val="32"/>
          <w:lang w:eastAsia="zh-CN"/>
        </w:rPr>
        <w:t>4.</w:t>
      </w:r>
      <w:r>
        <w:rPr>
          <w:rFonts w:hint="eastAsia" w:ascii="方正仿宋_GBK" w:hAnsi="Times New Roman" w:eastAsia="方正仿宋_GBK"/>
          <w:sz w:val="32"/>
          <w:lang w:val="en-US" w:eastAsia="zh-CN"/>
        </w:rPr>
        <w:t>我行付款前，供应商具有先行开具等额增值税专票义务，</w:t>
      </w:r>
      <w:r>
        <w:rPr>
          <w:rFonts w:hint="eastAsia" w:ascii="方正仿宋_GBK" w:hAnsi="Times New Roman" w:eastAsia="方正仿宋_GBK"/>
          <w:bCs w:val="0"/>
          <w:sz w:val="32"/>
          <w:lang w:eastAsia="zh-CN"/>
        </w:rPr>
        <w:t>我行</w:t>
      </w:r>
      <w:r>
        <w:rPr>
          <w:rFonts w:hint="eastAsia" w:ascii="方正仿宋_GBK" w:hAnsi="Times New Roman" w:eastAsia="方正仿宋_GBK"/>
          <w:bCs w:val="0"/>
          <w:sz w:val="32"/>
        </w:rPr>
        <w:t>在收到</w:t>
      </w:r>
      <w:r>
        <w:rPr>
          <w:rFonts w:hint="eastAsia" w:ascii="方正仿宋_GBK" w:hAnsi="Times New Roman" w:eastAsia="方正仿宋_GBK"/>
          <w:sz w:val="32"/>
          <w:lang w:val="en-US" w:eastAsia="zh-CN"/>
        </w:rPr>
        <w:t>供应商</w:t>
      </w:r>
      <w:r>
        <w:rPr>
          <w:rFonts w:hint="eastAsia" w:ascii="方正仿宋_GBK" w:hAnsi="Times New Roman" w:eastAsia="方正仿宋_GBK"/>
          <w:bCs w:val="0"/>
          <w:sz w:val="32"/>
        </w:rPr>
        <w:t>增值税专用发票后</w:t>
      </w:r>
      <w:r>
        <w:rPr>
          <w:rFonts w:hint="eastAsia" w:ascii="方正仿宋_GBK" w:hAnsi="Times New Roman" w:eastAsia="方正仿宋_GBK"/>
          <w:bCs w:val="0"/>
          <w:sz w:val="32"/>
          <w:lang w:val="en-US" w:eastAsia="zh-CN"/>
        </w:rPr>
        <w:t>的</w:t>
      </w:r>
      <w:r>
        <w:rPr>
          <w:rFonts w:hint="eastAsia" w:ascii="方正仿宋_GBK" w:hAnsi="Times New Roman" w:eastAsia="方正仿宋_GBK"/>
          <w:bCs w:val="0"/>
          <w:sz w:val="32"/>
        </w:rPr>
        <w:t>三十个工作日内将服务费汇入</w:t>
      </w:r>
      <w:bookmarkStart w:id="1" w:name="OLE_LINK25"/>
      <w:r>
        <w:rPr>
          <w:rFonts w:hint="eastAsia" w:ascii="方正仿宋_GBK" w:hAnsi="Times New Roman" w:eastAsia="方正仿宋_GBK"/>
          <w:sz w:val="32"/>
          <w:lang w:val="en-US" w:eastAsia="zh-CN"/>
        </w:rPr>
        <w:t>供应商</w:t>
      </w:r>
      <w:bookmarkEnd w:id="1"/>
      <w:r>
        <w:rPr>
          <w:rFonts w:hint="eastAsia" w:ascii="方正仿宋_GBK" w:hAnsi="Times New Roman" w:eastAsia="方正仿宋_GBK"/>
          <w:bCs w:val="0"/>
          <w:sz w:val="32"/>
        </w:rPr>
        <w:t>提供的银行账户</w:t>
      </w:r>
      <w:r>
        <w:rPr>
          <w:rFonts w:hint="eastAsia" w:ascii="方正仿宋_GBK" w:hAnsi="仿宋_GB2312" w:eastAsia="方正仿宋_GBK"/>
          <w:sz w:val="32"/>
          <w:lang w:eastAsia="zh-CN"/>
        </w:rPr>
        <w:t>。</w:t>
      </w:r>
    </w:p>
    <w:p>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七、服务要求：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00" w:lineRule="exact"/>
        <w:ind w:left="0" w:leftChars="0" w:right="0" w:rightChars="0" w:firstLine="640"/>
        <w:jc w:val="both"/>
        <w:textAlignment w:val="auto"/>
        <w:outlineLvl w:val="9"/>
        <w:rPr>
          <w:rFonts w:hint="eastAsia" w:ascii="方正仿宋_GBK" w:hAnsi="Times New Roman" w:eastAsia="方正仿宋_GBK"/>
          <w:sz w:val="32"/>
          <w:lang w:val="en-US" w:eastAsia="zh-CN"/>
        </w:rPr>
      </w:pPr>
      <w:r>
        <w:rPr>
          <w:rFonts w:hint="eastAsia" w:ascii="方正仿宋_GBK" w:hAnsi="仿宋_GB2312" w:eastAsia="方正仿宋_GBK"/>
          <w:sz w:val="32"/>
          <w:lang w:val="en-US" w:eastAsia="zh-CN"/>
        </w:rPr>
        <w:t>1.</w:t>
      </w:r>
      <w:r>
        <w:rPr>
          <w:rFonts w:hint="eastAsia" w:ascii="方正仿宋_GBK" w:hAnsi="Times New Roman" w:eastAsia="方正仿宋_GBK"/>
          <w:sz w:val="32"/>
          <w:lang w:val="en-US" w:eastAsia="zh-CN"/>
        </w:rPr>
        <w:t>成交供应商法人作为该项目安全生产第一责任人，全权负责该项目安全管理工作，要指定专人全程负责安全施工作业。如因成交供应商原因，造成施工现场发生人员伤亡、火灾等安全事故，由成交供应商承担全部事故责任，并赔偿我行全部经济损失。</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00" w:lineRule="exact"/>
        <w:ind w:left="0" w:leftChars="0" w:right="0" w:rightChars="0" w:firstLine="640"/>
        <w:jc w:val="both"/>
        <w:textAlignment w:val="auto"/>
        <w:rPr>
          <w:rFonts w:hint="eastAsia" w:ascii="方正仿宋_GBK" w:hAnsi="仿宋_GB2312" w:eastAsia="方正仿宋_GBK"/>
          <w:sz w:val="32"/>
          <w:lang w:val="en-US" w:eastAsia="zh-CN"/>
        </w:rPr>
      </w:pPr>
      <w:r>
        <w:rPr>
          <w:rFonts w:hint="eastAsia" w:ascii="方正仿宋_GBK" w:hAnsi="Times New Roman" w:eastAsia="方正仿宋_GBK"/>
          <w:sz w:val="32"/>
          <w:lang w:val="en-US" w:eastAsia="zh-CN"/>
        </w:rPr>
        <w:t>2.</w:t>
      </w:r>
      <w:r>
        <w:rPr>
          <w:rFonts w:hint="eastAsia" w:ascii="方正仿宋_GBK" w:hAnsi="仿宋_GB2312" w:eastAsia="方正仿宋_GBK"/>
          <w:sz w:val="32"/>
          <w:lang w:val="en-US" w:eastAsia="zh-CN"/>
        </w:rPr>
        <w:t>在项目实施过程中，成交供应商应严格按照我行提供的源文件进行设计制作，不得擅自调整颜色、字体及相关标准等。成交供应商不得擅自将我行源文件移作他用，或提供给其他单位。</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00" w:lineRule="exact"/>
        <w:ind w:left="0" w:leftChars="0" w:right="0" w:rightChars="0" w:firstLine="640"/>
        <w:jc w:val="both"/>
        <w:textAlignment w:val="auto"/>
        <w:rPr>
          <w:rFonts w:hint="eastAsia" w:ascii="方正仿宋_GBK" w:hAnsi="仿宋_GB2312" w:eastAsia="方正仿宋_GBK"/>
          <w:sz w:val="32"/>
          <w:lang w:val="en-US" w:eastAsia="zh-CN"/>
        </w:rPr>
      </w:pPr>
      <w:r>
        <w:rPr>
          <w:rFonts w:hint="eastAsia" w:ascii="方正仿宋_GBK" w:hAnsi="仿宋_GB2312" w:eastAsia="方正仿宋_GBK"/>
          <w:sz w:val="32"/>
          <w:lang w:val="en-US" w:eastAsia="zh-CN"/>
        </w:rPr>
        <w:t>3.成交供应商须按照物业管理公司（该广告位产权方）的要求进行项目审批、报审占道施工方案、围挡防护及安全文明施工方案，并按物业管理公司要求缴纳本项目相关保证金，以及高空作业人员的特种作业资质、安全防护措施与人身意外伤害保险办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00" w:lineRule="exact"/>
        <w:ind w:left="0" w:leftChars="0" w:right="0" w:rightChars="0" w:firstLine="640"/>
        <w:jc w:val="both"/>
        <w:textAlignment w:val="auto"/>
        <w:rPr>
          <w:rFonts w:hint="eastAsia"/>
          <w:lang w:val="en-US" w:eastAsia="zh-CN"/>
        </w:rPr>
      </w:pPr>
      <w:r>
        <w:rPr>
          <w:rFonts w:hint="eastAsia" w:ascii="方正仿宋_GBK" w:hAnsi="仿宋_GB2312" w:eastAsia="方正仿宋_GBK"/>
          <w:sz w:val="32"/>
          <w:lang w:val="en-US" w:eastAsia="zh-CN"/>
        </w:rPr>
        <w:t>4.成交供应商须依法办妥曲江新区城市管理等相关行政主管部门的《大型户外广告设置许可证》及安全审查，并保证验收合格后一年内通过各类检查；因任一方手续不全、设施不合规或安全措施不到位导致的行政处罚、责令拆除、整改重装费用及安全事故责任，全部由成交供应商承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00" w:lineRule="exact"/>
        <w:ind w:left="0" w:leftChars="0" w:right="0" w:rightChars="0" w:firstLine="640"/>
        <w:jc w:val="left"/>
        <w:textAlignment w:val="auto"/>
        <w:outlineLvl w:val="9"/>
        <w:rPr>
          <w:rFonts w:hint="eastAsia" w:ascii="方正仿宋_GBK" w:hAnsi="仿宋_GB2312" w:eastAsia="方正仿宋_GBK"/>
          <w:sz w:val="32"/>
          <w:lang w:val="en-US" w:eastAsia="zh-CN"/>
        </w:rPr>
      </w:pPr>
      <w:r>
        <w:rPr>
          <w:rFonts w:hint="eastAsia" w:ascii="方正仿宋_GBK" w:hAnsi="仿宋_GB2312" w:eastAsia="方正仿宋_GBK"/>
          <w:sz w:val="32"/>
          <w:lang w:val="en-US" w:eastAsia="zh-CN"/>
        </w:rPr>
        <w:t>5.项目施工过程中，成交供应商应充分考虑我行营业场所、大楼的环境防护，施工结束后应做好环境保洁、垃圾处理工作。</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00" w:lineRule="exact"/>
        <w:ind w:left="0" w:leftChars="0" w:right="0" w:rightChars="0" w:firstLine="640"/>
        <w:jc w:val="left"/>
        <w:textAlignment w:val="auto"/>
        <w:rPr>
          <w:rFonts w:hint="eastAsia" w:ascii="方正仿宋_GBK" w:hAnsi="仿宋_GB2312" w:eastAsia="方正仿宋_GBK"/>
          <w:sz w:val="32"/>
          <w:lang w:val="en-US" w:eastAsia="zh-CN"/>
        </w:rPr>
      </w:pPr>
      <w:r>
        <w:rPr>
          <w:rFonts w:hint="eastAsia" w:ascii="方正仿宋_GBK" w:hAnsi="仿宋_GB2312" w:eastAsia="方正仿宋_GBK"/>
          <w:sz w:val="32"/>
          <w:lang w:val="en-US" w:eastAsia="zh-CN"/>
        </w:rPr>
        <w:t>6.成交供应商应按要求完成所有项目内容，因成交供应商自身原因造成的漏项由其自行承担，我行不再进行补偿。</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黑体_GBK" w:hAnsi="方正黑体_GBK" w:eastAsia="方正黑体_GBK" w:cs="方正黑体_GBK"/>
          <w:sz w:val="32"/>
          <w:lang w:val="en-US" w:eastAsia="zh-CN"/>
        </w:rPr>
      </w:pPr>
      <w:r>
        <w:rPr>
          <w:rFonts w:hint="eastAsia" w:ascii="方正黑体_GBK" w:hAnsi="方正黑体_GBK" w:eastAsia="方正黑体_GBK" w:cs="方正黑体_GBK"/>
          <w:sz w:val="32"/>
          <w:lang w:val="en-US" w:eastAsia="zh-CN"/>
        </w:rPr>
        <w:t>八、评审方式</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672"/>
        <w:jc w:val="left"/>
        <w:textAlignment w:val="auto"/>
        <w:outlineLvl w:val="9"/>
        <w:rPr>
          <w:rFonts w:hint="eastAsia" w:ascii="方正仿宋_GBK" w:hAnsi="仿宋_GB2312" w:eastAsia="方正仿宋_GBK"/>
          <w:color w:val="auto"/>
          <w:sz w:val="32"/>
          <w:lang w:eastAsia="zh-CN"/>
        </w:rPr>
      </w:pPr>
      <w:r>
        <w:rPr>
          <w:rFonts w:hint="eastAsia" w:ascii="方正仿宋_GBK" w:hAnsi="仿宋_GB2312" w:eastAsia="方正仿宋_GBK"/>
          <w:color w:val="auto"/>
          <w:sz w:val="32"/>
          <w:lang w:val="en-US" w:eastAsia="zh-CN"/>
        </w:rPr>
        <w:t>采购方式及评审办法：本项目采购方式为询价,评审办法为经评审的最低价法，供应商不能二次报价</w:t>
      </w:r>
      <w:r>
        <w:rPr>
          <w:rFonts w:hint="eastAsia" w:ascii="方正仿宋_GBK" w:hAnsi="仿宋_GB2312" w:eastAsia="方正仿宋_GBK"/>
          <w:color w:val="auto"/>
          <w:sz w:val="32"/>
          <w:lang w:eastAsia="zh-CN"/>
        </w:rPr>
        <w:t>。</w:t>
      </w:r>
    </w:p>
    <w:p>
      <w:pPr>
        <w:keepNext w:val="0"/>
        <w:keepLines w:val="0"/>
        <w:pageBreakBefore w:val="0"/>
        <w:kinsoku/>
        <w:wordWrap/>
        <w:overflowPunct/>
        <w:topLinePunct w:val="0"/>
        <w:autoSpaceDE/>
        <w:autoSpaceDN/>
        <w:bidi w:val="0"/>
        <w:adjustRightInd w:val="0"/>
        <w:snapToGrid w:val="0"/>
        <w:spacing w:line="560" w:lineRule="exact"/>
        <w:ind w:left="0" w:right="0"/>
        <w:textAlignment w:val="auto"/>
        <w:rPr>
          <w:rFonts w:hint="eastAsia"/>
          <w:lang w:eastAsia="zh-CN"/>
        </w:rPr>
      </w:pPr>
    </w:p>
    <w:p>
      <w:pPr>
        <w:pStyle w:val="9"/>
        <w:keepNext w:val="0"/>
        <w:keepLines w:val="0"/>
        <w:pageBreakBefore w:val="0"/>
        <w:kinsoku/>
        <w:wordWrap/>
        <w:overflowPunct/>
        <w:topLinePunct w:val="0"/>
        <w:autoSpaceDE/>
        <w:autoSpaceDN/>
        <w:bidi w:val="0"/>
        <w:adjustRightInd w:val="0"/>
        <w:snapToGrid w:val="0"/>
        <w:spacing w:line="560" w:lineRule="exact"/>
        <w:ind w:left="0" w:right="0"/>
        <w:rPr>
          <w:rFonts w:hint="eastAsia"/>
          <w:lang w:eastAsia="zh-CN"/>
        </w:rPr>
      </w:pPr>
    </w:p>
    <w:p>
      <w:pPr>
        <w:pStyle w:val="10"/>
        <w:keepNext w:val="0"/>
        <w:keepLines w:val="0"/>
        <w:pageBreakBefore w:val="0"/>
        <w:kinsoku/>
        <w:wordWrap/>
        <w:overflowPunct/>
        <w:topLinePunct w:val="0"/>
        <w:autoSpaceDE/>
        <w:autoSpaceDN/>
        <w:bidi w:val="0"/>
        <w:adjustRightInd w:val="0"/>
        <w:snapToGrid w:val="0"/>
        <w:spacing w:line="560" w:lineRule="exact"/>
        <w:ind w:right="0"/>
        <w:textAlignment w:val="auto"/>
        <w:rPr>
          <w:rFonts w:hint="eastAsia"/>
          <w:lang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right="0" w:rightChars="0"/>
        <w:jc w:val="left"/>
        <w:textAlignment w:val="auto"/>
        <w:outlineLvl w:val="9"/>
        <w:rPr>
          <w:rFonts w:ascii="方正仿宋_GBK" w:hAnsi="Times New Roman" w:eastAsia="方正仿宋_GBK"/>
          <w:sz w:val="32"/>
        </w:rPr>
      </w:pPr>
      <w:r>
        <w:rPr>
          <w:rFonts w:hint="eastAsia" w:ascii="方正仿宋_GBK" w:hAnsi="Times New Roman" w:eastAsia="方正仿宋_GBK"/>
          <w:sz w:val="32"/>
          <w:lang w:val="en-US" w:eastAsia="zh-CN"/>
        </w:rPr>
        <w:t xml:space="preserve">                              </w:t>
      </w:r>
      <w:r>
        <w:rPr>
          <w:rFonts w:ascii="方正仿宋_GBK" w:hAnsi="Times New Roman" w:eastAsia="方正仿宋_GBK"/>
          <w:sz w:val="32"/>
        </w:rPr>
        <w:t>重庆银行</w:t>
      </w:r>
      <w:r>
        <w:rPr>
          <w:rFonts w:hint="eastAsia" w:ascii="方正仿宋_GBK" w:hAnsi="Times New Roman" w:eastAsia="方正仿宋_GBK"/>
          <w:sz w:val="32"/>
          <w:lang w:eastAsia="zh-CN"/>
        </w:rPr>
        <w:t>西安分行办公室</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jc w:val="left"/>
        <w:textAlignment w:val="auto"/>
        <w:outlineLvl w:val="9"/>
        <w:rPr>
          <w:rFonts w:hint="eastAsia" w:ascii="方正仿宋_GBK" w:hAnsi="方正仿宋_GBK" w:eastAsia="方正仿宋_GBK" w:cs="方正仿宋_GBK"/>
          <w:color w:val="000000"/>
          <w:sz w:val="30"/>
          <w:szCs w:val="30"/>
          <w:lang w:eastAsia="zh-CN"/>
        </w:rPr>
      </w:pPr>
      <w:r>
        <w:rPr>
          <w:rFonts w:ascii="方正仿宋_GBK" w:hAnsi="Times New Roman" w:eastAsia="方正仿宋_GBK"/>
          <w:sz w:val="32"/>
        </w:rPr>
        <w:t xml:space="preserve">                </w:t>
      </w:r>
      <w:r>
        <w:rPr>
          <w:rFonts w:hint="eastAsia" w:ascii="方正仿宋_GBK" w:hAnsi="Times New Roman" w:eastAsia="方正仿宋_GBK"/>
          <w:sz w:val="32"/>
          <w:lang w:val="en-US" w:eastAsia="zh-CN"/>
        </w:rPr>
        <w:t xml:space="preserve">                 2026年10</w:t>
      </w:r>
      <w:r>
        <w:rPr>
          <w:rFonts w:ascii="方正仿宋_GBK" w:hAnsi="Times New Roman" w:eastAsia="方正仿宋_GBK"/>
          <w:sz w:val="32"/>
        </w:rPr>
        <w:t>月</w:t>
      </w:r>
      <w:r>
        <w:rPr>
          <w:rFonts w:hint="eastAsia" w:ascii="方正仿宋_GBK" w:hAnsi="Times New Roman" w:eastAsia="方正仿宋_GBK"/>
          <w:sz w:val="32"/>
          <w:lang w:val="en-US" w:eastAsia="zh-CN"/>
        </w:rPr>
        <w:t>13</w:t>
      </w:r>
      <w:r>
        <w:rPr>
          <w:rFonts w:ascii="方正仿宋_GBK" w:hAnsi="Times New Roman" w:eastAsia="方正仿宋_GBK"/>
          <w:sz w:val="32"/>
        </w:rPr>
        <w:t>日</w:t>
      </w:r>
      <w:r>
        <w:rPr>
          <w:rFonts w:ascii="方正小标宋_GBK" w:hAnsi="Times New Roman" w:eastAsia="方正小标宋_GBK"/>
          <w:sz w:val="44"/>
        </w:rPr>
        <w:br w:type="page"/>
      </w:r>
    </w:p>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ascii="方正小标宋_GBK" w:hAnsi="Times New Roman" w:eastAsia="方正小标宋_GBK"/>
          <w:sz w:val="44"/>
        </w:rPr>
      </w:pPr>
      <w:r>
        <w:rPr>
          <w:rFonts w:ascii="方正小标宋_GBK" w:hAnsi="Times New Roman" w:eastAsia="方正小标宋_GBK"/>
          <w:sz w:val="44"/>
        </w:rPr>
        <w:t>法人授权书</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both"/>
        <w:textAlignment w:val="auto"/>
        <w:rPr>
          <w:rFonts w:ascii="方正小标宋_GBK" w:hAnsi="Times New Roman" w:eastAsia="方正小标宋_GBK"/>
          <w:sz w:val="20"/>
          <w:szCs w:val="20"/>
        </w:rPr>
      </w:pP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ascii="方正仿宋_GBK" w:hAnsi="Times New Roman" w:eastAsia="方正仿宋_GBK"/>
          <w:sz w:val="32"/>
        </w:rPr>
        <w:t>重庆银行</w:t>
      </w:r>
      <w:r>
        <w:rPr>
          <w:rFonts w:hint="eastAsia" w:ascii="方正仿宋_GBK" w:hAnsi="Times New Roman" w:eastAsia="方正仿宋_GBK"/>
          <w:sz w:val="32"/>
          <w:lang w:eastAsia="zh-CN"/>
        </w:rPr>
        <w:t>西安分行</w:t>
      </w:r>
      <w:r>
        <w:rPr>
          <w:rFonts w:hint="eastAsia" w:ascii="方正仿宋_GBK" w:hAnsi="Times New Roman" w:eastAsia="方正仿宋_GBK"/>
          <w:sz w:val="32"/>
          <w:lang w:val="en-US" w:eastAsia="zh-CN"/>
        </w:rPr>
        <w:t>办公室</w:t>
      </w:r>
      <w:r>
        <w:rPr>
          <w:rFonts w:ascii="方正仿宋_GBK" w:hAnsi="Times New Roman" w:eastAsia="方正仿宋_GBK"/>
          <w:sz w:val="32"/>
        </w:rPr>
        <w:t>：</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hint="eastAsia" w:ascii="方正仿宋_GBK" w:eastAsia="方正仿宋_GBK"/>
          <w:sz w:val="32"/>
        </w:rPr>
        <w:t xml:space="preserve">   </w:t>
      </w:r>
      <w:r>
        <w:rPr>
          <w:rFonts w:ascii="方正仿宋_GBK" w:hAnsi="Times New Roman" w:eastAsia="方正仿宋_GBK"/>
          <w:sz w:val="32"/>
          <w:u w:val="single"/>
        </w:rPr>
        <w:t>（报价单位全称）</w:t>
      </w:r>
      <w:r>
        <w:rPr>
          <w:rFonts w:ascii="方正仿宋_GBK" w:hAnsi="Times New Roman" w:eastAsia="方正仿宋_GBK"/>
          <w:sz w:val="32"/>
        </w:rPr>
        <w:t>法人代表授权（</w:t>
      </w:r>
      <w:r>
        <w:rPr>
          <w:rFonts w:ascii="方正仿宋_GBK" w:hAnsi="Times New Roman" w:eastAsia="方正仿宋_GBK"/>
          <w:sz w:val="32"/>
          <w:u w:val="single"/>
        </w:rPr>
        <w:t>授权代表姓名）</w:t>
      </w:r>
      <w:r>
        <w:rPr>
          <w:rFonts w:hint="eastAsia" w:ascii="方正仿宋_GBK" w:hAnsi="Times New Roman" w:eastAsia="方正仿宋_GBK"/>
          <w:sz w:val="32"/>
          <w:u w:val="single"/>
        </w:rPr>
        <w:t xml:space="preserve"> </w:t>
      </w:r>
      <w:r>
        <w:rPr>
          <w:rFonts w:ascii="方正仿宋_GBK" w:hAnsi="Times New Roman" w:eastAsia="方正仿宋_GBK"/>
          <w:sz w:val="32"/>
        </w:rPr>
        <w:t>为授权代表，参加贵部项目</w:t>
      </w:r>
      <w:r>
        <w:rPr>
          <w:rFonts w:hint="eastAsia" w:ascii="方正仿宋_GBK" w:hAnsi="Times New Roman" w:eastAsia="方正仿宋_GBK"/>
          <w:sz w:val="32"/>
          <w:lang w:eastAsia="zh-CN"/>
        </w:rPr>
        <w:t>采购</w:t>
      </w:r>
      <w:r>
        <w:rPr>
          <w:rFonts w:ascii="方正仿宋_GBK" w:hAnsi="Times New Roman" w:eastAsia="方正仿宋_GBK"/>
          <w:sz w:val="32"/>
        </w:rPr>
        <w:t>活动，全权处理</w:t>
      </w:r>
      <w:r>
        <w:rPr>
          <w:rFonts w:hint="eastAsia" w:ascii="方正仿宋_GBK" w:hAnsi="Times New Roman" w:eastAsia="方正仿宋_GBK"/>
          <w:sz w:val="32"/>
          <w:lang w:eastAsia="zh-CN"/>
        </w:rPr>
        <w:t>采购</w:t>
      </w:r>
      <w:r>
        <w:rPr>
          <w:rFonts w:ascii="方正仿宋_GBK" w:hAnsi="Times New Roman" w:eastAsia="方正仿宋_GBK"/>
          <w:sz w:val="32"/>
        </w:rPr>
        <w:t>中的一切事宜。</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ascii="方正仿宋_GBK" w:hAnsi="Times New Roman" w:eastAsia="方正仿宋_GBK"/>
          <w:sz w:val="32"/>
        </w:rPr>
        <w:t>法人代表（签字或盖章）：</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ascii="方正仿宋_GBK" w:hAnsi="Times New Roman" w:eastAsia="方正仿宋_GBK"/>
          <w:sz w:val="32"/>
        </w:rPr>
        <w:t>被授权人（签字）：</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hint="eastAsia" w:ascii="方正仿宋_GBK" w:hAnsi="Times New Roman" w:eastAsia="方正仿宋_GBK"/>
          <w:sz w:val="32"/>
        </w:rPr>
        <w:t>供应商</w:t>
      </w:r>
      <w:r>
        <w:rPr>
          <w:rFonts w:ascii="方正仿宋_GBK" w:hAnsi="Times New Roman" w:eastAsia="方正仿宋_GBK"/>
          <w:sz w:val="32"/>
        </w:rPr>
        <w:t>全称（加盖公章）：</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ascii="方正仿宋_GBK" w:hAnsi="Times New Roman" w:eastAsia="方正仿宋_GBK"/>
          <w:sz w:val="32"/>
        </w:rPr>
        <w:t>签署日期：</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p>
    <w:p>
      <w:pPr>
        <w:keepNext w:val="0"/>
        <w:keepLines w:val="0"/>
        <w:pageBreakBefore w:val="0"/>
        <w:widowControl/>
        <w:kinsoku/>
        <w:wordWrap/>
        <w:overflowPunct/>
        <w:topLinePunct w:val="0"/>
        <w:autoSpaceDE/>
        <w:autoSpaceDN/>
        <w:bidi w:val="0"/>
        <w:adjustRightInd w:val="0"/>
        <w:snapToGrid w:val="0"/>
        <w:spacing w:line="560" w:lineRule="exact"/>
        <w:ind w:left="0" w:right="0"/>
        <w:jc w:val="left"/>
        <w:rPr>
          <w:rFonts w:ascii="方正仿宋_GBK" w:hAnsi="Times New Roman" w:eastAsia="方正仿宋_GBK"/>
          <w:sz w:val="32"/>
        </w:rPr>
      </w:pPr>
      <w:r>
        <w:rPr>
          <w:rFonts w:ascii="方正仿宋_GBK" w:hAnsi="Times New Roman" w:eastAsia="方正仿宋_GBK"/>
          <w:sz w:val="32"/>
        </w:rPr>
        <w:t>法人身份证复印件</w:t>
      </w:r>
      <w:r>
        <w:rPr>
          <w:rFonts w:hint="eastAsia" w:ascii="方正仿宋_GBK" w:hAnsi="Times New Roman" w:eastAsia="方正仿宋_GBK"/>
          <w:sz w:val="32"/>
          <w:lang w:eastAsia="zh-CN"/>
        </w:rPr>
        <w:t>（正反）</w:t>
      </w:r>
      <w:r>
        <w:rPr>
          <w:rFonts w:ascii="方正仿宋_GBK" w:hAnsi="Times New Roman" w:eastAsia="方正仿宋_GBK"/>
          <w:sz w:val="32"/>
        </w:rPr>
        <w:t>： 授权代表身份证复印件</w:t>
      </w:r>
      <w:r>
        <w:rPr>
          <w:rFonts w:hint="eastAsia" w:ascii="方正仿宋_GBK" w:hAnsi="Times New Roman" w:eastAsia="方正仿宋_GBK"/>
          <w:sz w:val="32"/>
          <w:lang w:eastAsia="zh-CN"/>
        </w:rPr>
        <w:t>（正反）</w:t>
      </w:r>
      <w:r>
        <w:rPr>
          <w:rFonts w:ascii="方正仿宋_GBK" w:hAnsi="Times New Roman" w:eastAsia="方正仿宋_GBK"/>
          <w:sz w:val="32"/>
        </w:rPr>
        <w:t>：</w:t>
      </w:r>
    </w:p>
    <w:tbl>
      <w:tblPr>
        <w:tblStyle w:val="7"/>
        <w:tblpPr w:vertAnchor="text" w:horzAnchor="margin" w:tblpY="233"/>
        <w:tblW w:w="9060" w:type="dxa"/>
        <w:tblInd w:w="0" w:type="dxa"/>
        <w:tblLayout w:type="fixed"/>
        <w:tblCellMar>
          <w:top w:w="0" w:type="dxa"/>
          <w:left w:w="0" w:type="dxa"/>
          <w:bottom w:w="0" w:type="dxa"/>
          <w:right w:w="0" w:type="dxa"/>
        </w:tblCellMar>
      </w:tblPr>
      <w:tblGrid>
        <w:gridCol w:w="4530"/>
        <w:gridCol w:w="4530"/>
      </w:tblGrid>
      <w:tr>
        <w:tblPrEx>
          <w:tblCellMar>
            <w:top w:w="0" w:type="dxa"/>
            <w:left w:w="0" w:type="dxa"/>
            <w:bottom w:w="0" w:type="dxa"/>
            <w:right w:w="0" w:type="dxa"/>
          </w:tblCellMar>
        </w:tblPrEx>
        <w:trPr>
          <w:trHeight w:val="4933" w:hRule="atLeast"/>
        </w:trPr>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val="0"/>
              <w:snapToGrid w:val="0"/>
              <w:spacing w:line="560" w:lineRule="exact"/>
              <w:ind w:left="0" w:right="0"/>
              <w:jc w:val="left"/>
              <w:textAlignment w:val="auto"/>
              <w:rPr>
                <w:rFonts w:ascii="方正仿宋_GBK" w:eastAsia="方正仿宋_GBK"/>
                <w:sz w:val="32"/>
              </w:rPr>
            </w:pPr>
          </w:p>
        </w:tc>
        <w:tc>
          <w:tcPr>
            <w:tcW w:w="4530"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pPr>
              <w:keepNext w:val="0"/>
              <w:keepLines w:val="0"/>
              <w:pageBreakBefore w:val="0"/>
              <w:widowControl/>
              <w:kinsoku/>
              <w:wordWrap/>
              <w:overflowPunct/>
              <w:topLinePunct w:val="0"/>
              <w:autoSpaceDE/>
              <w:autoSpaceDN/>
              <w:bidi w:val="0"/>
              <w:adjustRightInd w:val="0"/>
              <w:snapToGrid w:val="0"/>
              <w:spacing w:line="560" w:lineRule="exact"/>
              <w:ind w:left="0" w:right="0"/>
              <w:jc w:val="left"/>
              <w:textAlignment w:val="auto"/>
              <w:rPr>
                <w:rFonts w:ascii="方正仿宋_GBK" w:eastAsia="方正仿宋_GBK"/>
                <w:sz w:val="32"/>
              </w:rPr>
            </w:pPr>
          </w:p>
        </w:tc>
      </w:tr>
    </w:tbl>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小标宋_GBK" w:hAnsi="Times New Roman" w:eastAsia="方正小标宋_GBK"/>
          <w:sz w:val="44"/>
          <w:lang w:val="en-US" w:eastAsia="zh-CN"/>
        </w:rPr>
      </w:pPr>
      <w:r>
        <w:rPr>
          <w:rFonts w:hint="eastAsia" w:ascii="方正小标宋_GBK" w:hAnsi="Times New Roman" w:eastAsia="方正小标宋_GBK"/>
          <w:sz w:val="44"/>
          <w:lang w:val="en-US" w:eastAsia="zh-CN"/>
        </w:rPr>
        <w:t>重庆银行股份有限公司西安雁塔南路支行</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小标宋_GBK" w:hAnsi="Times New Roman" w:eastAsia="方正小标宋_GBK"/>
          <w:sz w:val="44"/>
          <w:lang w:val="en-US" w:eastAsia="zh-CN"/>
        </w:rPr>
      </w:pPr>
      <w:r>
        <w:rPr>
          <w:rFonts w:hint="eastAsia" w:ascii="方正小标宋_GBK" w:hAnsi="Times New Roman" w:eastAsia="方正小标宋_GBK"/>
          <w:sz w:val="44"/>
          <w:lang w:val="en-US" w:eastAsia="zh-CN"/>
        </w:rPr>
        <w:t>增加户外广告字项目报价表</w:t>
      </w:r>
    </w:p>
    <w:p>
      <w:pPr>
        <w:pStyle w:val="10"/>
        <w:keepNext w:val="0"/>
        <w:keepLines w:val="0"/>
        <w:pageBreakBefore w:val="0"/>
        <w:kinsoku/>
        <w:wordWrap/>
        <w:overflowPunct/>
        <w:topLinePunct w:val="0"/>
        <w:autoSpaceDE/>
        <w:autoSpaceDN/>
        <w:bidi w:val="0"/>
        <w:adjustRightInd w:val="0"/>
        <w:snapToGrid w:val="0"/>
        <w:spacing w:line="560" w:lineRule="exact"/>
        <w:ind w:left="0" w:right="0"/>
        <w:rPr>
          <w:rFonts w:hint="eastAsia"/>
          <w:lang w:val="en-US" w:eastAsia="zh-CN"/>
        </w:rPr>
      </w:pP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exact"/>
        <w:ind w:left="0" w:right="0"/>
        <w:jc w:val="left"/>
        <w:rPr>
          <w:rFonts w:hint="eastAsia" w:ascii="方正仿宋_GBK" w:hAnsi="Times New Roman" w:eastAsia="方正仿宋_GBK"/>
          <w:sz w:val="32"/>
          <w:szCs w:val="32"/>
          <w:lang w:eastAsia="zh-CN"/>
        </w:rPr>
      </w:pPr>
      <w:r>
        <w:rPr>
          <w:rFonts w:hint="eastAsia" w:ascii="方正仿宋_GBK" w:hAnsi="Times New Roman" w:eastAsia="方正仿宋_GBK"/>
          <w:sz w:val="32"/>
          <w:szCs w:val="32"/>
          <w:lang w:eastAsia="zh-CN"/>
        </w:rPr>
        <w:t>重庆银行西安分行</w:t>
      </w:r>
      <w:r>
        <w:rPr>
          <w:rFonts w:hint="eastAsia" w:ascii="方正仿宋_GBK" w:hAnsi="Times New Roman" w:eastAsia="方正仿宋_GBK"/>
          <w:sz w:val="32"/>
          <w:szCs w:val="32"/>
          <w:lang w:val="en-US" w:eastAsia="zh-CN"/>
        </w:rPr>
        <w:t>办公室</w:t>
      </w:r>
      <w:r>
        <w:rPr>
          <w:rFonts w:hint="eastAsia" w:ascii="方正仿宋_GBK" w:hAnsi="Times New Roman" w:eastAsia="方正仿宋_GBK"/>
          <w:sz w:val="32"/>
          <w:szCs w:val="32"/>
          <w:lang w:eastAsia="zh-CN"/>
        </w:rPr>
        <w:t>：</w:t>
      </w: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exact"/>
        <w:ind w:left="0" w:leftChars="0" w:right="0" w:rightChars="0" w:firstLine="640" w:firstLineChars="200"/>
        <w:jc w:val="left"/>
        <w:textAlignment w:val="auto"/>
        <w:outlineLvl w:val="9"/>
        <w:rPr>
          <w:rFonts w:hint="eastAsia" w:ascii="方正仿宋_GBK" w:hAnsi="Times New Roman" w:eastAsia="方正仿宋_GBK" w:cs="Times New Roman"/>
          <w:color w:val="000000"/>
          <w:kern w:val="2"/>
          <w:sz w:val="32"/>
          <w:szCs w:val="32"/>
          <w:lang w:val="en-US" w:eastAsia="zh-CN" w:bidi="ar-SA"/>
        </w:rPr>
      </w:pPr>
      <w:r>
        <w:rPr>
          <w:rFonts w:hint="eastAsia" w:ascii="方正仿宋_GBK" w:hAnsi="Times New Roman" w:eastAsia="方正仿宋_GBK" w:cs="Times New Roman"/>
          <w:color w:val="000000"/>
          <w:kern w:val="2"/>
          <w:sz w:val="32"/>
          <w:szCs w:val="32"/>
          <w:lang w:val="en-US" w:eastAsia="zh-CN" w:bidi="ar-SA"/>
        </w:rPr>
        <w:t>我方完全理解并接受该项目采购文件所有要求。我方提交的所有响应文件、资料都是准确和真实的，如有虚假或隐瞒，我方愿意承担一切法律责任。</w:t>
      </w:r>
    </w:p>
    <w:p>
      <w:pPr>
        <w:pStyle w:val="10"/>
        <w:keepNext w:val="0"/>
        <w:keepLines w:val="0"/>
        <w:pageBreakBefore w:val="0"/>
        <w:kinsoku/>
        <w:wordWrap/>
        <w:overflowPunct/>
        <w:topLinePunct w:val="0"/>
        <w:autoSpaceDE/>
        <w:autoSpaceDN/>
        <w:bidi w:val="0"/>
        <w:adjustRightInd w:val="0"/>
        <w:snapToGrid w:val="0"/>
        <w:spacing w:line="560" w:lineRule="exact"/>
        <w:ind w:left="0" w:leftChars="0" w:right="0" w:rightChars="0"/>
        <w:textAlignment w:val="auto"/>
        <w:outlineLvl w:val="9"/>
        <w:rPr>
          <w:rFonts w:hint="eastAsia" w:ascii="方正小标宋_GBK" w:hAnsi="Times New Roman" w:eastAsia="方正小标宋_GBK"/>
          <w:sz w:val="32"/>
          <w:szCs w:val="32"/>
          <w:lang w:val="en-US" w:eastAsia="zh-CN"/>
        </w:rPr>
      </w:pPr>
      <w:r>
        <w:rPr>
          <w:rFonts w:hint="eastAsia" w:ascii="方正仿宋_GBK" w:hAnsi="Times New Roman" w:eastAsia="方正仿宋_GBK" w:cs="Times New Roman"/>
          <w:kern w:val="2"/>
          <w:sz w:val="32"/>
          <w:szCs w:val="32"/>
          <w:lang w:val="en-US" w:eastAsia="zh-CN" w:bidi="ar-SA"/>
        </w:rPr>
        <w:t>我方针对“</w:t>
      </w:r>
      <w:r>
        <w:rPr>
          <w:rFonts w:hint="eastAsia" w:ascii="方正仿宋_GBK" w:hAnsi="仿宋_GB2312" w:eastAsia="方正仿宋_GBK" w:cs="Times New Roman"/>
          <w:sz w:val="32"/>
          <w:lang w:val="en-US" w:eastAsia="zh-CN"/>
        </w:rPr>
        <w:t>重庆银行股份有限公司西安雁塔南路支行增加户外广告字项目</w:t>
      </w:r>
      <w:r>
        <w:rPr>
          <w:rFonts w:hint="eastAsia" w:ascii="方正仿宋_GBK" w:hAnsi="Times New Roman" w:eastAsia="方正仿宋_GBK" w:cs="Times New Roman"/>
          <w:kern w:val="2"/>
          <w:sz w:val="32"/>
          <w:szCs w:val="32"/>
          <w:lang w:val="en-US" w:eastAsia="zh-CN" w:bidi="ar-SA"/>
        </w:rPr>
        <w:t>”报价如下：</w:t>
      </w:r>
    </w:p>
    <w:tbl>
      <w:tblPr>
        <w:tblStyle w:val="7"/>
        <w:tblW w:w="9278" w:type="dxa"/>
        <w:tblInd w:w="108" w:type="dxa"/>
        <w:tblLayout w:type="fixed"/>
        <w:tblCellMar>
          <w:top w:w="0" w:type="dxa"/>
          <w:left w:w="0" w:type="dxa"/>
          <w:bottom w:w="0" w:type="dxa"/>
          <w:right w:w="0" w:type="dxa"/>
        </w:tblCellMar>
      </w:tblPr>
      <w:tblGrid>
        <w:gridCol w:w="1023"/>
        <w:gridCol w:w="5673"/>
        <w:gridCol w:w="2582"/>
      </w:tblGrid>
      <w:tr>
        <w:trPr>
          <w:trHeight w:val="773"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序号</w:t>
            </w:r>
          </w:p>
        </w:tc>
        <w:tc>
          <w:tcPr>
            <w:tcW w:w="567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bCs/>
                <w:sz w:val="32"/>
                <w:szCs w:val="32"/>
                <w:lang w:eastAsia="zh-CN"/>
              </w:rPr>
            </w:pPr>
            <w:r>
              <w:rPr>
                <w:rFonts w:hint="eastAsia" w:ascii="方正仿宋_GBK" w:hAnsi="方正仿宋_GBK" w:eastAsia="方正仿宋_GBK" w:cs="方正仿宋_GBK"/>
                <w:b/>
                <w:bCs/>
                <w:sz w:val="32"/>
                <w:szCs w:val="32"/>
              </w:rPr>
              <w:t>项目</w:t>
            </w:r>
            <w:r>
              <w:rPr>
                <w:rFonts w:hint="eastAsia" w:ascii="方正仿宋_GBK" w:hAnsi="方正仿宋_GBK" w:eastAsia="方正仿宋_GBK" w:cs="方正仿宋_GBK"/>
                <w:b/>
                <w:bCs/>
                <w:sz w:val="32"/>
                <w:szCs w:val="32"/>
                <w:lang w:val="en-US" w:eastAsia="zh-CN"/>
              </w:rPr>
              <w:t>名称</w:t>
            </w:r>
          </w:p>
        </w:tc>
        <w:tc>
          <w:tcPr>
            <w:tcW w:w="25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bCs/>
                <w:sz w:val="32"/>
                <w:szCs w:val="32"/>
                <w:lang w:val="en-US" w:eastAsia="zh-CN"/>
              </w:rPr>
            </w:pPr>
            <w:r>
              <w:rPr>
                <w:rFonts w:hint="eastAsia" w:ascii="方正仿宋_GBK" w:hAnsi="方正仿宋_GBK" w:eastAsia="方正仿宋_GBK" w:cs="方正仿宋_GBK"/>
                <w:b/>
                <w:bCs/>
                <w:sz w:val="32"/>
                <w:szCs w:val="32"/>
                <w:lang w:val="en-US" w:eastAsia="zh-CN"/>
              </w:rPr>
              <w:t>报价</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lang w:val="en-US" w:eastAsia="zh-CN"/>
              </w:rPr>
              <w:t>（</w:t>
            </w:r>
            <w:r>
              <w:rPr>
                <w:rFonts w:hint="eastAsia" w:ascii="方正仿宋_GBK" w:hAnsi="方正仿宋_GBK" w:eastAsia="方正仿宋_GBK" w:cs="方正仿宋_GBK"/>
                <w:b/>
                <w:bCs/>
                <w:sz w:val="32"/>
                <w:szCs w:val="32"/>
              </w:rPr>
              <w:t>小计</w:t>
            </w:r>
            <w:r>
              <w:rPr>
                <w:rFonts w:hint="eastAsia" w:ascii="方正仿宋_GBK" w:hAnsi="方正仿宋_GBK" w:eastAsia="方正仿宋_GBK" w:cs="方正仿宋_GBK"/>
                <w:b/>
                <w:bCs/>
                <w:sz w:val="32"/>
                <w:szCs w:val="32"/>
                <w:lang w:eastAsia="zh-CN"/>
              </w:rPr>
              <w:t>）</w:t>
            </w:r>
          </w:p>
        </w:tc>
      </w:tr>
      <w:tr>
        <w:tblPrEx>
          <w:tblCellMar>
            <w:top w:w="0" w:type="dxa"/>
            <w:left w:w="0" w:type="dxa"/>
            <w:bottom w:w="0" w:type="dxa"/>
            <w:right w:w="0" w:type="dxa"/>
          </w:tblCellMar>
        </w:tblPrEx>
        <w:trPr>
          <w:trHeight w:val="1268"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1</w:t>
            </w:r>
          </w:p>
        </w:tc>
        <w:tc>
          <w:tcPr>
            <w:tcW w:w="567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sz w:val="32"/>
                <w:szCs w:val="32"/>
              </w:rPr>
            </w:pPr>
            <w:r>
              <w:rPr>
                <w:rFonts w:hint="eastAsia" w:ascii="方正仿宋_GBK" w:hAnsi="仿宋_GB2312" w:eastAsia="方正仿宋_GBK" w:cs="Times New Roman"/>
                <w:sz w:val="32"/>
                <w:lang w:val="en-US" w:eastAsia="zh-CN"/>
              </w:rPr>
              <w:t>重庆银行股份有限公司西安雁塔南路支行增加户外广告字项目</w:t>
            </w:r>
          </w:p>
        </w:tc>
        <w:tc>
          <w:tcPr>
            <w:tcW w:w="258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sz w:val="32"/>
                <w:szCs w:val="32"/>
              </w:rPr>
            </w:pPr>
          </w:p>
        </w:tc>
      </w:tr>
      <w:tr>
        <w:tblPrEx>
          <w:tblCellMar>
            <w:top w:w="0" w:type="dxa"/>
            <w:left w:w="0" w:type="dxa"/>
            <w:bottom w:w="0" w:type="dxa"/>
            <w:right w:w="0" w:type="dxa"/>
          </w:tblCellMar>
        </w:tblPrEx>
        <w:trPr>
          <w:trHeight w:val="1089" w:hRule="atLeast"/>
        </w:trPr>
        <w:tc>
          <w:tcPr>
            <w:tcW w:w="102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仿宋_GBK" w:hAnsi="方正仿宋_GBK" w:eastAsia="方正仿宋_GBK" w:cs="方正仿宋_GBK"/>
                <w:b/>
                <w:sz w:val="32"/>
                <w:szCs w:val="32"/>
              </w:rPr>
            </w:pPr>
            <w:r>
              <w:rPr>
                <w:rFonts w:hint="eastAsia" w:ascii="方正仿宋_GBK" w:hAnsi="方正仿宋_GBK" w:eastAsia="方正仿宋_GBK" w:cs="方正仿宋_GBK"/>
                <w:b/>
                <w:sz w:val="32"/>
                <w:szCs w:val="32"/>
              </w:rPr>
              <w:t>总计</w:t>
            </w:r>
          </w:p>
        </w:tc>
        <w:tc>
          <w:tcPr>
            <w:tcW w:w="8255"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right="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大写：</w:t>
            </w:r>
          </w:p>
        </w:tc>
      </w:tr>
      <w:tr>
        <w:tblPrEx>
          <w:tblCellMar>
            <w:top w:w="0" w:type="dxa"/>
            <w:left w:w="0" w:type="dxa"/>
            <w:bottom w:w="0" w:type="dxa"/>
            <w:right w:w="0" w:type="dxa"/>
          </w:tblCellMar>
        </w:tblPrEx>
        <w:trPr>
          <w:trHeight w:val="955" w:hRule="atLeast"/>
        </w:trPr>
        <w:tc>
          <w:tcPr>
            <w:tcW w:w="9278"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val="0"/>
              <w:snapToGrid w:val="0"/>
              <w:spacing w:line="560" w:lineRule="exact"/>
              <w:ind w:left="0" w:right="0"/>
              <w:jc w:val="left"/>
              <w:textAlignment w:val="auto"/>
              <w:rPr>
                <w:rFonts w:hint="eastAsia" w:ascii="方正仿宋_GBK" w:hAnsi="方正仿宋_GBK" w:eastAsia="方正仿宋_GBK" w:cs="方正仿宋_GBK"/>
                <w:sz w:val="28"/>
                <w:szCs w:val="28"/>
              </w:rPr>
            </w:pPr>
            <w:r>
              <w:rPr>
                <w:rFonts w:hint="eastAsia" w:ascii="方正仿宋_GBK" w:hAnsi="Times New Roman" w:eastAsia="方正仿宋_GBK"/>
                <w:sz w:val="22"/>
                <w:szCs w:val="22"/>
                <w:lang w:val="en-US" w:eastAsia="zh-CN"/>
              </w:rPr>
              <w:t>备注：以上报价为全包价（包含勘察、设计、材料、制作安装、高空作业、吊装机械、占道施工、物业审批、行政主管部门设置许可审批、维修维护、巡查质保、垃圾清运、人工费、特种人员保险、市场物价上涨以及税金（增值税专用发票）等）。因供应商自身原因造成漏报、少报皆由其自行承担责任。</w:t>
            </w:r>
          </w:p>
        </w:tc>
      </w:tr>
    </w:tbl>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560" w:lineRule="exact"/>
        <w:ind w:left="0" w:leftChars="0" w:right="0" w:rightChars="0"/>
        <w:jc w:val="left"/>
        <w:textAlignment w:val="auto"/>
        <w:outlineLvl w:val="9"/>
        <w:rPr>
          <w:rFonts w:hint="eastAsia" w:ascii="方正仿宋_GBK" w:hAnsi="方正仿宋_GBK" w:eastAsia="方正仿宋_GBK" w:cs="方正仿宋_GBK"/>
          <w:sz w:val="32"/>
          <w:szCs w:val="32"/>
        </w:rPr>
      </w:pP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360" w:lineRule="auto"/>
        <w:ind w:left="0" w:leftChars="0" w:right="0" w:rightChars="0"/>
        <w:jc w:val="left"/>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供应商（加盖公章）：</w:t>
      </w: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360" w:lineRule="auto"/>
        <w:ind w:left="0" w:leftChars="0" w:right="0" w:rightChars="0"/>
        <w:jc w:val="left"/>
        <w:textAlignment w:val="auto"/>
        <w:outlineLvl w:val="9"/>
        <w:rPr>
          <w:rFonts w:ascii="方正仿宋_GBK" w:hAnsi="Times New Roman" w:eastAsia="方正仿宋_GBK"/>
          <w:sz w:val="32"/>
          <w:szCs w:val="32"/>
        </w:rPr>
      </w:pPr>
      <w:r>
        <w:rPr>
          <w:rFonts w:ascii="方正仿宋_GBK" w:hAnsi="Times New Roman" w:eastAsia="方正仿宋_GBK"/>
          <w:sz w:val="32"/>
          <w:szCs w:val="32"/>
        </w:rPr>
        <w:t>授权代表签字：</w:t>
      </w: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360" w:lineRule="auto"/>
        <w:ind w:left="0" w:leftChars="0" w:right="0" w:rightChars="0"/>
        <w:jc w:val="left"/>
        <w:textAlignment w:val="auto"/>
        <w:outlineLvl w:val="9"/>
        <w:rPr>
          <w:rFonts w:ascii="方正仿宋_GBK" w:hAnsi="Times New Roman" w:eastAsia="方正仿宋_GBK"/>
          <w:sz w:val="32"/>
          <w:szCs w:val="32"/>
        </w:rPr>
      </w:pPr>
      <w:r>
        <w:rPr>
          <w:rFonts w:ascii="方正仿宋_GBK" w:hAnsi="Times New Roman" w:eastAsia="方正仿宋_GBK"/>
          <w:sz w:val="32"/>
          <w:szCs w:val="32"/>
        </w:rPr>
        <w:t>时间：</w:t>
      </w:r>
    </w:p>
    <w:p>
      <w:pPr>
        <w:rPr>
          <w:rFonts w:ascii="方正仿宋_GBK" w:hAnsi="Times New Roman" w:eastAsia="方正仿宋_GBK"/>
          <w:sz w:val="32"/>
          <w:szCs w:val="32"/>
        </w:rPr>
      </w:pPr>
      <w:r>
        <w:rPr>
          <w:rFonts w:ascii="方正仿宋_GBK" w:hAnsi="Times New Roman" w:eastAsia="方正仿宋_GBK"/>
          <w:sz w:val="32"/>
          <w:szCs w:val="32"/>
        </w:rPr>
        <w:br w:type="page"/>
      </w:r>
    </w:p>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小标宋_GBK" w:hAnsi="Times New Roman" w:eastAsia="方正小标宋_GBK"/>
          <w:sz w:val="44"/>
          <w:lang w:val="en-US" w:eastAsia="zh-CN"/>
        </w:rPr>
      </w:pPr>
      <w:r>
        <w:rPr>
          <w:rFonts w:hint="eastAsia" w:ascii="方正小标宋_GBK" w:hAnsi="Times New Roman" w:eastAsia="方正小标宋_GBK"/>
          <w:sz w:val="44"/>
          <w:lang w:val="en-US" w:eastAsia="zh-CN"/>
        </w:rPr>
        <w:t>重庆银行股份有限公司西安雁塔南路支行</w:t>
      </w:r>
    </w:p>
    <w:p>
      <w:pPr>
        <w:keepNext w:val="0"/>
        <w:keepLines w:val="0"/>
        <w:pageBreakBefore w:val="0"/>
        <w:widowControl/>
        <w:kinsoku/>
        <w:wordWrap/>
        <w:overflowPunct/>
        <w:topLinePunct w:val="0"/>
        <w:autoSpaceDE/>
        <w:autoSpaceDN/>
        <w:bidi w:val="0"/>
        <w:adjustRightInd w:val="0"/>
        <w:snapToGrid w:val="0"/>
        <w:spacing w:line="560" w:lineRule="exact"/>
        <w:ind w:left="0" w:right="0"/>
        <w:jc w:val="center"/>
        <w:textAlignment w:val="auto"/>
        <w:rPr>
          <w:rFonts w:hint="eastAsia" w:ascii="方正小标宋_GBK" w:hAnsi="Times New Roman" w:eastAsia="方正小标宋_GBK"/>
          <w:sz w:val="44"/>
          <w:lang w:val="en-US" w:eastAsia="zh-CN"/>
        </w:rPr>
      </w:pPr>
      <w:r>
        <w:rPr>
          <w:rFonts w:hint="eastAsia" w:ascii="方正小标宋_GBK" w:hAnsi="Times New Roman" w:eastAsia="方正小标宋_GBK"/>
          <w:sz w:val="44"/>
          <w:lang w:val="en-US" w:eastAsia="zh-CN"/>
        </w:rPr>
        <w:t>增加户外广告字项目报价明细表</w:t>
      </w:r>
    </w:p>
    <w:tbl>
      <w:tblPr>
        <w:tblStyle w:val="7"/>
        <w:tblW w:w="96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2"/>
        <w:gridCol w:w="1522"/>
        <w:gridCol w:w="4494"/>
        <w:gridCol w:w="600"/>
        <w:gridCol w:w="649"/>
        <w:gridCol w:w="859"/>
        <w:gridCol w:w="10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序号</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方正仿宋_GBK" w:hAnsi="方正仿宋_GBK" w:eastAsia="方正仿宋_GBK" w:cs="方正仿宋_GBK"/>
                <w:i w:val="0"/>
                <w:iCs w:val="0"/>
                <w:color w:val="000000"/>
                <w:sz w:val="20"/>
                <w:szCs w:val="20"/>
                <w:u w:val="none"/>
                <w:lang w:val="en-US"/>
              </w:rPr>
            </w:pPr>
            <w:r>
              <w:rPr>
                <w:rFonts w:hint="eastAsia" w:ascii="方正仿宋_GBK" w:hAnsi="方正仿宋_GBK" w:eastAsia="方正仿宋_GBK" w:cs="方正仿宋_GBK"/>
                <w:i w:val="0"/>
                <w:iCs w:val="0"/>
                <w:color w:val="000000"/>
                <w:kern w:val="0"/>
                <w:sz w:val="20"/>
                <w:szCs w:val="20"/>
                <w:u w:val="none"/>
                <w:lang w:val="en-US" w:eastAsia="zh-CN" w:bidi="ar"/>
              </w:rPr>
              <w:t>项目名称</w:t>
            </w:r>
          </w:p>
        </w:tc>
        <w:tc>
          <w:tcPr>
            <w:tcW w:w="4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材质工艺</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单位</w:t>
            </w:r>
          </w:p>
        </w:tc>
        <w:tc>
          <w:tcPr>
            <w:tcW w:w="64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数量</w:t>
            </w:r>
          </w:p>
        </w:tc>
        <w:tc>
          <w:tcPr>
            <w:tcW w:w="85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单价（元）</w:t>
            </w:r>
          </w:p>
        </w:tc>
        <w:tc>
          <w:tcPr>
            <w:tcW w:w="10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8"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highlight w:val="none"/>
                <w:u w:val="none"/>
              </w:rPr>
            </w:pPr>
            <w:r>
              <w:rPr>
                <w:rFonts w:hint="eastAsia" w:ascii="方正仿宋_GBK" w:hAnsi="方正仿宋_GBK" w:eastAsia="方正仿宋_GBK" w:cs="方正仿宋_GBK"/>
                <w:i w:val="0"/>
                <w:iCs w:val="0"/>
                <w:color w:val="000000"/>
                <w:kern w:val="0"/>
                <w:sz w:val="20"/>
                <w:szCs w:val="20"/>
                <w:highlight w:val="none"/>
                <w:u w:val="none"/>
                <w:lang w:val="en-US" w:eastAsia="zh-CN" w:bidi="ar"/>
              </w:rPr>
              <w:t>1</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bookmarkStart w:id="2" w:name="OLE_LINK3"/>
            <w:r>
              <w:rPr>
                <w:rFonts w:hint="eastAsia" w:ascii="方正仿宋_GBK" w:hAnsi="方正仿宋_GBK" w:eastAsia="方正仿宋_GBK" w:cs="方正仿宋_GBK"/>
                <w:i w:val="0"/>
                <w:iCs w:val="0"/>
                <w:color w:val="000000"/>
                <w:kern w:val="0"/>
                <w:sz w:val="20"/>
                <w:szCs w:val="20"/>
                <w:u w:val="none"/>
                <w:lang w:val="en-US" w:eastAsia="zh-CN" w:bidi="ar"/>
              </w:rPr>
              <w:t>户外广告字</w:t>
            </w:r>
            <w:bookmarkEnd w:id="2"/>
          </w:p>
        </w:tc>
        <w:tc>
          <w:tcPr>
            <w:tcW w:w="4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K" w:hAnsi="方正仿宋_GBK" w:eastAsia="方正仿宋_GBK" w:cs="方正仿宋_GBK"/>
                <w:i w:val="0"/>
                <w:iCs w:val="0"/>
                <w:color w:val="000000"/>
                <w:sz w:val="20"/>
                <w:szCs w:val="20"/>
                <w:u w:val="none"/>
              </w:rPr>
            </w:pPr>
            <w:bookmarkStart w:id="3" w:name="OLE_LINK2"/>
            <w:r>
              <w:rPr>
                <w:rFonts w:hint="eastAsia" w:ascii="方正仿宋_GBK" w:hAnsi="方正仿宋_GBK" w:eastAsia="方正仿宋_GBK" w:cs="方正仿宋_GBK"/>
                <w:i w:val="0"/>
                <w:iCs w:val="0"/>
                <w:color w:val="000000"/>
                <w:kern w:val="0"/>
                <w:sz w:val="20"/>
                <w:szCs w:val="20"/>
                <w:u w:val="none"/>
                <w:lang w:val="en-US" w:eastAsia="zh-CN" w:bidi="ar"/>
              </w:rPr>
              <w:t xml:space="preserve">发光字及logo采用5mm厚进口亚克力板一次成型吸塑立体字，厚度为100mm，内置进口防水LED模组光源；logo表面贴进口四色3M膜；背板采用1.5mm厚304不锈钢板，需与钢架做牢固连接。                                        （广告字整体外形尺寸为：0.939*4.345米，需办理《大型户外广告设置许可证》） </w:t>
            </w:r>
            <w:bookmarkEnd w:id="3"/>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m²</w:t>
            </w:r>
          </w:p>
        </w:tc>
        <w:tc>
          <w:tcPr>
            <w:tcW w:w="64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 xml:space="preserve">4.08 </w:t>
            </w:r>
          </w:p>
        </w:tc>
        <w:tc>
          <w:tcPr>
            <w:tcW w:w="8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highlight w:val="none"/>
                <w:u w:val="none"/>
              </w:rPr>
            </w:pPr>
            <w:r>
              <w:rPr>
                <w:rFonts w:hint="eastAsia" w:ascii="方正仿宋_GBK" w:hAnsi="方正仿宋_GBK" w:eastAsia="方正仿宋_GBK" w:cs="方正仿宋_GBK"/>
                <w:i w:val="0"/>
                <w:iCs w:val="0"/>
                <w:color w:val="000000"/>
                <w:kern w:val="0"/>
                <w:sz w:val="20"/>
                <w:szCs w:val="20"/>
                <w:highlight w:val="none"/>
                <w:u w:val="none"/>
                <w:lang w:val="en-US" w:eastAsia="zh-CN" w:bidi="ar"/>
              </w:rPr>
              <w:t>2</w:t>
            </w:r>
          </w:p>
        </w:tc>
        <w:tc>
          <w:tcPr>
            <w:tcW w:w="1522"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广告字钢架</w:t>
            </w:r>
          </w:p>
        </w:tc>
        <w:tc>
          <w:tcPr>
            <w:tcW w:w="4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采用M12*120mm膨胀螺栓；150*150*10mm厚预埋镀锌钢板；L50*5mm厚热镀锌角钢骨架，焊点做防锈处理；按照广告字外形尺寸焊接钢架，整体结构需安全、牢固。</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w:t>
            </w:r>
          </w:p>
        </w:tc>
        <w:tc>
          <w:tcPr>
            <w:tcW w:w="8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2"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highlight w:val="none"/>
                <w:u w:val="none"/>
              </w:rPr>
            </w:pPr>
            <w:r>
              <w:rPr>
                <w:rFonts w:hint="eastAsia" w:ascii="方正仿宋_GBK" w:hAnsi="方正仿宋_GBK" w:eastAsia="方正仿宋_GBK" w:cs="方正仿宋_GBK"/>
                <w:i w:val="0"/>
                <w:iCs w:val="0"/>
                <w:color w:val="000000"/>
                <w:kern w:val="0"/>
                <w:sz w:val="20"/>
                <w:szCs w:val="20"/>
                <w:highlight w:val="none"/>
                <w:u w:val="none"/>
                <w:lang w:val="en-US" w:eastAsia="zh-CN" w:bidi="ar"/>
              </w:rPr>
              <w:t>3</w:t>
            </w:r>
          </w:p>
        </w:tc>
        <w:tc>
          <w:tcPr>
            <w:tcW w:w="1522"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石材幕墙改造</w:t>
            </w:r>
          </w:p>
        </w:tc>
        <w:tc>
          <w:tcPr>
            <w:tcW w:w="4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拆除原室外干挂石材10块（面积约7.2</w:t>
            </w:r>
            <w:r>
              <w:rPr>
                <w:rStyle w:val="13"/>
                <w:rFonts w:hint="eastAsia" w:ascii="方正仿宋_GBK" w:hAnsi="方正仿宋_GBK" w:eastAsia="方正仿宋_GBK" w:cs="方正仿宋_GBK"/>
                <w:lang w:val="en-US" w:eastAsia="zh-CN" w:bidi="ar"/>
              </w:rPr>
              <w:t>㎡</w:t>
            </w:r>
            <w:r>
              <w:rPr>
                <w:rStyle w:val="14"/>
                <w:rFonts w:hint="eastAsia" w:ascii="方正仿宋_GBK" w:hAnsi="方正仿宋_GBK" w:eastAsia="方正仿宋_GBK" w:cs="方正仿宋_GBK"/>
                <w:lang w:val="en-US" w:eastAsia="zh-CN" w:bidi="ar"/>
              </w:rPr>
              <w:t>）及墙体保温层；广告字钢架施工完成后进行石材墙体恢复（含钢架二次焊接、结构防锈处理、保温层恢复、石材粘贴、分格缝耐候胶密封等）；包含石材幕墙改造部分的主材、辅材、高空作业、钢管架搭建及施工过程不可预见项目费用。</w:t>
            </w:r>
          </w:p>
        </w:tc>
        <w:tc>
          <w:tcPr>
            <w:tcW w:w="6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m²</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7.2</w:t>
            </w:r>
          </w:p>
        </w:tc>
        <w:tc>
          <w:tcPr>
            <w:tcW w:w="8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9"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highlight w:val="none"/>
                <w:u w:val="none"/>
              </w:rPr>
            </w:pPr>
            <w:r>
              <w:rPr>
                <w:rFonts w:hint="eastAsia" w:ascii="方正仿宋_GBK" w:hAnsi="方正仿宋_GBK" w:eastAsia="方正仿宋_GBK" w:cs="方正仿宋_GBK"/>
                <w:i w:val="0"/>
                <w:iCs w:val="0"/>
                <w:color w:val="000000"/>
                <w:kern w:val="0"/>
                <w:sz w:val="20"/>
                <w:szCs w:val="20"/>
                <w:highlight w:val="none"/>
                <w:u w:val="none"/>
                <w:lang w:val="en-US" w:eastAsia="zh-CN" w:bidi="ar"/>
              </w:rPr>
              <w:t>4</w:t>
            </w:r>
          </w:p>
        </w:tc>
        <w:tc>
          <w:tcPr>
            <w:tcW w:w="1522" w:type="dxa"/>
            <w:tcBorders>
              <w:top w:val="single" w:color="000000" w:sz="4" w:space="0"/>
              <w:left w:val="single" w:color="000000" w:sz="4" w:space="0"/>
              <w:bottom w:val="nil"/>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专用供电线路</w:t>
            </w:r>
          </w:p>
        </w:tc>
        <w:tc>
          <w:tcPr>
            <w:tcW w:w="4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3*4阻燃电缆150米配阻燃PVC线管敷设（由大楼电井引至支行总配电箱）、户外专用防雨配电箱500*600mm、户外专用防雨电源3台、63A专用交流接触器1套、时控开关1套、</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w:t>
            </w:r>
          </w:p>
        </w:tc>
        <w:tc>
          <w:tcPr>
            <w:tcW w:w="8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highlight w:val="none"/>
                <w:u w:val="none"/>
              </w:rPr>
            </w:pPr>
            <w:r>
              <w:rPr>
                <w:rFonts w:hint="eastAsia" w:ascii="方正仿宋_GBK" w:hAnsi="方正仿宋_GBK" w:eastAsia="方正仿宋_GBK" w:cs="方正仿宋_GBK"/>
                <w:i w:val="0"/>
                <w:iCs w:val="0"/>
                <w:color w:val="000000"/>
                <w:kern w:val="0"/>
                <w:sz w:val="20"/>
                <w:szCs w:val="20"/>
                <w:highlight w:val="none"/>
                <w:u w:val="none"/>
                <w:lang w:val="en-US" w:eastAsia="zh-CN" w:bidi="ar"/>
              </w:rPr>
              <w:t>5</w:t>
            </w:r>
          </w:p>
        </w:tc>
        <w:tc>
          <w:tcPr>
            <w:tcW w:w="15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人工费</w:t>
            </w:r>
          </w:p>
        </w:tc>
        <w:tc>
          <w:tcPr>
            <w:tcW w:w="4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施工人员费用</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w:t>
            </w:r>
          </w:p>
        </w:tc>
        <w:tc>
          <w:tcPr>
            <w:tcW w:w="8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highlight w:val="none"/>
                <w:u w:val="none"/>
                <w:lang w:val="en-US" w:eastAsia="zh-CN"/>
              </w:rPr>
            </w:pPr>
            <w:r>
              <w:rPr>
                <w:rFonts w:hint="eastAsia" w:ascii="方正仿宋_GBK" w:hAnsi="方正仿宋_GBK" w:eastAsia="方正仿宋_GBK" w:cs="方正仿宋_GBK"/>
                <w:i w:val="0"/>
                <w:iCs w:val="0"/>
                <w:color w:val="000000"/>
                <w:sz w:val="20"/>
                <w:szCs w:val="20"/>
                <w:highlight w:val="none"/>
                <w:u w:val="none"/>
                <w:lang w:val="en-US" w:eastAsia="zh-CN"/>
              </w:rPr>
              <w:t>6</w:t>
            </w:r>
          </w:p>
        </w:tc>
        <w:tc>
          <w:tcPr>
            <w:tcW w:w="1522"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吊装费</w:t>
            </w:r>
          </w:p>
        </w:tc>
        <w:tc>
          <w:tcPr>
            <w:tcW w:w="4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户外广告字安装吊装机械费及占道施工措施费</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w:t>
            </w:r>
          </w:p>
        </w:tc>
        <w:tc>
          <w:tcPr>
            <w:tcW w:w="8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highlight w:val="none"/>
                <w:u w:val="none"/>
                <w:lang w:val="en-US" w:eastAsia="zh-CN"/>
              </w:rPr>
            </w:pPr>
            <w:r>
              <w:rPr>
                <w:rFonts w:hint="eastAsia" w:ascii="方正仿宋_GBK" w:hAnsi="方正仿宋_GBK" w:eastAsia="方正仿宋_GBK" w:cs="方正仿宋_GBK"/>
                <w:i w:val="0"/>
                <w:iCs w:val="0"/>
                <w:color w:val="000000"/>
                <w:sz w:val="20"/>
                <w:szCs w:val="20"/>
                <w:highlight w:val="none"/>
                <w:u w:val="none"/>
                <w:lang w:val="en-US" w:eastAsia="zh-CN"/>
              </w:rPr>
              <w:t>7</w:t>
            </w:r>
          </w:p>
        </w:tc>
        <w:tc>
          <w:tcPr>
            <w:tcW w:w="1522" w:type="dxa"/>
            <w:tcBorders>
              <w:top w:val="nil"/>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户外广告空间使用费</w:t>
            </w:r>
          </w:p>
        </w:tc>
        <w:tc>
          <w:tcPr>
            <w:tcW w:w="449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1年期</w:t>
            </w:r>
          </w:p>
        </w:tc>
        <w:tc>
          <w:tcPr>
            <w:tcW w:w="6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w:t>
            </w:r>
          </w:p>
        </w:tc>
        <w:tc>
          <w:tcPr>
            <w:tcW w:w="64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w:t>
            </w:r>
          </w:p>
        </w:tc>
        <w:tc>
          <w:tcPr>
            <w:tcW w:w="8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highlight w:val="none"/>
                <w:u w:val="none"/>
                <w:lang w:val="en-US" w:eastAsia="zh-CN"/>
              </w:rPr>
            </w:pPr>
            <w:r>
              <w:rPr>
                <w:rFonts w:hint="eastAsia" w:ascii="方正仿宋_GBK" w:hAnsi="方正仿宋_GBK" w:eastAsia="方正仿宋_GBK" w:cs="方正仿宋_GBK"/>
                <w:i w:val="0"/>
                <w:iCs w:val="0"/>
                <w:color w:val="000000"/>
                <w:sz w:val="20"/>
                <w:szCs w:val="20"/>
                <w:highlight w:val="none"/>
                <w:u w:val="none"/>
                <w:lang w:val="en-US" w:eastAsia="zh-CN"/>
              </w:rPr>
              <w:t>8</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项目直接费</w:t>
            </w:r>
          </w:p>
        </w:tc>
        <w:tc>
          <w:tcPr>
            <w:tcW w:w="660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以上项目的费用合计</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8"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highlight w:val="none"/>
                <w:u w:val="none"/>
                <w:lang w:val="en-US" w:eastAsia="zh-CN"/>
              </w:rPr>
            </w:pPr>
            <w:r>
              <w:rPr>
                <w:rFonts w:hint="eastAsia" w:ascii="方正仿宋_GBK" w:hAnsi="方正仿宋_GBK" w:eastAsia="方正仿宋_GBK" w:cs="方正仿宋_GBK"/>
                <w:i w:val="0"/>
                <w:iCs w:val="0"/>
                <w:color w:val="000000"/>
                <w:sz w:val="20"/>
                <w:szCs w:val="20"/>
                <w:highlight w:val="none"/>
                <w:u w:val="none"/>
                <w:lang w:val="en-US" w:eastAsia="zh-CN"/>
              </w:rPr>
              <w:t>9</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管理费</w:t>
            </w:r>
          </w:p>
        </w:tc>
        <w:tc>
          <w:tcPr>
            <w:tcW w:w="660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项目管理费10%</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方正仿宋_GBK" w:hAnsi="方正仿宋_GBK" w:eastAsia="方正仿宋_GBK" w:cs="方正仿宋_GBK"/>
                <w:i w:val="0"/>
                <w:iCs w:val="0"/>
                <w:color w:val="000000"/>
                <w:sz w:val="20"/>
                <w:szCs w:val="20"/>
                <w:highlight w:val="none"/>
                <w:u w:val="none"/>
                <w:lang w:val="en-US" w:eastAsia="zh-CN"/>
              </w:rPr>
            </w:pPr>
            <w:r>
              <w:rPr>
                <w:rFonts w:hint="eastAsia" w:ascii="方正仿宋_GBK" w:hAnsi="方正仿宋_GBK" w:eastAsia="方正仿宋_GBK" w:cs="方正仿宋_GBK"/>
                <w:i w:val="0"/>
                <w:iCs w:val="0"/>
                <w:color w:val="000000"/>
                <w:sz w:val="20"/>
                <w:szCs w:val="20"/>
                <w:highlight w:val="none"/>
                <w:u w:val="none"/>
                <w:lang w:val="en-US" w:eastAsia="zh-CN"/>
              </w:rPr>
              <w:t>10</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税金</w:t>
            </w:r>
          </w:p>
        </w:tc>
        <w:tc>
          <w:tcPr>
            <w:tcW w:w="660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（项目直接费+管理费）*9%（增值税专用发票）</w:t>
            </w:r>
          </w:p>
        </w:tc>
        <w:tc>
          <w:tcPr>
            <w:tcW w:w="10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方正仿宋_GBK" w:hAnsi="方正仿宋_GBK" w:eastAsia="方正仿宋_GBK" w:cs="方正仿宋_GBK"/>
                <w:i w:val="0"/>
                <w:iCs w:val="0"/>
                <w:color w:val="000000"/>
                <w:sz w:val="20"/>
                <w:szCs w:val="20"/>
                <w:highlight w:val="none"/>
                <w:u w:val="none"/>
                <w:lang w:val="en-US" w:eastAsia="zh-CN"/>
              </w:rPr>
            </w:pPr>
            <w:r>
              <w:rPr>
                <w:rFonts w:hint="eastAsia" w:ascii="方正仿宋_GBK" w:hAnsi="方正仿宋_GBK" w:eastAsia="方正仿宋_GBK" w:cs="方正仿宋_GBK"/>
                <w:i w:val="0"/>
                <w:iCs w:val="0"/>
                <w:color w:val="000000"/>
                <w:sz w:val="20"/>
                <w:szCs w:val="20"/>
                <w:highlight w:val="none"/>
                <w:u w:val="none"/>
                <w:lang w:val="en-US" w:eastAsia="zh-CN"/>
              </w:rPr>
              <w:t>11</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合计</w:t>
            </w:r>
          </w:p>
        </w:tc>
        <w:tc>
          <w:tcPr>
            <w:tcW w:w="660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本项目费用合计</w:t>
            </w:r>
          </w:p>
        </w:tc>
        <w:tc>
          <w:tcPr>
            <w:tcW w:w="10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方正仿宋_GBK" w:hAnsi="方正仿宋_GBK" w:eastAsia="方正仿宋_GBK" w:cs="方正仿宋_GBK"/>
                <w:i w:val="0"/>
                <w:iCs w:val="0"/>
                <w:color w:val="000000"/>
                <w:sz w:val="20"/>
                <w:szCs w:val="20"/>
                <w:u w:val="none"/>
              </w:rPr>
            </w:pPr>
          </w:p>
        </w:tc>
      </w:tr>
    </w:tbl>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360" w:lineRule="auto"/>
        <w:ind w:left="0" w:leftChars="0" w:right="0" w:rightChars="0"/>
        <w:jc w:val="left"/>
        <w:textAlignment w:val="auto"/>
        <w:outlineLvl w:val="9"/>
        <w:rPr>
          <w:rFonts w:hint="eastAsia" w:ascii="方正仿宋_GBK" w:hAnsi="方正仿宋_GBK" w:eastAsia="方正仿宋_GBK" w:cs="方正仿宋_GBK"/>
          <w:sz w:val="32"/>
          <w:szCs w:val="32"/>
        </w:rPr>
      </w:pPr>
      <w:bookmarkStart w:id="4" w:name="_GoBack"/>
      <w:bookmarkEnd w:id="4"/>
      <w:r>
        <w:rPr>
          <w:rFonts w:hint="eastAsia" w:ascii="方正仿宋_GBK" w:hAnsi="方正仿宋_GBK" w:eastAsia="方正仿宋_GBK" w:cs="方正仿宋_GBK"/>
          <w:sz w:val="32"/>
          <w:szCs w:val="32"/>
        </w:rPr>
        <w:t>供应商（加盖公章）：</w:t>
      </w:r>
    </w:p>
    <w:p>
      <w:pPr>
        <w:keepNext w:val="0"/>
        <w:keepLines w:val="0"/>
        <w:pageBreakBefore w:val="0"/>
        <w:widowControl/>
        <w:tabs>
          <w:tab w:val="left" w:pos="540"/>
          <w:tab w:val="left" w:pos="720"/>
        </w:tabs>
        <w:kinsoku/>
        <w:wordWrap/>
        <w:overflowPunct/>
        <w:topLinePunct w:val="0"/>
        <w:autoSpaceDE/>
        <w:autoSpaceDN/>
        <w:bidi w:val="0"/>
        <w:adjustRightInd w:val="0"/>
        <w:snapToGrid w:val="0"/>
        <w:spacing w:line="360" w:lineRule="auto"/>
        <w:ind w:left="0" w:leftChars="0" w:right="0" w:rightChars="0"/>
        <w:jc w:val="left"/>
        <w:textAlignment w:val="auto"/>
        <w:outlineLvl w:val="9"/>
        <w:rPr>
          <w:rFonts w:hint="eastAsia" w:ascii="方正仿宋_GBK" w:hAnsi="Times New Roman" w:eastAsia="方正仿宋_GBK"/>
          <w:sz w:val="32"/>
          <w:lang w:val="en-US" w:eastAsia="zh-CN"/>
        </w:rPr>
      </w:pPr>
      <w:r>
        <w:rPr>
          <w:rFonts w:ascii="方正仿宋_GBK" w:hAnsi="Times New Roman" w:eastAsia="方正仿宋_GBK"/>
          <w:sz w:val="32"/>
          <w:szCs w:val="32"/>
        </w:rPr>
        <w:t>授权代表签字：</w:t>
      </w:r>
      <w:r>
        <w:rPr>
          <w:rFonts w:hint="eastAsia" w:ascii="方正仿宋_GBK" w:hAnsi="Times New Roman" w:eastAsia="方正仿宋_GBK"/>
          <w:sz w:val="32"/>
          <w:szCs w:val="32"/>
          <w:lang w:val="en-US" w:eastAsia="zh-CN"/>
        </w:rPr>
        <w:t xml:space="preserve">                 </w:t>
      </w:r>
      <w:r>
        <w:rPr>
          <w:rFonts w:ascii="方正仿宋_GBK" w:hAnsi="Times New Roman" w:eastAsia="方正仿宋_GBK"/>
          <w:sz w:val="32"/>
          <w:szCs w:val="32"/>
        </w:rPr>
        <w:t>时间：</w:t>
      </w:r>
      <w:r>
        <w:rPr>
          <w:rFonts w:hint="eastAsia" w:ascii="方正仿宋_GBK" w:hAnsi="Times New Roman" w:eastAsia="方正仿宋_GBK"/>
          <w:sz w:val="32"/>
          <w:lang w:val="en-US" w:eastAsia="zh-CN"/>
        </w:rPr>
        <w:br w:type="page"/>
      </w:r>
    </w:p>
    <w:p>
      <w:pPr>
        <w:pStyle w:val="12"/>
        <w:jc w:val="both"/>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附件</w:t>
      </w:r>
      <w:r>
        <w:rPr>
          <w:rFonts w:hint="eastAsia" w:ascii="方正仿宋_GBK" w:hAnsi="方正仿宋_GBK" w:eastAsia="方正仿宋_GBK" w:cs="方正仿宋_GBK"/>
          <w:sz w:val="24"/>
          <w:lang w:val="en-US" w:eastAsia="zh-CN"/>
        </w:rPr>
        <w:t>1</w:t>
      </w:r>
      <w:r>
        <w:rPr>
          <w:rFonts w:hint="eastAsia" w:ascii="方正仿宋_GBK" w:hAnsi="方正仿宋_GBK" w:eastAsia="方正仿宋_GBK" w:cs="方正仿宋_GBK"/>
          <w:sz w:val="24"/>
        </w:rPr>
        <w:t>：</w:t>
      </w:r>
    </w:p>
    <w:p>
      <w:pPr>
        <w:pStyle w:val="12"/>
        <w:keepNext w:val="0"/>
        <w:keepLines w:val="0"/>
        <w:pageBreakBefore w:val="0"/>
        <w:widowControl w:val="0"/>
        <w:kinsoku/>
        <w:wordWrap/>
        <w:overflowPunct/>
        <w:topLinePunct w:val="0"/>
        <w:bidi w:val="0"/>
        <w:snapToGrid/>
        <w:spacing w:line="600" w:lineRule="exact"/>
        <w:ind w:firstLine="640" w:firstLineChars="200"/>
        <w:jc w:val="center"/>
        <w:textAlignment w:val="auto"/>
        <w:rPr>
          <w:rFonts w:hint="default"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支行区域方位图</w:t>
      </w:r>
    </w:p>
    <w:p>
      <w:pPr>
        <w:spacing w:line="400" w:lineRule="exact"/>
        <w:rPr>
          <w:rFonts w:hint="eastAsia" w:ascii="方正仿宋_GBK" w:hAnsi="方正仿宋_GBK" w:eastAsia="方正仿宋_GBK" w:cs="方正仿宋_GBK"/>
          <w:sz w:val="24"/>
        </w:rPr>
      </w:pPr>
      <w:r>
        <w:rPr>
          <w:rFonts w:hint="eastAsia" w:eastAsia="宋体"/>
          <w:lang w:eastAsia="zh-CN"/>
        </w:rPr>
        <w:drawing>
          <wp:anchor distT="0" distB="0" distL="114300" distR="114300" simplePos="0" relativeHeight="251662336" behindDoc="1" locked="0" layoutInCell="1" allowOverlap="1">
            <wp:simplePos x="0" y="0"/>
            <wp:positionH relativeFrom="column">
              <wp:posOffset>-3810</wp:posOffset>
            </wp:positionH>
            <wp:positionV relativeFrom="paragraph">
              <wp:posOffset>112395</wp:posOffset>
            </wp:positionV>
            <wp:extent cx="5694680" cy="7603490"/>
            <wp:effectExtent l="0" t="0" r="5080" b="1270"/>
            <wp:wrapNone/>
            <wp:docPr id="1" name="图片 1" descr="大雁塔景区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大雁塔景区平面图"/>
                    <pic:cNvPicPr>
                      <a:picLocks noChangeAspect="1"/>
                    </pic:cNvPicPr>
                  </pic:nvPicPr>
                  <pic:blipFill>
                    <a:blip r:embed="rId4"/>
                    <a:stretch>
                      <a:fillRect/>
                    </a:stretch>
                  </pic:blipFill>
                  <pic:spPr>
                    <a:xfrm>
                      <a:off x="0" y="0"/>
                      <a:ext cx="5694680" cy="7603490"/>
                    </a:xfrm>
                    <a:prstGeom prst="rect">
                      <a:avLst/>
                    </a:prstGeom>
                    <a:solidFill>
                      <a:schemeClr val="accent2"/>
                    </a:solidFill>
                  </pic:spPr>
                </pic:pic>
              </a:graphicData>
            </a:graphic>
          </wp:anchor>
        </w:drawing>
      </w:r>
    </w:p>
    <w:p>
      <w:pPr>
        <w:pStyle w:val="12"/>
        <w:keepNext w:val="0"/>
        <w:keepLines w:val="0"/>
        <w:pageBreakBefore w:val="0"/>
        <w:widowControl w:val="0"/>
        <w:kinsoku/>
        <w:wordWrap/>
        <w:overflowPunct/>
        <w:topLinePunct w:val="0"/>
        <w:bidi w:val="0"/>
        <w:snapToGrid/>
        <w:spacing w:line="600" w:lineRule="exact"/>
        <w:ind w:firstLine="480" w:firstLineChars="200"/>
        <w:textAlignment w:val="auto"/>
        <w:rPr>
          <w:rFonts w:hint="eastAsia" w:eastAsia="宋体"/>
          <w:lang w:eastAsia="zh-CN"/>
        </w:rPr>
      </w:pPr>
    </w:p>
    <w:p>
      <w:pPr>
        <w:pStyle w:val="12"/>
        <w:keepNext w:val="0"/>
        <w:keepLines w:val="0"/>
        <w:pageBreakBefore w:val="0"/>
        <w:widowControl w:val="0"/>
        <w:kinsoku/>
        <w:wordWrap/>
        <w:overflowPunct/>
        <w:topLinePunct w:val="0"/>
        <w:bidi w:val="0"/>
        <w:snapToGrid/>
        <w:spacing w:line="600" w:lineRule="exact"/>
        <w:ind w:firstLine="480" w:firstLineChars="200"/>
        <w:textAlignment w:val="auto"/>
        <w:rPr>
          <w:rFonts w:hint="eastAsia" w:eastAsia="宋体"/>
          <w:lang w:eastAsia="zh-CN"/>
        </w:rPr>
      </w:pPr>
    </w:p>
    <w:p>
      <w:pPr>
        <w:pStyle w:val="12"/>
        <w:keepNext w:val="0"/>
        <w:keepLines w:val="0"/>
        <w:pageBreakBefore w:val="0"/>
        <w:widowControl w:val="0"/>
        <w:kinsoku/>
        <w:wordWrap/>
        <w:overflowPunct/>
        <w:topLinePunct w:val="0"/>
        <w:autoSpaceDE w:val="0"/>
        <w:autoSpaceDN w:val="0"/>
        <w:bidi w:val="0"/>
        <w:adjustRightInd w:val="0"/>
        <w:snapToGrid/>
        <w:spacing w:line="240" w:lineRule="atLeast"/>
        <w:ind w:firstLine="400" w:firstLineChars="200"/>
        <w:textAlignment w:val="auto"/>
        <w:rPr>
          <w:rFonts w:hint="eastAsia" w:eastAsia="宋体"/>
          <w:sz w:val="20"/>
          <w:szCs w:val="20"/>
          <w:lang w:eastAsia="zh-CN"/>
        </w:rPr>
      </w:pPr>
    </w:p>
    <w:p>
      <w:pPr>
        <w:pStyle w:val="12"/>
        <w:keepNext w:val="0"/>
        <w:keepLines w:val="0"/>
        <w:pageBreakBefore w:val="0"/>
        <w:widowControl w:val="0"/>
        <w:kinsoku/>
        <w:wordWrap/>
        <w:overflowPunct/>
        <w:topLinePunct w:val="0"/>
        <w:autoSpaceDE w:val="0"/>
        <w:autoSpaceDN w:val="0"/>
        <w:bidi w:val="0"/>
        <w:adjustRightInd w:val="0"/>
        <w:snapToGrid/>
        <w:spacing w:line="240" w:lineRule="atLeast"/>
        <w:ind w:firstLine="400" w:firstLineChars="200"/>
        <w:textAlignment w:val="auto"/>
        <w:rPr>
          <w:rFonts w:hint="eastAsia" w:eastAsia="宋体"/>
          <w:sz w:val="20"/>
          <w:szCs w:val="20"/>
          <w:lang w:eastAsia="zh-CN"/>
        </w:rPr>
      </w:pPr>
    </w:p>
    <w:p>
      <w:pPr>
        <w:pStyle w:val="12"/>
        <w:keepNext w:val="0"/>
        <w:keepLines w:val="0"/>
        <w:pageBreakBefore w:val="0"/>
        <w:widowControl w:val="0"/>
        <w:kinsoku/>
        <w:wordWrap/>
        <w:overflowPunct/>
        <w:topLinePunct w:val="0"/>
        <w:autoSpaceDE w:val="0"/>
        <w:autoSpaceDN w:val="0"/>
        <w:bidi w:val="0"/>
        <w:adjustRightInd w:val="0"/>
        <w:snapToGrid/>
        <w:spacing w:line="240" w:lineRule="atLeast"/>
        <w:ind w:firstLine="400" w:firstLineChars="200"/>
        <w:textAlignment w:val="auto"/>
        <w:rPr>
          <w:rFonts w:hint="eastAsia" w:eastAsia="宋体"/>
          <w:sz w:val="20"/>
          <w:szCs w:val="20"/>
          <w:lang w:eastAsia="zh-CN"/>
        </w:rPr>
      </w:pPr>
    </w:p>
    <w:p>
      <w:pPr>
        <w:pStyle w:val="12"/>
        <w:keepNext w:val="0"/>
        <w:keepLines w:val="0"/>
        <w:pageBreakBefore w:val="0"/>
        <w:widowControl w:val="0"/>
        <w:kinsoku/>
        <w:wordWrap/>
        <w:overflowPunct/>
        <w:topLinePunct w:val="0"/>
        <w:autoSpaceDE w:val="0"/>
        <w:autoSpaceDN w:val="0"/>
        <w:bidi w:val="0"/>
        <w:adjustRightInd w:val="0"/>
        <w:snapToGrid/>
        <w:spacing w:line="240" w:lineRule="atLeast"/>
        <w:ind w:firstLine="400" w:firstLineChars="200"/>
        <w:textAlignment w:val="auto"/>
        <w:rPr>
          <w:rFonts w:hint="eastAsia" w:eastAsia="宋体"/>
          <w:sz w:val="20"/>
          <w:szCs w:val="20"/>
          <w:lang w:eastAsia="zh-CN"/>
        </w:rPr>
      </w:pPr>
    </w:p>
    <w:p>
      <w:pPr>
        <w:pStyle w:val="12"/>
        <w:keepNext w:val="0"/>
        <w:keepLines w:val="0"/>
        <w:pageBreakBefore w:val="0"/>
        <w:widowControl w:val="0"/>
        <w:kinsoku/>
        <w:wordWrap/>
        <w:overflowPunct/>
        <w:topLinePunct w:val="0"/>
        <w:autoSpaceDE w:val="0"/>
        <w:autoSpaceDN w:val="0"/>
        <w:bidi w:val="0"/>
        <w:adjustRightInd w:val="0"/>
        <w:snapToGrid/>
        <w:spacing w:line="240" w:lineRule="atLeast"/>
        <w:ind w:firstLine="400" w:firstLineChars="200"/>
        <w:textAlignment w:val="auto"/>
        <w:rPr>
          <w:rFonts w:hint="eastAsia" w:eastAsia="宋体"/>
          <w:sz w:val="20"/>
          <w:szCs w:val="20"/>
          <w:lang w:eastAsia="zh-CN"/>
        </w:rPr>
      </w:pPr>
    </w:p>
    <w:p>
      <w:pPr>
        <w:pStyle w:val="12"/>
        <w:keepNext w:val="0"/>
        <w:keepLines w:val="0"/>
        <w:pageBreakBefore w:val="0"/>
        <w:widowControl w:val="0"/>
        <w:kinsoku/>
        <w:wordWrap/>
        <w:overflowPunct/>
        <w:topLinePunct w:val="0"/>
        <w:autoSpaceDE w:val="0"/>
        <w:autoSpaceDN w:val="0"/>
        <w:bidi w:val="0"/>
        <w:adjustRightInd w:val="0"/>
        <w:snapToGrid/>
        <w:spacing w:line="240" w:lineRule="atLeast"/>
        <w:ind w:firstLine="400" w:firstLineChars="200"/>
        <w:textAlignment w:val="auto"/>
        <w:rPr>
          <w:rFonts w:hint="eastAsia" w:eastAsia="宋体"/>
          <w:sz w:val="20"/>
          <w:szCs w:val="20"/>
          <w:lang w:eastAsia="zh-CN"/>
        </w:rPr>
      </w:pPr>
    </w:p>
    <w:p>
      <w:pPr>
        <w:pStyle w:val="12"/>
        <w:keepNext w:val="0"/>
        <w:keepLines w:val="0"/>
        <w:pageBreakBefore w:val="0"/>
        <w:widowControl w:val="0"/>
        <w:kinsoku/>
        <w:wordWrap/>
        <w:overflowPunct/>
        <w:topLinePunct w:val="0"/>
        <w:autoSpaceDE w:val="0"/>
        <w:autoSpaceDN w:val="0"/>
        <w:bidi w:val="0"/>
        <w:adjustRightInd w:val="0"/>
        <w:snapToGrid/>
        <w:spacing w:line="240" w:lineRule="atLeast"/>
        <w:ind w:firstLine="400" w:firstLineChars="200"/>
        <w:textAlignment w:val="auto"/>
        <w:rPr>
          <w:rFonts w:hint="eastAsia" w:eastAsia="宋体"/>
          <w:sz w:val="20"/>
          <w:szCs w:val="20"/>
          <w:lang w:eastAsia="zh-CN"/>
        </w:rPr>
      </w:pPr>
    </w:p>
    <w:p>
      <w:pPr>
        <w:pStyle w:val="12"/>
        <w:keepNext w:val="0"/>
        <w:keepLines w:val="0"/>
        <w:pageBreakBefore w:val="0"/>
        <w:widowControl w:val="0"/>
        <w:kinsoku/>
        <w:wordWrap/>
        <w:overflowPunct/>
        <w:topLinePunct w:val="0"/>
        <w:autoSpaceDE w:val="0"/>
        <w:autoSpaceDN w:val="0"/>
        <w:bidi w:val="0"/>
        <w:adjustRightInd w:val="0"/>
        <w:snapToGrid/>
        <w:spacing w:line="240" w:lineRule="atLeast"/>
        <w:ind w:firstLine="400" w:firstLineChars="200"/>
        <w:textAlignment w:val="auto"/>
        <w:rPr>
          <w:rFonts w:hint="eastAsia" w:eastAsia="宋体"/>
          <w:sz w:val="20"/>
          <w:szCs w:val="20"/>
          <w:lang w:eastAsia="zh-CN"/>
        </w:rPr>
      </w:pPr>
    </w:p>
    <w:p>
      <w:pPr>
        <w:pStyle w:val="12"/>
        <w:keepNext w:val="0"/>
        <w:keepLines w:val="0"/>
        <w:pageBreakBefore w:val="0"/>
        <w:widowControl w:val="0"/>
        <w:kinsoku/>
        <w:wordWrap/>
        <w:overflowPunct/>
        <w:topLinePunct w:val="0"/>
        <w:autoSpaceDE w:val="0"/>
        <w:autoSpaceDN w:val="0"/>
        <w:bidi w:val="0"/>
        <w:adjustRightInd w:val="0"/>
        <w:snapToGrid/>
        <w:spacing w:line="240" w:lineRule="atLeast"/>
        <w:ind w:firstLine="400" w:firstLineChars="200"/>
        <w:textAlignment w:val="auto"/>
        <w:rPr>
          <w:rFonts w:hint="eastAsia" w:eastAsia="宋体"/>
          <w:sz w:val="20"/>
          <w:szCs w:val="20"/>
          <w:lang w:eastAsia="zh-CN"/>
        </w:rPr>
      </w:pPr>
    </w:p>
    <w:p>
      <w:pPr>
        <w:pStyle w:val="12"/>
        <w:keepNext w:val="0"/>
        <w:keepLines w:val="0"/>
        <w:pageBreakBefore w:val="0"/>
        <w:widowControl w:val="0"/>
        <w:kinsoku/>
        <w:wordWrap/>
        <w:overflowPunct/>
        <w:topLinePunct w:val="0"/>
        <w:bidi w:val="0"/>
        <w:snapToGrid/>
        <w:spacing w:line="600" w:lineRule="exact"/>
        <w:ind w:firstLine="480" w:firstLineChars="200"/>
        <w:textAlignment w:val="auto"/>
        <w:rPr>
          <w:rFonts w:hint="eastAsia" w:eastAsia="宋体"/>
          <w:lang w:eastAsia="zh-CN"/>
        </w:rPr>
      </w:pPr>
    </w:p>
    <w:p>
      <w:pPr>
        <w:pStyle w:val="12"/>
        <w:keepNext w:val="0"/>
        <w:keepLines w:val="0"/>
        <w:pageBreakBefore w:val="0"/>
        <w:widowControl w:val="0"/>
        <w:kinsoku/>
        <w:wordWrap/>
        <w:overflowPunct/>
        <w:topLinePunct w:val="0"/>
        <w:bidi w:val="0"/>
        <w:snapToGrid/>
        <w:spacing w:line="600" w:lineRule="exact"/>
        <w:ind w:firstLine="480" w:firstLineChars="200"/>
        <w:textAlignment w:val="auto"/>
        <w:rPr>
          <w:rFonts w:hint="eastAsia" w:eastAsia="宋体"/>
          <w:lang w:eastAsia="zh-CN"/>
        </w:rPr>
      </w:pPr>
    </w:p>
    <w:p>
      <w:pPr>
        <w:pStyle w:val="12"/>
        <w:keepNext w:val="0"/>
        <w:keepLines w:val="0"/>
        <w:pageBreakBefore w:val="0"/>
        <w:widowControl w:val="0"/>
        <w:kinsoku/>
        <w:wordWrap/>
        <w:overflowPunct/>
        <w:topLinePunct w:val="0"/>
        <w:bidi w:val="0"/>
        <w:snapToGrid/>
        <w:spacing w:line="600" w:lineRule="exact"/>
        <w:ind w:firstLine="480" w:firstLineChars="200"/>
        <w:textAlignment w:val="auto"/>
        <w:rPr>
          <w:rFonts w:hint="eastAsia"/>
          <w:lang w:val="en-US" w:eastAsia="zh-CN"/>
        </w:rPr>
      </w:pPr>
      <w:r>
        <w:rPr>
          <w:rFonts w:hint="eastAsia"/>
          <w:lang w:val="en-US" w:eastAsia="zh-CN"/>
        </w:rPr>
        <w:t xml:space="preserve">                  </w:t>
      </w:r>
    </w:p>
    <w:p>
      <w:pPr>
        <w:pStyle w:val="12"/>
        <w:keepNext w:val="0"/>
        <w:keepLines w:val="0"/>
        <w:pageBreakBefore w:val="0"/>
        <w:widowControl w:val="0"/>
        <w:kinsoku/>
        <w:wordWrap/>
        <w:overflowPunct/>
        <w:topLinePunct w:val="0"/>
        <w:bidi w:val="0"/>
        <w:snapToGrid/>
        <w:spacing w:line="600" w:lineRule="exact"/>
        <w:ind w:firstLine="420" w:firstLineChars="200"/>
        <w:textAlignment w:val="auto"/>
        <w:rPr>
          <w:rFonts w:hint="eastAsia"/>
          <w:lang w:val="en-US"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1356995</wp:posOffset>
                </wp:positionH>
                <wp:positionV relativeFrom="paragraph">
                  <wp:posOffset>370840</wp:posOffset>
                </wp:positionV>
                <wp:extent cx="374650" cy="374650"/>
                <wp:effectExtent l="0" t="0" r="6350" b="6350"/>
                <wp:wrapNone/>
                <wp:docPr id="2" name="五角星 2"/>
                <wp:cNvGraphicFramePr/>
                <a:graphic xmlns:a="http://schemas.openxmlformats.org/drawingml/2006/main">
                  <a:graphicData uri="http://schemas.microsoft.com/office/word/2010/wordprocessingShape">
                    <wps:wsp>
                      <wps:cNvSpPr/>
                      <wps:spPr>
                        <a:xfrm>
                          <a:off x="2529840" y="5596255"/>
                          <a:ext cx="374650" cy="374650"/>
                        </a:xfrm>
                        <a:prstGeom prst="star5">
                          <a:avLst/>
                        </a:prstGeom>
                        <a:gradFill>
                          <a:gsLst>
                            <a:gs pos="0">
                              <a:srgbClr val="E30000"/>
                            </a:gs>
                            <a:gs pos="100000">
                              <a:srgbClr val="760303"/>
                            </a:gs>
                          </a:gsLst>
                          <a:lin ang="54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06.85pt;margin-top:29.2pt;height:29.5pt;width:29.5pt;z-index:251662336;v-text-anchor:middle;mso-width-relative:page;mso-height-relative:page;" fillcolor="#E30000" filled="t" stroked="f" coordsize="374650,374650" o:gfxdata="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" path="m0,143103l143104,143104,187325,0,231545,143104,374649,143103,258875,231545,303097,374649,187325,286205,71552,374649,115774,231545xe">
                <v:path o:connectlocs="187325,0;0,143103;71552,374649;303097,374649;374649,143103" o:connectangles="247,164,82,82,0"/>
                <v:fill type="gradient" on="t" color2="#760303" focus="100%" focussize="0,0" rotate="t">
                  <o:fill type="gradientUnscaled" v:ext="backwardCompatible"/>
                </v:fill>
                <v:stroke on="f" weight="1pt" miterlimit="8" joinstyle="miter"/>
                <v:imagedata o:title=""/>
                <o:lock v:ext="edit" aspectratio="f"/>
              </v:shape>
            </w:pict>
          </mc:Fallback>
        </mc:AlternateContent>
      </w:r>
    </w:p>
    <w:p>
      <w:pPr>
        <w:pStyle w:val="12"/>
        <w:keepNext w:val="0"/>
        <w:keepLines w:val="0"/>
        <w:pageBreakBefore w:val="0"/>
        <w:widowControl w:val="0"/>
        <w:kinsoku/>
        <w:wordWrap/>
        <w:overflowPunct/>
        <w:topLinePunct w:val="0"/>
        <w:bidi w:val="0"/>
        <w:snapToGrid/>
        <w:spacing w:line="600" w:lineRule="exact"/>
        <w:ind w:left="0" w:leftChars="0" w:firstLine="2750" w:firstLineChars="856"/>
        <w:textAlignment w:val="auto"/>
        <w:rPr>
          <w:rFonts w:hint="default" w:eastAsia="宋体"/>
          <w:sz w:val="32"/>
          <w:szCs w:val="32"/>
          <w:lang w:val="en-US" w:eastAsia="zh-CN"/>
        </w:rPr>
      </w:pPr>
      <w:r>
        <w:rPr>
          <w:rFonts w:hint="eastAsia"/>
          <w:b/>
          <w:bCs/>
          <w:color w:val="FF0000"/>
          <w:sz w:val="32"/>
          <w:szCs w:val="32"/>
          <w:highlight w:val="none"/>
          <w:lang w:val="en-US" w:eastAsia="zh-CN"/>
        </w:rPr>
        <w:t>西安雁塔南路支行</w:t>
      </w:r>
    </w:p>
    <w:p>
      <w:pPr>
        <w:rPr>
          <w:rFonts w:hint="eastAsia" w:eastAsia="宋体"/>
          <w:lang w:eastAsia="zh-CN"/>
        </w:rPr>
      </w:pPr>
      <w:r>
        <w:rPr>
          <w:rFonts w:hint="eastAsia" w:eastAsia="宋体"/>
          <w:lang w:eastAsia="zh-CN"/>
        </w:rPr>
        <w:br w:type="page"/>
      </w:r>
    </w:p>
    <w:p>
      <w:pPr>
        <w:pStyle w:val="12"/>
        <w:jc w:val="both"/>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附件</w:t>
      </w:r>
      <w:r>
        <w:rPr>
          <w:rFonts w:hint="eastAsia" w:ascii="方正仿宋_GBK" w:hAnsi="方正仿宋_GBK" w:eastAsia="方正仿宋_GBK" w:cs="方正仿宋_GBK"/>
          <w:sz w:val="24"/>
          <w:lang w:val="en-US" w:eastAsia="zh-CN"/>
        </w:rPr>
        <w:t>2</w:t>
      </w:r>
      <w:r>
        <w:rPr>
          <w:rFonts w:hint="eastAsia" w:ascii="方正仿宋_GBK" w:hAnsi="方正仿宋_GBK" w:eastAsia="方正仿宋_GBK" w:cs="方正仿宋_GBK"/>
          <w:sz w:val="24"/>
        </w:rPr>
        <w:t>：</w:t>
      </w:r>
    </w:p>
    <w:p>
      <w:pPr>
        <w:pStyle w:val="12"/>
        <w:keepNext w:val="0"/>
        <w:keepLines w:val="0"/>
        <w:pageBreakBefore w:val="0"/>
        <w:widowControl w:val="0"/>
        <w:kinsoku/>
        <w:wordWrap/>
        <w:overflowPunct/>
        <w:topLinePunct w:val="0"/>
        <w:bidi w:val="0"/>
        <w:snapToGrid/>
        <w:spacing w:line="600" w:lineRule="exact"/>
        <w:ind w:firstLine="640" w:firstLineChars="200"/>
        <w:jc w:val="center"/>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支行外墙体原始照片</w:t>
      </w:r>
    </w:p>
    <w:p>
      <w:pPr>
        <w:pStyle w:val="12"/>
        <w:keepNext w:val="0"/>
        <w:keepLines w:val="0"/>
        <w:pageBreakBefore w:val="0"/>
        <w:widowControl w:val="0"/>
        <w:kinsoku/>
        <w:wordWrap/>
        <w:overflowPunct/>
        <w:topLinePunct w:val="0"/>
        <w:bidi w:val="0"/>
        <w:snapToGrid/>
        <w:spacing w:line="600" w:lineRule="exact"/>
        <w:ind w:firstLine="480" w:firstLineChars="200"/>
        <w:textAlignment w:val="auto"/>
        <w:rPr>
          <w:rFonts w:hint="eastAsia" w:eastAsia="宋体"/>
          <w:lang w:eastAsia="zh-CN"/>
        </w:rPr>
      </w:pPr>
      <w:r>
        <w:drawing>
          <wp:anchor distT="0" distB="0" distL="114300" distR="114300" simplePos="0" relativeHeight="251659264" behindDoc="0" locked="0" layoutInCell="1" allowOverlap="1">
            <wp:simplePos x="0" y="0"/>
            <wp:positionH relativeFrom="column">
              <wp:posOffset>109855</wp:posOffset>
            </wp:positionH>
            <wp:positionV relativeFrom="paragraph">
              <wp:posOffset>64770</wp:posOffset>
            </wp:positionV>
            <wp:extent cx="5527040" cy="7563485"/>
            <wp:effectExtent l="0" t="0" r="5080" b="10795"/>
            <wp:wrapTopAndBottom/>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5527040" cy="7563485"/>
                    </a:xfrm>
                    <a:prstGeom prst="rect">
                      <a:avLst/>
                    </a:prstGeom>
                    <a:noFill/>
                    <a:ln>
                      <a:noFill/>
                    </a:ln>
                  </pic:spPr>
                </pic:pic>
              </a:graphicData>
            </a:graphic>
          </wp:anchor>
        </w:drawing>
      </w:r>
    </w:p>
    <w:p>
      <w:pPr>
        <w:rPr>
          <w:rFonts w:hint="eastAsia" w:ascii="方正仿宋_GBK" w:hAnsi="方正仿宋_GBK" w:eastAsia="方正仿宋_GBK" w:cs="方正仿宋_GBK"/>
          <w:sz w:val="24"/>
          <w:lang w:val="en-US" w:eastAsia="zh-CN"/>
        </w:rPr>
      </w:pPr>
      <w:r>
        <w:rPr>
          <w:rFonts w:hint="eastAsia" w:ascii="方正仿宋_GBK" w:hAnsi="方正仿宋_GBK" w:eastAsia="方正仿宋_GBK" w:cs="方正仿宋_GBK"/>
          <w:sz w:val="24"/>
          <w:lang w:val="en-US" w:eastAsia="zh-CN"/>
        </w:rPr>
        <w:br w:type="page"/>
      </w:r>
    </w:p>
    <w:p>
      <w:pPr>
        <w:pStyle w:val="12"/>
        <w:jc w:val="both"/>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附件</w:t>
      </w:r>
      <w:r>
        <w:rPr>
          <w:rFonts w:hint="eastAsia" w:ascii="方正仿宋_GBK" w:hAnsi="方正仿宋_GBK" w:eastAsia="方正仿宋_GBK" w:cs="方正仿宋_GBK"/>
          <w:sz w:val="24"/>
          <w:lang w:val="en-US" w:eastAsia="zh-CN"/>
        </w:rPr>
        <w:t>3</w:t>
      </w:r>
      <w:r>
        <w:rPr>
          <w:rFonts w:hint="eastAsia" w:ascii="方正仿宋_GBK" w:hAnsi="方正仿宋_GBK" w:eastAsia="方正仿宋_GBK" w:cs="方正仿宋_GBK"/>
          <w:sz w:val="24"/>
        </w:rPr>
        <w:t>：</w:t>
      </w:r>
    </w:p>
    <w:p>
      <w:pPr>
        <w:pStyle w:val="12"/>
        <w:keepNext w:val="0"/>
        <w:keepLines w:val="0"/>
        <w:pageBreakBefore w:val="0"/>
        <w:widowControl w:val="0"/>
        <w:kinsoku/>
        <w:wordWrap/>
        <w:overflowPunct/>
        <w:topLinePunct w:val="0"/>
        <w:bidi w:val="0"/>
        <w:snapToGrid/>
        <w:spacing w:line="600" w:lineRule="exact"/>
        <w:ind w:firstLine="640" w:firstLineChars="200"/>
        <w:jc w:val="center"/>
        <w:textAlignment w:val="auto"/>
        <w:rPr>
          <w:rFonts w:hint="eastAsia" w:ascii="方正仿宋_GBK" w:hAnsi="方正仿宋_GBK" w:eastAsia="方正仿宋_GBK" w:cs="方正仿宋_GBK"/>
          <w:b w:val="0"/>
          <w:bCs w:val="0"/>
          <w:color w:val="auto"/>
          <w:kern w:val="2"/>
          <w:sz w:val="32"/>
          <w:szCs w:val="32"/>
          <w:lang w:val="en-US" w:eastAsia="zh-CN" w:bidi="ar-SA"/>
        </w:rPr>
      </w:pPr>
      <w:r>
        <w:rPr>
          <w:rFonts w:hint="eastAsia" w:ascii="方正仿宋_GBK" w:hAnsi="方正仿宋_GBK" w:eastAsia="方正仿宋_GBK" w:cs="方正仿宋_GBK"/>
          <w:b w:val="0"/>
          <w:bCs w:val="0"/>
          <w:color w:val="auto"/>
          <w:kern w:val="2"/>
          <w:sz w:val="32"/>
          <w:szCs w:val="32"/>
          <w:lang w:val="en-US" w:eastAsia="zh-CN" w:bidi="ar-SA"/>
        </w:rPr>
        <w:t>支行拟设户外广告字效果图</w:t>
      </w:r>
    </w:p>
    <w:p>
      <w:pPr>
        <w:pStyle w:val="12"/>
        <w:keepNext w:val="0"/>
        <w:keepLines w:val="0"/>
        <w:pageBreakBefore w:val="0"/>
        <w:widowControl w:val="0"/>
        <w:kinsoku/>
        <w:wordWrap/>
        <w:overflowPunct/>
        <w:topLinePunct w:val="0"/>
        <w:bidi w:val="0"/>
        <w:snapToGrid/>
        <w:spacing w:line="600" w:lineRule="exact"/>
        <w:ind w:firstLine="480" w:firstLineChars="200"/>
        <w:jc w:val="center"/>
        <w:textAlignment w:val="auto"/>
        <w:rPr>
          <w:rFonts w:hint="eastAsia" w:ascii="方正仿宋_GBK" w:hAnsi="方正仿宋_GBK" w:eastAsia="方正仿宋_GBK" w:cs="方正仿宋_GBK"/>
          <w:sz w:val="24"/>
          <w:lang w:val="en-US" w:eastAsia="zh-CN"/>
        </w:rPr>
      </w:pPr>
      <w:r>
        <w:drawing>
          <wp:anchor distT="0" distB="0" distL="114300" distR="114300" simplePos="0" relativeHeight="251660288" behindDoc="0" locked="0" layoutInCell="1" allowOverlap="1">
            <wp:simplePos x="0" y="0"/>
            <wp:positionH relativeFrom="column">
              <wp:posOffset>299720</wp:posOffset>
            </wp:positionH>
            <wp:positionV relativeFrom="paragraph">
              <wp:posOffset>156210</wp:posOffset>
            </wp:positionV>
            <wp:extent cx="5395595" cy="7430135"/>
            <wp:effectExtent l="0" t="0" r="14605" b="6985"/>
            <wp:wrapTopAndBottom/>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6"/>
                    <a:stretch>
                      <a:fillRect/>
                    </a:stretch>
                  </pic:blipFill>
                  <pic:spPr>
                    <a:xfrm>
                      <a:off x="0" y="0"/>
                      <a:ext cx="5395595" cy="7430135"/>
                    </a:xfrm>
                    <a:prstGeom prst="rect">
                      <a:avLst/>
                    </a:prstGeom>
                    <a:noFill/>
                    <a:ln>
                      <a:noFill/>
                    </a:ln>
                  </pic:spPr>
                </pic:pic>
              </a:graphicData>
            </a:graphic>
          </wp:anchor>
        </w:drawing>
      </w:r>
    </w:p>
    <w:p>
      <w:pPr>
        <w:pStyle w:val="12"/>
        <w:jc w:val="both"/>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附件</w:t>
      </w:r>
      <w:r>
        <w:rPr>
          <w:rFonts w:hint="eastAsia" w:ascii="方正仿宋_GBK" w:hAnsi="方正仿宋_GBK" w:eastAsia="方正仿宋_GBK" w:cs="方正仿宋_GBK"/>
          <w:sz w:val="24"/>
          <w:lang w:val="en-US" w:eastAsia="zh-CN"/>
        </w:rPr>
        <w:t>4</w:t>
      </w:r>
      <w:r>
        <w:rPr>
          <w:rFonts w:hint="eastAsia" w:ascii="方正仿宋_GBK" w:hAnsi="方正仿宋_GBK" w:eastAsia="方正仿宋_GBK" w:cs="方正仿宋_GBK"/>
          <w:sz w:val="24"/>
        </w:rPr>
        <w:t>：</w:t>
      </w:r>
    </w:p>
    <w:p>
      <w:pPr>
        <w:pStyle w:val="12"/>
        <w:keepNext w:val="0"/>
        <w:keepLines w:val="0"/>
        <w:pageBreakBefore w:val="0"/>
        <w:widowControl w:val="0"/>
        <w:kinsoku/>
        <w:wordWrap/>
        <w:overflowPunct/>
        <w:topLinePunct w:val="0"/>
        <w:bidi w:val="0"/>
        <w:snapToGrid/>
        <w:spacing w:line="600" w:lineRule="exact"/>
        <w:ind w:firstLine="480" w:firstLineChars="200"/>
        <w:jc w:val="center"/>
        <w:textAlignment w:val="auto"/>
        <w:rPr>
          <w:rFonts w:hint="eastAsia" w:ascii="方正仿宋_GBK" w:hAnsi="方正仿宋_GBK" w:eastAsia="方正仿宋_GBK" w:cs="方正仿宋_GBK"/>
          <w:b w:val="0"/>
          <w:bCs w:val="0"/>
          <w:color w:val="auto"/>
          <w:kern w:val="2"/>
          <w:sz w:val="32"/>
          <w:szCs w:val="32"/>
          <w:lang w:val="en-US" w:eastAsia="zh-CN" w:bidi="ar-SA"/>
        </w:rPr>
      </w:pPr>
      <w:r>
        <w:drawing>
          <wp:anchor distT="0" distB="0" distL="114300" distR="114300" simplePos="0" relativeHeight="251661312" behindDoc="0" locked="0" layoutInCell="1" allowOverlap="1">
            <wp:simplePos x="0" y="0"/>
            <wp:positionH relativeFrom="column">
              <wp:posOffset>936625</wp:posOffset>
            </wp:positionH>
            <wp:positionV relativeFrom="paragraph">
              <wp:posOffset>492125</wp:posOffset>
            </wp:positionV>
            <wp:extent cx="3775710" cy="7564120"/>
            <wp:effectExtent l="0" t="0" r="3810" b="10160"/>
            <wp:wrapTopAndBottom/>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7"/>
                    <a:stretch>
                      <a:fillRect/>
                    </a:stretch>
                  </pic:blipFill>
                  <pic:spPr>
                    <a:xfrm>
                      <a:off x="0" y="0"/>
                      <a:ext cx="3775710" cy="7564120"/>
                    </a:xfrm>
                    <a:prstGeom prst="rect">
                      <a:avLst/>
                    </a:prstGeom>
                    <a:noFill/>
                    <a:ln>
                      <a:noFill/>
                    </a:ln>
                  </pic:spPr>
                </pic:pic>
              </a:graphicData>
            </a:graphic>
          </wp:anchor>
        </w:drawing>
      </w:r>
      <w:r>
        <w:rPr>
          <w:rFonts w:hint="eastAsia" w:ascii="方正仿宋_GBK" w:hAnsi="方正仿宋_GBK" w:eastAsia="方正仿宋_GBK" w:cs="方正仿宋_GBK"/>
          <w:b w:val="0"/>
          <w:bCs w:val="0"/>
          <w:color w:val="auto"/>
          <w:kern w:val="2"/>
          <w:sz w:val="32"/>
          <w:szCs w:val="32"/>
          <w:lang w:val="en-US" w:eastAsia="zh-CN" w:bidi="ar-SA"/>
        </w:rPr>
        <w:t>拟设户外广告字尺寸图</w:t>
      </w:r>
    </w:p>
    <w:p>
      <w:pPr>
        <w:pStyle w:val="4"/>
        <w:rPr>
          <w:rFonts w:hint="eastAsia"/>
          <w:lang w:val="en-US" w:eastAsia="zh-CN"/>
        </w:rPr>
      </w:pPr>
    </w:p>
    <w:sectPr>
      <w:pgSz w:w="11906" w:h="16838"/>
      <w:pgMar w:top="1440" w:right="1361" w:bottom="1440" w:left="1474" w:header="851" w:footer="992" w:gutter="0"/>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25A44"/>
    <w:rsid w:val="00284A8C"/>
    <w:rsid w:val="006C6E19"/>
    <w:rsid w:val="00E23867"/>
    <w:rsid w:val="011370EC"/>
    <w:rsid w:val="01DE43CA"/>
    <w:rsid w:val="020C64B8"/>
    <w:rsid w:val="021A05C4"/>
    <w:rsid w:val="0301269F"/>
    <w:rsid w:val="0315639B"/>
    <w:rsid w:val="0385646B"/>
    <w:rsid w:val="03D56BEA"/>
    <w:rsid w:val="03EC2B7B"/>
    <w:rsid w:val="04303D7F"/>
    <w:rsid w:val="0438490E"/>
    <w:rsid w:val="04473F03"/>
    <w:rsid w:val="045370A8"/>
    <w:rsid w:val="050C0AA9"/>
    <w:rsid w:val="05D60125"/>
    <w:rsid w:val="05DA5C2A"/>
    <w:rsid w:val="060D2CF0"/>
    <w:rsid w:val="065305FF"/>
    <w:rsid w:val="06D205BE"/>
    <w:rsid w:val="07586FA5"/>
    <w:rsid w:val="077E2FB3"/>
    <w:rsid w:val="08C8030D"/>
    <w:rsid w:val="09401B70"/>
    <w:rsid w:val="096324F9"/>
    <w:rsid w:val="09B515C0"/>
    <w:rsid w:val="09BA2EAA"/>
    <w:rsid w:val="09EC6316"/>
    <w:rsid w:val="0A7F32DE"/>
    <w:rsid w:val="0AE7126A"/>
    <w:rsid w:val="0D946D2C"/>
    <w:rsid w:val="0D9F29A7"/>
    <w:rsid w:val="0DC27C32"/>
    <w:rsid w:val="0DD04065"/>
    <w:rsid w:val="0EA83D08"/>
    <w:rsid w:val="0EC5447D"/>
    <w:rsid w:val="0F9E7170"/>
    <w:rsid w:val="105E0EAB"/>
    <w:rsid w:val="110A3777"/>
    <w:rsid w:val="121735AC"/>
    <w:rsid w:val="12202B95"/>
    <w:rsid w:val="12971020"/>
    <w:rsid w:val="13902D20"/>
    <w:rsid w:val="13A00801"/>
    <w:rsid w:val="14A77599"/>
    <w:rsid w:val="15226607"/>
    <w:rsid w:val="15741D1E"/>
    <w:rsid w:val="15A901AD"/>
    <w:rsid w:val="16097F4B"/>
    <w:rsid w:val="16195FB4"/>
    <w:rsid w:val="16454737"/>
    <w:rsid w:val="17110DCF"/>
    <w:rsid w:val="17440F01"/>
    <w:rsid w:val="17733188"/>
    <w:rsid w:val="17B071E9"/>
    <w:rsid w:val="1831599B"/>
    <w:rsid w:val="18AD36CD"/>
    <w:rsid w:val="18B65219"/>
    <w:rsid w:val="193908DD"/>
    <w:rsid w:val="193A23E1"/>
    <w:rsid w:val="19790F57"/>
    <w:rsid w:val="19827B4A"/>
    <w:rsid w:val="1A864873"/>
    <w:rsid w:val="1AD801FE"/>
    <w:rsid w:val="1B18185E"/>
    <w:rsid w:val="1B275F36"/>
    <w:rsid w:val="1B6C7DA7"/>
    <w:rsid w:val="1B8A257F"/>
    <w:rsid w:val="1BE3405D"/>
    <w:rsid w:val="1C653031"/>
    <w:rsid w:val="1C9A527B"/>
    <w:rsid w:val="1CA0285A"/>
    <w:rsid w:val="1CE9349A"/>
    <w:rsid w:val="1D7E1D4D"/>
    <w:rsid w:val="1E1B1CAE"/>
    <w:rsid w:val="1EBF15C1"/>
    <w:rsid w:val="1EC93FE8"/>
    <w:rsid w:val="1F302C14"/>
    <w:rsid w:val="1F54007D"/>
    <w:rsid w:val="1F74039D"/>
    <w:rsid w:val="1FD60080"/>
    <w:rsid w:val="1FE46194"/>
    <w:rsid w:val="2037039A"/>
    <w:rsid w:val="20716711"/>
    <w:rsid w:val="20C96A14"/>
    <w:rsid w:val="212203A4"/>
    <w:rsid w:val="221A525C"/>
    <w:rsid w:val="22206D0A"/>
    <w:rsid w:val="22523245"/>
    <w:rsid w:val="225A1ADE"/>
    <w:rsid w:val="22CC28C8"/>
    <w:rsid w:val="22E62D5C"/>
    <w:rsid w:val="230F4AD2"/>
    <w:rsid w:val="23455178"/>
    <w:rsid w:val="23AD310C"/>
    <w:rsid w:val="242C699C"/>
    <w:rsid w:val="248C1C53"/>
    <w:rsid w:val="2491010B"/>
    <w:rsid w:val="25380CA0"/>
    <w:rsid w:val="255467B4"/>
    <w:rsid w:val="25C64B44"/>
    <w:rsid w:val="25E159BD"/>
    <w:rsid w:val="26451FED"/>
    <w:rsid w:val="268818DC"/>
    <w:rsid w:val="271C757F"/>
    <w:rsid w:val="275C2EA8"/>
    <w:rsid w:val="27661DC6"/>
    <w:rsid w:val="27663DC3"/>
    <w:rsid w:val="27723BF1"/>
    <w:rsid w:val="27854A42"/>
    <w:rsid w:val="27863318"/>
    <w:rsid w:val="27DE6A3E"/>
    <w:rsid w:val="280527CB"/>
    <w:rsid w:val="28467A71"/>
    <w:rsid w:val="286533D6"/>
    <w:rsid w:val="294C0E49"/>
    <w:rsid w:val="29A62C6C"/>
    <w:rsid w:val="29FD687C"/>
    <w:rsid w:val="2A41738D"/>
    <w:rsid w:val="2A4E3407"/>
    <w:rsid w:val="2ADC5378"/>
    <w:rsid w:val="2B6641EA"/>
    <w:rsid w:val="2C4A1A38"/>
    <w:rsid w:val="2C4B22C1"/>
    <w:rsid w:val="2C6456FC"/>
    <w:rsid w:val="2CD8447A"/>
    <w:rsid w:val="2CF80036"/>
    <w:rsid w:val="2D44640C"/>
    <w:rsid w:val="2DAE67F4"/>
    <w:rsid w:val="2DDE404C"/>
    <w:rsid w:val="2E024187"/>
    <w:rsid w:val="2E2E4679"/>
    <w:rsid w:val="2E614443"/>
    <w:rsid w:val="2EA643D7"/>
    <w:rsid w:val="2EEF7CD6"/>
    <w:rsid w:val="2F167509"/>
    <w:rsid w:val="2FE058BB"/>
    <w:rsid w:val="2FEF5598"/>
    <w:rsid w:val="300632D2"/>
    <w:rsid w:val="319E0BDF"/>
    <w:rsid w:val="32124FE3"/>
    <w:rsid w:val="32591447"/>
    <w:rsid w:val="32747CCE"/>
    <w:rsid w:val="328C4FEC"/>
    <w:rsid w:val="329A2E0A"/>
    <w:rsid w:val="32B67C13"/>
    <w:rsid w:val="33484DB8"/>
    <w:rsid w:val="33800D81"/>
    <w:rsid w:val="33854255"/>
    <w:rsid w:val="33D606D0"/>
    <w:rsid w:val="34073DE3"/>
    <w:rsid w:val="341E0DC4"/>
    <w:rsid w:val="3463107F"/>
    <w:rsid w:val="34742DD5"/>
    <w:rsid w:val="34870E99"/>
    <w:rsid w:val="34DE2E2E"/>
    <w:rsid w:val="350F2169"/>
    <w:rsid w:val="351501F2"/>
    <w:rsid w:val="35450280"/>
    <w:rsid w:val="35846635"/>
    <w:rsid w:val="35D41828"/>
    <w:rsid w:val="35E84E8F"/>
    <w:rsid w:val="36013D01"/>
    <w:rsid w:val="365D36B2"/>
    <w:rsid w:val="36647FF1"/>
    <w:rsid w:val="376E2A87"/>
    <w:rsid w:val="37714E2F"/>
    <w:rsid w:val="37AA5F43"/>
    <w:rsid w:val="37CF7E3C"/>
    <w:rsid w:val="37D13396"/>
    <w:rsid w:val="39141251"/>
    <w:rsid w:val="395F76D5"/>
    <w:rsid w:val="3A3A5478"/>
    <w:rsid w:val="3A402CFE"/>
    <w:rsid w:val="3A6819BC"/>
    <w:rsid w:val="3AA06DD7"/>
    <w:rsid w:val="3AF545D9"/>
    <w:rsid w:val="3B1E5FAE"/>
    <w:rsid w:val="3BA17332"/>
    <w:rsid w:val="3C284BE1"/>
    <w:rsid w:val="3C3073C4"/>
    <w:rsid w:val="3C4957DF"/>
    <w:rsid w:val="3C4A1824"/>
    <w:rsid w:val="3C4F78FD"/>
    <w:rsid w:val="3C5F3ECB"/>
    <w:rsid w:val="3C9124ED"/>
    <w:rsid w:val="3C9D3671"/>
    <w:rsid w:val="3CA42C0F"/>
    <w:rsid w:val="3CDE094F"/>
    <w:rsid w:val="3D3E4E82"/>
    <w:rsid w:val="3D5337CE"/>
    <w:rsid w:val="3D545D14"/>
    <w:rsid w:val="3D7A693E"/>
    <w:rsid w:val="3DA457FE"/>
    <w:rsid w:val="3EDC6ACB"/>
    <w:rsid w:val="3F1C6199"/>
    <w:rsid w:val="3F5C623E"/>
    <w:rsid w:val="3FA61E4F"/>
    <w:rsid w:val="400D1912"/>
    <w:rsid w:val="405E0750"/>
    <w:rsid w:val="40CD2FEB"/>
    <w:rsid w:val="40FC085A"/>
    <w:rsid w:val="411E414B"/>
    <w:rsid w:val="41342149"/>
    <w:rsid w:val="41351CCB"/>
    <w:rsid w:val="416B6390"/>
    <w:rsid w:val="41802E84"/>
    <w:rsid w:val="41814CB2"/>
    <w:rsid w:val="41BD627E"/>
    <w:rsid w:val="41D377FC"/>
    <w:rsid w:val="41E70A43"/>
    <w:rsid w:val="4230218A"/>
    <w:rsid w:val="427B340E"/>
    <w:rsid w:val="4305209B"/>
    <w:rsid w:val="43267139"/>
    <w:rsid w:val="43396BB6"/>
    <w:rsid w:val="433B7972"/>
    <w:rsid w:val="44EA5461"/>
    <w:rsid w:val="4569011B"/>
    <w:rsid w:val="45A94030"/>
    <w:rsid w:val="45F57DFD"/>
    <w:rsid w:val="46382B4D"/>
    <w:rsid w:val="463C64BE"/>
    <w:rsid w:val="46CE4047"/>
    <w:rsid w:val="46FB40E7"/>
    <w:rsid w:val="4733782A"/>
    <w:rsid w:val="47C51C43"/>
    <w:rsid w:val="485E1361"/>
    <w:rsid w:val="489B5A70"/>
    <w:rsid w:val="48A9091E"/>
    <w:rsid w:val="48B305BB"/>
    <w:rsid w:val="49241ADC"/>
    <w:rsid w:val="49A21887"/>
    <w:rsid w:val="4AA5584F"/>
    <w:rsid w:val="4B294DDA"/>
    <w:rsid w:val="4B400BB7"/>
    <w:rsid w:val="4B48339C"/>
    <w:rsid w:val="4B62374B"/>
    <w:rsid w:val="4BAD64FF"/>
    <w:rsid w:val="4BC249B7"/>
    <w:rsid w:val="4BE2618E"/>
    <w:rsid w:val="4BFE50DE"/>
    <w:rsid w:val="4C430C38"/>
    <w:rsid w:val="4C5A315C"/>
    <w:rsid w:val="4C974228"/>
    <w:rsid w:val="4CD80AF5"/>
    <w:rsid w:val="4CFA120F"/>
    <w:rsid w:val="4E187CBA"/>
    <w:rsid w:val="4E273708"/>
    <w:rsid w:val="4E2B48E5"/>
    <w:rsid w:val="4EBC3C80"/>
    <w:rsid w:val="4ED674E5"/>
    <w:rsid w:val="4EEE28B4"/>
    <w:rsid w:val="4F052F49"/>
    <w:rsid w:val="4F253BFB"/>
    <w:rsid w:val="4F665BB6"/>
    <w:rsid w:val="4F9F12E1"/>
    <w:rsid w:val="4FB971F5"/>
    <w:rsid w:val="50784E56"/>
    <w:rsid w:val="50833B62"/>
    <w:rsid w:val="50E37293"/>
    <w:rsid w:val="51037A9A"/>
    <w:rsid w:val="51317981"/>
    <w:rsid w:val="515D5ADB"/>
    <w:rsid w:val="51723E3D"/>
    <w:rsid w:val="519E4EF2"/>
    <w:rsid w:val="51DC73A3"/>
    <w:rsid w:val="52304BCF"/>
    <w:rsid w:val="52826F73"/>
    <w:rsid w:val="52E94DE0"/>
    <w:rsid w:val="530E77BA"/>
    <w:rsid w:val="53CB7EB5"/>
    <w:rsid w:val="53E40143"/>
    <w:rsid w:val="542E29F4"/>
    <w:rsid w:val="5443387D"/>
    <w:rsid w:val="54D92B13"/>
    <w:rsid w:val="55314919"/>
    <w:rsid w:val="55BB6B96"/>
    <w:rsid w:val="55F400A3"/>
    <w:rsid w:val="562751DE"/>
    <w:rsid w:val="564E30BA"/>
    <w:rsid w:val="56D51B68"/>
    <w:rsid w:val="56D70B89"/>
    <w:rsid w:val="57753BF6"/>
    <w:rsid w:val="57A17D13"/>
    <w:rsid w:val="57DE00B6"/>
    <w:rsid w:val="5812180A"/>
    <w:rsid w:val="59207A1D"/>
    <w:rsid w:val="59A32EE6"/>
    <w:rsid w:val="5A346B63"/>
    <w:rsid w:val="5A5603C6"/>
    <w:rsid w:val="5A7A5B74"/>
    <w:rsid w:val="5AB00403"/>
    <w:rsid w:val="5ADF64CB"/>
    <w:rsid w:val="5BB809E3"/>
    <w:rsid w:val="5C3F4B66"/>
    <w:rsid w:val="5CD97E63"/>
    <w:rsid w:val="5CF91153"/>
    <w:rsid w:val="5D090DDE"/>
    <w:rsid w:val="5D171035"/>
    <w:rsid w:val="5D2B3D4A"/>
    <w:rsid w:val="5D8155EF"/>
    <w:rsid w:val="5DAA122F"/>
    <w:rsid w:val="5DBB69A9"/>
    <w:rsid w:val="5DF6559C"/>
    <w:rsid w:val="5E4D1227"/>
    <w:rsid w:val="5EAB19DE"/>
    <w:rsid w:val="5F0A7FB5"/>
    <w:rsid w:val="5F1A583A"/>
    <w:rsid w:val="6007341F"/>
    <w:rsid w:val="60B00DE0"/>
    <w:rsid w:val="60ED293A"/>
    <w:rsid w:val="61865F21"/>
    <w:rsid w:val="62122920"/>
    <w:rsid w:val="62C34B08"/>
    <w:rsid w:val="637F5198"/>
    <w:rsid w:val="645304D6"/>
    <w:rsid w:val="64AA6B65"/>
    <w:rsid w:val="64E64093"/>
    <w:rsid w:val="65B95621"/>
    <w:rsid w:val="662C3495"/>
    <w:rsid w:val="663530D2"/>
    <w:rsid w:val="6666770B"/>
    <w:rsid w:val="66C52AA0"/>
    <w:rsid w:val="67EC6595"/>
    <w:rsid w:val="681B4A70"/>
    <w:rsid w:val="685E081F"/>
    <w:rsid w:val="68701A6E"/>
    <w:rsid w:val="6874746B"/>
    <w:rsid w:val="68FC1904"/>
    <w:rsid w:val="695A0F59"/>
    <w:rsid w:val="6A0503ED"/>
    <w:rsid w:val="6A642F4D"/>
    <w:rsid w:val="6A7D697F"/>
    <w:rsid w:val="6AA65D4F"/>
    <w:rsid w:val="6B3027DA"/>
    <w:rsid w:val="6BCA6684"/>
    <w:rsid w:val="6DBC70BC"/>
    <w:rsid w:val="6DD96102"/>
    <w:rsid w:val="6DEC59C7"/>
    <w:rsid w:val="6E0C71A6"/>
    <w:rsid w:val="6E3439A9"/>
    <w:rsid w:val="6E350D9D"/>
    <w:rsid w:val="6E484ED6"/>
    <w:rsid w:val="6E733FCA"/>
    <w:rsid w:val="6E9047F2"/>
    <w:rsid w:val="6EE43F15"/>
    <w:rsid w:val="6F2947A4"/>
    <w:rsid w:val="6FB73DF0"/>
    <w:rsid w:val="6FE7247D"/>
    <w:rsid w:val="700E4F43"/>
    <w:rsid w:val="70416B0F"/>
    <w:rsid w:val="705E3AE9"/>
    <w:rsid w:val="705E3EEA"/>
    <w:rsid w:val="70D77F62"/>
    <w:rsid w:val="712E0F12"/>
    <w:rsid w:val="71566197"/>
    <w:rsid w:val="717330EB"/>
    <w:rsid w:val="71E23ED3"/>
    <w:rsid w:val="72D4073E"/>
    <w:rsid w:val="73266A62"/>
    <w:rsid w:val="7363556C"/>
    <w:rsid w:val="737060B2"/>
    <w:rsid w:val="73994938"/>
    <w:rsid w:val="741B5D14"/>
    <w:rsid w:val="74A51E69"/>
    <w:rsid w:val="74BF6701"/>
    <w:rsid w:val="756574BD"/>
    <w:rsid w:val="75AC3DBE"/>
    <w:rsid w:val="76092882"/>
    <w:rsid w:val="760E4CC5"/>
    <w:rsid w:val="7661678D"/>
    <w:rsid w:val="768E094A"/>
    <w:rsid w:val="769842DB"/>
    <w:rsid w:val="77771C8D"/>
    <w:rsid w:val="778B0160"/>
    <w:rsid w:val="77910D90"/>
    <w:rsid w:val="77913F65"/>
    <w:rsid w:val="77EB3465"/>
    <w:rsid w:val="77F61D15"/>
    <w:rsid w:val="799744C6"/>
    <w:rsid w:val="7A3F4A1F"/>
    <w:rsid w:val="7A4651C8"/>
    <w:rsid w:val="7A671A58"/>
    <w:rsid w:val="7A681017"/>
    <w:rsid w:val="7A8A413D"/>
    <w:rsid w:val="7B106074"/>
    <w:rsid w:val="7BAC0AB5"/>
    <w:rsid w:val="7BC24B9B"/>
    <w:rsid w:val="7CC12BFB"/>
    <w:rsid w:val="7D5F0095"/>
    <w:rsid w:val="7E473F0A"/>
    <w:rsid w:val="7E4A0C56"/>
    <w:rsid w:val="7E562A33"/>
    <w:rsid w:val="7E7E1EEE"/>
    <w:rsid w:val="7F0644D9"/>
    <w:rsid w:val="7F480514"/>
    <w:rsid w:val="7F723D34"/>
    <w:rsid w:val="7F876A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0"/>
    <w:pPr>
      <w:autoSpaceDE w:val="0"/>
      <w:autoSpaceDN w:val="0"/>
      <w:adjustRightInd w:val="0"/>
      <w:spacing w:before="16"/>
      <w:jc w:val="left"/>
      <w:outlineLvl w:val="2"/>
    </w:pPr>
    <w:rPr>
      <w:rFonts w:ascii="仿宋_GB2312"/>
      <w:b/>
      <w:kern w:val="0"/>
      <w:sz w:val="24"/>
      <w:szCs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lock Text"/>
    <w:basedOn w:val="1"/>
    <w:unhideWhenUsed/>
    <w:qFormat/>
    <w:uiPriority w:val="99"/>
    <w:pPr>
      <w:adjustRightInd w:val="0"/>
      <w:ind w:left="420" w:right="33"/>
      <w:jc w:val="left"/>
      <w:textAlignment w:val="baseline"/>
    </w:pPr>
    <w:rPr>
      <w:kern w:val="0"/>
      <w:sz w:val="24"/>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无间隔1"/>
    <w:qFormat/>
    <w:uiPriority w:val="99"/>
    <w:pPr>
      <w:widowControl w:val="0"/>
      <w:jc w:val="both"/>
    </w:pPr>
    <w:rPr>
      <w:rFonts w:ascii="Times New Roman" w:hAnsi="Times New Roman" w:eastAsia="宋体" w:cs="Calibri"/>
      <w:kern w:val="2"/>
      <w:sz w:val="21"/>
      <w:szCs w:val="21"/>
      <w:lang w:val="en-US" w:eastAsia="zh-CN" w:bidi="ar-SA"/>
    </w:rPr>
  </w:style>
  <w:style w:type="paragraph" w:customStyle="1" w:styleId="10">
    <w:name w:val="正文-公1"/>
    <w:basedOn w:val="1"/>
    <w:qFormat/>
    <w:uiPriority w:val="99"/>
    <w:pPr>
      <w:ind w:firstLine="200" w:firstLineChars="200"/>
    </w:pPr>
    <w:rPr>
      <w:color w:val="000000"/>
    </w:rPr>
  </w:style>
  <w:style w:type="character" w:customStyle="1" w:styleId="11">
    <w:name w:val="font01"/>
    <w:basedOn w:val="8"/>
    <w:qFormat/>
    <w:uiPriority w:val="0"/>
    <w:rPr>
      <w:rFonts w:hint="eastAsia" w:ascii="宋体" w:hAnsi="宋体" w:eastAsia="宋体" w:cs="宋体"/>
      <w:color w:val="000000"/>
      <w:sz w:val="24"/>
      <w:szCs w:val="24"/>
      <w:u w:val="none"/>
      <w:vertAlign w:val="superscript"/>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3">
    <w:name w:val="font41"/>
    <w:basedOn w:val="8"/>
    <w:qFormat/>
    <w:uiPriority w:val="0"/>
    <w:rPr>
      <w:rFonts w:ascii="宋体" w:hAnsi="宋体" w:eastAsia="宋体" w:cs="宋体"/>
      <w:color w:val="000000"/>
      <w:sz w:val="20"/>
      <w:szCs w:val="20"/>
      <w:u w:val="none"/>
    </w:rPr>
  </w:style>
  <w:style w:type="character" w:customStyle="1" w:styleId="14">
    <w:name w:val="font11"/>
    <w:basedOn w:val="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24</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cqcb_user0123</cp:lastModifiedBy>
  <cp:lastPrinted>2026-09-23T09:26:00Z</cp:lastPrinted>
  <dcterms:modified xsi:type="dcterms:W3CDTF">2026-10-14T07:43:54Z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10EB6B8B71284956820434C180A6355B</vt:lpwstr>
  </property>
</Properties>
</file>