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05D418">
      <w:pPr>
        <w:spacing w:line="1040" w:lineRule="exact"/>
        <w:jc w:val="center"/>
        <w:rPr>
          <w:rFonts w:hint="eastAsia" w:ascii="宋体" w:hAnsi="宋体" w:eastAsia="宋体"/>
          <w:b/>
          <w:sz w:val="76"/>
          <w:szCs w:val="76"/>
          <w:lang w:eastAsia="zh-CN"/>
        </w:rPr>
      </w:pPr>
      <w:r>
        <w:rPr>
          <w:rFonts w:hint="eastAsia" w:ascii="宋体" w:hAnsi="宋体"/>
          <w:b/>
          <w:sz w:val="48"/>
          <w:szCs w:val="48"/>
          <w:lang w:eastAsia="zh-CN"/>
        </w:rPr>
        <w:t>北山国际货场企业标识牌采购项目</w:t>
      </w:r>
    </w:p>
    <w:p w14:paraId="6FA697F9">
      <w:pPr>
        <w:spacing w:line="400" w:lineRule="exact"/>
        <w:jc w:val="center"/>
        <w:rPr>
          <w:rFonts w:ascii="宋体" w:hAnsi="宋体"/>
          <w:b/>
          <w:sz w:val="46"/>
          <w:szCs w:val="48"/>
        </w:rPr>
      </w:pPr>
    </w:p>
    <w:p w14:paraId="65212404">
      <w:pPr>
        <w:spacing w:line="400" w:lineRule="exact"/>
        <w:jc w:val="center"/>
        <w:rPr>
          <w:rFonts w:ascii="宋体" w:hAnsi="宋体"/>
          <w:b/>
          <w:sz w:val="46"/>
          <w:szCs w:val="48"/>
        </w:rPr>
      </w:pPr>
    </w:p>
    <w:p w14:paraId="436F9155">
      <w:pPr>
        <w:spacing w:line="400" w:lineRule="exact"/>
        <w:jc w:val="center"/>
        <w:rPr>
          <w:rFonts w:ascii="宋体" w:hAnsi="宋体"/>
          <w:b/>
          <w:sz w:val="46"/>
          <w:szCs w:val="48"/>
        </w:rPr>
      </w:pPr>
    </w:p>
    <w:p w14:paraId="2A274897">
      <w:pPr>
        <w:spacing w:line="400" w:lineRule="exact"/>
        <w:jc w:val="center"/>
        <w:rPr>
          <w:rFonts w:ascii="宋体" w:hAnsi="宋体"/>
          <w:b/>
          <w:sz w:val="46"/>
          <w:szCs w:val="48"/>
        </w:rPr>
      </w:pPr>
    </w:p>
    <w:p w14:paraId="0E06BDD3">
      <w:pPr>
        <w:spacing w:line="1040" w:lineRule="exact"/>
        <w:jc w:val="center"/>
        <w:rPr>
          <w:rFonts w:ascii="宋体" w:hAnsi="宋体"/>
          <w:b/>
          <w:sz w:val="76"/>
          <w:szCs w:val="76"/>
        </w:rPr>
      </w:pPr>
    </w:p>
    <w:p w14:paraId="4018931C">
      <w:pPr>
        <w:spacing w:line="1040" w:lineRule="exact"/>
        <w:jc w:val="center"/>
        <w:rPr>
          <w:rFonts w:ascii="宋体" w:hAnsi="宋体"/>
          <w:b/>
          <w:sz w:val="76"/>
          <w:szCs w:val="76"/>
        </w:rPr>
      </w:pPr>
      <w:r>
        <w:rPr>
          <w:rFonts w:ascii="宋体" w:hAnsi="宋体"/>
          <w:b/>
          <w:sz w:val="76"/>
          <w:szCs w:val="76"/>
        </w:rPr>
        <w:t>竞争</w:t>
      </w:r>
      <w:r>
        <w:rPr>
          <w:rFonts w:hint="eastAsia" w:ascii="宋体" w:hAnsi="宋体"/>
          <w:b/>
          <w:sz w:val="76"/>
          <w:szCs w:val="76"/>
        </w:rPr>
        <w:t>性谈判文件</w:t>
      </w:r>
    </w:p>
    <w:p w14:paraId="09D0733D">
      <w:pPr>
        <w:spacing w:line="240" w:lineRule="exact"/>
        <w:jc w:val="center"/>
        <w:rPr>
          <w:rFonts w:ascii="宋体" w:hAnsi="宋体"/>
          <w:b/>
          <w:sz w:val="28"/>
          <w:szCs w:val="28"/>
        </w:rPr>
      </w:pPr>
    </w:p>
    <w:p w14:paraId="1CE1AB60">
      <w:pPr>
        <w:spacing w:line="240" w:lineRule="exact"/>
        <w:jc w:val="center"/>
        <w:rPr>
          <w:rFonts w:ascii="宋体" w:hAnsi="宋体"/>
          <w:b/>
          <w:sz w:val="28"/>
          <w:szCs w:val="28"/>
        </w:rPr>
      </w:pPr>
    </w:p>
    <w:p w14:paraId="18784EE7">
      <w:pPr>
        <w:spacing w:line="240" w:lineRule="exact"/>
        <w:jc w:val="center"/>
        <w:rPr>
          <w:rFonts w:ascii="宋体" w:hAnsi="宋体"/>
          <w:b/>
          <w:sz w:val="28"/>
          <w:szCs w:val="28"/>
        </w:rPr>
      </w:pPr>
    </w:p>
    <w:p w14:paraId="5A77C344">
      <w:pPr>
        <w:spacing w:line="240" w:lineRule="exact"/>
        <w:jc w:val="center"/>
        <w:rPr>
          <w:rFonts w:ascii="宋体" w:hAnsi="宋体"/>
          <w:b/>
          <w:sz w:val="28"/>
          <w:szCs w:val="28"/>
        </w:rPr>
      </w:pPr>
    </w:p>
    <w:p w14:paraId="3F8AEF41">
      <w:pPr>
        <w:spacing w:line="240" w:lineRule="exact"/>
        <w:jc w:val="center"/>
        <w:rPr>
          <w:rFonts w:ascii="宋体" w:hAnsi="宋体"/>
          <w:b/>
          <w:sz w:val="28"/>
          <w:szCs w:val="28"/>
        </w:rPr>
      </w:pPr>
    </w:p>
    <w:p w14:paraId="50096B80">
      <w:pPr>
        <w:spacing w:line="240" w:lineRule="exact"/>
        <w:jc w:val="center"/>
        <w:rPr>
          <w:rFonts w:ascii="宋体" w:hAnsi="宋体"/>
          <w:b/>
          <w:sz w:val="28"/>
          <w:szCs w:val="28"/>
        </w:rPr>
      </w:pPr>
    </w:p>
    <w:p w14:paraId="146DF401">
      <w:pPr>
        <w:spacing w:line="240" w:lineRule="exact"/>
        <w:jc w:val="center"/>
        <w:rPr>
          <w:rFonts w:ascii="宋体" w:hAnsi="宋体"/>
          <w:b/>
          <w:sz w:val="28"/>
          <w:szCs w:val="28"/>
        </w:rPr>
      </w:pPr>
    </w:p>
    <w:p w14:paraId="5936906C">
      <w:pPr>
        <w:spacing w:line="240" w:lineRule="exact"/>
        <w:jc w:val="center"/>
        <w:rPr>
          <w:rFonts w:ascii="宋体" w:hAnsi="宋体"/>
          <w:b/>
          <w:sz w:val="28"/>
          <w:szCs w:val="28"/>
        </w:rPr>
      </w:pPr>
    </w:p>
    <w:p w14:paraId="1D4F52B5">
      <w:pPr>
        <w:spacing w:line="240" w:lineRule="exact"/>
        <w:jc w:val="center"/>
        <w:rPr>
          <w:rFonts w:ascii="宋体" w:hAnsi="宋体"/>
          <w:b/>
          <w:sz w:val="28"/>
          <w:szCs w:val="28"/>
        </w:rPr>
      </w:pPr>
    </w:p>
    <w:p w14:paraId="3139C895">
      <w:pPr>
        <w:spacing w:line="240" w:lineRule="exact"/>
        <w:jc w:val="center"/>
        <w:rPr>
          <w:rFonts w:ascii="宋体" w:hAnsi="宋体"/>
          <w:b/>
          <w:sz w:val="28"/>
          <w:szCs w:val="28"/>
        </w:rPr>
      </w:pPr>
    </w:p>
    <w:p w14:paraId="09BF2B31">
      <w:pPr>
        <w:spacing w:line="240" w:lineRule="exact"/>
        <w:jc w:val="center"/>
        <w:rPr>
          <w:rFonts w:ascii="宋体" w:hAnsi="宋体"/>
          <w:b/>
          <w:sz w:val="28"/>
          <w:szCs w:val="28"/>
        </w:rPr>
      </w:pPr>
    </w:p>
    <w:p w14:paraId="180D1908">
      <w:pPr>
        <w:spacing w:line="240" w:lineRule="exact"/>
        <w:jc w:val="center"/>
        <w:rPr>
          <w:rFonts w:ascii="宋体" w:hAnsi="宋体"/>
          <w:b/>
          <w:sz w:val="28"/>
          <w:szCs w:val="28"/>
        </w:rPr>
      </w:pPr>
    </w:p>
    <w:p w14:paraId="5A2D5EA8">
      <w:pPr>
        <w:spacing w:line="240" w:lineRule="exact"/>
        <w:jc w:val="center"/>
        <w:rPr>
          <w:rFonts w:ascii="宋体" w:hAnsi="宋体"/>
          <w:b/>
          <w:sz w:val="28"/>
          <w:szCs w:val="28"/>
        </w:rPr>
      </w:pPr>
    </w:p>
    <w:p w14:paraId="0724AA92">
      <w:pPr>
        <w:spacing w:line="240" w:lineRule="exact"/>
        <w:jc w:val="center"/>
        <w:rPr>
          <w:rFonts w:ascii="宋体" w:hAnsi="宋体"/>
          <w:b/>
          <w:sz w:val="28"/>
          <w:szCs w:val="28"/>
        </w:rPr>
      </w:pPr>
    </w:p>
    <w:p w14:paraId="24B05B16">
      <w:pPr>
        <w:spacing w:line="240" w:lineRule="exact"/>
        <w:jc w:val="center"/>
        <w:rPr>
          <w:rFonts w:ascii="宋体" w:hAnsi="宋体"/>
          <w:b/>
          <w:sz w:val="28"/>
          <w:szCs w:val="28"/>
        </w:rPr>
      </w:pPr>
    </w:p>
    <w:p w14:paraId="1CA32FBD">
      <w:pPr>
        <w:spacing w:line="240" w:lineRule="exact"/>
        <w:jc w:val="center"/>
        <w:rPr>
          <w:rFonts w:ascii="宋体" w:hAnsi="宋体"/>
          <w:b/>
          <w:sz w:val="28"/>
          <w:szCs w:val="28"/>
        </w:rPr>
      </w:pPr>
    </w:p>
    <w:p w14:paraId="3B6B29D8">
      <w:pPr>
        <w:spacing w:line="240" w:lineRule="exact"/>
        <w:jc w:val="center"/>
        <w:rPr>
          <w:rFonts w:ascii="宋体" w:hAnsi="宋体"/>
          <w:b/>
          <w:sz w:val="28"/>
          <w:szCs w:val="28"/>
        </w:rPr>
      </w:pPr>
    </w:p>
    <w:p w14:paraId="1931288D">
      <w:pPr>
        <w:spacing w:line="240" w:lineRule="exact"/>
        <w:rPr>
          <w:rFonts w:ascii="宋体" w:hAnsi="宋体"/>
          <w:b/>
          <w:sz w:val="28"/>
          <w:szCs w:val="28"/>
        </w:rPr>
      </w:pPr>
    </w:p>
    <w:p w14:paraId="0DED5DFA">
      <w:pPr>
        <w:spacing w:line="240" w:lineRule="exact"/>
        <w:jc w:val="center"/>
        <w:rPr>
          <w:rFonts w:ascii="宋体" w:hAnsi="宋体"/>
          <w:b/>
          <w:sz w:val="28"/>
          <w:szCs w:val="28"/>
        </w:rPr>
      </w:pPr>
    </w:p>
    <w:p w14:paraId="663AEE80">
      <w:pPr>
        <w:spacing w:line="240" w:lineRule="exact"/>
        <w:jc w:val="center"/>
        <w:rPr>
          <w:rFonts w:ascii="宋体" w:hAnsi="宋体"/>
          <w:b/>
          <w:sz w:val="28"/>
          <w:szCs w:val="28"/>
        </w:rPr>
      </w:pPr>
    </w:p>
    <w:p w14:paraId="7DDC848E">
      <w:pPr>
        <w:pStyle w:val="13"/>
        <w:spacing w:line="360" w:lineRule="auto"/>
        <w:ind w:firstLine="0"/>
        <w:jc w:val="center"/>
        <w:rPr>
          <w:rFonts w:hAnsi="宋体" w:eastAsia="宋体"/>
          <w:b/>
          <w:bCs/>
          <w:sz w:val="32"/>
          <w:szCs w:val="32"/>
        </w:rPr>
      </w:pPr>
    </w:p>
    <w:p w14:paraId="0FD6368C">
      <w:pPr>
        <w:pStyle w:val="13"/>
        <w:spacing w:line="360" w:lineRule="auto"/>
        <w:ind w:firstLine="0"/>
        <w:jc w:val="center"/>
        <w:rPr>
          <w:rFonts w:hAnsi="宋体" w:eastAsia="宋体"/>
          <w:b/>
          <w:bCs/>
          <w:sz w:val="32"/>
          <w:szCs w:val="32"/>
        </w:rPr>
      </w:pPr>
    </w:p>
    <w:p w14:paraId="27F74F2F">
      <w:pPr>
        <w:pStyle w:val="13"/>
        <w:spacing w:line="360" w:lineRule="auto"/>
        <w:ind w:firstLine="0"/>
        <w:jc w:val="center"/>
        <w:rPr>
          <w:rFonts w:hAnsi="宋体" w:eastAsia="宋体"/>
          <w:b/>
          <w:bCs/>
          <w:sz w:val="32"/>
          <w:szCs w:val="32"/>
        </w:rPr>
      </w:pPr>
    </w:p>
    <w:p w14:paraId="55A58C00">
      <w:pPr>
        <w:pStyle w:val="13"/>
        <w:spacing w:line="360" w:lineRule="auto"/>
        <w:ind w:firstLine="0"/>
        <w:jc w:val="center"/>
        <w:rPr>
          <w:rFonts w:hint="eastAsia" w:hAnsi="宋体" w:eastAsia="宋体"/>
          <w:b/>
          <w:bCs/>
          <w:sz w:val="32"/>
          <w:szCs w:val="32"/>
          <w:lang w:eastAsia="zh-CN"/>
        </w:rPr>
      </w:pPr>
      <w:r>
        <w:rPr>
          <w:rFonts w:hAnsi="宋体" w:eastAsia="宋体"/>
          <w:b/>
          <w:bCs/>
          <w:sz w:val="32"/>
          <w:szCs w:val="32"/>
        </w:rPr>
        <w:t>采购人：</w:t>
      </w:r>
      <w:r>
        <w:rPr>
          <w:rFonts w:hint="eastAsia" w:hAnsi="宋体" w:eastAsia="宋体"/>
          <w:b/>
          <w:bCs/>
          <w:sz w:val="32"/>
          <w:szCs w:val="32"/>
          <w:lang w:eastAsia="zh-CN"/>
        </w:rPr>
        <w:t>河口滇越货场物流有限责任公司</w:t>
      </w:r>
    </w:p>
    <w:p w14:paraId="4AF8B23E">
      <w:pPr>
        <w:pStyle w:val="13"/>
        <w:spacing w:line="360" w:lineRule="auto"/>
        <w:jc w:val="center"/>
        <w:rPr>
          <w:rFonts w:hint="default" w:hAnsi="宋体" w:eastAsia="宋体"/>
          <w:b/>
          <w:bCs/>
          <w:sz w:val="32"/>
          <w:szCs w:val="32"/>
          <w:lang w:val="en-US"/>
        </w:rPr>
      </w:pPr>
      <w:r>
        <w:rPr>
          <w:rFonts w:hAnsi="宋体" w:eastAsia="宋体"/>
          <w:b/>
          <w:bCs/>
          <w:sz w:val="32"/>
          <w:szCs w:val="32"/>
        </w:rPr>
        <w:t>二○</w:t>
      </w:r>
      <w:r>
        <w:rPr>
          <w:rFonts w:hint="eastAsia" w:hAnsi="宋体" w:eastAsia="宋体"/>
          <w:b/>
          <w:bCs/>
          <w:sz w:val="32"/>
          <w:szCs w:val="32"/>
        </w:rPr>
        <w:t>二</w:t>
      </w:r>
      <w:r>
        <w:rPr>
          <w:rFonts w:hint="eastAsia" w:hAnsi="宋体" w:eastAsia="宋体"/>
          <w:b/>
          <w:bCs/>
          <w:sz w:val="32"/>
          <w:szCs w:val="32"/>
          <w:lang w:val="en-US" w:eastAsia="zh-CN"/>
        </w:rPr>
        <w:t>六年十月十四日</w:t>
      </w:r>
    </w:p>
    <w:p w14:paraId="41DAD0FC">
      <w:pPr>
        <w:jc w:val="center"/>
        <w:rPr>
          <w:rFonts w:ascii="宋体" w:hAnsi="宋体"/>
          <w:b/>
          <w:sz w:val="44"/>
        </w:rPr>
      </w:pPr>
    </w:p>
    <w:p w14:paraId="029032EF">
      <w:pPr>
        <w:jc w:val="left"/>
        <w:rPr>
          <w:rFonts w:ascii="宋体" w:hAnsi="宋体"/>
          <w:b/>
          <w:sz w:val="44"/>
        </w:rPr>
      </w:pPr>
      <w:r>
        <w:rPr>
          <w:rFonts w:ascii="宋体" w:hAnsi="宋体"/>
          <w:b/>
          <w:sz w:val="44"/>
        </w:rPr>
        <w:br w:type="page"/>
      </w:r>
    </w:p>
    <w:p w14:paraId="70FEB7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b/>
          <w:sz w:val="44"/>
        </w:rPr>
      </w:pPr>
      <w:r>
        <w:rPr>
          <w:rFonts w:hint="eastAsia" w:ascii="宋体" w:hAnsi="宋体"/>
          <w:b/>
          <w:sz w:val="44"/>
        </w:rPr>
        <w:t>目</w:t>
      </w:r>
      <w:r>
        <w:rPr>
          <w:rFonts w:ascii="宋体" w:hAnsi="宋体"/>
          <w:b/>
          <w:sz w:val="44"/>
        </w:rPr>
        <w:t>录</w:t>
      </w:r>
    </w:p>
    <w:p w14:paraId="5B7231C7">
      <w:pPr>
        <w:pStyle w:val="18"/>
        <w:tabs>
          <w:tab w:val="right" w:leader="dot" w:pos="9411"/>
        </w:tabs>
      </w:pPr>
      <w:r>
        <w:rPr>
          <w:rFonts w:hint="eastAsia" w:ascii="宋体" w:hAnsi="宋体" w:cs="宋体"/>
          <w:b/>
          <w:szCs w:val="21"/>
        </w:rPr>
        <w:fldChar w:fldCharType="begin"/>
      </w:r>
      <w:r>
        <w:rPr>
          <w:rFonts w:ascii="宋体" w:hAnsi="宋体" w:cs="宋体"/>
          <w:b/>
          <w:szCs w:val="21"/>
        </w:rPr>
        <w:instrText xml:space="preserve"> TOC \o "1-3" \h \z \u </w:instrText>
      </w:r>
      <w:r>
        <w:rPr>
          <w:rFonts w:hint="eastAsia" w:ascii="宋体" w:hAnsi="宋体" w:cs="宋体"/>
          <w:b/>
          <w:szCs w:val="21"/>
        </w:rPr>
        <w:fldChar w:fldCharType="separate"/>
      </w:r>
      <w:r>
        <w:rPr>
          <w:rFonts w:hint="eastAsia" w:ascii="宋体" w:hAnsi="宋体" w:cs="宋体"/>
          <w:szCs w:val="21"/>
        </w:rPr>
        <w:fldChar w:fldCharType="begin"/>
      </w:r>
      <w:r>
        <w:rPr>
          <w:rFonts w:hint="eastAsia" w:ascii="宋体" w:hAnsi="宋体" w:cs="宋体"/>
          <w:szCs w:val="21"/>
        </w:rPr>
        <w:instrText xml:space="preserve"> HYPERLINK \l _Toc414 </w:instrText>
      </w:r>
      <w:r>
        <w:rPr>
          <w:rFonts w:hint="eastAsia" w:ascii="宋体" w:hAnsi="宋体" w:cs="宋体"/>
          <w:szCs w:val="21"/>
        </w:rPr>
        <w:fldChar w:fldCharType="separate"/>
      </w:r>
      <w:r>
        <w:rPr>
          <w:rFonts w:hint="eastAsia"/>
          <w:szCs w:val="44"/>
        </w:rPr>
        <w:t>第一章</w:t>
      </w:r>
      <w:r>
        <w:rPr>
          <w:szCs w:val="44"/>
        </w:rPr>
        <w:t xml:space="preserve">  </w:t>
      </w:r>
      <w:r>
        <w:rPr>
          <w:rFonts w:hint="eastAsia"/>
          <w:szCs w:val="44"/>
        </w:rPr>
        <w:t>谈判公告</w:t>
      </w:r>
      <w:r>
        <w:tab/>
      </w:r>
      <w:r>
        <w:fldChar w:fldCharType="begin"/>
      </w:r>
      <w:r>
        <w:instrText xml:space="preserve"> PAGEREF _Toc414 \h </w:instrText>
      </w:r>
      <w:r>
        <w:fldChar w:fldCharType="separate"/>
      </w:r>
      <w:r>
        <w:t>4</w:t>
      </w:r>
      <w:r>
        <w:fldChar w:fldCharType="end"/>
      </w:r>
      <w:r>
        <w:rPr>
          <w:rFonts w:hint="eastAsia" w:ascii="宋体" w:hAnsi="宋体" w:cs="宋体"/>
          <w:szCs w:val="21"/>
        </w:rPr>
        <w:fldChar w:fldCharType="end"/>
      </w:r>
    </w:p>
    <w:p w14:paraId="78DBAF28">
      <w:pPr>
        <w:pStyle w:val="18"/>
        <w:tabs>
          <w:tab w:val="right" w:leader="dot" w:pos="9411"/>
        </w:tabs>
      </w:pPr>
      <w:r>
        <w:rPr>
          <w:rFonts w:hint="eastAsia" w:ascii="宋体" w:hAnsi="宋体" w:cs="宋体"/>
          <w:szCs w:val="21"/>
        </w:rPr>
        <w:fldChar w:fldCharType="begin"/>
      </w:r>
      <w:r>
        <w:rPr>
          <w:rFonts w:hint="eastAsia" w:ascii="宋体" w:hAnsi="宋体" w:cs="宋体"/>
          <w:szCs w:val="21"/>
        </w:rPr>
        <w:instrText xml:space="preserve"> HYPERLINK \l _Toc2029 </w:instrText>
      </w:r>
      <w:r>
        <w:rPr>
          <w:rFonts w:hint="eastAsia" w:ascii="宋体" w:hAnsi="宋体" w:cs="宋体"/>
          <w:szCs w:val="21"/>
        </w:rPr>
        <w:fldChar w:fldCharType="separate"/>
      </w:r>
      <w:r>
        <w:rPr>
          <w:rFonts w:hint="eastAsia"/>
          <w:szCs w:val="44"/>
        </w:rPr>
        <w:t>第二章</w:t>
      </w:r>
      <w:r>
        <w:rPr>
          <w:szCs w:val="44"/>
        </w:rPr>
        <w:t xml:space="preserve">  </w:t>
      </w:r>
      <w:r>
        <w:rPr>
          <w:rFonts w:hint="eastAsia"/>
          <w:szCs w:val="44"/>
        </w:rPr>
        <w:t>供应商须知</w:t>
      </w:r>
      <w:r>
        <w:tab/>
      </w:r>
      <w:r>
        <w:fldChar w:fldCharType="begin"/>
      </w:r>
      <w:r>
        <w:instrText xml:space="preserve"> PAGEREF _Toc2029 \h </w:instrText>
      </w:r>
      <w:r>
        <w:fldChar w:fldCharType="separate"/>
      </w:r>
      <w:r>
        <w:t>8</w:t>
      </w:r>
      <w:r>
        <w:fldChar w:fldCharType="end"/>
      </w:r>
      <w:r>
        <w:rPr>
          <w:rFonts w:hint="eastAsia" w:ascii="宋体" w:hAnsi="宋体" w:cs="宋体"/>
          <w:szCs w:val="21"/>
        </w:rPr>
        <w:fldChar w:fldCharType="end"/>
      </w:r>
    </w:p>
    <w:p w14:paraId="05BA9609">
      <w:pPr>
        <w:pStyle w:val="18"/>
        <w:tabs>
          <w:tab w:val="right" w:leader="dot" w:pos="9411"/>
        </w:tabs>
      </w:pPr>
      <w:r>
        <w:rPr>
          <w:rFonts w:hint="eastAsia" w:ascii="宋体" w:hAnsi="宋体" w:cs="宋体"/>
          <w:szCs w:val="21"/>
        </w:rPr>
        <w:fldChar w:fldCharType="begin"/>
      </w:r>
      <w:r>
        <w:rPr>
          <w:rFonts w:hint="eastAsia" w:ascii="宋体" w:hAnsi="宋体" w:cs="宋体"/>
          <w:szCs w:val="21"/>
        </w:rPr>
        <w:instrText xml:space="preserve"> HYPERLINK \l _Toc2122 </w:instrText>
      </w:r>
      <w:r>
        <w:rPr>
          <w:rFonts w:hint="eastAsia" w:ascii="宋体" w:hAnsi="宋体" w:cs="宋体"/>
          <w:szCs w:val="21"/>
        </w:rPr>
        <w:fldChar w:fldCharType="separate"/>
      </w:r>
      <w:r>
        <w:rPr>
          <w:rFonts w:hint="eastAsia" w:hAnsi="宋体" w:eastAsia="宋体" w:cs="宋体"/>
          <w:bCs/>
          <w:szCs w:val="48"/>
        </w:rPr>
        <w:t>第三章 合同格式</w:t>
      </w:r>
      <w:r>
        <w:tab/>
      </w:r>
      <w:r>
        <w:fldChar w:fldCharType="begin"/>
      </w:r>
      <w:r>
        <w:instrText xml:space="preserve"> PAGEREF _Toc2122 \h </w:instrText>
      </w:r>
      <w:r>
        <w:fldChar w:fldCharType="separate"/>
      </w:r>
      <w:r>
        <w:t>16</w:t>
      </w:r>
      <w:r>
        <w:fldChar w:fldCharType="end"/>
      </w:r>
      <w:r>
        <w:rPr>
          <w:rFonts w:hint="eastAsia" w:ascii="宋体" w:hAnsi="宋体" w:cs="宋体"/>
          <w:szCs w:val="21"/>
        </w:rPr>
        <w:fldChar w:fldCharType="end"/>
      </w:r>
    </w:p>
    <w:p w14:paraId="7B41E029">
      <w:pPr>
        <w:pStyle w:val="18"/>
        <w:tabs>
          <w:tab w:val="right" w:leader="dot" w:pos="9411"/>
        </w:tabs>
      </w:pPr>
      <w:r>
        <w:rPr>
          <w:rFonts w:hint="eastAsia" w:ascii="宋体" w:hAnsi="宋体" w:cs="宋体"/>
          <w:szCs w:val="21"/>
        </w:rPr>
        <w:fldChar w:fldCharType="begin"/>
      </w:r>
      <w:r>
        <w:rPr>
          <w:rFonts w:hint="eastAsia" w:ascii="宋体" w:hAnsi="宋体" w:cs="宋体"/>
          <w:szCs w:val="21"/>
        </w:rPr>
        <w:instrText xml:space="preserve"> HYPERLINK \l _Toc6658 </w:instrText>
      </w:r>
      <w:r>
        <w:rPr>
          <w:rFonts w:hint="eastAsia" w:ascii="宋体" w:hAnsi="宋体" w:cs="宋体"/>
          <w:szCs w:val="21"/>
        </w:rPr>
        <w:fldChar w:fldCharType="separate"/>
      </w:r>
      <w:r>
        <w:rPr>
          <w:rFonts w:hint="eastAsia"/>
          <w:szCs w:val="44"/>
        </w:rPr>
        <w:t>第四章</w:t>
      </w:r>
      <w:r>
        <w:rPr>
          <w:szCs w:val="44"/>
        </w:rPr>
        <w:t xml:space="preserve"> </w:t>
      </w:r>
      <w:r>
        <w:rPr>
          <w:rFonts w:hint="eastAsia"/>
          <w:szCs w:val="44"/>
        </w:rPr>
        <w:t>技术要求</w:t>
      </w:r>
      <w:r>
        <w:tab/>
      </w:r>
      <w:r>
        <w:fldChar w:fldCharType="begin"/>
      </w:r>
      <w:r>
        <w:instrText xml:space="preserve"> PAGEREF _Toc6658 \h </w:instrText>
      </w:r>
      <w:r>
        <w:fldChar w:fldCharType="separate"/>
      </w:r>
      <w:r>
        <w:t>25</w:t>
      </w:r>
      <w:r>
        <w:fldChar w:fldCharType="end"/>
      </w:r>
      <w:r>
        <w:rPr>
          <w:rFonts w:hint="eastAsia" w:ascii="宋体" w:hAnsi="宋体" w:cs="宋体"/>
          <w:szCs w:val="21"/>
        </w:rPr>
        <w:fldChar w:fldCharType="end"/>
      </w:r>
    </w:p>
    <w:p w14:paraId="78B294A8">
      <w:pPr>
        <w:pStyle w:val="18"/>
        <w:tabs>
          <w:tab w:val="right" w:leader="dot" w:pos="9411"/>
        </w:tabs>
      </w:pPr>
      <w:r>
        <w:rPr>
          <w:rFonts w:hint="eastAsia" w:ascii="宋体" w:hAnsi="宋体" w:cs="宋体"/>
          <w:szCs w:val="21"/>
        </w:rPr>
        <w:fldChar w:fldCharType="begin"/>
      </w:r>
      <w:r>
        <w:rPr>
          <w:rFonts w:hint="eastAsia" w:ascii="宋体" w:hAnsi="宋体" w:cs="宋体"/>
          <w:szCs w:val="21"/>
        </w:rPr>
        <w:instrText xml:space="preserve"> HYPERLINK \l _Toc1632 </w:instrText>
      </w:r>
      <w:r>
        <w:rPr>
          <w:rFonts w:hint="eastAsia" w:ascii="宋体" w:hAnsi="宋体" w:cs="宋体"/>
          <w:szCs w:val="21"/>
        </w:rPr>
        <w:fldChar w:fldCharType="separate"/>
      </w:r>
      <w:r>
        <w:rPr>
          <w:rFonts w:hint="eastAsia"/>
          <w:szCs w:val="44"/>
        </w:rPr>
        <w:t>第五章</w:t>
      </w:r>
      <w:r>
        <w:rPr>
          <w:szCs w:val="44"/>
        </w:rPr>
        <w:t xml:space="preserve"> </w:t>
      </w:r>
      <w:r>
        <w:rPr>
          <w:rFonts w:hint="eastAsia"/>
          <w:szCs w:val="44"/>
        </w:rPr>
        <w:t>响应文件格式</w:t>
      </w:r>
      <w:r>
        <w:tab/>
      </w:r>
      <w:r>
        <w:fldChar w:fldCharType="begin"/>
      </w:r>
      <w:r>
        <w:instrText xml:space="preserve"> PAGEREF _Toc1632 \h </w:instrText>
      </w:r>
      <w:r>
        <w:fldChar w:fldCharType="separate"/>
      </w:r>
      <w:r>
        <w:t>31</w:t>
      </w:r>
      <w:r>
        <w:fldChar w:fldCharType="end"/>
      </w:r>
      <w:r>
        <w:rPr>
          <w:rFonts w:hint="eastAsia" w:ascii="宋体" w:hAnsi="宋体" w:cs="宋体"/>
          <w:szCs w:val="21"/>
        </w:rPr>
        <w:fldChar w:fldCharType="end"/>
      </w:r>
    </w:p>
    <w:p w14:paraId="3A555F73">
      <w:pPr>
        <w:pStyle w:val="21"/>
        <w:tabs>
          <w:tab w:val="right" w:leader="dot" w:pos="9411"/>
        </w:tabs>
      </w:pPr>
      <w:r>
        <w:rPr>
          <w:rFonts w:hint="eastAsia" w:ascii="宋体" w:hAnsi="宋体" w:cs="宋体"/>
          <w:szCs w:val="21"/>
        </w:rPr>
        <w:fldChar w:fldCharType="begin"/>
      </w:r>
      <w:r>
        <w:rPr>
          <w:rFonts w:hint="eastAsia" w:ascii="宋体" w:hAnsi="宋体" w:cs="宋体"/>
          <w:szCs w:val="21"/>
        </w:rPr>
        <w:instrText xml:space="preserve"> HYPERLINK \l _Toc3810 </w:instrText>
      </w:r>
      <w:r>
        <w:rPr>
          <w:rFonts w:hint="eastAsia" w:ascii="宋体" w:hAnsi="宋体" w:cs="宋体"/>
          <w:szCs w:val="21"/>
        </w:rPr>
        <w:fldChar w:fldCharType="separate"/>
      </w:r>
      <w:r>
        <w:rPr>
          <w:rFonts w:hint="eastAsia"/>
          <w:szCs w:val="36"/>
        </w:rPr>
        <w:t>商务部分主要格式</w:t>
      </w:r>
      <w:r>
        <w:tab/>
      </w:r>
      <w:r>
        <w:fldChar w:fldCharType="begin"/>
      </w:r>
      <w:r>
        <w:instrText xml:space="preserve"> PAGEREF _Toc3810 \h </w:instrText>
      </w:r>
      <w:r>
        <w:fldChar w:fldCharType="separate"/>
      </w:r>
      <w:r>
        <w:t>31</w:t>
      </w:r>
      <w:r>
        <w:fldChar w:fldCharType="end"/>
      </w:r>
      <w:r>
        <w:rPr>
          <w:rFonts w:hint="eastAsia" w:ascii="宋体" w:hAnsi="宋体" w:cs="宋体"/>
          <w:szCs w:val="21"/>
        </w:rPr>
        <w:fldChar w:fldCharType="end"/>
      </w:r>
    </w:p>
    <w:p w14:paraId="4C8514D7">
      <w:pPr>
        <w:pStyle w:val="21"/>
        <w:tabs>
          <w:tab w:val="right" w:leader="dot" w:pos="9411"/>
        </w:tabs>
      </w:pPr>
      <w:r>
        <w:rPr>
          <w:rFonts w:hint="eastAsia" w:ascii="宋体" w:hAnsi="宋体" w:cs="宋体"/>
          <w:szCs w:val="21"/>
        </w:rPr>
        <w:fldChar w:fldCharType="begin"/>
      </w:r>
      <w:r>
        <w:rPr>
          <w:rFonts w:hint="eastAsia" w:ascii="宋体" w:hAnsi="宋体" w:cs="宋体"/>
          <w:szCs w:val="21"/>
        </w:rPr>
        <w:instrText xml:space="preserve"> HYPERLINK \l _Toc13819 </w:instrText>
      </w:r>
      <w:r>
        <w:rPr>
          <w:rFonts w:hint="eastAsia" w:ascii="宋体" w:hAnsi="宋体" w:cs="宋体"/>
          <w:szCs w:val="21"/>
        </w:rPr>
        <w:fldChar w:fldCharType="separate"/>
      </w:r>
      <w:r>
        <w:rPr>
          <w:rFonts w:hint="eastAsia"/>
          <w:szCs w:val="36"/>
        </w:rPr>
        <w:t>附件一：报价函</w:t>
      </w:r>
      <w:r>
        <w:tab/>
      </w:r>
      <w:r>
        <w:fldChar w:fldCharType="begin"/>
      </w:r>
      <w:r>
        <w:instrText xml:space="preserve"> PAGEREF _Toc13819 \h </w:instrText>
      </w:r>
      <w:r>
        <w:fldChar w:fldCharType="separate"/>
      </w:r>
      <w:r>
        <w:t>32</w:t>
      </w:r>
      <w:r>
        <w:fldChar w:fldCharType="end"/>
      </w:r>
      <w:r>
        <w:rPr>
          <w:rFonts w:hint="eastAsia" w:ascii="宋体" w:hAnsi="宋体" w:cs="宋体"/>
          <w:szCs w:val="21"/>
        </w:rPr>
        <w:fldChar w:fldCharType="end"/>
      </w:r>
    </w:p>
    <w:p w14:paraId="54700000">
      <w:pPr>
        <w:pStyle w:val="21"/>
        <w:tabs>
          <w:tab w:val="right" w:leader="dot" w:pos="9411"/>
        </w:tabs>
      </w:pPr>
      <w:r>
        <w:rPr>
          <w:rFonts w:hint="eastAsia" w:ascii="宋体" w:hAnsi="宋体" w:cs="宋体"/>
          <w:szCs w:val="21"/>
        </w:rPr>
        <w:fldChar w:fldCharType="begin"/>
      </w:r>
      <w:r>
        <w:rPr>
          <w:rFonts w:hint="eastAsia" w:ascii="宋体" w:hAnsi="宋体" w:cs="宋体"/>
          <w:szCs w:val="21"/>
        </w:rPr>
        <w:instrText xml:space="preserve"> HYPERLINK \l _Toc17032 </w:instrText>
      </w:r>
      <w:r>
        <w:rPr>
          <w:rFonts w:hint="eastAsia" w:ascii="宋体" w:hAnsi="宋体" w:cs="宋体"/>
          <w:szCs w:val="21"/>
        </w:rPr>
        <w:fldChar w:fldCharType="separate"/>
      </w:r>
      <w:r>
        <w:rPr>
          <w:rFonts w:hint="eastAsia"/>
          <w:szCs w:val="36"/>
        </w:rPr>
        <w:t>附件二：法定代表人身份证明书</w:t>
      </w:r>
      <w:r>
        <w:tab/>
      </w:r>
      <w:r>
        <w:fldChar w:fldCharType="begin"/>
      </w:r>
      <w:r>
        <w:instrText xml:space="preserve"> PAGEREF _Toc17032 \h </w:instrText>
      </w:r>
      <w:r>
        <w:fldChar w:fldCharType="separate"/>
      </w:r>
      <w:r>
        <w:t>33</w:t>
      </w:r>
      <w:r>
        <w:fldChar w:fldCharType="end"/>
      </w:r>
      <w:r>
        <w:rPr>
          <w:rFonts w:hint="eastAsia" w:ascii="宋体" w:hAnsi="宋体" w:cs="宋体"/>
          <w:szCs w:val="21"/>
        </w:rPr>
        <w:fldChar w:fldCharType="end"/>
      </w:r>
    </w:p>
    <w:p w14:paraId="1C9CE3C9">
      <w:pPr>
        <w:pStyle w:val="21"/>
        <w:tabs>
          <w:tab w:val="right" w:leader="dot" w:pos="9411"/>
        </w:tabs>
      </w:pPr>
      <w:r>
        <w:rPr>
          <w:rFonts w:hint="eastAsia" w:ascii="宋体" w:hAnsi="宋体" w:cs="宋体"/>
          <w:szCs w:val="21"/>
        </w:rPr>
        <w:fldChar w:fldCharType="begin"/>
      </w:r>
      <w:r>
        <w:rPr>
          <w:rFonts w:hint="eastAsia" w:ascii="宋体" w:hAnsi="宋体" w:cs="宋体"/>
          <w:szCs w:val="21"/>
        </w:rPr>
        <w:instrText xml:space="preserve"> HYPERLINK \l _Toc3144 </w:instrText>
      </w:r>
      <w:r>
        <w:rPr>
          <w:rFonts w:hint="eastAsia" w:ascii="宋体" w:hAnsi="宋体" w:cs="宋体"/>
          <w:szCs w:val="21"/>
        </w:rPr>
        <w:fldChar w:fldCharType="separate"/>
      </w:r>
      <w:r>
        <w:rPr>
          <w:rFonts w:hint="eastAsia"/>
          <w:szCs w:val="36"/>
        </w:rPr>
        <w:t>附件三：法定代表人授权委托书</w:t>
      </w:r>
      <w:r>
        <w:tab/>
      </w:r>
      <w:r>
        <w:fldChar w:fldCharType="begin"/>
      </w:r>
      <w:r>
        <w:instrText xml:space="preserve"> PAGEREF _Toc3144 \h </w:instrText>
      </w:r>
      <w:r>
        <w:fldChar w:fldCharType="separate"/>
      </w:r>
      <w:r>
        <w:t>34</w:t>
      </w:r>
      <w:r>
        <w:fldChar w:fldCharType="end"/>
      </w:r>
      <w:r>
        <w:rPr>
          <w:rFonts w:hint="eastAsia" w:ascii="宋体" w:hAnsi="宋体" w:cs="宋体"/>
          <w:szCs w:val="21"/>
        </w:rPr>
        <w:fldChar w:fldCharType="end"/>
      </w:r>
    </w:p>
    <w:p w14:paraId="7F3074F6">
      <w:pPr>
        <w:pStyle w:val="21"/>
        <w:tabs>
          <w:tab w:val="right" w:leader="dot" w:pos="9411"/>
        </w:tabs>
      </w:pPr>
      <w:r>
        <w:rPr>
          <w:rFonts w:hint="eastAsia" w:ascii="宋体" w:hAnsi="宋体" w:cs="宋体"/>
          <w:szCs w:val="21"/>
        </w:rPr>
        <w:fldChar w:fldCharType="begin"/>
      </w:r>
      <w:r>
        <w:rPr>
          <w:rFonts w:hint="eastAsia" w:ascii="宋体" w:hAnsi="宋体" w:cs="宋体"/>
          <w:szCs w:val="21"/>
        </w:rPr>
        <w:instrText xml:space="preserve"> HYPERLINK \l _Toc16899 </w:instrText>
      </w:r>
      <w:r>
        <w:rPr>
          <w:rFonts w:hint="eastAsia" w:ascii="宋体" w:hAnsi="宋体" w:cs="宋体"/>
          <w:szCs w:val="21"/>
        </w:rPr>
        <w:fldChar w:fldCharType="separate"/>
      </w:r>
      <w:r>
        <w:rPr>
          <w:rFonts w:hint="eastAsia"/>
          <w:szCs w:val="36"/>
        </w:rPr>
        <w:t>附件四：报价一览表</w:t>
      </w:r>
      <w:r>
        <w:tab/>
      </w:r>
      <w:r>
        <w:fldChar w:fldCharType="begin"/>
      </w:r>
      <w:r>
        <w:instrText xml:space="preserve"> PAGEREF _Toc16899 \h </w:instrText>
      </w:r>
      <w:r>
        <w:fldChar w:fldCharType="separate"/>
      </w:r>
      <w:r>
        <w:t>35</w:t>
      </w:r>
      <w:r>
        <w:fldChar w:fldCharType="end"/>
      </w:r>
      <w:r>
        <w:rPr>
          <w:rFonts w:hint="eastAsia" w:ascii="宋体" w:hAnsi="宋体" w:cs="宋体"/>
          <w:szCs w:val="21"/>
        </w:rPr>
        <w:fldChar w:fldCharType="end"/>
      </w:r>
    </w:p>
    <w:p w14:paraId="56AF866B">
      <w:pPr>
        <w:pStyle w:val="21"/>
        <w:tabs>
          <w:tab w:val="right" w:leader="dot" w:pos="9411"/>
        </w:tabs>
      </w:pPr>
      <w:r>
        <w:rPr>
          <w:rFonts w:hint="eastAsia" w:ascii="宋体" w:hAnsi="宋体" w:cs="宋体"/>
          <w:szCs w:val="21"/>
        </w:rPr>
        <w:fldChar w:fldCharType="begin"/>
      </w:r>
      <w:r>
        <w:rPr>
          <w:rFonts w:hint="eastAsia" w:ascii="宋体" w:hAnsi="宋体" w:cs="宋体"/>
          <w:szCs w:val="21"/>
        </w:rPr>
        <w:instrText xml:space="preserve"> HYPERLINK \l _Toc1101 </w:instrText>
      </w:r>
      <w:r>
        <w:rPr>
          <w:rFonts w:hint="eastAsia" w:ascii="宋体" w:hAnsi="宋体" w:cs="宋体"/>
          <w:szCs w:val="21"/>
        </w:rPr>
        <w:fldChar w:fldCharType="separate"/>
      </w:r>
      <w:r>
        <w:rPr>
          <w:rFonts w:hint="eastAsia"/>
          <w:szCs w:val="36"/>
        </w:rPr>
        <w:t>附件五：资格证明文件</w:t>
      </w:r>
      <w:r>
        <w:tab/>
      </w:r>
      <w:r>
        <w:fldChar w:fldCharType="begin"/>
      </w:r>
      <w:r>
        <w:instrText xml:space="preserve"> PAGEREF _Toc1101 \h </w:instrText>
      </w:r>
      <w:r>
        <w:fldChar w:fldCharType="separate"/>
      </w:r>
      <w:r>
        <w:t>39</w:t>
      </w:r>
      <w:r>
        <w:fldChar w:fldCharType="end"/>
      </w:r>
      <w:r>
        <w:rPr>
          <w:rFonts w:hint="eastAsia" w:ascii="宋体" w:hAnsi="宋体" w:cs="宋体"/>
          <w:szCs w:val="21"/>
        </w:rPr>
        <w:fldChar w:fldCharType="end"/>
      </w:r>
    </w:p>
    <w:p w14:paraId="3803F5C9">
      <w:pPr>
        <w:pStyle w:val="21"/>
        <w:tabs>
          <w:tab w:val="right" w:leader="dot" w:pos="9411"/>
        </w:tabs>
      </w:pPr>
      <w:r>
        <w:rPr>
          <w:rFonts w:hint="eastAsia" w:ascii="宋体" w:hAnsi="宋体" w:cs="宋体"/>
          <w:szCs w:val="21"/>
        </w:rPr>
        <w:fldChar w:fldCharType="begin"/>
      </w:r>
      <w:r>
        <w:rPr>
          <w:rFonts w:hint="eastAsia" w:ascii="宋体" w:hAnsi="宋体" w:cs="宋体"/>
          <w:szCs w:val="21"/>
        </w:rPr>
        <w:instrText xml:space="preserve"> HYPERLINK \l _Toc32174 </w:instrText>
      </w:r>
      <w:r>
        <w:rPr>
          <w:rFonts w:hint="eastAsia" w:ascii="宋体" w:hAnsi="宋体" w:cs="宋体"/>
          <w:szCs w:val="21"/>
        </w:rPr>
        <w:fldChar w:fldCharType="separate"/>
      </w:r>
      <w:r>
        <w:rPr>
          <w:rFonts w:hint="eastAsia"/>
          <w:szCs w:val="36"/>
        </w:rPr>
        <w:t>附件六：其他资料</w:t>
      </w:r>
      <w:r>
        <w:tab/>
      </w:r>
      <w:r>
        <w:fldChar w:fldCharType="begin"/>
      </w:r>
      <w:r>
        <w:instrText xml:space="preserve"> PAGEREF _Toc32174 \h </w:instrText>
      </w:r>
      <w:r>
        <w:fldChar w:fldCharType="separate"/>
      </w:r>
      <w:r>
        <w:t>41</w:t>
      </w:r>
      <w:r>
        <w:fldChar w:fldCharType="end"/>
      </w:r>
      <w:r>
        <w:rPr>
          <w:rFonts w:hint="eastAsia" w:ascii="宋体" w:hAnsi="宋体" w:cs="宋体"/>
          <w:szCs w:val="21"/>
        </w:rPr>
        <w:fldChar w:fldCharType="end"/>
      </w:r>
    </w:p>
    <w:p w14:paraId="263BA71A">
      <w:pPr>
        <w:pStyle w:val="21"/>
        <w:tabs>
          <w:tab w:val="right" w:leader="dot" w:pos="9411"/>
        </w:tabs>
      </w:pPr>
      <w:r>
        <w:rPr>
          <w:rFonts w:hint="eastAsia" w:ascii="宋体" w:hAnsi="宋体" w:cs="宋体"/>
          <w:szCs w:val="21"/>
        </w:rPr>
        <w:fldChar w:fldCharType="begin"/>
      </w:r>
      <w:r>
        <w:rPr>
          <w:rFonts w:hint="eastAsia" w:ascii="宋体" w:hAnsi="宋体" w:cs="宋体"/>
          <w:szCs w:val="21"/>
        </w:rPr>
        <w:instrText xml:space="preserve"> HYPERLINK \l _Toc20670 </w:instrText>
      </w:r>
      <w:r>
        <w:rPr>
          <w:rFonts w:hint="eastAsia" w:ascii="宋体" w:hAnsi="宋体" w:cs="宋体"/>
          <w:szCs w:val="21"/>
        </w:rPr>
        <w:fldChar w:fldCharType="separate"/>
      </w:r>
      <w:r>
        <w:rPr>
          <w:rFonts w:hint="eastAsia"/>
          <w:bCs/>
          <w:szCs w:val="36"/>
        </w:rPr>
        <w:t>技术部分主要格式</w:t>
      </w:r>
      <w:r>
        <w:tab/>
      </w:r>
      <w:r>
        <w:fldChar w:fldCharType="begin"/>
      </w:r>
      <w:r>
        <w:instrText xml:space="preserve"> PAGEREF _Toc20670 \h </w:instrText>
      </w:r>
      <w:r>
        <w:fldChar w:fldCharType="separate"/>
      </w:r>
      <w:r>
        <w:t>42</w:t>
      </w:r>
      <w:r>
        <w:fldChar w:fldCharType="end"/>
      </w:r>
      <w:r>
        <w:rPr>
          <w:rFonts w:hint="eastAsia" w:ascii="宋体" w:hAnsi="宋体" w:cs="宋体"/>
          <w:szCs w:val="21"/>
        </w:rPr>
        <w:fldChar w:fldCharType="end"/>
      </w:r>
    </w:p>
    <w:p w14:paraId="07C547B3">
      <w:pPr>
        <w:pStyle w:val="21"/>
        <w:tabs>
          <w:tab w:val="right" w:leader="dot" w:pos="9411"/>
        </w:tabs>
      </w:pPr>
      <w:r>
        <w:rPr>
          <w:rFonts w:hint="eastAsia" w:ascii="宋体" w:hAnsi="宋体" w:cs="宋体"/>
          <w:szCs w:val="21"/>
        </w:rPr>
        <w:fldChar w:fldCharType="begin"/>
      </w:r>
      <w:r>
        <w:rPr>
          <w:rFonts w:hint="eastAsia" w:ascii="宋体" w:hAnsi="宋体" w:cs="宋体"/>
          <w:szCs w:val="21"/>
        </w:rPr>
        <w:instrText xml:space="preserve"> HYPERLINK \l _Toc23078 </w:instrText>
      </w:r>
      <w:r>
        <w:rPr>
          <w:rFonts w:hint="eastAsia" w:ascii="宋体" w:hAnsi="宋体" w:cs="宋体"/>
          <w:szCs w:val="21"/>
        </w:rPr>
        <w:fldChar w:fldCharType="separate"/>
      </w:r>
      <w:r>
        <w:rPr>
          <w:rFonts w:hint="eastAsia"/>
          <w:szCs w:val="36"/>
        </w:rPr>
        <w:t>附件七：技术偏离表</w:t>
      </w:r>
      <w:r>
        <w:tab/>
      </w:r>
      <w:r>
        <w:fldChar w:fldCharType="begin"/>
      </w:r>
      <w:r>
        <w:instrText xml:space="preserve"> PAGEREF _Toc23078 \h </w:instrText>
      </w:r>
      <w:r>
        <w:fldChar w:fldCharType="separate"/>
      </w:r>
      <w:r>
        <w:t>43</w:t>
      </w:r>
      <w:r>
        <w:fldChar w:fldCharType="end"/>
      </w:r>
      <w:r>
        <w:rPr>
          <w:rFonts w:hint="eastAsia" w:ascii="宋体" w:hAnsi="宋体" w:cs="宋体"/>
          <w:szCs w:val="21"/>
        </w:rPr>
        <w:fldChar w:fldCharType="end"/>
      </w:r>
    </w:p>
    <w:p w14:paraId="32364849">
      <w:pPr>
        <w:pStyle w:val="21"/>
        <w:tabs>
          <w:tab w:val="right" w:leader="dot" w:pos="9411"/>
        </w:tabs>
      </w:pPr>
      <w:r>
        <w:rPr>
          <w:rFonts w:hint="eastAsia" w:ascii="宋体" w:hAnsi="宋体" w:cs="宋体"/>
          <w:szCs w:val="21"/>
        </w:rPr>
        <w:fldChar w:fldCharType="begin"/>
      </w:r>
      <w:r>
        <w:rPr>
          <w:rFonts w:hint="eastAsia" w:ascii="宋体" w:hAnsi="宋体" w:cs="宋体"/>
          <w:szCs w:val="21"/>
        </w:rPr>
        <w:instrText xml:space="preserve"> HYPERLINK \l _Toc13714 </w:instrText>
      </w:r>
      <w:r>
        <w:rPr>
          <w:rFonts w:hint="eastAsia" w:ascii="宋体" w:hAnsi="宋体" w:cs="宋体"/>
          <w:szCs w:val="21"/>
        </w:rPr>
        <w:fldChar w:fldCharType="separate"/>
      </w:r>
      <w:r>
        <w:rPr>
          <w:rFonts w:hint="eastAsia"/>
          <w:szCs w:val="36"/>
        </w:rPr>
        <w:t>附件八：技术响应方案</w:t>
      </w:r>
      <w:r>
        <w:tab/>
      </w:r>
      <w:r>
        <w:fldChar w:fldCharType="begin"/>
      </w:r>
      <w:r>
        <w:instrText xml:space="preserve"> PAGEREF _Toc13714 \h </w:instrText>
      </w:r>
      <w:r>
        <w:fldChar w:fldCharType="separate"/>
      </w:r>
      <w:r>
        <w:t>44</w:t>
      </w:r>
      <w:r>
        <w:fldChar w:fldCharType="end"/>
      </w:r>
      <w:r>
        <w:rPr>
          <w:rFonts w:hint="eastAsia" w:ascii="宋体" w:hAnsi="宋体" w:cs="宋体"/>
          <w:szCs w:val="21"/>
        </w:rPr>
        <w:fldChar w:fldCharType="end"/>
      </w:r>
    </w:p>
    <w:p w14:paraId="5F687D46">
      <w:pPr>
        <w:pStyle w:val="21"/>
        <w:tabs>
          <w:tab w:val="right" w:leader="dot" w:pos="9411"/>
        </w:tabs>
      </w:pPr>
      <w:r>
        <w:rPr>
          <w:rFonts w:hint="eastAsia" w:ascii="宋体" w:hAnsi="宋体" w:cs="宋体"/>
          <w:szCs w:val="21"/>
        </w:rPr>
        <w:fldChar w:fldCharType="begin"/>
      </w:r>
      <w:r>
        <w:rPr>
          <w:rFonts w:hint="eastAsia" w:ascii="宋体" w:hAnsi="宋体" w:cs="宋体"/>
          <w:szCs w:val="21"/>
        </w:rPr>
        <w:instrText xml:space="preserve"> HYPERLINK \l _Toc32274 </w:instrText>
      </w:r>
      <w:r>
        <w:rPr>
          <w:rFonts w:hint="eastAsia" w:ascii="宋体" w:hAnsi="宋体" w:cs="宋体"/>
          <w:szCs w:val="21"/>
        </w:rPr>
        <w:fldChar w:fldCharType="separate"/>
      </w:r>
      <w:r>
        <w:rPr>
          <w:rFonts w:hint="eastAsia"/>
          <w:szCs w:val="36"/>
        </w:rPr>
        <w:t>附件九：其他资料</w:t>
      </w:r>
      <w:r>
        <w:tab/>
      </w:r>
      <w:r>
        <w:fldChar w:fldCharType="begin"/>
      </w:r>
      <w:r>
        <w:instrText xml:space="preserve"> PAGEREF _Toc32274 \h </w:instrText>
      </w:r>
      <w:r>
        <w:fldChar w:fldCharType="separate"/>
      </w:r>
      <w:r>
        <w:t>44</w:t>
      </w:r>
      <w:r>
        <w:fldChar w:fldCharType="end"/>
      </w:r>
      <w:r>
        <w:rPr>
          <w:rFonts w:hint="eastAsia" w:ascii="宋体" w:hAnsi="宋体" w:cs="宋体"/>
          <w:szCs w:val="21"/>
        </w:rPr>
        <w:fldChar w:fldCharType="end"/>
      </w:r>
    </w:p>
    <w:p w14:paraId="24BDC72F">
      <w:pPr>
        <w:pStyle w:val="21"/>
        <w:tabs>
          <w:tab w:val="right" w:leader="dot" w:pos="9411"/>
        </w:tabs>
      </w:pPr>
      <w:r>
        <w:rPr>
          <w:rFonts w:hint="eastAsia" w:ascii="宋体" w:hAnsi="宋体" w:cs="宋体"/>
          <w:szCs w:val="21"/>
        </w:rPr>
        <w:fldChar w:fldCharType="begin"/>
      </w:r>
      <w:r>
        <w:rPr>
          <w:rFonts w:hint="eastAsia" w:ascii="宋体" w:hAnsi="宋体" w:cs="宋体"/>
          <w:szCs w:val="21"/>
        </w:rPr>
        <w:instrText xml:space="preserve"> HYPERLINK \l _Toc3901 </w:instrText>
      </w:r>
      <w:r>
        <w:rPr>
          <w:rFonts w:hint="eastAsia" w:ascii="宋体" w:hAnsi="宋体" w:cs="宋体"/>
          <w:szCs w:val="21"/>
        </w:rPr>
        <w:fldChar w:fldCharType="separate"/>
      </w:r>
      <w:r>
        <w:rPr>
          <w:rFonts w:hint="eastAsia"/>
          <w:szCs w:val="36"/>
        </w:rPr>
        <w:t>附件十：最后报价表</w:t>
      </w:r>
      <w:r>
        <w:tab/>
      </w:r>
      <w:r>
        <w:fldChar w:fldCharType="begin"/>
      </w:r>
      <w:r>
        <w:instrText xml:space="preserve"> PAGEREF _Toc3901 \h </w:instrText>
      </w:r>
      <w:r>
        <w:fldChar w:fldCharType="separate"/>
      </w:r>
      <w:r>
        <w:t>45</w:t>
      </w:r>
      <w:r>
        <w:fldChar w:fldCharType="end"/>
      </w:r>
      <w:r>
        <w:rPr>
          <w:rFonts w:hint="eastAsia" w:ascii="宋体" w:hAnsi="宋体" w:cs="宋体"/>
          <w:szCs w:val="21"/>
        </w:rPr>
        <w:fldChar w:fldCharType="end"/>
      </w:r>
    </w:p>
    <w:p w14:paraId="7487CB2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Cs w:val="21"/>
        </w:rPr>
      </w:pPr>
      <w:r>
        <w:rPr>
          <w:rFonts w:hint="eastAsia" w:ascii="宋体" w:hAnsi="宋体" w:cs="宋体"/>
          <w:szCs w:val="21"/>
        </w:rPr>
        <w:fldChar w:fldCharType="end"/>
      </w:r>
      <w:bookmarkStart w:id="0" w:name="_Toc11911"/>
      <w:bookmarkStart w:id="1" w:name="_Toc336273581"/>
    </w:p>
    <w:p w14:paraId="47EDD2E3">
      <w:pPr>
        <w:pStyle w:val="9"/>
        <w:rPr>
          <w:b/>
          <w:bCs/>
        </w:rPr>
        <w:sectPr>
          <w:footerReference r:id="rId3" w:type="even"/>
          <w:pgSz w:w="11906" w:h="16838"/>
          <w:pgMar w:top="1304" w:right="1304" w:bottom="1304" w:left="1191" w:header="851" w:footer="992" w:gutter="0"/>
          <w:pgBorders>
            <w:top w:val="none" w:sz="0" w:space="0"/>
            <w:left w:val="none" w:sz="0" w:space="0"/>
            <w:bottom w:val="none" w:sz="0" w:space="0"/>
            <w:right w:val="none" w:sz="0" w:space="0"/>
          </w:pgBorders>
          <w:pgNumType w:start="1"/>
          <w:cols w:space="720" w:num="1"/>
          <w:titlePg/>
          <w:docGrid w:type="lines" w:linePitch="312" w:charSpace="0"/>
        </w:sectPr>
      </w:pPr>
    </w:p>
    <w:p w14:paraId="1649C197">
      <w:pPr>
        <w:jc w:val="center"/>
        <w:rPr>
          <w:b/>
          <w:bCs/>
          <w:sz w:val="44"/>
          <w:szCs w:val="44"/>
        </w:rPr>
      </w:pPr>
      <w:r>
        <w:rPr>
          <w:rFonts w:hint="eastAsia"/>
          <w:b/>
          <w:bCs/>
          <w:sz w:val="44"/>
          <w:szCs w:val="44"/>
        </w:rPr>
        <w:t>注</w:t>
      </w:r>
      <w:r>
        <w:rPr>
          <w:b/>
          <w:bCs/>
          <w:sz w:val="44"/>
          <w:szCs w:val="44"/>
        </w:rPr>
        <w:t xml:space="preserve"> </w:t>
      </w:r>
      <w:r>
        <w:rPr>
          <w:rFonts w:hint="eastAsia"/>
          <w:b/>
          <w:bCs/>
          <w:sz w:val="44"/>
          <w:szCs w:val="44"/>
        </w:rPr>
        <w:t>意</w:t>
      </w:r>
      <w:r>
        <w:rPr>
          <w:b/>
          <w:bCs/>
          <w:sz w:val="44"/>
          <w:szCs w:val="44"/>
        </w:rPr>
        <w:t xml:space="preserve"> </w:t>
      </w:r>
      <w:r>
        <w:rPr>
          <w:rFonts w:hint="eastAsia"/>
          <w:b/>
          <w:bCs/>
          <w:sz w:val="44"/>
          <w:szCs w:val="44"/>
        </w:rPr>
        <w:t>事</w:t>
      </w:r>
      <w:r>
        <w:rPr>
          <w:b/>
          <w:bCs/>
          <w:sz w:val="44"/>
          <w:szCs w:val="44"/>
        </w:rPr>
        <w:t xml:space="preserve"> </w:t>
      </w:r>
      <w:r>
        <w:rPr>
          <w:rFonts w:hint="eastAsia"/>
          <w:b/>
          <w:bCs/>
          <w:sz w:val="44"/>
          <w:szCs w:val="44"/>
        </w:rPr>
        <w:t>项</w:t>
      </w:r>
      <w:bookmarkEnd w:id="0"/>
    </w:p>
    <w:p w14:paraId="26947B26">
      <w:pPr>
        <w:spacing w:before="156" w:beforeLines="50" w:line="360" w:lineRule="auto"/>
        <w:rPr>
          <w:rFonts w:ascii="宋体" w:hAnsi="宋体" w:cs="黑体"/>
          <w:b/>
          <w:sz w:val="28"/>
          <w:szCs w:val="28"/>
        </w:rPr>
      </w:pPr>
      <w:r>
        <w:rPr>
          <w:rFonts w:hint="eastAsia" w:ascii="宋体" w:hAnsi="宋体" w:cs="黑体"/>
          <w:b/>
          <w:sz w:val="28"/>
          <w:szCs w:val="28"/>
          <w:lang w:bidi="ar"/>
        </w:rPr>
        <w:t>各供应商：</w:t>
      </w:r>
    </w:p>
    <w:p w14:paraId="29452A9C">
      <w:pPr>
        <w:spacing w:line="360" w:lineRule="auto"/>
        <w:ind w:firstLine="504" w:firstLineChars="180"/>
        <w:rPr>
          <w:rFonts w:ascii="宋体" w:hAnsi="宋体" w:cs="黑体"/>
          <w:b/>
          <w:sz w:val="28"/>
          <w:szCs w:val="28"/>
        </w:rPr>
      </w:pPr>
      <w:r>
        <w:rPr>
          <w:rFonts w:hint="eastAsia" w:ascii="宋体" w:hAnsi="宋体" w:cs="黑体"/>
          <w:b/>
          <w:sz w:val="28"/>
          <w:szCs w:val="28"/>
          <w:lang w:bidi="ar"/>
        </w:rPr>
        <w:t>为遵循竞争性谈判的有关规定，在您出席谈判会时，应注意以下事项：</w:t>
      </w:r>
    </w:p>
    <w:p w14:paraId="5D80794A">
      <w:pPr>
        <w:spacing w:line="360" w:lineRule="auto"/>
        <w:ind w:firstLine="504" w:firstLineChars="180"/>
        <w:rPr>
          <w:rFonts w:ascii="宋体" w:hAnsi="宋体" w:cs="宋体"/>
          <w:b/>
          <w:sz w:val="28"/>
          <w:szCs w:val="28"/>
        </w:rPr>
      </w:pPr>
      <w:r>
        <w:rPr>
          <w:rFonts w:hint="eastAsia" w:ascii="宋体" w:hAnsi="宋体" w:cs="黑体"/>
          <w:b/>
          <w:sz w:val="28"/>
          <w:szCs w:val="28"/>
          <w:lang w:bidi="ar"/>
        </w:rPr>
        <w:t>应答单位须随身携带下列证明文件以供审验：</w:t>
      </w:r>
    </w:p>
    <w:p w14:paraId="24B9E4D3">
      <w:pPr>
        <w:pStyle w:val="6"/>
        <w:keepLines/>
        <w:spacing w:line="360" w:lineRule="auto"/>
        <w:ind w:firstLine="560" w:firstLineChars="200"/>
        <w:rPr>
          <w:rFonts w:ascii="宋体" w:hAnsi="宋体" w:cs="宋体"/>
          <w:b/>
          <w:sz w:val="28"/>
          <w:szCs w:val="28"/>
        </w:rPr>
      </w:pPr>
      <w:r>
        <w:rPr>
          <w:rFonts w:ascii="宋体" w:hAnsi="宋体" w:cs="宋体"/>
          <w:b/>
          <w:sz w:val="28"/>
          <w:szCs w:val="28"/>
        </w:rPr>
        <w:t>1、法定代表人身份证明书（加盖公章）；</w:t>
      </w:r>
    </w:p>
    <w:p w14:paraId="0A8C3D6F">
      <w:pPr>
        <w:pStyle w:val="6"/>
        <w:keepLines/>
        <w:spacing w:line="360" w:lineRule="auto"/>
        <w:ind w:firstLine="560" w:firstLineChars="200"/>
        <w:rPr>
          <w:rFonts w:ascii="宋体" w:hAnsi="宋体"/>
          <w:b/>
          <w:sz w:val="28"/>
          <w:szCs w:val="28"/>
        </w:rPr>
      </w:pPr>
      <w:r>
        <w:rPr>
          <w:rFonts w:ascii="宋体" w:hAnsi="宋体" w:cs="宋体"/>
          <w:b/>
          <w:sz w:val="28"/>
          <w:szCs w:val="28"/>
        </w:rPr>
        <w:t xml:space="preserve">2、 </w:t>
      </w:r>
      <w:r>
        <w:rPr>
          <w:rFonts w:hint="eastAsia" w:ascii="宋体" w:hAnsi="宋体" w:cs="宋体"/>
          <w:b/>
          <w:sz w:val="28"/>
          <w:szCs w:val="28"/>
        </w:rPr>
        <w:t>应答人法定代表人授权委托书（加盖公章，若法定代表人出席例外）；</w:t>
      </w:r>
      <w:r>
        <w:rPr>
          <w:rFonts w:ascii="宋体" w:hAnsi="宋体"/>
          <w:b/>
          <w:sz w:val="28"/>
          <w:szCs w:val="28"/>
        </w:rPr>
        <w:t xml:space="preserve"> </w:t>
      </w:r>
    </w:p>
    <w:p w14:paraId="411D8971">
      <w:pPr>
        <w:pStyle w:val="6"/>
        <w:keepLines/>
        <w:spacing w:line="360" w:lineRule="auto"/>
        <w:ind w:firstLine="560" w:firstLineChars="200"/>
        <w:rPr>
          <w:rFonts w:ascii="宋体" w:hAnsi="宋体"/>
          <w:b/>
          <w:sz w:val="28"/>
          <w:szCs w:val="28"/>
        </w:rPr>
      </w:pPr>
      <w:r>
        <w:rPr>
          <w:rFonts w:ascii="宋体" w:hAnsi="宋体"/>
          <w:b/>
          <w:sz w:val="28"/>
          <w:szCs w:val="28"/>
        </w:rPr>
        <w:t>3</w:t>
      </w:r>
      <w:r>
        <w:rPr>
          <w:rFonts w:hint="eastAsia" w:ascii="宋体" w:hAnsi="宋体" w:cs="宋体"/>
          <w:b/>
          <w:sz w:val="28"/>
          <w:szCs w:val="28"/>
        </w:rPr>
        <w:t>、</w:t>
      </w:r>
      <w:r>
        <w:rPr>
          <w:rFonts w:ascii="宋体" w:hAnsi="宋体" w:cs="宋体"/>
          <w:b/>
          <w:sz w:val="28"/>
          <w:szCs w:val="28"/>
        </w:rPr>
        <w:t xml:space="preserve"> </w:t>
      </w:r>
      <w:r>
        <w:rPr>
          <w:rFonts w:hint="eastAsia" w:ascii="宋体" w:hAnsi="宋体" w:cs="宋体"/>
          <w:b/>
          <w:sz w:val="28"/>
          <w:szCs w:val="28"/>
        </w:rPr>
        <w:t>若法定代表人参加谈判会议的，应携带本人身份证原件到谈判现场；若授权委托人参加谈判会议的，应携带本人身份证原件到谈判现场。</w:t>
      </w:r>
    </w:p>
    <w:p w14:paraId="252E7DC8">
      <w:pPr>
        <w:pStyle w:val="6"/>
        <w:keepLines/>
        <w:spacing w:line="360" w:lineRule="auto"/>
        <w:ind w:firstLine="560" w:firstLineChars="200"/>
        <w:rPr>
          <w:rFonts w:ascii="宋体" w:hAnsi="宋体" w:cs="宋体"/>
          <w:sz w:val="28"/>
          <w:szCs w:val="28"/>
        </w:rPr>
      </w:pPr>
      <w:r>
        <w:rPr>
          <w:rFonts w:hint="eastAsia" w:ascii="宋体" w:hAnsi="宋体" w:cs="宋体"/>
          <w:sz w:val="28"/>
          <w:szCs w:val="28"/>
        </w:rPr>
        <w:t>注：法定代表人身份证明书及法定代表人授权委托书需在响应文件外携带一份原件到谈判现场。</w:t>
      </w:r>
    </w:p>
    <w:p w14:paraId="4AEE2DD9">
      <w:pPr>
        <w:jc w:val="center"/>
        <w:outlineLvl w:val="0"/>
        <w:rPr>
          <w:b/>
          <w:sz w:val="44"/>
          <w:szCs w:val="44"/>
        </w:rPr>
        <w:sectPr>
          <w:headerReference r:id="rId4" w:type="default"/>
          <w:footerReference r:id="rId5" w:type="default"/>
          <w:pgSz w:w="11906" w:h="16838"/>
          <w:pgMar w:top="1304" w:right="1191" w:bottom="1304" w:left="1304" w:header="851" w:footer="992" w:gutter="0"/>
          <w:pgBorders>
            <w:top w:val="none" w:sz="0" w:space="0"/>
            <w:left w:val="none" w:sz="0" w:space="0"/>
            <w:bottom w:val="none" w:sz="0" w:space="0"/>
            <w:right w:val="none" w:sz="0" w:space="0"/>
          </w:pgBorders>
          <w:cols w:space="720" w:num="1"/>
          <w:docGrid w:type="linesAndChars" w:linePitch="312" w:charSpace="0"/>
        </w:sectPr>
      </w:pPr>
      <w:bookmarkStart w:id="2" w:name="_Toc32330"/>
      <w:bookmarkStart w:id="3" w:name="_Toc27270"/>
      <w:bookmarkStart w:id="4" w:name="_Toc10640"/>
      <w:bookmarkStart w:id="5" w:name="_Toc27041577"/>
      <w:bookmarkStart w:id="6" w:name="_Toc2550"/>
      <w:bookmarkStart w:id="7" w:name="_Toc9684"/>
    </w:p>
    <w:p w14:paraId="1A1C5A66">
      <w:pPr>
        <w:jc w:val="center"/>
        <w:outlineLvl w:val="0"/>
        <w:rPr>
          <w:rFonts w:cs="黑体"/>
          <w:color w:val="auto"/>
          <w:sz w:val="24"/>
        </w:rPr>
      </w:pPr>
      <w:bookmarkStart w:id="8" w:name="_Toc5835"/>
      <w:bookmarkStart w:id="9" w:name="_Toc414"/>
      <w:r>
        <w:rPr>
          <w:rFonts w:hint="eastAsia"/>
          <w:b/>
          <w:sz w:val="44"/>
          <w:szCs w:val="44"/>
        </w:rPr>
        <w:t>第一章</w:t>
      </w:r>
      <w:r>
        <w:rPr>
          <w:b/>
          <w:sz w:val="44"/>
          <w:szCs w:val="44"/>
        </w:rPr>
        <w:t xml:space="preserve">  </w:t>
      </w:r>
      <w:bookmarkEnd w:id="1"/>
      <w:r>
        <w:rPr>
          <w:rFonts w:hint="eastAsia"/>
          <w:b/>
          <w:sz w:val="44"/>
          <w:szCs w:val="44"/>
        </w:rPr>
        <w:t>谈判</w:t>
      </w:r>
      <w:bookmarkEnd w:id="2"/>
      <w:bookmarkEnd w:id="3"/>
      <w:bookmarkEnd w:id="4"/>
      <w:bookmarkEnd w:id="5"/>
      <w:bookmarkEnd w:id="6"/>
      <w:bookmarkEnd w:id="7"/>
      <w:r>
        <w:rPr>
          <w:rFonts w:hint="eastAsia"/>
          <w:b/>
          <w:sz w:val="44"/>
          <w:szCs w:val="44"/>
        </w:rPr>
        <w:t>公告</w:t>
      </w:r>
      <w:bookmarkEnd w:id="8"/>
      <w:bookmarkEnd w:id="9"/>
    </w:p>
    <w:p w14:paraId="4CC4C575">
      <w:pPr>
        <w:spacing w:line="360" w:lineRule="auto"/>
        <w:ind w:firstLine="570"/>
        <w:rPr>
          <w:rFonts w:cs="黑体"/>
          <w:color w:val="auto"/>
          <w:sz w:val="24"/>
        </w:rPr>
      </w:pPr>
      <w:r>
        <w:rPr>
          <w:rFonts w:hint="eastAsia" w:ascii="宋体" w:hAnsi="宋体" w:cs="黑体"/>
          <w:sz w:val="24"/>
          <w:lang w:eastAsia="zh-CN"/>
        </w:rPr>
        <w:t>河口滇越货场物流有限责任公司</w:t>
      </w:r>
      <w:r>
        <w:rPr>
          <w:rFonts w:hint="eastAsia" w:ascii="宋体" w:hAnsi="宋体" w:cs="黑体"/>
          <w:color w:val="auto"/>
          <w:sz w:val="24"/>
        </w:rPr>
        <w:t>（以下简称“采购人”）就</w:t>
      </w:r>
      <w:r>
        <w:rPr>
          <w:rFonts w:hint="eastAsia" w:ascii="宋体" w:hAnsi="宋体" w:cs="黑体"/>
          <w:sz w:val="24"/>
          <w:u w:val="single"/>
          <w:lang w:eastAsia="zh-CN"/>
        </w:rPr>
        <w:t>北山国际货场企业标识牌采购项目</w:t>
      </w:r>
      <w:r>
        <w:rPr>
          <w:rFonts w:hint="eastAsia" w:ascii="宋体" w:hAnsi="宋体" w:cs="黑体"/>
          <w:color w:val="auto"/>
          <w:sz w:val="24"/>
        </w:rPr>
        <w:t>进行竞争性谈判</w:t>
      </w:r>
      <w:r>
        <w:rPr>
          <w:rFonts w:hint="eastAsia" w:cs="黑体"/>
          <w:color w:val="auto"/>
          <w:sz w:val="24"/>
        </w:rPr>
        <w:t>。</w:t>
      </w:r>
    </w:p>
    <w:p w14:paraId="33D80181">
      <w:pPr>
        <w:spacing w:line="360" w:lineRule="auto"/>
        <w:rPr>
          <w:b/>
          <w:bCs/>
          <w:sz w:val="24"/>
        </w:rPr>
      </w:pPr>
      <w:r>
        <w:rPr>
          <w:rFonts w:hint="eastAsia"/>
          <w:b/>
          <w:bCs/>
          <w:sz w:val="24"/>
        </w:rPr>
        <w:t>一、采购标的名称、采购范围及数量、采购产品技术要求</w:t>
      </w:r>
    </w:p>
    <w:p w14:paraId="00BE90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sz w:val="24"/>
          <w:szCs w:val="24"/>
          <w:lang w:val="en-US" w:eastAsia="zh-CN"/>
        </w:rPr>
      </w:pPr>
      <w:r>
        <w:rPr>
          <w:rFonts w:hint="eastAsia" w:ascii="宋体" w:hAnsi="宋体" w:eastAsia="宋体" w:cs="宋体"/>
          <w:sz w:val="24"/>
          <w:szCs w:val="24"/>
        </w:rPr>
        <w:t>1.项目名称：</w:t>
      </w:r>
      <w:r>
        <w:rPr>
          <w:rFonts w:hint="eastAsia" w:ascii="宋体" w:hAnsi="宋体" w:cs="宋体"/>
          <w:sz w:val="24"/>
          <w:szCs w:val="24"/>
          <w:lang w:eastAsia="zh-CN"/>
        </w:rPr>
        <w:t>北山国际货场企业标识牌采购项目</w:t>
      </w:r>
    </w:p>
    <w:p w14:paraId="2E1E71FE">
      <w:pPr>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sz w:val="24"/>
          <w:szCs w:val="24"/>
          <w:lang w:val="zh-CN" w:eastAsia="zh-CN"/>
        </w:rPr>
      </w:pPr>
      <w:r>
        <w:rPr>
          <w:rFonts w:hint="eastAsia" w:ascii="宋体" w:hAnsi="宋体" w:cs="宋体"/>
          <w:sz w:val="24"/>
          <w:lang w:val="en-US" w:eastAsia="zh-CN"/>
        </w:rPr>
        <w:t>2.</w:t>
      </w:r>
      <w:r>
        <w:rPr>
          <w:rFonts w:hint="eastAsia" w:ascii="宋体" w:hAnsi="宋体" w:eastAsia="宋体" w:cs="宋体"/>
          <w:sz w:val="24"/>
          <w:szCs w:val="24"/>
        </w:rPr>
        <w:t>采购需求：</w:t>
      </w:r>
      <w:r>
        <w:rPr>
          <w:rFonts w:hint="eastAsia" w:ascii="宋体" w:hAnsi="宋体" w:eastAsia="宋体" w:cs="宋体"/>
          <w:sz w:val="24"/>
          <w:szCs w:val="24"/>
          <w:lang w:val="zh-CN" w:eastAsia="zh-CN"/>
        </w:rPr>
        <w:t>旧标识牌安全拆除及清运处置、新标识牌制作、高空吊装作业、安装及土建恢复。主要涉及货场内四个核心区域的标识拆除与更换，</w:t>
      </w:r>
      <w:r>
        <w:rPr>
          <w:rFonts w:hint="eastAsia" w:ascii="宋体" w:hAnsi="宋体" w:eastAsia="宋体" w:cs="宋体"/>
          <w:sz w:val="24"/>
          <w:szCs w:val="24"/>
          <w:lang w:val="en-US" w:eastAsia="zh-CN"/>
        </w:rPr>
        <w:t>及对标识标牌现有钢架进行除锈养护处理</w:t>
      </w:r>
      <w:r>
        <w:rPr>
          <w:rFonts w:hint="eastAsia" w:ascii="宋体" w:hAnsi="宋体" w:eastAsia="宋体" w:cs="宋体"/>
          <w:sz w:val="24"/>
          <w:szCs w:val="24"/>
          <w:lang w:val="zh-CN" w:eastAsia="zh-CN"/>
        </w:rPr>
        <w:t>，具体点位如下：</w:t>
      </w:r>
    </w:p>
    <w:tbl>
      <w:tblPr>
        <w:tblStyle w:val="26"/>
        <w:tblW w:w="95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1"/>
        <w:gridCol w:w="832"/>
        <w:gridCol w:w="1980"/>
        <w:gridCol w:w="960"/>
        <w:gridCol w:w="960"/>
        <w:gridCol w:w="690"/>
        <w:gridCol w:w="1065"/>
        <w:gridCol w:w="2488"/>
      </w:tblGrid>
      <w:tr w14:paraId="2A7FF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54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59017D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832" w:type="dxa"/>
            <w:tcBorders>
              <w:top w:val="single" w:color="000000" w:sz="8" w:space="0"/>
              <w:left w:val="nil"/>
              <w:bottom w:val="single" w:color="000000" w:sz="8" w:space="0"/>
              <w:right w:val="single" w:color="000000" w:sz="8" w:space="0"/>
            </w:tcBorders>
            <w:shd w:val="clear" w:color="auto" w:fill="FFFFFF"/>
            <w:vAlign w:val="center"/>
          </w:tcPr>
          <w:p w14:paraId="651E13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位置</w:t>
            </w:r>
          </w:p>
        </w:tc>
        <w:tc>
          <w:tcPr>
            <w:tcW w:w="1980" w:type="dxa"/>
            <w:tcBorders>
              <w:top w:val="single" w:color="000000" w:sz="8" w:space="0"/>
              <w:left w:val="nil"/>
              <w:bottom w:val="single" w:color="000000" w:sz="8" w:space="0"/>
              <w:right w:val="single" w:color="000000" w:sz="8" w:space="0"/>
            </w:tcBorders>
            <w:shd w:val="clear" w:color="auto" w:fill="FFFFFF"/>
            <w:vAlign w:val="center"/>
          </w:tcPr>
          <w:p w14:paraId="5939D6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需求内容</w:t>
            </w:r>
          </w:p>
        </w:tc>
        <w:tc>
          <w:tcPr>
            <w:tcW w:w="960" w:type="dxa"/>
            <w:tcBorders>
              <w:top w:val="single" w:color="000000" w:sz="8" w:space="0"/>
              <w:left w:val="nil"/>
              <w:bottom w:val="single" w:color="000000" w:sz="8" w:space="0"/>
              <w:right w:val="single" w:color="000000" w:sz="8" w:space="0"/>
            </w:tcBorders>
            <w:shd w:val="clear" w:color="auto" w:fill="FFFFFF"/>
            <w:vAlign w:val="center"/>
          </w:tcPr>
          <w:p w14:paraId="06776B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规格</w:t>
            </w:r>
          </w:p>
        </w:tc>
        <w:tc>
          <w:tcPr>
            <w:tcW w:w="960" w:type="dxa"/>
            <w:tcBorders>
              <w:top w:val="single" w:color="000000" w:sz="8" w:space="0"/>
              <w:left w:val="nil"/>
              <w:bottom w:val="single" w:color="000000" w:sz="8" w:space="0"/>
              <w:right w:val="single" w:color="000000" w:sz="8" w:space="0"/>
            </w:tcBorders>
            <w:shd w:val="clear" w:color="auto" w:fill="FFFFFF"/>
            <w:vAlign w:val="center"/>
          </w:tcPr>
          <w:p w14:paraId="7CC53F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690" w:type="dxa"/>
            <w:tcBorders>
              <w:top w:val="single" w:color="000000" w:sz="8" w:space="0"/>
              <w:left w:val="nil"/>
              <w:bottom w:val="single" w:color="000000" w:sz="8" w:space="0"/>
              <w:right w:val="single" w:color="000000" w:sz="8" w:space="0"/>
            </w:tcBorders>
            <w:shd w:val="clear" w:color="auto" w:fill="FFFFFF"/>
            <w:vAlign w:val="center"/>
          </w:tcPr>
          <w:p w14:paraId="2C61BF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065" w:type="dxa"/>
            <w:tcBorders>
              <w:top w:val="single" w:color="000000" w:sz="8" w:space="0"/>
              <w:left w:val="nil"/>
              <w:bottom w:val="single" w:color="000000" w:sz="8" w:space="0"/>
              <w:right w:val="single" w:color="000000" w:sz="8" w:space="0"/>
            </w:tcBorders>
            <w:shd w:val="clear" w:color="auto" w:fill="FFFFFF"/>
            <w:vAlign w:val="center"/>
          </w:tcPr>
          <w:p w14:paraId="416BE6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面积（㎡）</w:t>
            </w:r>
          </w:p>
        </w:tc>
        <w:tc>
          <w:tcPr>
            <w:tcW w:w="2488" w:type="dxa"/>
            <w:tcBorders>
              <w:top w:val="single" w:color="000000" w:sz="8" w:space="0"/>
              <w:left w:val="nil"/>
              <w:bottom w:val="nil"/>
              <w:right w:val="single" w:color="000000" w:sz="8" w:space="0"/>
            </w:tcBorders>
            <w:shd w:val="clear" w:color="auto" w:fill="FFFFFF"/>
            <w:vAlign w:val="center"/>
          </w:tcPr>
          <w:p w14:paraId="5F1D40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实景图</w:t>
            </w:r>
          </w:p>
        </w:tc>
      </w:tr>
      <w:tr w14:paraId="71324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41" w:type="dxa"/>
            <w:vMerge w:val="restart"/>
            <w:tcBorders>
              <w:top w:val="nil"/>
              <w:left w:val="single" w:color="000000" w:sz="8" w:space="0"/>
              <w:bottom w:val="single" w:color="000000" w:sz="8" w:space="0"/>
              <w:right w:val="single" w:color="000000" w:sz="8" w:space="0"/>
            </w:tcBorders>
            <w:shd w:val="clear" w:color="auto" w:fill="FFFFFF"/>
            <w:vAlign w:val="center"/>
          </w:tcPr>
          <w:p w14:paraId="040C1D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832" w:type="dxa"/>
            <w:vMerge w:val="restart"/>
            <w:tcBorders>
              <w:top w:val="nil"/>
              <w:left w:val="nil"/>
              <w:bottom w:val="single" w:color="000000" w:sz="8" w:space="0"/>
              <w:right w:val="single" w:color="000000" w:sz="8" w:space="0"/>
            </w:tcBorders>
            <w:shd w:val="clear" w:color="auto" w:fill="FFFFFF"/>
            <w:vAlign w:val="center"/>
          </w:tcPr>
          <w:p w14:paraId="70776D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河口县北山国际货场北卡口</w:t>
            </w:r>
          </w:p>
        </w:tc>
        <w:tc>
          <w:tcPr>
            <w:tcW w:w="1980" w:type="dxa"/>
            <w:tcBorders>
              <w:top w:val="nil"/>
              <w:left w:val="nil"/>
              <w:bottom w:val="single" w:color="000000" w:sz="8" w:space="0"/>
              <w:right w:val="single" w:color="000000" w:sz="8" w:space="0"/>
            </w:tcBorders>
            <w:shd w:val="clear" w:color="auto" w:fill="FFFFFF"/>
            <w:vAlign w:val="center"/>
          </w:tcPr>
          <w:p w14:paraId="73D2F0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更换logo标志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（外露led发光字）</w:t>
            </w:r>
          </w:p>
        </w:tc>
        <w:tc>
          <w:tcPr>
            <w:tcW w:w="960" w:type="dxa"/>
            <w:tcBorders>
              <w:top w:val="nil"/>
              <w:left w:val="nil"/>
              <w:bottom w:val="single" w:color="000000" w:sz="8" w:space="0"/>
              <w:right w:val="single" w:color="000000" w:sz="8" w:space="0"/>
            </w:tcBorders>
            <w:shd w:val="clear" w:color="auto" w:fill="FFFFFF"/>
            <w:vAlign w:val="center"/>
          </w:tcPr>
          <w:p w14:paraId="1C6692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3.8 * 2.1</w:t>
            </w:r>
          </w:p>
        </w:tc>
        <w:tc>
          <w:tcPr>
            <w:tcW w:w="960" w:type="dxa"/>
            <w:tcBorders>
              <w:top w:val="nil"/>
              <w:left w:val="nil"/>
              <w:bottom w:val="single" w:color="000000" w:sz="8" w:space="0"/>
              <w:right w:val="single" w:color="000000" w:sz="8" w:space="0"/>
            </w:tcBorders>
            <w:shd w:val="clear" w:color="auto" w:fill="FFFFFF"/>
            <w:vAlign w:val="center"/>
          </w:tcPr>
          <w:p w14:paraId="5E8C33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690" w:type="dxa"/>
            <w:tcBorders>
              <w:top w:val="nil"/>
              <w:left w:val="nil"/>
              <w:bottom w:val="single" w:color="000000" w:sz="8" w:space="0"/>
              <w:right w:val="single" w:color="000000" w:sz="8" w:space="0"/>
            </w:tcBorders>
            <w:shd w:val="clear" w:color="auto" w:fill="FFFFFF"/>
            <w:vAlign w:val="center"/>
          </w:tcPr>
          <w:p w14:paraId="4E26D8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2E8BB5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7.98</w:t>
            </w:r>
          </w:p>
        </w:tc>
        <w:tc>
          <w:tcPr>
            <w:tcW w:w="2488" w:type="dxa"/>
            <w:vMerge w:val="restart"/>
            <w:tcBorders>
              <w:top w:val="single" w:color="000000" w:sz="8" w:space="0"/>
              <w:left w:val="single" w:color="000000" w:sz="8" w:space="0"/>
              <w:bottom w:val="nil"/>
              <w:right w:val="single" w:color="000000" w:sz="8" w:space="0"/>
            </w:tcBorders>
            <w:shd w:val="clear" w:color="auto" w:fill="auto"/>
            <w:noWrap/>
            <w:vAlign w:val="center"/>
          </w:tcPr>
          <w:p w14:paraId="617EDD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drawing>
                <wp:inline distT="0" distB="0" distL="114300" distR="114300">
                  <wp:extent cx="1353185" cy="1495425"/>
                  <wp:effectExtent l="0" t="0" r="18415" b="9525"/>
                  <wp:docPr id="7"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56"/>
                          <pic:cNvPicPr>
                            <a:picLocks noChangeAspect="1"/>
                          </pic:cNvPicPr>
                        </pic:nvPicPr>
                        <pic:blipFill>
                          <a:blip r:embed="rId9"/>
                          <a:stretch>
                            <a:fillRect/>
                          </a:stretch>
                        </pic:blipFill>
                        <pic:spPr>
                          <a:xfrm>
                            <a:off x="0" y="0"/>
                            <a:ext cx="1353185" cy="1495425"/>
                          </a:xfrm>
                          <a:prstGeom prst="rect">
                            <a:avLst/>
                          </a:prstGeom>
                          <a:noFill/>
                          <a:ln w="9525">
                            <a:noFill/>
                          </a:ln>
                        </pic:spPr>
                      </pic:pic>
                    </a:graphicData>
                  </a:graphic>
                </wp:inline>
              </w:drawing>
            </w:r>
          </w:p>
        </w:tc>
      </w:tr>
      <w:tr w14:paraId="62656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47C4853E">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322AC976">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22DA43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更换中文（外露led发光字）</w:t>
            </w:r>
          </w:p>
        </w:tc>
        <w:tc>
          <w:tcPr>
            <w:tcW w:w="960" w:type="dxa"/>
            <w:tcBorders>
              <w:top w:val="nil"/>
              <w:left w:val="nil"/>
              <w:bottom w:val="single" w:color="000000" w:sz="8" w:space="0"/>
              <w:right w:val="single" w:color="000000" w:sz="8" w:space="0"/>
            </w:tcBorders>
            <w:shd w:val="clear" w:color="auto" w:fill="FFFFFF"/>
            <w:vAlign w:val="center"/>
          </w:tcPr>
          <w:p w14:paraId="21DDC6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1.1 * 1</w:t>
            </w:r>
          </w:p>
        </w:tc>
        <w:tc>
          <w:tcPr>
            <w:tcW w:w="960" w:type="dxa"/>
            <w:tcBorders>
              <w:top w:val="nil"/>
              <w:left w:val="nil"/>
              <w:bottom w:val="single" w:color="000000" w:sz="8" w:space="0"/>
              <w:right w:val="single" w:color="000000" w:sz="8" w:space="0"/>
            </w:tcBorders>
            <w:shd w:val="clear" w:color="auto" w:fill="FFFFFF"/>
            <w:vAlign w:val="center"/>
          </w:tcPr>
          <w:p w14:paraId="2AA6C1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690" w:type="dxa"/>
            <w:tcBorders>
              <w:top w:val="nil"/>
              <w:left w:val="nil"/>
              <w:bottom w:val="single" w:color="000000" w:sz="8" w:space="0"/>
              <w:right w:val="single" w:color="000000" w:sz="8" w:space="0"/>
            </w:tcBorders>
            <w:shd w:val="clear" w:color="auto" w:fill="FFFFFF"/>
            <w:vAlign w:val="center"/>
          </w:tcPr>
          <w:p w14:paraId="1641B7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49A4EE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2488" w:type="dxa"/>
            <w:vMerge w:val="continue"/>
            <w:tcBorders>
              <w:top w:val="single" w:color="000000" w:sz="8" w:space="0"/>
              <w:left w:val="single" w:color="000000" w:sz="8" w:space="0"/>
              <w:bottom w:val="nil"/>
              <w:right w:val="single" w:color="000000" w:sz="8" w:space="0"/>
            </w:tcBorders>
            <w:shd w:val="clear" w:color="auto" w:fill="auto"/>
            <w:noWrap/>
            <w:vAlign w:val="center"/>
          </w:tcPr>
          <w:p w14:paraId="60460216">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4D86F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7FF7A8C7">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1235ABC1">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532EF3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更换英文（外露led发光字）</w:t>
            </w:r>
          </w:p>
        </w:tc>
        <w:tc>
          <w:tcPr>
            <w:tcW w:w="960" w:type="dxa"/>
            <w:tcBorders>
              <w:top w:val="nil"/>
              <w:left w:val="nil"/>
              <w:bottom w:val="single" w:color="000000" w:sz="8" w:space="0"/>
              <w:right w:val="single" w:color="000000" w:sz="8" w:space="0"/>
            </w:tcBorders>
            <w:shd w:val="clear" w:color="auto" w:fill="FFFFFF"/>
            <w:vAlign w:val="center"/>
          </w:tcPr>
          <w:p w14:paraId="4F9E08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0.37 * 0.37</w:t>
            </w:r>
          </w:p>
        </w:tc>
        <w:tc>
          <w:tcPr>
            <w:tcW w:w="960" w:type="dxa"/>
            <w:tcBorders>
              <w:top w:val="nil"/>
              <w:left w:val="nil"/>
              <w:bottom w:val="single" w:color="000000" w:sz="8" w:space="0"/>
              <w:right w:val="single" w:color="000000" w:sz="8" w:space="0"/>
            </w:tcBorders>
            <w:shd w:val="clear" w:color="auto" w:fill="FFFFFF"/>
            <w:vAlign w:val="center"/>
          </w:tcPr>
          <w:p w14:paraId="2AA1EE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米</w:t>
            </w:r>
          </w:p>
        </w:tc>
        <w:tc>
          <w:tcPr>
            <w:tcW w:w="690" w:type="dxa"/>
            <w:tcBorders>
              <w:top w:val="nil"/>
              <w:left w:val="nil"/>
              <w:bottom w:val="single" w:color="000000" w:sz="8" w:space="0"/>
              <w:right w:val="single" w:color="000000" w:sz="8" w:space="0"/>
            </w:tcBorders>
            <w:shd w:val="clear" w:color="auto" w:fill="FFFFFF"/>
            <w:vAlign w:val="center"/>
          </w:tcPr>
          <w:p w14:paraId="48B638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065" w:type="dxa"/>
            <w:tcBorders>
              <w:top w:val="nil"/>
              <w:left w:val="nil"/>
              <w:bottom w:val="single" w:color="000000" w:sz="8" w:space="0"/>
              <w:right w:val="nil"/>
            </w:tcBorders>
            <w:shd w:val="clear" w:color="auto" w:fill="FFFFFF"/>
            <w:vAlign w:val="center"/>
          </w:tcPr>
          <w:p w14:paraId="7A8F3E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4.44</w:t>
            </w:r>
          </w:p>
        </w:tc>
        <w:tc>
          <w:tcPr>
            <w:tcW w:w="2488" w:type="dxa"/>
            <w:vMerge w:val="continue"/>
            <w:tcBorders>
              <w:top w:val="single" w:color="000000" w:sz="8" w:space="0"/>
              <w:left w:val="single" w:color="000000" w:sz="8" w:space="0"/>
              <w:bottom w:val="nil"/>
              <w:right w:val="single" w:color="000000" w:sz="8" w:space="0"/>
            </w:tcBorders>
            <w:shd w:val="clear" w:color="auto" w:fill="auto"/>
            <w:noWrap/>
            <w:vAlign w:val="center"/>
          </w:tcPr>
          <w:p w14:paraId="567D360C">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3F0E5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6ED64209">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5665BD97">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20753E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发光字钢架部分除锈养护（30mm*50mm镀锌方管，1.2mm厚）</w:t>
            </w:r>
          </w:p>
        </w:tc>
        <w:tc>
          <w:tcPr>
            <w:tcW w:w="960" w:type="dxa"/>
            <w:tcBorders>
              <w:top w:val="nil"/>
              <w:left w:val="nil"/>
              <w:bottom w:val="single" w:color="000000" w:sz="8" w:space="0"/>
              <w:right w:val="single" w:color="000000" w:sz="8" w:space="0"/>
            </w:tcBorders>
            <w:shd w:val="clear" w:color="auto" w:fill="FFFFFF"/>
            <w:vAlign w:val="center"/>
          </w:tcPr>
          <w:p w14:paraId="25829E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4.5mx38m</w:t>
            </w:r>
          </w:p>
        </w:tc>
        <w:tc>
          <w:tcPr>
            <w:tcW w:w="960" w:type="dxa"/>
            <w:tcBorders>
              <w:top w:val="nil"/>
              <w:left w:val="nil"/>
              <w:bottom w:val="single" w:color="000000" w:sz="8" w:space="0"/>
              <w:right w:val="single" w:color="000000" w:sz="8" w:space="0"/>
            </w:tcBorders>
            <w:shd w:val="clear" w:color="auto" w:fill="FFFFFF"/>
            <w:vAlign w:val="center"/>
          </w:tcPr>
          <w:p w14:paraId="707F6F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690" w:type="dxa"/>
            <w:tcBorders>
              <w:top w:val="nil"/>
              <w:left w:val="nil"/>
              <w:bottom w:val="single" w:color="000000" w:sz="8" w:space="0"/>
              <w:right w:val="single" w:color="000000" w:sz="8" w:space="0"/>
            </w:tcBorders>
            <w:shd w:val="clear" w:color="auto" w:fill="FFFFFF"/>
            <w:vAlign w:val="center"/>
          </w:tcPr>
          <w:p w14:paraId="301DB1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0C8AC8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171</w:t>
            </w:r>
          </w:p>
        </w:tc>
        <w:tc>
          <w:tcPr>
            <w:tcW w:w="2488" w:type="dxa"/>
            <w:vMerge w:val="continue"/>
            <w:tcBorders>
              <w:top w:val="single" w:color="000000" w:sz="8" w:space="0"/>
              <w:left w:val="single" w:color="000000" w:sz="8" w:space="0"/>
              <w:bottom w:val="nil"/>
              <w:right w:val="single" w:color="000000" w:sz="8" w:space="0"/>
            </w:tcBorders>
            <w:shd w:val="clear" w:color="auto" w:fill="auto"/>
            <w:noWrap/>
            <w:vAlign w:val="center"/>
          </w:tcPr>
          <w:p w14:paraId="52DCF800">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2E992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541" w:type="dxa"/>
            <w:vMerge w:val="restart"/>
            <w:tcBorders>
              <w:top w:val="nil"/>
              <w:left w:val="single" w:color="000000" w:sz="8" w:space="0"/>
              <w:bottom w:val="single" w:color="000000" w:sz="8" w:space="0"/>
              <w:right w:val="single" w:color="000000" w:sz="8" w:space="0"/>
            </w:tcBorders>
            <w:shd w:val="clear" w:color="auto" w:fill="FFFFFF"/>
            <w:vAlign w:val="center"/>
          </w:tcPr>
          <w:p w14:paraId="312A03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832" w:type="dxa"/>
            <w:vMerge w:val="restart"/>
            <w:tcBorders>
              <w:top w:val="nil"/>
              <w:left w:val="nil"/>
              <w:bottom w:val="single" w:color="000000" w:sz="8" w:space="0"/>
              <w:right w:val="single" w:color="000000" w:sz="8" w:space="0"/>
            </w:tcBorders>
            <w:shd w:val="clear" w:color="auto" w:fill="FFFFFF"/>
            <w:vAlign w:val="center"/>
          </w:tcPr>
          <w:p w14:paraId="260EB8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河口县北山国际货场信息大楼顶楼</w:t>
            </w:r>
          </w:p>
        </w:tc>
        <w:tc>
          <w:tcPr>
            <w:tcW w:w="1980" w:type="dxa"/>
            <w:tcBorders>
              <w:top w:val="nil"/>
              <w:left w:val="nil"/>
              <w:bottom w:val="single" w:color="000000" w:sz="8" w:space="0"/>
              <w:right w:val="single" w:color="000000" w:sz="8" w:space="0"/>
            </w:tcBorders>
            <w:shd w:val="clear" w:color="auto" w:fill="FFFFFF"/>
            <w:vAlign w:val="center"/>
          </w:tcPr>
          <w:p w14:paraId="5E5E27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更换logo标志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（外露led发光字）</w:t>
            </w:r>
          </w:p>
        </w:tc>
        <w:tc>
          <w:tcPr>
            <w:tcW w:w="960" w:type="dxa"/>
            <w:tcBorders>
              <w:top w:val="nil"/>
              <w:left w:val="nil"/>
              <w:bottom w:val="single" w:color="000000" w:sz="8" w:space="0"/>
              <w:right w:val="single" w:color="000000" w:sz="8" w:space="0"/>
            </w:tcBorders>
            <w:shd w:val="clear" w:color="auto" w:fill="FFFFFF"/>
            <w:vAlign w:val="center"/>
          </w:tcPr>
          <w:p w14:paraId="119285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6.4 * 3.56</w:t>
            </w:r>
          </w:p>
        </w:tc>
        <w:tc>
          <w:tcPr>
            <w:tcW w:w="960" w:type="dxa"/>
            <w:tcBorders>
              <w:top w:val="nil"/>
              <w:left w:val="nil"/>
              <w:bottom w:val="single" w:color="000000" w:sz="8" w:space="0"/>
              <w:right w:val="single" w:color="000000" w:sz="8" w:space="0"/>
            </w:tcBorders>
            <w:shd w:val="clear" w:color="auto" w:fill="FFFFFF"/>
            <w:vAlign w:val="center"/>
          </w:tcPr>
          <w:p w14:paraId="5F7112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690" w:type="dxa"/>
            <w:tcBorders>
              <w:top w:val="nil"/>
              <w:left w:val="nil"/>
              <w:bottom w:val="single" w:color="000000" w:sz="8" w:space="0"/>
              <w:right w:val="single" w:color="000000" w:sz="8" w:space="0"/>
            </w:tcBorders>
            <w:shd w:val="clear" w:color="auto" w:fill="FFFFFF"/>
            <w:vAlign w:val="center"/>
          </w:tcPr>
          <w:p w14:paraId="25450A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160759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22.784</w:t>
            </w:r>
          </w:p>
        </w:tc>
        <w:tc>
          <w:tcPr>
            <w:tcW w:w="2488" w:type="dxa"/>
            <w:vMerge w:val="restart"/>
            <w:tcBorders>
              <w:top w:val="single" w:color="000000" w:sz="8" w:space="0"/>
              <w:left w:val="single" w:color="000000" w:sz="8" w:space="0"/>
              <w:bottom w:val="nil"/>
              <w:right w:val="single" w:color="000000" w:sz="8" w:space="0"/>
            </w:tcBorders>
            <w:shd w:val="clear" w:color="auto" w:fill="auto"/>
            <w:noWrap/>
            <w:vAlign w:val="center"/>
          </w:tcPr>
          <w:p w14:paraId="68102C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drawing>
                <wp:inline distT="0" distB="0" distL="114300" distR="114300">
                  <wp:extent cx="1438910" cy="1571625"/>
                  <wp:effectExtent l="0" t="0" r="8890" b="9525"/>
                  <wp:docPr id="9" name="图片 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IMG_257"/>
                          <pic:cNvPicPr>
                            <a:picLocks noChangeAspect="1"/>
                          </pic:cNvPicPr>
                        </pic:nvPicPr>
                        <pic:blipFill>
                          <a:blip r:embed="rId10"/>
                          <a:stretch>
                            <a:fillRect/>
                          </a:stretch>
                        </pic:blipFill>
                        <pic:spPr>
                          <a:xfrm>
                            <a:off x="0" y="0"/>
                            <a:ext cx="1438910" cy="1571625"/>
                          </a:xfrm>
                          <a:prstGeom prst="rect">
                            <a:avLst/>
                          </a:prstGeom>
                          <a:noFill/>
                          <a:ln w="9525">
                            <a:noFill/>
                          </a:ln>
                        </pic:spPr>
                      </pic:pic>
                    </a:graphicData>
                  </a:graphic>
                </wp:inline>
              </w:drawing>
            </w:r>
          </w:p>
        </w:tc>
      </w:tr>
      <w:tr w14:paraId="0074F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64A23322">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12A4B423">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21EA40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更换中文（外露led发光字）</w:t>
            </w:r>
          </w:p>
        </w:tc>
        <w:tc>
          <w:tcPr>
            <w:tcW w:w="960" w:type="dxa"/>
            <w:tcBorders>
              <w:top w:val="nil"/>
              <w:left w:val="nil"/>
              <w:bottom w:val="single" w:color="000000" w:sz="8" w:space="0"/>
              <w:right w:val="single" w:color="000000" w:sz="8" w:space="0"/>
            </w:tcBorders>
            <w:shd w:val="clear" w:color="auto" w:fill="FFFFFF"/>
            <w:vAlign w:val="center"/>
          </w:tcPr>
          <w:p w14:paraId="3F096B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2.4 * 2.4</w:t>
            </w:r>
          </w:p>
        </w:tc>
        <w:tc>
          <w:tcPr>
            <w:tcW w:w="960" w:type="dxa"/>
            <w:tcBorders>
              <w:top w:val="nil"/>
              <w:left w:val="nil"/>
              <w:bottom w:val="single" w:color="000000" w:sz="8" w:space="0"/>
              <w:right w:val="single" w:color="000000" w:sz="8" w:space="0"/>
            </w:tcBorders>
            <w:shd w:val="clear" w:color="auto" w:fill="FFFFFF"/>
            <w:vAlign w:val="center"/>
          </w:tcPr>
          <w:p w14:paraId="5C649F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690" w:type="dxa"/>
            <w:tcBorders>
              <w:top w:val="nil"/>
              <w:left w:val="nil"/>
              <w:bottom w:val="single" w:color="000000" w:sz="8" w:space="0"/>
              <w:right w:val="single" w:color="000000" w:sz="8" w:space="0"/>
            </w:tcBorders>
            <w:shd w:val="clear" w:color="auto" w:fill="FFFFFF"/>
            <w:vAlign w:val="center"/>
          </w:tcPr>
          <w:p w14:paraId="3BAC40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76D2CA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5.76</w:t>
            </w:r>
          </w:p>
        </w:tc>
        <w:tc>
          <w:tcPr>
            <w:tcW w:w="2488" w:type="dxa"/>
            <w:vMerge w:val="continue"/>
            <w:tcBorders>
              <w:top w:val="single" w:color="000000" w:sz="8" w:space="0"/>
              <w:left w:val="single" w:color="000000" w:sz="8" w:space="0"/>
              <w:bottom w:val="nil"/>
              <w:right w:val="single" w:color="000000" w:sz="8" w:space="0"/>
            </w:tcBorders>
            <w:shd w:val="clear" w:color="auto" w:fill="auto"/>
            <w:noWrap/>
            <w:vAlign w:val="center"/>
          </w:tcPr>
          <w:p w14:paraId="09550035">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73A85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1E611F89">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6C7C991D">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2ABAEB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更换英文（外露led发光字）</w:t>
            </w:r>
          </w:p>
        </w:tc>
        <w:tc>
          <w:tcPr>
            <w:tcW w:w="960" w:type="dxa"/>
            <w:tcBorders>
              <w:top w:val="nil"/>
              <w:left w:val="nil"/>
              <w:bottom w:val="single" w:color="000000" w:sz="8" w:space="0"/>
              <w:right w:val="single" w:color="000000" w:sz="8" w:space="0"/>
            </w:tcBorders>
            <w:shd w:val="clear" w:color="auto" w:fill="FFFFFF"/>
            <w:vAlign w:val="center"/>
          </w:tcPr>
          <w:p w14:paraId="7D8422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 * 1</w:t>
            </w:r>
          </w:p>
        </w:tc>
        <w:tc>
          <w:tcPr>
            <w:tcW w:w="960" w:type="dxa"/>
            <w:tcBorders>
              <w:top w:val="nil"/>
              <w:left w:val="nil"/>
              <w:bottom w:val="single" w:color="000000" w:sz="8" w:space="0"/>
              <w:right w:val="single" w:color="000000" w:sz="8" w:space="0"/>
            </w:tcBorders>
            <w:shd w:val="clear" w:color="auto" w:fill="FFFFFF"/>
            <w:vAlign w:val="center"/>
          </w:tcPr>
          <w:p w14:paraId="002269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690" w:type="dxa"/>
            <w:tcBorders>
              <w:top w:val="nil"/>
              <w:left w:val="nil"/>
              <w:bottom w:val="single" w:color="000000" w:sz="8" w:space="0"/>
              <w:right w:val="single" w:color="000000" w:sz="8" w:space="0"/>
            </w:tcBorders>
            <w:shd w:val="clear" w:color="auto" w:fill="FFFFFF"/>
            <w:vAlign w:val="center"/>
          </w:tcPr>
          <w:p w14:paraId="48566A9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065" w:type="dxa"/>
            <w:tcBorders>
              <w:top w:val="nil"/>
              <w:left w:val="nil"/>
              <w:bottom w:val="single" w:color="000000" w:sz="8" w:space="0"/>
              <w:right w:val="nil"/>
            </w:tcBorders>
            <w:shd w:val="clear" w:color="auto" w:fill="FFFFFF"/>
            <w:vAlign w:val="center"/>
          </w:tcPr>
          <w:p w14:paraId="175DCF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2488" w:type="dxa"/>
            <w:vMerge w:val="continue"/>
            <w:tcBorders>
              <w:top w:val="single" w:color="000000" w:sz="8" w:space="0"/>
              <w:left w:val="single" w:color="000000" w:sz="8" w:space="0"/>
              <w:bottom w:val="nil"/>
              <w:right w:val="single" w:color="000000" w:sz="8" w:space="0"/>
            </w:tcBorders>
            <w:shd w:val="clear" w:color="auto" w:fill="auto"/>
            <w:noWrap/>
            <w:vAlign w:val="center"/>
          </w:tcPr>
          <w:p w14:paraId="51C58067">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7B60C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292200D9">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7953D2AF">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092605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发光字钢架部分除锈养护（3*5镀锌方管焊接）</w:t>
            </w:r>
          </w:p>
        </w:tc>
        <w:tc>
          <w:tcPr>
            <w:tcW w:w="960" w:type="dxa"/>
            <w:tcBorders>
              <w:top w:val="nil"/>
              <w:left w:val="nil"/>
              <w:bottom w:val="single" w:color="000000" w:sz="8" w:space="0"/>
              <w:right w:val="single" w:color="000000" w:sz="8" w:space="0"/>
            </w:tcBorders>
            <w:shd w:val="clear" w:color="auto" w:fill="FFFFFF"/>
            <w:vAlign w:val="center"/>
          </w:tcPr>
          <w:p w14:paraId="3BAD87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25 * 6</w:t>
            </w:r>
          </w:p>
        </w:tc>
        <w:tc>
          <w:tcPr>
            <w:tcW w:w="960" w:type="dxa"/>
            <w:tcBorders>
              <w:top w:val="nil"/>
              <w:left w:val="nil"/>
              <w:bottom w:val="single" w:color="000000" w:sz="8" w:space="0"/>
              <w:right w:val="single" w:color="000000" w:sz="8" w:space="0"/>
            </w:tcBorders>
            <w:shd w:val="clear" w:color="auto" w:fill="FFFFFF"/>
            <w:vAlign w:val="center"/>
          </w:tcPr>
          <w:p w14:paraId="051F62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690" w:type="dxa"/>
            <w:tcBorders>
              <w:top w:val="nil"/>
              <w:left w:val="nil"/>
              <w:bottom w:val="single" w:color="000000" w:sz="8" w:space="0"/>
              <w:right w:val="single" w:color="000000" w:sz="8" w:space="0"/>
            </w:tcBorders>
            <w:shd w:val="clear" w:color="auto" w:fill="FFFFFF"/>
            <w:vAlign w:val="center"/>
          </w:tcPr>
          <w:p w14:paraId="072C99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6FEA3F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150</w:t>
            </w:r>
          </w:p>
        </w:tc>
        <w:tc>
          <w:tcPr>
            <w:tcW w:w="2488" w:type="dxa"/>
            <w:vMerge w:val="continue"/>
            <w:tcBorders>
              <w:top w:val="single" w:color="000000" w:sz="8" w:space="0"/>
              <w:left w:val="single" w:color="000000" w:sz="8" w:space="0"/>
              <w:bottom w:val="nil"/>
              <w:right w:val="single" w:color="000000" w:sz="8" w:space="0"/>
            </w:tcBorders>
            <w:shd w:val="clear" w:color="auto" w:fill="auto"/>
            <w:noWrap/>
            <w:vAlign w:val="center"/>
          </w:tcPr>
          <w:p w14:paraId="1EE9F435">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4BD48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541" w:type="dxa"/>
            <w:vMerge w:val="restart"/>
            <w:tcBorders>
              <w:top w:val="nil"/>
              <w:left w:val="single" w:color="000000" w:sz="8" w:space="0"/>
              <w:bottom w:val="single" w:color="000000" w:sz="8" w:space="0"/>
              <w:right w:val="single" w:color="000000" w:sz="8" w:space="0"/>
            </w:tcBorders>
            <w:shd w:val="clear" w:color="auto" w:fill="FFFFFF"/>
            <w:vAlign w:val="center"/>
          </w:tcPr>
          <w:p w14:paraId="6D8878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832" w:type="dxa"/>
            <w:vMerge w:val="restart"/>
            <w:tcBorders>
              <w:top w:val="nil"/>
              <w:left w:val="nil"/>
              <w:bottom w:val="single" w:color="000000" w:sz="8" w:space="0"/>
              <w:right w:val="single" w:color="000000" w:sz="8" w:space="0"/>
            </w:tcBorders>
            <w:shd w:val="clear" w:color="auto" w:fill="FFFFFF"/>
            <w:vAlign w:val="center"/>
          </w:tcPr>
          <w:p w14:paraId="1CE5CD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河口县北山国际货场联检楼顶楼</w:t>
            </w:r>
          </w:p>
        </w:tc>
        <w:tc>
          <w:tcPr>
            <w:tcW w:w="1980" w:type="dxa"/>
            <w:tcBorders>
              <w:top w:val="nil"/>
              <w:left w:val="nil"/>
              <w:bottom w:val="single" w:color="000000" w:sz="8" w:space="0"/>
              <w:right w:val="single" w:color="000000" w:sz="8" w:space="0"/>
            </w:tcBorders>
            <w:shd w:val="clear" w:color="auto" w:fill="FFFFFF"/>
            <w:vAlign w:val="center"/>
          </w:tcPr>
          <w:p w14:paraId="1D5307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更换logo标志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（外露led发光字）</w:t>
            </w:r>
          </w:p>
        </w:tc>
        <w:tc>
          <w:tcPr>
            <w:tcW w:w="960" w:type="dxa"/>
            <w:tcBorders>
              <w:top w:val="nil"/>
              <w:left w:val="nil"/>
              <w:bottom w:val="single" w:color="000000" w:sz="8" w:space="0"/>
              <w:right w:val="single" w:color="000000" w:sz="8" w:space="0"/>
            </w:tcBorders>
            <w:shd w:val="clear" w:color="auto" w:fill="FFFFFF"/>
            <w:vAlign w:val="center"/>
          </w:tcPr>
          <w:p w14:paraId="609517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 * 2.8</w:t>
            </w:r>
          </w:p>
        </w:tc>
        <w:tc>
          <w:tcPr>
            <w:tcW w:w="960" w:type="dxa"/>
            <w:tcBorders>
              <w:top w:val="nil"/>
              <w:left w:val="nil"/>
              <w:bottom w:val="single" w:color="000000" w:sz="8" w:space="0"/>
              <w:right w:val="single" w:color="000000" w:sz="8" w:space="0"/>
            </w:tcBorders>
            <w:shd w:val="clear" w:color="auto" w:fill="FFFFFF"/>
            <w:vAlign w:val="center"/>
          </w:tcPr>
          <w:p w14:paraId="25B7E7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690" w:type="dxa"/>
            <w:tcBorders>
              <w:top w:val="nil"/>
              <w:left w:val="nil"/>
              <w:bottom w:val="single" w:color="000000" w:sz="8" w:space="0"/>
              <w:right w:val="single" w:color="000000" w:sz="8" w:space="0"/>
            </w:tcBorders>
            <w:shd w:val="clear" w:color="auto" w:fill="FFFFFF"/>
            <w:vAlign w:val="center"/>
          </w:tcPr>
          <w:p w14:paraId="50A2E4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004478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2488" w:type="dxa"/>
            <w:vMerge w:val="restart"/>
            <w:tcBorders>
              <w:top w:val="single" w:color="000000" w:sz="8" w:space="0"/>
              <w:left w:val="single" w:color="000000" w:sz="8" w:space="0"/>
              <w:bottom w:val="nil"/>
              <w:right w:val="single" w:color="000000" w:sz="8" w:space="0"/>
            </w:tcBorders>
            <w:shd w:val="clear" w:color="auto" w:fill="auto"/>
            <w:noWrap/>
            <w:vAlign w:val="center"/>
          </w:tcPr>
          <w:p w14:paraId="7A3052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drawing>
                <wp:inline distT="0" distB="0" distL="114300" distR="114300">
                  <wp:extent cx="1351915" cy="2188210"/>
                  <wp:effectExtent l="0" t="0" r="635" b="2540"/>
                  <wp:docPr id="8" name="图片 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9" descr="IMG_258"/>
                          <pic:cNvPicPr>
                            <a:picLocks noChangeAspect="1"/>
                          </pic:cNvPicPr>
                        </pic:nvPicPr>
                        <pic:blipFill>
                          <a:blip r:embed="rId11"/>
                          <a:stretch>
                            <a:fillRect/>
                          </a:stretch>
                        </pic:blipFill>
                        <pic:spPr>
                          <a:xfrm>
                            <a:off x="0" y="0"/>
                            <a:ext cx="1351915" cy="2188210"/>
                          </a:xfrm>
                          <a:prstGeom prst="rect">
                            <a:avLst/>
                          </a:prstGeom>
                          <a:noFill/>
                          <a:ln w="9525">
                            <a:noFill/>
                          </a:ln>
                        </pic:spPr>
                      </pic:pic>
                    </a:graphicData>
                  </a:graphic>
                </wp:inline>
              </w:drawing>
            </w:r>
          </w:p>
        </w:tc>
      </w:tr>
      <w:tr w14:paraId="48EEE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13DD42B6">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727AD04D">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428232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更换中文（外露led发光字）</w:t>
            </w:r>
          </w:p>
        </w:tc>
        <w:tc>
          <w:tcPr>
            <w:tcW w:w="960" w:type="dxa"/>
            <w:tcBorders>
              <w:top w:val="nil"/>
              <w:left w:val="nil"/>
              <w:bottom w:val="single" w:color="000000" w:sz="8" w:space="0"/>
              <w:right w:val="single" w:color="000000" w:sz="8" w:space="0"/>
            </w:tcBorders>
            <w:shd w:val="clear" w:color="auto" w:fill="FFFFFF"/>
            <w:vAlign w:val="center"/>
          </w:tcPr>
          <w:p w14:paraId="04C2DA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 * 2</w:t>
            </w:r>
          </w:p>
        </w:tc>
        <w:tc>
          <w:tcPr>
            <w:tcW w:w="960" w:type="dxa"/>
            <w:tcBorders>
              <w:top w:val="nil"/>
              <w:left w:val="nil"/>
              <w:bottom w:val="single" w:color="000000" w:sz="8" w:space="0"/>
              <w:right w:val="single" w:color="000000" w:sz="8" w:space="0"/>
            </w:tcBorders>
            <w:shd w:val="clear" w:color="auto" w:fill="FFFFFF"/>
            <w:vAlign w:val="center"/>
          </w:tcPr>
          <w:p w14:paraId="6E74D9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690" w:type="dxa"/>
            <w:tcBorders>
              <w:top w:val="nil"/>
              <w:left w:val="nil"/>
              <w:bottom w:val="single" w:color="000000" w:sz="8" w:space="0"/>
              <w:right w:val="single" w:color="000000" w:sz="8" w:space="0"/>
            </w:tcBorders>
            <w:shd w:val="clear" w:color="auto" w:fill="FFFFFF"/>
            <w:vAlign w:val="center"/>
          </w:tcPr>
          <w:p w14:paraId="63B535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61BE4B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2488" w:type="dxa"/>
            <w:vMerge w:val="continue"/>
            <w:tcBorders>
              <w:top w:val="single" w:color="000000" w:sz="8" w:space="0"/>
              <w:left w:val="single" w:color="000000" w:sz="8" w:space="0"/>
              <w:bottom w:val="nil"/>
              <w:right w:val="single" w:color="000000" w:sz="8" w:space="0"/>
            </w:tcBorders>
            <w:shd w:val="clear" w:color="auto" w:fill="auto"/>
            <w:noWrap/>
            <w:vAlign w:val="center"/>
          </w:tcPr>
          <w:p w14:paraId="08F4C3DA">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5E0B9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7DA0B5B0">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4A7EB9B6">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0CCD3E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更换英文（外露led发光字）</w:t>
            </w:r>
          </w:p>
        </w:tc>
        <w:tc>
          <w:tcPr>
            <w:tcW w:w="960" w:type="dxa"/>
            <w:tcBorders>
              <w:top w:val="nil"/>
              <w:left w:val="nil"/>
              <w:bottom w:val="single" w:color="000000" w:sz="8" w:space="0"/>
              <w:right w:val="single" w:color="000000" w:sz="8" w:space="0"/>
            </w:tcBorders>
            <w:shd w:val="clear" w:color="auto" w:fill="FFFFFF"/>
            <w:vAlign w:val="center"/>
          </w:tcPr>
          <w:p w14:paraId="36E157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0.5 * 0.5</w:t>
            </w:r>
          </w:p>
        </w:tc>
        <w:tc>
          <w:tcPr>
            <w:tcW w:w="960" w:type="dxa"/>
            <w:tcBorders>
              <w:top w:val="nil"/>
              <w:left w:val="nil"/>
              <w:bottom w:val="single" w:color="000000" w:sz="8" w:space="0"/>
              <w:right w:val="single" w:color="000000" w:sz="8" w:space="0"/>
            </w:tcBorders>
            <w:shd w:val="clear" w:color="auto" w:fill="FFFFFF"/>
            <w:vAlign w:val="center"/>
          </w:tcPr>
          <w:p w14:paraId="5A4920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米</w:t>
            </w:r>
          </w:p>
        </w:tc>
        <w:tc>
          <w:tcPr>
            <w:tcW w:w="690" w:type="dxa"/>
            <w:tcBorders>
              <w:top w:val="nil"/>
              <w:left w:val="nil"/>
              <w:bottom w:val="single" w:color="000000" w:sz="8" w:space="0"/>
              <w:right w:val="single" w:color="000000" w:sz="8" w:space="0"/>
            </w:tcBorders>
            <w:shd w:val="clear" w:color="auto" w:fill="FFFFFF"/>
            <w:vAlign w:val="center"/>
          </w:tcPr>
          <w:p w14:paraId="419D41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065" w:type="dxa"/>
            <w:tcBorders>
              <w:top w:val="nil"/>
              <w:left w:val="nil"/>
              <w:bottom w:val="single" w:color="000000" w:sz="8" w:space="0"/>
              <w:right w:val="nil"/>
            </w:tcBorders>
            <w:shd w:val="clear" w:color="auto" w:fill="FFFFFF"/>
            <w:vAlign w:val="center"/>
          </w:tcPr>
          <w:p w14:paraId="4B9F67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2488" w:type="dxa"/>
            <w:vMerge w:val="continue"/>
            <w:tcBorders>
              <w:top w:val="single" w:color="000000" w:sz="8" w:space="0"/>
              <w:left w:val="single" w:color="000000" w:sz="8" w:space="0"/>
              <w:bottom w:val="nil"/>
              <w:right w:val="single" w:color="000000" w:sz="8" w:space="0"/>
            </w:tcBorders>
            <w:shd w:val="clear" w:color="auto" w:fill="auto"/>
            <w:noWrap/>
            <w:vAlign w:val="center"/>
          </w:tcPr>
          <w:p w14:paraId="66677D12">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1FF09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6CB79A44">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33B4557A">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6771BA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发光字钢架部分除锈养护</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（镀锌方管焊接）</w:t>
            </w:r>
          </w:p>
        </w:tc>
        <w:tc>
          <w:tcPr>
            <w:tcW w:w="960" w:type="dxa"/>
            <w:tcBorders>
              <w:top w:val="nil"/>
              <w:left w:val="nil"/>
              <w:bottom w:val="single" w:color="000000" w:sz="8" w:space="0"/>
              <w:right w:val="single" w:color="000000" w:sz="8" w:space="0"/>
            </w:tcBorders>
            <w:shd w:val="clear" w:color="auto" w:fill="FFFFFF"/>
            <w:vAlign w:val="center"/>
          </w:tcPr>
          <w:p w14:paraId="29DADE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20*4</w:t>
            </w:r>
          </w:p>
        </w:tc>
        <w:tc>
          <w:tcPr>
            <w:tcW w:w="960" w:type="dxa"/>
            <w:tcBorders>
              <w:top w:val="nil"/>
              <w:left w:val="nil"/>
              <w:bottom w:val="single" w:color="000000" w:sz="8" w:space="0"/>
              <w:right w:val="single" w:color="000000" w:sz="8" w:space="0"/>
            </w:tcBorders>
            <w:shd w:val="clear" w:color="auto" w:fill="FFFFFF"/>
            <w:vAlign w:val="center"/>
          </w:tcPr>
          <w:p w14:paraId="375053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米</w:t>
            </w:r>
          </w:p>
        </w:tc>
        <w:tc>
          <w:tcPr>
            <w:tcW w:w="690" w:type="dxa"/>
            <w:tcBorders>
              <w:top w:val="nil"/>
              <w:left w:val="nil"/>
              <w:bottom w:val="single" w:color="000000" w:sz="8" w:space="0"/>
              <w:right w:val="single" w:color="000000" w:sz="8" w:space="0"/>
            </w:tcBorders>
            <w:shd w:val="clear" w:color="auto" w:fill="FFFFFF"/>
            <w:vAlign w:val="center"/>
          </w:tcPr>
          <w:p w14:paraId="49A22E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49B59F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80</w:t>
            </w:r>
          </w:p>
        </w:tc>
        <w:tc>
          <w:tcPr>
            <w:tcW w:w="2488" w:type="dxa"/>
            <w:vMerge w:val="continue"/>
            <w:tcBorders>
              <w:top w:val="single" w:color="000000" w:sz="8" w:space="0"/>
              <w:left w:val="single" w:color="000000" w:sz="8" w:space="0"/>
              <w:bottom w:val="nil"/>
              <w:right w:val="single" w:color="000000" w:sz="8" w:space="0"/>
            </w:tcBorders>
            <w:shd w:val="clear" w:color="auto" w:fill="auto"/>
            <w:noWrap/>
            <w:vAlign w:val="center"/>
          </w:tcPr>
          <w:p w14:paraId="26C169B4">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7C92F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541" w:type="dxa"/>
            <w:vMerge w:val="restart"/>
            <w:tcBorders>
              <w:top w:val="nil"/>
              <w:left w:val="single" w:color="000000" w:sz="8" w:space="0"/>
              <w:bottom w:val="single" w:color="000000" w:sz="8" w:space="0"/>
              <w:right w:val="single" w:color="000000" w:sz="8" w:space="0"/>
            </w:tcBorders>
            <w:shd w:val="clear" w:color="auto" w:fill="FFFFFF"/>
            <w:vAlign w:val="center"/>
          </w:tcPr>
          <w:p w14:paraId="707C83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832" w:type="dxa"/>
            <w:vMerge w:val="restart"/>
            <w:tcBorders>
              <w:top w:val="nil"/>
              <w:left w:val="nil"/>
              <w:bottom w:val="single" w:color="000000" w:sz="8" w:space="0"/>
              <w:right w:val="single" w:color="000000" w:sz="8" w:space="0"/>
            </w:tcBorders>
            <w:shd w:val="clear" w:color="auto" w:fill="FFFFFF"/>
            <w:vAlign w:val="center"/>
          </w:tcPr>
          <w:p w14:paraId="16070A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河口县北山国际货场信息大楼入口</w:t>
            </w:r>
          </w:p>
        </w:tc>
        <w:tc>
          <w:tcPr>
            <w:tcW w:w="1980" w:type="dxa"/>
            <w:tcBorders>
              <w:top w:val="nil"/>
              <w:left w:val="nil"/>
              <w:bottom w:val="single" w:color="000000" w:sz="8" w:space="0"/>
              <w:right w:val="single" w:color="000000" w:sz="8" w:space="0"/>
            </w:tcBorders>
            <w:shd w:val="clear" w:color="auto" w:fill="FFFFFF"/>
            <w:vAlign w:val="center"/>
          </w:tcPr>
          <w:p w14:paraId="4AD425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更换logo标志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（铁艺烤漆字）</w:t>
            </w:r>
          </w:p>
        </w:tc>
        <w:tc>
          <w:tcPr>
            <w:tcW w:w="960" w:type="dxa"/>
            <w:tcBorders>
              <w:top w:val="nil"/>
              <w:left w:val="nil"/>
              <w:bottom w:val="single" w:color="000000" w:sz="8" w:space="0"/>
              <w:right w:val="single" w:color="000000" w:sz="8" w:space="0"/>
            </w:tcBorders>
            <w:shd w:val="clear" w:color="auto" w:fill="FFFFFF"/>
            <w:vAlign w:val="center"/>
          </w:tcPr>
          <w:p w14:paraId="64B4A2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1.4 * 0.7</w:t>
            </w:r>
          </w:p>
        </w:tc>
        <w:tc>
          <w:tcPr>
            <w:tcW w:w="960" w:type="dxa"/>
            <w:tcBorders>
              <w:top w:val="nil"/>
              <w:left w:val="nil"/>
              <w:bottom w:val="single" w:color="000000" w:sz="8" w:space="0"/>
              <w:right w:val="single" w:color="000000" w:sz="8" w:space="0"/>
            </w:tcBorders>
            <w:shd w:val="clear" w:color="auto" w:fill="FFFFFF"/>
            <w:vAlign w:val="center"/>
          </w:tcPr>
          <w:p w14:paraId="1FAFF5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米</w:t>
            </w:r>
          </w:p>
        </w:tc>
        <w:tc>
          <w:tcPr>
            <w:tcW w:w="690" w:type="dxa"/>
            <w:tcBorders>
              <w:top w:val="nil"/>
              <w:left w:val="nil"/>
              <w:bottom w:val="single" w:color="000000" w:sz="8" w:space="0"/>
              <w:right w:val="single" w:color="000000" w:sz="8" w:space="0"/>
            </w:tcBorders>
            <w:shd w:val="clear" w:color="auto" w:fill="FFFFFF"/>
            <w:vAlign w:val="center"/>
          </w:tcPr>
          <w:p w14:paraId="094A43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1B95AD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2488" w:type="dxa"/>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089EC1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drawing>
                <wp:inline distT="0" distB="0" distL="114300" distR="114300">
                  <wp:extent cx="1285875" cy="1714500"/>
                  <wp:effectExtent l="0" t="0" r="9525" b="0"/>
                  <wp:docPr id="10" name="图片 1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59"/>
                          <pic:cNvPicPr>
                            <a:picLocks noChangeAspect="1"/>
                          </pic:cNvPicPr>
                        </pic:nvPicPr>
                        <pic:blipFill>
                          <a:blip r:embed="rId12"/>
                          <a:stretch>
                            <a:fillRect/>
                          </a:stretch>
                        </pic:blipFill>
                        <pic:spPr>
                          <a:xfrm>
                            <a:off x="0" y="0"/>
                            <a:ext cx="1285875" cy="1714500"/>
                          </a:xfrm>
                          <a:prstGeom prst="rect">
                            <a:avLst/>
                          </a:prstGeom>
                          <a:noFill/>
                          <a:ln w="9525">
                            <a:noFill/>
                          </a:ln>
                        </pic:spPr>
                      </pic:pic>
                    </a:graphicData>
                  </a:graphic>
                </wp:inline>
              </w:drawing>
            </w:r>
          </w:p>
        </w:tc>
      </w:tr>
      <w:tr w14:paraId="2776A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27A304EB">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6668DF26">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731D99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更换中文（铁艺烤漆字）</w:t>
            </w:r>
          </w:p>
        </w:tc>
        <w:tc>
          <w:tcPr>
            <w:tcW w:w="960" w:type="dxa"/>
            <w:tcBorders>
              <w:top w:val="nil"/>
              <w:left w:val="nil"/>
              <w:bottom w:val="single" w:color="000000" w:sz="8" w:space="0"/>
              <w:right w:val="single" w:color="000000" w:sz="8" w:space="0"/>
            </w:tcBorders>
            <w:shd w:val="clear" w:color="auto" w:fill="FFFFFF"/>
            <w:vAlign w:val="center"/>
          </w:tcPr>
          <w:p w14:paraId="2D5A8B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0.4 * 0.4</w:t>
            </w:r>
          </w:p>
        </w:tc>
        <w:tc>
          <w:tcPr>
            <w:tcW w:w="960" w:type="dxa"/>
            <w:tcBorders>
              <w:top w:val="nil"/>
              <w:left w:val="nil"/>
              <w:bottom w:val="single" w:color="000000" w:sz="8" w:space="0"/>
              <w:right w:val="single" w:color="000000" w:sz="8" w:space="0"/>
            </w:tcBorders>
            <w:shd w:val="clear" w:color="auto" w:fill="FFFFFF"/>
            <w:vAlign w:val="center"/>
          </w:tcPr>
          <w:p w14:paraId="336A83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米</w:t>
            </w:r>
          </w:p>
        </w:tc>
        <w:tc>
          <w:tcPr>
            <w:tcW w:w="690" w:type="dxa"/>
            <w:tcBorders>
              <w:top w:val="nil"/>
              <w:left w:val="nil"/>
              <w:bottom w:val="single" w:color="000000" w:sz="8" w:space="0"/>
              <w:right w:val="single" w:color="000000" w:sz="8" w:space="0"/>
            </w:tcBorders>
            <w:shd w:val="clear" w:color="auto" w:fill="FFFFFF"/>
            <w:vAlign w:val="center"/>
          </w:tcPr>
          <w:p w14:paraId="4C3195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1F4805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0.4</w:t>
            </w:r>
          </w:p>
        </w:tc>
        <w:tc>
          <w:tcPr>
            <w:tcW w:w="2488"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2925EDD9">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6F248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4"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45E2C7AF">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60304187">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26D3AB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更换英文（铁艺烤漆字）</w:t>
            </w:r>
          </w:p>
        </w:tc>
        <w:tc>
          <w:tcPr>
            <w:tcW w:w="960" w:type="dxa"/>
            <w:tcBorders>
              <w:top w:val="nil"/>
              <w:left w:val="nil"/>
              <w:bottom w:val="single" w:color="000000" w:sz="8" w:space="0"/>
              <w:right w:val="single" w:color="000000" w:sz="8" w:space="0"/>
            </w:tcBorders>
            <w:shd w:val="clear" w:color="auto" w:fill="FFFFFF"/>
            <w:vAlign w:val="center"/>
          </w:tcPr>
          <w:p w14:paraId="491C08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0.12 * 0.12</w:t>
            </w:r>
          </w:p>
        </w:tc>
        <w:tc>
          <w:tcPr>
            <w:tcW w:w="960" w:type="dxa"/>
            <w:tcBorders>
              <w:top w:val="nil"/>
              <w:left w:val="nil"/>
              <w:bottom w:val="single" w:color="000000" w:sz="8" w:space="0"/>
              <w:right w:val="single" w:color="000000" w:sz="8" w:space="0"/>
            </w:tcBorders>
            <w:shd w:val="clear" w:color="auto" w:fill="FFFFFF"/>
            <w:vAlign w:val="center"/>
          </w:tcPr>
          <w:p w14:paraId="25AE23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米</w:t>
            </w:r>
          </w:p>
        </w:tc>
        <w:tc>
          <w:tcPr>
            <w:tcW w:w="690" w:type="dxa"/>
            <w:tcBorders>
              <w:top w:val="nil"/>
              <w:left w:val="nil"/>
              <w:bottom w:val="single" w:color="000000" w:sz="8" w:space="0"/>
              <w:right w:val="single" w:color="000000" w:sz="8" w:space="0"/>
            </w:tcBorders>
            <w:shd w:val="clear" w:color="auto" w:fill="FFFFFF"/>
            <w:vAlign w:val="center"/>
          </w:tcPr>
          <w:p w14:paraId="360365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065" w:type="dxa"/>
            <w:tcBorders>
              <w:top w:val="nil"/>
              <w:left w:val="nil"/>
              <w:bottom w:val="single" w:color="000000" w:sz="8" w:space="0"/>
              <w:right w:val="nil"/>
            </w:tcBorders>
            <w:shd w:val="clear" w:color="auto" w:fill="FFFFFF"/>
            <w:vAlign w:val="center"/>
          </w:tcPr>
          <w:p w14:paraId="6E39FD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1.44</w:t>
            </w:r>
          </w:p>
        </w:tc>
        <w:tc>
          <w:tcPr>
            <w:tcW w:w="2488"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4669AD39">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14921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2" w:hRule="atLeast"/>
        </w:trPr>
        <w:tc>
          <w:tcPr>
            <w:tcW w:w="541" w:type="dxa"/>
            <w:tcBorders>
              <w:top w:val="nil"/>
              <w:left w:val="single" w:color="000000" w:sz="8" w:space="0"/>
              <w:bottom w:val="single" w:color="000000" w:sz="8" w:space="0"/>
              <w:right w:val="single" w:color="000000" w:sz="8" w:space="0"/>
            </w:tcBorders>
            <w:shd w:val="clear" w:color="auto" w:fill="FFFFFF"/>
            <w:vAlign w:val="center"/>
          </w:tcPr>
          <w:p w14:paraId="2E2009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832" w:type="dxa"/>
            <w:tcBorders>
              <w:top w:val="nil"/>
              <w:left w:val="nil"/>
              <w:bottom w:val="single" w:color="000000" w:sz="8" w:space="0"/>
              <w:right w:val="single" w:color="000000" w:sz="8" w:space="0"/>
            </w:tcBorders>
            <w:shd w:val="clear" w:color="auto" w:fill="FFFFFF"/>
            <w:vAlign w:val="center"/>
          </w:tcPr>
          <w:p w14:paraId="5548FD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河口县北山国际货场信息大楼门头</w:t>
            </w:r>
          </w:p>
        </w:tc>
        <w:tc>
          <w:tcPr>
            <w:tcW w:w="1980" w:type="dxa"/>
            <w:tcBorders>
              <w:top w:val="nil"/>
              <w:left w:val="nil"/>
              <w:bottom w:val="single" w:color="000000" w:sz="8" w:space="0"/>
              <w:right w:val="single" w:color="000000" w:sz="8" w:space="0"/>
            </w:tcBorders>
            <w:shd w:val="clear" w:color="auto" w:fill="FFFFFF"/>
            <w:vAlign w:val="center"/>
          </w:tcPr>
          <w:p w14:paraId="73A5AA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更换logo标志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（镀锌板烤漆字）</w:t>
            </w:r>
          </w:p>
        </w:tc>
        <w:tc>
          <w:tcPr>
            <w:tcW w:w="96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A1DAC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1.6*1.6</w:t>
            </w:r>
          </w:p>
        </w:tc>
        <w:tc>
          <w:tcPr>
            <w:tcW w:w="96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5E11E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米</w:t>
            </w:r>
          </w:p>
        </w:tc>
        <w:tc>
          <w:tcPr>
            <w:tcW w:w="69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38218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single" w:color="000000" w:sz="8" w:space="0"/>
              <w:left w:val="nil"/>
              <w:bottom w:val="single" w:color="000000" w:sz="8" w:space="0"/>
              <w:right w:val="single" w:color="000000" w:sz="8" w:space="0"/>
            </w:tcBorders>
            <w:shd w:val="clear" w:color="auto" w:fill="FFFFFF"/>
            <w:vAlign w:val="center"/>
          </w:tcPr>
          <w:p w14:paraId="73AB05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2.56</w:t>
            </w:r>
          </w:p>
        </w:tc>
        <w:tc>
          <w:tcPr>
            <w:tcW w:w="248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32A81A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drawing>
                <wp:inline distT="0" distB="0" distL="114300" distR="114300">
                  <wp:extent cx="1489075" cy="1485265"/>
                  <wp:effectExtent l="0" t="0" r="15875" b="635"/>
                  <wp:docPr id="11" name="图片 1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60"/>
                          <pic:cNvPicPr>
                            <a:picLocks noChangeAspect="1"/>
                          </pic:cNvPicPr>
                        </pic:nvPicPr>
                        <pic:blipFill>
                          <a:blip r:embed="rId13"/>
                          <a:stretch>
                            <a:fillRect/>
                          </a:stretch>
                        </pic:blipFill>
                        <pic:spPr>
                          <a:xfrm>
                            <a:off x="0" y="0"/>
                            <a:ext cx="1489075" cy="1485265"/>
                          </a:xfrm>
                          <a:prstGeom prst="rect">
                            <a:avLst/>
                          </a:prstGeom>
                          <a:noFill/>
                          <a:ln w="9525">
                            <a:noFill/>
                          </a:ln>
                        </pic:spPr>
                      </pic:pic>
                    </a:graphicData>
                  </a:graphic>
                </wp:inline>
              </w:drawing>
            </w:r>
          </w:p>
        </w:tc>
      </w:tr>
      <w:tr w14:paraId="3AA31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76" w:hRule="atLeast"/>
        </w:trPr>
        <w:tc>
          <w:tcPr>
            <w:tcW w:w="54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795F7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83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FF308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河口县北山国际货场联检楼侧面</w:t>
            </w:r>
          </w:p>
        </w:tc>
        <w:tc>
          <w:tcPr>
            <w:tcW w:w="1980" w:type="dxa"/>
            <w:tcBorders>
              <w:top w:val="nil"/>
              <w:left w:val="nil"/>
              <w:bottom w:val="single" w:color="000000" w:sz="8" w:space="0"/>
              <w:right w:val="single" w:color="000000" w:sz="8" w:space="0"/>
            </w:tcBorders>
            <w:shd w:val="clear" w:color="auto" w:fill="FFFFFF"/>
            <w:vAlign w:val="center"/>
          </w:tcPr>
          <w:p w14:paraId="274478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拆除logo标志、英文、中文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（亚克力字贴面字）</w:t>
            </w:r>
          </w:p>
        </w:tc>
        <w:tc>
          <w:tcPr>
            <w:tcW w:w="3675" w:type="dxa"/>
            <w:gridSpan w:val="4"/>
            <w:tcBorders>
              <w:top w:val="nil"/>
              <w:left w:val="nil"/>
              <w:bottom w:val="single" w:color="000000" w:sz="8" w:space="0"/>
              <w:right w:val="nil"/>
            </w:tcBorders>
            <w:shd w:val="clear" w:color="auto" w:fill="FFFFFF"/>
            <w:vAlign w:val="center"/>
          </w:tcPr>
          <w:p w14:paraId="605EEE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w:t>
            </w:r>
          </w:p>
        </w:tc>
        <w:tc>
          <w:tcPr>
            <w:tcW w:w="248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4F1A5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drawing>
                <wp:inline distT="0" distB="0" distL="114300" distR="114300">
                  <wp:extent cx="1314450" cy="1752600"/>
                  <wp:effectExtent l="0" t="0" r="0" b="0"/>
                  <wp:docPr id="12" name="图片 1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61"/>
                          <pic:cNvPicPr>
                            <a:picLocks noChangeAspect="1"/>
                          </pic:cNvPicPr>
                        </pic:nvPicPr>
                        <pic:blipFill>
                          <a:blip r:embed="rId14"/>
                          <a:stretch>
                            <a:fillRect/>
                          </a:stretch>
                        </pic:blipFill>
                        <pic:spPr>
                          <a:xfrm>
                            <a:off x="0" y="0"/>
                            <a:ext cx="1314450" cy="1752600"/>
                          </a:xfrm>
                          <a:prstGeom prst="rect">
                            <a:avLst/>
                          </a:prstGeom>
                          <a:noFill/>
                          <a:ln w="9525">
                            <a:noFill/>
                          </a:ln>
                        </pic:spPr>
                      </pic:pic>
                    </a:graphicData>
                  </a:graphic>
                </wp:inline>
              </w:drawing>
            </w:r>
          </w:p>
        </w:tc>
      </w:tr>
    </w:tbl>
    <w:p w14:paraId="20029D96">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*工程量为预估，结算以实际工程量为准。</w:t>
      </w:r>
    </w:p>
    <w:p w14:paraId="09772F3E">
      <w:pPr>
        <w:pStyle w:val="9"/>
        <w:keepNext w:val="0"/>
        <w:keepLines w:val="0"/>
        <w:pageBreakBefore w:val="0"/>
        <w:kinsoku/>
        <w:wordWrap/>
        <w:overflowPunct/>
        <w:topLinePunct w:val="0"/>
        <w:autoSpaceDE/>
        <w:autoSpaceDN/>
        <w:bidi w:val="0"/>
        <w:adjustRightInd/>
        <w:snapToGrid/>
        <w:spacing w:line="360" w:lineRule="auto"/>
        <w:ind w:firstLine="480" w:firstLineChars="200"/>
        <w:rPr>
          <w:rFonts w:hint="eastAsia"/>
        </w:rPr>
      </w:pPr>
      <w:r>
        <w:rPr>
          <w:rFonts w:hint="eastAsia" w:asciiTheme="minorEastAsia" w:hAnsiTheme="minorEastAsia" w:eastAsiaTheme="minorEastAsia" w:cstheme="minorEastAsia"/>
          <w:sz w:val="24"/>
          <w:szCs w:val="24"/>
          <w:lang w:val="en-US" w:eastAsia="zh-CN"/>
        </w:rPr>
        <w:t>*新作标识牌样式参考详见技术要求附件。</w:t>
      </w:r>
    </w:p>
    <w:p w14:paraId="4B072A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rPr>
      </w:pPr>
      <w:r>
        <w:rPr>
          <w:rFonts w:hint="default" w:ascii="宋体" w:hAnsi="宋体" w:eastAsia="宋体" w:cs="宋体"/>
          <w:sz w:val="24"/>
          <w:szCs w:val="24"/>
        </w:rPr>
        <w:t>3.技术要求：详见第四章“技术要求”。</w:t>
      </w:r>
    </w:p>
    <w:p w14:paraId="6F7FA901">
      <w:pPr>
        <w:widowControl w:val="0"/>
        <w:snapToGrid/>
        <w:spacing w:before="0" w:beforeAutospacing="0" w:after="0" w:afterAutospacing="0" w:line="360" w:lineRule="auto"/>
        <w:ind w:left="0" w:leftChars="0" w:firstLine="480" w:firstLineChars="200"/>
        <w:jc w:val="both"/>
        <w:textAlignment w:val="auto"/>
        <w:rPr>
          <w:rStyle w:val="28"/>
          <w:rFonts w:hint="default" w:ascii="宋体" w:hAnsi="宋体" w:eastAsia="宋体" w:cs="宋体"/>
          <w:b w:val="0"/>
          <w:i w:val="0"/>
          <w:caps w:val="0"/>
          <w:color w:val="auto"/>
          <w:spacing w:val="0"/>
          <w:w w:val="100"/>
          <w:sz w:val="24"/>
          <w:szCs w:val="24"/>
        </w:rPr>
      </w:pPr>
      <w:r>
        <w:rPr>
          <w:rFonts w:hint="default" w:ascii="宋体" w:hAnsi="宋体" w:eastAsia="宋体" w:cs="宋体"/>
          <w:sz w:val="24"/>
          <w:szCs w:val="24"/>
        </w:rPr>
        <w:t>4.</w:t>
      </w:r>
      <w:r>
        <w:rPr>
          <w:rFonts w:hint="default" w:ascii="宋体" w:hAnsi="宋体" w:eastAsia="宋体" w:cs="宋体"/>
          <w:sz w:val="24"/>
          <w:szCs w:val="24"/>
          <w:lang w:val="en-US" w:eastAsia="zh-CN"/>
        </w:rPr>
        <w:t>交货</w:t>
      </w:r>
      <w:r>
        <w:rPr>
          <w:rFonts w:hint="default" w:ascii="宋体" w:hAnsi="宋体" w:eastAsia="宋体" w:cs="宋体"/>
          <w:sz w:val="24"/>
          <w:szCs w:val="24"/>
        </w:rPr>
        <w:t>时间</w:t>
      </w:r>
      <w:r>
        <w:rPr>
          <w:rFonts w:hint="default" w:ascii="宋体" w:hAnsi="宋体" w:eastAsia="宋体" w:cs="宋体"/>
          <w:color w:val="auto"/>
          <w:sz w:val="24"/>
          <w:szCs w:val="24"/>
        </w:rPr>
        <w:t>：</w:t>
      </w:r>
      <w:r>
        <w:rPr>
          <w:rStyle w:val="28"/>
          <w:rFonts w:hint="eastAsia" w:ascii="宋体" w:hAnsi="宋体" w:cs="宋体"/>
          <w:b w:val="0"/>
          <w:i w:val="0"/>
          <w:caps w:val="0"/>
          <w:color w:val="auto"/>
          <w:spacing w:val="0"/>
          <w:w w:val="100"/>
          <w:sz w:val="24"/>
          <w:szCs w:val="24"/>
          <w:lang w:val="en-US" w:eastAsia="zh-CN"/>
        </w:rPr>
        <w:t>合同签订后20个日历天内交付。</w:t>
      </w:r>
    </w:p>
    <w:p w14:paraId="3D276C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rPr>
      </w:pPr>
      <w:r>
        <w:rPr>
          <w:rFonts w:hint="default" w:ascii="宋体" w:hAnsi="宋体" w:eastAsia="宋体" w:cs="宋体"/>
          <w:sz w:val="24"/>
          <w:szCs w:val="24"/>
        </w:rPr>
        <w:t>5.交货地点：</w:t>
      </w:r>
      <w:r>
        <w:rPr>
          <w:rStyle w:val="28"/>
          <w:rFonts w:hint="default" w:ascii="宋体" w:hAnsi="宋体" w:eastAsia="宋体" w:cs="宋体"/>
          <w:b w:val="0"/>
          <w:i w:val="0"/>
          <w:caps w:val="0"/>
          <w:color w:val="000000"/>
          <w:spacing w:val="0"/>
          <w:w w:val="100"/>
          <w:sz w:val="24"/>
          <w:szCs w:val="24"/>
          <w:lang w:val="en-US" w:eastAsia="zh-CN"/>
        </w:rPr>
        <w:t>云南省红河州河口北山国际</w:t>
      </w:r>
      <w:r>
        <w:rPr>
          <w:rStyle w:val="28"/>
          <w:rFonts w:hint="eastAsia" w:ascii="宋体" w:hAnsi="宋体" w:cs="宋体"/>
          <w:b w:val="0"/>
          <w:i w:val="0"/>
          <w:caps w:val="0"/>
          <w:color w:val="000000"/>
          <w:spacing w:val="0"/>
          <w:w w:val="100"/>
          <w:sz w:val="24"/>
          <w:szCs w:val="24"/>
          <w:lang w:val="en-US" w:eastAsia="zh-CN"/>
        </w:rPr>
        <w:t>货场。</w:t>
      </w:r>
    </w:p>
    <w:p w14:paraId="22FCFBA7">
      <w:pPr>
        <w:keepNext w:val="0"/>
        <w:keepLines w:val="0"/>
        <w:pageBreakBefore w:val="0"/>
        <w:widowControl w:val="0"/>
        <w:kinsoku/>
        <w:wordWrap/>
        <w:overflowPunct/>
        <w:topLinePunct w:val="0"/>
        <w:bidi w:val="0"/>
        <w:spacing w:line="360" w:lineRule="auto"/>
        <w:textAlignment w:val="auto"/>
        <w:rPr>
          <w:b/>
          <w:bCs/>
          <w:sz w:val="24"/>
        </w:rPr>
      </w:pPr>
      <w:r>
        <w:rPr>
          <w:rFonts w:hint="eastAsia"/>
          <w:b/>
          <w:bCs/>
          <w:sz w:val="24"/>
        </w:rPr>
        <w:t>二、供应商资格要求</w:t>
      </w:r>
    </w:p>
    <w:p w14:paraId="3F0E8D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rPr>
      </w:pPr>
      <w:r>
        <w:rPr>
          <w:rFonts w:ascii="宋体" w:hAnsi="宋体" w:cs="宋体"/>
          <w:sz w:val="24"/>
        </w:rPr>
        <w:t>1.供应商必须是依照中华人民共和国国家法律法规成立的，并在境内正式注册的，具有独立法人资格的公司（企业），应提供有效的营业执照；</w:t>
      </w:r>
    </w:p>
    <w:p w14:paraId="0703BA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2.供应商须具有履行合同所必需的设备和专业技术能力，提供书面声明并加盖公章。</w:t>
      </w:r>
    </w:p>
    <w:p w14:paraId="3DE871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rPr>
      </w:pPr>
      <w:r>
        <w:rPr>
          <w:rFonts w:hint="eastAsia" w:ascii="宋体" w:hAnsi="宋体" w:cs="宋体"/>
          <w:sz w:val="24"/>
          <w:highlight w:val="none"/>
          <w:lang w:val="en-US" w:eastAsia="zh-CN"/>
        </w:rPr>
        <w:t>3.</w:t>
      </w:r>
      <w:r>
        <w:rPr>
          <w:rFonts w:hint="eastAsia" w:ascii="宋体" w:hAnsi="宋体" w:cs="宋体"/>
          <w:sz w:val="24"/>
          <w:highlight w:val="none"/>
        </w:rPr>
        <w:t>供应商不得存在下列情形之一：被责令停业或破</w:t>
      </w:r>
      <w:r>
        <w:rPr>
          <w:rFonts w:hint="eastAsia" w:ascii="宋体" w:hAnsi="宋体" w:cs="宋体"/>
          <w:sz w:val="24"/>
        </w:rPr>
        <w:t>产状态的；被</w:t>
      </w:r>
      <w:r>
        <w:rPr>
          <w:rFonts w:hint="eastAsia" w:ascii="宋体" w:hAnsi="宋体" w:eastAsia="宋体" w:cs="宋体"/>
          <w:sz w:val="24"/>
          <w:highlight w:val="none"/>
          <w:lang w:val="en-US" w:eastAsia="zh-CN"/>
        </w:rPr>
        <w:t>暂停</w:t>
      </w:r>
      <w:r>
        <w:rPr>
          <w:rFonts w:hint="eastAsia" w:ascii="宋体" w:hAnsi="宋体" w:cs="宋体"/>
          <w:sz w:val="24"/>
        </w:rPr>
        <w:t>或取消投标资格的；在最近三年内有骗取中标或者严重违约的；在最近三年出现重大安全责任事故</w:t>
      </w:r>
      <w:r>
        <w:rPr>
          <w:rFonts w:hint="eastAsia" w:ascii="宋体" w:hAnsi="宋体" w:cs="宋体"/>
          <w:sz w:val="24"/>
          <w:lang w:val="en-US" w:eastAsia="zh-CN"/>
        </w:rPr>
        <w:t>及质量事故</w:t>
      </w:r>
      <w:r>
        <w:rPr>
          <w:rFonts w:hint="eastAsia" w:ascii="宋体" w:hAnsi="宋体" w:cs="宋体"/>
          <w:sz w:val="24"/>
        </w:rPr>
        <w:t>的；</w:t>
      </w:r>
    </w:p>
    <w:p w14:paraId="1950FF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rPr>
      </w:pPr>
      <w:r>
        <w:rPr>
          <w:rFonts w:hint="eastAsia" w:ascii="宋体" w:hAnsi="宋体" w:cs="宋体"/>
          <w:sz w:val="24"/>
          <w:lang w:val="en-US" w:eastAsia="zh-CN"/>
        </w:rPr>
        <w:t>4</w:t>
      </w:r>
      <w:r>
        <w:rPr>
          <w:rFonts w:ascii="宋体" w:hAnsi="宋体" w:cs="宋体"/>
          <w:sz w:val="24"/>
        </w:rPr>
        <w:t>.供应商未被“信用中国”网站（www.creditchina.gov.cn）列为失信被执行人、重大税收违法案件当事人名单（查询时间：自本公告发布之日起至谈判文件递交截止时间止，由供应商在谈判前上网查询，并将查询</w:t>
      </w:r>
      <w:r>
        <w:rPr>
          <w:rFonts w:hint="eastAsia" w:ascii="宋体" w:hAnsi="宋体" w:cs="宋体"/>
          <w:sz w:val="24"/>
          <w:lang w:val="en-US" w:eastAsia="zh-CN"/>
        </w:rPr>
        <w:t>截图</w:t>
      </w:r>
      <w:r>
        <w:rPr>
          <w:rFonts w:ascii="宋体" w:hAnsi="宋体" w:cs="宋体"/>
          <w:sz w:val="24"/>
        </w:rPr>
        <w:t>附于响应文件内提交谈判小组审查）；</w:t>
      </w:r>
    </w:p>
    <w:p w14:paraId="3D5890EC">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rPr>
          <w:rFonts w:hint="eastAsia" w:eastAsia="宋体"/>
          <w:lang w:eastAsia="zh-CN"/>
        </w:rPr>
      </w:pPr>
      <w:r>
        <w:rPr>
          <w:rFonts w:hint="eastAsia" w:ascii="宋体" w:hAnsi="宋体" w:cs="宋体"/>
          <w:sz w:val="24"/>
          <w:lang w:val="en-US" w:eastAsia="zh-CN"/>
        </w:rPr>
        <w:t>5</w:t>
      </w:r>
      <w:r>
        <w:rPr>
          <w:rFonts w:ascii="宋体" w:hAnsi="宋体" w:cs="宋体"/>
          <w:sz w:val="24"/>
        </w:rPr>
        <w:t>.</w:t>
      </w:r>
      <w:r>
        <w:rPr>
          <w:rFonts w:hint="eastAsia" w:asciiTheme="minorEastAsia" w:hAnsiTheme="minorEastAsia"/>
          <w:color w:val="000000"/>
          <w:sz w:val="24"/>
          <w:szCs w:val="24"/>
          <w:highlight w:val="none"/>
          <w:u w:val="none"/>
          <w:lang w:eastAsia="zh-CN"/>
        </w:rPr>
        <w:t>本次采购不接受联合体，不允许转包。</w:t>
      </w:r>
    </w:p>
    <w:p w14:paraId="16962910">
      <w:pPr>
        <w:keepNext w:val="0"/>
        <w:keepLines w:val="0"/>
        <w:pageBreakBefore w:val="0"/>
        <w:widowControl w:val="0"/>
        <w:kinsoku/>
        <w:wordWrap/>
        <w:overflowPunct/>
        <w:topLinePunct w:val="0"/>
        <w:bidi w:val="0"/>
        <w:spacing w:line="360" w:lineRule="auto"/>
        <w:textAlignment w:val="auto"/>
        <w:rPr>
          <w:rFonts w:hint="eastAsia"/>
          <w:b/>
          <w:bCs/>
          <w:sz w:val="24"/>
        </w:rPr>
      </w:pPr>
      <w:r>
        <w:rPr>
          <w:rFonts w:hint="eastAsia"/>
          <w:b/>
          <w:bCs/>
          <w:sz w:val="24"/>
        </w:rPr>
        <w:t>三、谈判文件的获取</w:t>
      </w:r>
    </w:p>
    <w:p w14:paraId="504A61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sz w:val="24"/>
        </w:rPr>
      </w:pPr>
      <w:r>
        <w:rPr>
          <w:rFonts w:hint="eastAsia" w:ascii="宋体" w:hAnsi="宋体" w:cs="宋体"/>
          <w:sz w:val="24"/>
          <w:lang w:val="en-US" w:eastAsia="zh-CN"/>
        </w:rPr>
        <w:t>采购文件随公告在“云南省能源集团招采发布平台”发布，不再另行线下提供纸质采购文件，凡有意参与者可在本公告期内自行查看和下载（http://zcfb.cnyeig.cn/sjhz/），并于2026年10月 日 时00分前以书面形式确认是否参加本次采购活动（格式见附件），同时需将确认函盖章后的电子版发送至电子邮箱</w:t>
      </w:r>
      <w:r>
        <w:rPr>
          <w:rFonts w:hint="eastAsia" w:ascii="新宋体" w:hAnsi="新宋体" w:eastAsia="新宋体" w:cs="新宋体"/>
          <w:spacing w:val="-3"/>
          <w:sz w:val="24"/>
          <w:szCs w:val="24"/>
          <w:lang w:val="en-US" w:eastAsia="zh-CN" w:bidi="ar-SA"/>
        </w:rPr>
        <w:t>1393169201@qq</w:t>
      </w:r>
      <w:r>
        <w:rPr>
          <w:rFonts w:hint="eastAsia" w:ascii="宋体" w:hAnsi="宋体" w:cs="宋体"/>
          <w:color w:val="auto"/>
          <w:sz w:val="24"/>
          <w:shd w:val="clear" w:color="auto" w:fill="FFFFFF"/>
          <w:lang w:val="en-US" w:eastAsia="zh-CN"/>
        </w:rPr>
        <w:t>.</w:t>
      </w:r>
      <w:r>
        <w:rPr>
          <w:rFonts w:hint="eastAsia" w:ascii="宋体" w:hAnsi="宋体" w:cs="宋体"/>
          <w:color w:val="auto"/>
          <w:sz w:val="24"/>
          <w:shd w:val="clear" w:color="auto" w:fill="FFFFFF"/>
        </w:rPr>
        <w:t>com</w:t>
      </w:r>
      <w:r>
        <w:rPr>
          <w:rFonts w:hint="eastAsia" w:ascii="宋体" w:hAnsi="宋体" w:cs="宋体"/>
          <w:sz w:val="24"/>
          <w:lang w:val="en-US" w:eastAsia="zh-CN"/>
        </w:rPr>
        <w:t>。在本公告规定的时间内未按上述要求发送电子邮件至指定邮箱者，不得递交响应文件或参加竞谈。 </w:t>
      </w:r>
    </w:p>
    <w:p w14:paraId="6C1F817F">
      <w:pPr>
        <w:keepNext w:val="0"/>
        <w:keepLines w:val="0"/>
        <w:pageBreakBefore w:val="0"/>
        <w:widowControl w:val="0"/>
        <w:kinsoku/>
        <w:wordWrap/>
        <w:overflowPunct/>
        <w:topLinePunct w:val="0"/>
        <w:bidi w:val="0"/>
        <w:spacing w:line="360" w:lineRule="auto"/>
        <w:textAlignment w:val="auto"/>
        <w:rPr>
          <w:b/>
          <w:bCs/>
          <w:sz w:val="24"/>
        </w:rPr>
      </w:pPr>
      <w:bookmarkStart w:id="10" w:name="_Toc336273582"/>
      <w:r>
        <w:rPr>
          <w:rFonts w:hint="eastAsia"/>
          <w:b/>
          <w:bCs/>
          <w:sz w:val="24"/>
        </w:rPr>
        <w:t>四、响应文件的编制</w:t>
      </w:r>
    </w:p>
    <w:p w14:paraId="0FB7CCC4">
      <w:pPr>
        <w:keepNext w:val="0"/>
        <w:keepLines w:val="0"/>
        <w:pageBreakBefore w:val="0"/>
        <w:widowControl w:val="0"/>
        <w:kinsoku/>
        <w:wordWrap/>
        <w:overflowPunct/>
        <w:topLinePunct w:val="0"/>
        <w:bidi w:val="0"/>
        <w:spacing w:line="360" w:lineRule="auto"/>
        <w:ind w:firstLine="480" w:firstLineChars="200"/>
        <w:textAlignment w:val="auto"/>
        <w:rPr>
          <w:rFonts w:ascii="宋体" w:hAnsi="宋体"/>
          <w:b/>
          <w:sz w:val="24"/>
        </w:rPr>
      </w:pPr>
      <w:r>
        <w:rPr>
          <w:rFonts w:hint="eastAsia" w:ascii="宋体" w:hAnsi="宋体"/>
          <w:sz w:val="24"/>
        </w:rPr>
        <w:t>所有响应</w:t>
      </w:r>
      <w:r>
        <w:rPr>
          <w:rFonts w:ascii="宋体" w:hAnsi="宋体"/>
          <w:sz w:val="24"/>
        </w:rPr>
        <w:t>文件应</w:t>
      </w:r>
      <w:r>
        <w:rPr>
          <w:rFonts w:hint="eastAsia" w:ascii="宋体" w:hAnsi="宋体"/>
          <w:sz w:val="24"/>
        </w:rPr>
        <w:t>用</w:t>
      </w:r>
      <w:r>
        <w:rPr>
          <w:rFonts w:ascii="宋体" w:hAnsi="宋体"/>
          <w:sz w:val="24"/>
        </w:rPr>
        <w:t>汉语编</w:t>
      </w:r>
      <w:r>
        <w:rPr>
          <w:rFonts w:hint="eastAsia" w:ascii="宋体" w:hAnsi="宋体"/>
          <w:sz w:val="24"/>
        </w:rPr>
        <w:t>制，</w:t>
      </w:r>
      <w:r>
        <w:rPr>
          <w:rFonts w:hint="eastAsia" w:ascii="宋体" w:hAnsi="宋体"/>
          <w:b/>
          <w:sz w:val="24"/>
        </w:rPr>
        <w:t>壹份</w:t>
      </w:r>
      <w:r>
        <w:rPr>
          <w:rFonts w:hint="eastAsia" w:ascii="宋体" w:hAnsi="宋体"/>
          <w:sz w:val="24"/>
        </w:rPr>
        <w:t>正本，</w:t>
      </w:r>
      <w:r>
        <w:rPr>
          <w:rFonts w:hint="eastAsia" w:ascii="宋体" w:hAnsi="宋体"/>
          <w:b/>
          <w:sz w:val="24"/>
        </w:rPr>
        <w:t>壹份</w:t>
      </w:r>
      <w:r>
        <w:rPr>
          <w:rFonts w:hint="eastAsia" w:ascii="宋体" w:hAnsi="宋体"/>
          <w:sz w:val="24"/>
        </w:rPr>
        <w:t>副本，电子响应文件</w:t>
      </w:r>
      <w:r>
        <w:rPr>
          <w:rFonts w:hint="eastAsia" w:ascii="宋体" w:hAnsi="宋体"/>
          <w:b/>
          <w:sz w:val="24"/>
        </w:rPr>
        <w:t>壹份</w:t>
      </w:r>
      <w:r>
        <w:rPr>
          <w:rFonts w:hint="eastAsia" w:ascii="宋体" w:hAnsi="宋体"/>
          <w:sz w:val="24"/>
        </w:rPr>
        <w:t>（</w:t>
      </w:r>
      <w:r>
        <w:rPr>
          <w:rFonts w:ascii="宋体" w:hAnsi="宋体"/>
          <w:sz w:val="24"/>
        </w:rPr>
        <w:t>U盘）（其中包含：word格式可编辑版本一份；PDF彩色扫描件一份（签字盖章后响应文件的所有内容（包含封面）。</w:t>
      </w:r>
    </w:p>
    <w:p w14:paraId="763D0CEA">
      <w:pPr>
        <w:keepNext w:val="0"/>
        <w:keepLines w:val="0"/>
        <w:pageBreakBefore w:val="0"/>
        <w:widowControl w:val="0"/>
        <w:kinsoku/>
        <w:wordWrap/>
        <w:overflowPunct/>
        <w:topLinePunct w:val="0"/>
        <w:bidi w:val="0"/>
        <w:spacing w:line="360" w:lineRule="auto"/>
        <w:ind w:left="-210" w:leftChars="-100" w:right="-210" w:rightChars="-100" w:firstLine="720" w:firstLineChars="300"/>
        <w:textAlignment w:val="auto"/>
        <w:rPr>
          <w:rFonts w:ascii="宋体" w:hAnsi="宋体"/>
          <w:sz w:val="24"/>
        </w:rPr>
      </w:pPr>
      <w:r>
        <w:rPr>
          <w:rFonts w:hint="eastAsia" w:ascii="宋体" w:hAnsi="宋体"/>
          <w:sz w:val="24"/>
        </w:rPr>
        <w:t>递交截止</w:t>
      </w:r>
      <w:r>
        <w:rPr>
          <w:rFonts w:ascii="宋体" w:hAnsi="宋体"/>
          <w:sz w:val="24"/>
        </w:rPr>
        <w:t>时间：202</w:t>
      </w:r>
      <w:r>
        <w:rPr>
          <w:rFonts w:hint="eastAsia" w:ascii="宋体" w:hAnsi="宋体"/>
          <w:sz w:val="24"/>
          <w:lang w:val="en-US" w:eastAsia="zh-CN"/>
        </w:rPr>
        <w:t>6</w:t>
      </w:r>
      <w:r>
        <w:rPr>
          <w:rFonts w:ascii="宋体" w:hAnsi="宋体"/>
          <w:sz w:val="24"/>
        </w:rPr>
        <w:t>年 月 日</w:t>
      </w:r>
    </w:p>
    <w:p w14:paraId="77632B25">
      <w:pPr>
        <w:keepNext w:val="0"/>
        <w:keepLines w:val="0"/>
        <w:pageBreakBefore w:val="0"/>
        <w:widowControl w:val="0"/>
        <w:kinsoku/>
        <w:wordWrap/>
        <w:overflowPunct/>
        <w:topLinePunct w:val="0"/>
        <w:bidi w:val="0"/>
        <w:spacing w:line="360" w:lineRule="auto"/>
        <w:ind w:left="-210" w:leftChars="-100" w:right="-210" w:rightChars="-100" w:firstLine="720" w:firstLineChars="300"/>
        <w:textAlignment w:val="auto"/>
        <w:rPr>
          <w:rFonts w:hint="default" w:ascii="宋体" w:hAnsi="宋体" w:eastAsia="宋体"/>
          <w:sz w:val="24"/>
          <w:highlight w:val="none"/>
          <w:lang w:val="en-US" w:eastAsia="zh-CN"/>
        </w:rPr>
      </w:pPr>
      <w:r>
        <w:rPr>
          <w:rFonts w:hint="eastAsia" w:ascii="宋体" w:hAnsi="宋体"/>
          <w:sz w:val="24"/>
        </w:rPr>
        <w:t>递交地点</w:t>
      </w:r>
      <w:r>
        <w:rPr>
          <w:rFonts w:ascii="宋体" w:hAnsi="宋体"/>
          <w:sz w:val="24"/>
        </w:rPr>
        <w:t>：</w:t>
      </w:r>
      <w:r>
        <w:rPr>
          <w:rFonts w:hint="eastAsia" w:ascii="宋体" w:hAnsi="宋体"/>
          <w:sz w:val="24"/>
          <w:highlight w:val="none"/>
          <w:lang w:val="en-US" w:eastAsia="zh-CN"/>
        </w:rPr>
        <w:t>云南省红河州河口县北山国际货场信息大楼8楼</w:t>
      </w:r>
    </w:p>
    <w:p w14:paraId="7654EAF8">
      <w:pPr>
        <w:keepNext w:val="0"/>
        <w:keepLines w:val="0"/>
        <w:pageBreakBefore w:val="0"/>
        <w:widowControl w:val="0"/>
        <w:kinsoku/>
        <w:wordWrap/>
        <w:overflowPunct/>
        <w:topLinePunct w:val="0"/>
        <w:bidi w:val="0"/>
        <w:spacing w:line="360" w:lineRule="auto"/>
        <w:ind w:left="-210" w:leftChars="-100" w:right="-210" w:rightChars="-100" w:firstLine="720" w:firstLineChars="300"/>
        <w:textAlignment w:val="auto"/>
        <w:rPr>
          <w:rFonts w:ascii="宋体" w:hAnsi="宋体"/>
          <w:b/>
          <w:sz w:val="24"/>
        </w:rPr>
      </w:pPr>
      <w:r>
        <w:rPr>
          <w:rFonts w:hint="eastAsia" w:ascii="宋体" w:hAnsi="宋体"/>
          <w:sz w:val="24"/>
        </w:rPr>
        <w:t>其他</w:t>
      </w:r>
      <w:r>
        <w:rPr>
          <w:rFonts w:ascii="宋体" w:hAnsi="宋体"/>
          <w:sz w:val="24"/>
        </w:rPr>
        <w:t>要求：供应商法定代表人或委托代理人须携带本人身份证原件出席会议</w:t>
      </w:r>
      <w:r>
        <w:rPr>
          <w:rFonts w:hint="eastAsia" w:ascii="宋体" w:hAnsi="宋体"/>
          <w:sz w:val="24"/>
        </w:rPr>
        <w:t>。</w:t>
      </w:r>
    </w:p>
    <w:p w14:paraId="622F6398">
      <w:pPr>
        <w:keepNext w:val="0"/>
        <w:keepLines w:val="0"/>
        <w:pageBreakBefore w:val="0"/>
        <w:widowControl w:val="0"/>
        <w:numPr>
          <w:ilvl w:val="0"/>
          <w:numId w:val="1"/>
        </w:numPr>
        <w:kinsoku/>
        <w:wordWrap/>
        <w:overflowPunct/>
        <w:topLinePunct w:val="0"/>
        <w:bidi w:val="0"/>
        <w:spacing w:line="360" w:lineRule="auto"/>
        <w:textAlignment w:val="auto"/>
        <w:rPr>
          <w:rFonts w:hint="eastAsia"/>
          <w:b/>
          <w:bCs/>
          <w:sz w:val="24"/>
          <w:lang w:val="en-US" w:eastAsia="zh-CN"/>
        </w:rPr>
      </w:pPr>
      <w:r>
        <w:rPr>
          <w:rFonts w:hint="eastAsia"/>
          <w:b/>
          <w:bCs/>
          <w:sz w:val="24"/>
          <w:lang w:val="en-US" w:eastAsia="zh-CN"/>
        </w:rPr>
        <w:t>其他相关事宜</w:t>
      </w:r>
    </w:p>
    <w:p w14:paraId="0BA35605">
      <w:pPr>
        <w:keepNext w:val="0"/>
        <w:keepLines w:val="0"/>
        <w:pageBreakBefore w:val="0"/>
        <w:widowControl w:val="0"/>
        <w:kinsoku/>
        <w:wordWrap/>
        <w:overflowPunct/>
        <w:topLinePunct w:val="0"/>
        <w:bidi w:val="0"/>
        <w:spacing w:line="360" w:lineRule="auto"/>
        <w:ind w:left="-210" w:leftChars="-100" w:right="-210" w:rightChars="-100" w:firstLine="720" w:firstLineChars="300"/>
        <w:textAlignment w:val="auto"/>
        <w:rPr>
          <w:rFonts w:hint="eastAsia" w:ascii="宋体" w:hAnsi="宋体"/>
          <w:sz w:val="24"/>
          <w:lang w:val="en-US" w:eastAsia="zh-CN"/>
        </w:rPr>
      </w:pPr>
      <w:r>
        <w:rPr>
          <w:rFonts w:hint="eastAsia" w:ascii="宋体" w:hAnsi="宋体"/>
          <w:sz w:val="24"/>
          <w:lang w:val="en-US" w:eastAsia="zh-CN"/>
        </w:rPr>
        <w:t>本次评审以所报密封资料为依据。</w:t>
      </w:r>
    </w:p>
    <w:p w14:paraId="25C464B9">
      <w:pPr>
        <w:keepNext w:val="0"/>
        <w:keepLines w:val="0"/>
        <w:pageBreakBefore w:val="0"/>
        <w:widowControl w:val="0"/>
        <w:kinsoku/>
        <w:wordWrap/>
        <w:overflowPunct/>
        <w:topLinePunct w:val="0"/>
        <w:bidi w:val="0"/>
        <w:spacing w:line="360" w:lineRule="auto"/>
        <w:ind w:left="-210" w:leftChars="-100" w:right="-210" w:rightChars="-100" w:firstLine="720" w:firstLineChars="300"/>
        <w:textAlignment w:val="auto"/>
        <w:rPr>
          <w:rFonts w:hint="eastAsia" w:ascii="宋体" w:hAnsi="宋体"/>
          <w:sz w:val="24"/>
          <w:lang w:val="en-US" w:eastAsia="zh-CN"/>
        </w:rPr>
      </w:pPr>
      <w:r>
        <w:rPr>
          <w:rFonts w:hint="eastAsia" w:ascii="宋体" w:hAnsi="宋体"/>
          <w:sz w:val="24"/>
          <w:lang w:val="en-US" w:eastAsia="zh-CN"/>
        </w:rPr>
        <w:t>如果申请人未能在规定时间提交材料，视为贵公司放弃参与此次竞争性谈判。</w:t>
      </w:r>
    </w:p>
    <w:p w14:paraId="48423D1A">
      <w:pPr>
        <w:keepNext w:val="0"/>
        <w:keepLines w:val="0"/>
        <w:pageBreakBefore w:val="0"/>
        <w:widowControl w:val="0"/>
        <w:kinsoku/>
        <w:wordWrap/>
        <w:overflowPunct/>
        <w:topLinePunct w:val="0"/>
        <w:bidi w:val="0"/>
        <w:spacing w:line="360" w:lineRule="auto"/>
        <w:ind w:left="-210" w:leftChars="-100" w:right="-210" w:rightChars="-100" w:firstLine="720" w:firstLineChars="300"/>
        <w:textAlignment w:val="auto"/>
        <w:rPr>
          <w:rFonts w:hint="eastAsia" w:ascii="宋体" w:hAnsi="宋体"/>
          <w:sz w:val="24"/>
          <w:lang w:val="en-US" w:eastAsia="zh-CN"/>
        </w:rPr>
      </w:pPr>
      <w:r>
        <w:rPr>
          <w:rFonts w:hint="eastAsia" w:ascii="宋体" w:hAnsi="宋体"/>
          <w:sz w:val="24"/>
          <w:lang w:val="en-US" w:eastAsia="zh-CN"/>
        </w:rPr>
        <w:t>参与此次竞争性谈判的费用自理。</w:t>
      </w:r>
    </w:p>
    <w:p w14:paraId="5FCD32C2">
      <w:pPr>
        <w:keepNext w:val="0"/>
        <w:keepLines w:val="0"/>
        <w:pageBreakBefore w:val="0"/>
        <w:widowControl w:val="0"/>
        <w:kinsoku/>
        <w:wordWrap/>
        <w:overflowPunct/>
        <w:topLinePunct w:val="0"/>
        <w:bidi w:val="0"/>
        <w:spacing w:line="360" w:lineRule="auto"/>
        <w:ind w:left="-210" w:leftChars="-100" w:right="-210" w:rightChars="-100" w:firstLine="720" w:firstLineChars="300"/>
        <w:textAlignment w:val="auto"/>
        <w:rPr>
          <w:rFonts w:hint="eastAsia"/>
          <w:b/>
          <w:bCs/>
          <w:sz w:val="24"/>
          <w:lang w:val="en-US" w:eastAsia="zh-CN"/>
        </w:rPr>
      </w:pPr>
      <w:r>
        <w:rPr>
          <w:rFonts w:hint="eastAsia" w:ascii="宋体" w:hAnsi="宋体"/>
          <w:sz w:val="24"/>
          <w:lang w:val="en-US" w:eastAsia="zh-CN"/>
        </w:rPr>
        <w:t>其他未尽事宜请及时联系。 </w:t>
      </w:r>
    </w:p>
    <w:p w14:paraId="32C7287A">
      <w:pPr>
        <w:keepNext w:val="0"/>
        <w:keepLines w:val="0"/>
        <w:pageBreakBefore w:val="0"/>
        <w:widowControl w:val="0"/>
        <w:kinsoku/>
        <w:wordWrap/>
        <w:overflowPunct/>
        <w:topLinePunct w:val="0"/>
        <w:bidi w:val="0"/>
        <w:spacing w:line="360" w:lineRule="auto"/>
        <w:textAlignment w:val="auto"/>
        <w:rPr>
          <w:b/>
          <w:bCs/>
          <w:sz w:val="24"/>
        </w:rPr>
      </w:pPr>
      <w:r>
        <w:rPr>
          <w:rFonts w:hint="eastAsia"/>
          <w:b/>
          <w:bCs/>
          <w:sz w:val="24"/>
          <w:lang w:val="en-US" w:eastAsia="zh-CN"/>
        </w:rPr>
        <w:t>六、</w:t>
      </w:r>
      <w:r>
        <w:rPr>
          <w:rFonts w:hint="eastAsia"/>
          <w:b/>
          <w:bCs/>
          <w:sz w:val="24"/>
        </w:rPr>
        <w:t>监督检查部门举报渠道</w:t>
      </w:r>
    </w:p>
    <w:p w14:paraId="1D6897E1">
      <w:pPr>
        <w:keepNext w:val="0"/>
        <w:keepLines w:val="0"/>
        <w:pageBreakBefore w:val="0"/>
        <w:widowControl w:val="0"/>
        <w:kinsoku/>
        <w:wordWrap/>
        <w:overflowPunct/>
        <w:topLinePunct w:val="0"/>
        <w:bidi w:val="0"/>
        <w:spacing w:line="360" w:lineRule="auto"/>
        <w:ind w:right="-210" w:rightChars="-100" w:firstLine="480" w:firstLineChars="200"/>
        <w:textAlignment w:val="auto"/>
        <w:rPr>
          <w:rFonts w:ascii="宋体" w:hAnsi="宋体"/>
          <w:sz w:val="24"/>
        </w:rPr>
      </w:pPr>
      <w:r>
        <w:rPr>
          <w:rFonts w:hint="eastAsia" w:ascii="宋体" w:hAnsi="宋体"/>
          <w:sz w:val="24"/>
        </w:rPr>
        <w:t>地址：云南省昆明市西山区润城第二大道</w:t>
      </w:r>
      <w:r>
        <w:rPr>
          <w:rFonts w:ascii="宋体" w:hAnsi="宋体"/>
          <w:sz w:val="24"/>
        </w:rPr>
        <w:t>2栋13楼</w:t>
      </w:r>
    </w:p>
    <w:p w14:paraId="5097581F">
      <w:pPr>
        <w:keepNext w:val="0"/>
        <w:keepLines w:val="0"/>
        <w:pageBreakBefore w:val="0"/>
        <w:widowControl w:val="0"/>
        <w:kinsoku/>
        <w:wordWrap/>
        <w:overflowPunct/>
        <w:topLinePunct w:val="0"/>
        <w:bidi w:val="0"/>
        <w:spacing w:line="360" w:lineRule="auto"/>
        <w:ind w:firstLine="480" w:firstLineChars="200"/>
        <w:textAlignment w:val="auto"/>
        <w:rPr>
          <w:rFonts w:asciiTheme="minorEastAsia" w:hAnsiTheme="minorEastAsia"/>
          <w:b/>
          <w:bCs/>
          <w:color w:val="auto"/>
          <w:sz w:val="24"/>
        </w:rPr>
      </w:pPr>
      <w:r>
        <w:rPr>
          <w:rFonts w:hint="eastAsia" w:asciiTheme="minorEastAsia" w:hAnsiTheme="minorEastAsia"/>
          <w:color w:val="auto"/>
          <w:sz w:val="24"/>
        </w:rPr>
        <w:t>电话：</w:t>
      </w:r>
      <w:r>
        <w:rPr>
          <w:rFonts w:asciiTheme="minorEastAsia" w:hAnsiTheme="minorEastAsia"/>
          <w:color w:val="auto"/>
          <w:sz w:val="24"/>
        </w:rPr>
        <w:t>0871-68251454</w:t>
      </w:r>
    </w:p>
    <w:p w14:paraId="591C7EBE">
      <w:pPr>
        <w:keepNext w:val="0"/>
        <w:keepLines w:val="0"/>
        <w:pageBreakBefore w:val="0"/>
        <w:widowControl w:val="0"/>
        <w:kinsoku/>
        <w:wordWrap/>
        <w:overflowPunct/>
        <w:topLinePunct w:val="0"/>
        <w:bidi w:val="0"/>
        <w:spacing w:line="360" w:lineRule="auto"/>
        <w:textAlignment w:val="auto"/>
        <w:rPr>
          <w:b/>
          <w:bCs/>
          <w:sz w:val="24"/>
        </w:rPr>
      </w:pPr>
      <w:r>
        <w:rPr>
          <w:rFonts w:hint="eastAsia"/>
          <w:b/>
          <w:bCs/>
          <w:sz w:val="24"/>
        </w:rPr>
        <w:t>七、联系方式</w:t>
      </w:r>
    </w:p>
    <w:p w14:paraId="353724ED">
      <w:pPr>
        <w:keepNext w:val="0"/>
        <w:keepLines w:val="0"/>
        <w:pageBreakBefore w:val="0"/>
        <w:widowControl w:val="0"/>
        <w:kinsoku/>
        <w:wordWrap/>
        <w:overflowPunct/>
        <w:topLinePunct w:val="0"/>
        <w:bidi w:val="0"/>
        <w:spacing w:line="360" w:lineRule="auto"/>
        <w:ind w:left="-525" w:leftChars="-250" w:right="-525" w:rightChars="-250" w:firstLine="1080" w:firstLineChars="450"/>
        <w:textAlignment w:val="auto"/>
        <w:rPr>
          <w:rFonts w:hint="eastAsia" w:ascii="宋体" w:hAnsi="宋体" w:eastAsia="宋体"/>
          <w:sz w:val="24"/>
          <w:lang w:eastAsia="zh-CN"/>
        </w:rPr>
      </w:pPr>
      <w:r>
        <w:rPr>
          <w:rFonts w:hint="eastAsia" w:ascii="宋体" w:hAnsi="宋体"/>
          <w:sz w:val="24"/>
        </w:rPr>
        <w:t>采购人：</w:t>
      </w:r>
      <w:r>
        <w:rPr>
          <w:rFonts w:hint="eastAsia" w:ascii="宋体" w:hAnsi="宋体"/>
          <w:sz w:val="24"/>
          <w:lang w:eastAsia="zh-CN"/>
        </w:rPr>
        <w:t>河口滇越货场物流有限责任公司</w:t>
      </w:r>
    </w:p>
    <w:p w14:paraId="1F907323">
      <w:pPr>
        <w:keepNext w:val="0"/>
        <w:keepLines w:val="0"/>
        <w:pageBreakBefore w:val="0"/>
        <w:widowControl w:val="0"/>
        <w:kinsoku/>
        <w:wordWrap/>
        <w:overflowPunct/>
        <w:topLinePunct w:val="0"/>
        <w:bidi w:val="0"/>
        <w:spacing w:line="360" w:lineRule="auto"/>
        <w:ind w:left="-525" w:leftChars="-250" w:right="-525" w:rightChars="-250" w:firstLine="1080" w:firstLineChars="450"/>
        <w:textAlignment w:val="auto"/>
        <w:rPr>
          <w:rFonts w:ascii="宋体" w:hAnsi="宋体"/>
          <w:sz w:val="24"/>
        </w:rPr>
      </w:pPr>
      <w:r>
        <w:rPr>
          <w:rFonts w:ascii="宋体" w:hAnsi="宋体"/>
          <w:sz w:val="24"/>
        </w:rPr>
        <w:t>联</w:t>
      </w:r>
      <w:r>
        <w:rPr>
          <w:rFonts w:hint="eastAsia" w:ascii="宋体" w:hAnsi="宋体"/>
          <w:sz w:val="24"/>
        </w:rPr>
        <w:t>系人：</w:t>
      </w:r>
      <w:r>
        <w:rPr>
          <w:rFonts w:hint="eastAsia" w:ascii="宋体" w:hAnsi="宋体"/>
          <w:sz w:val="24"/>
          <w:lang w:val="en-US" w:eastAsia="zh-CN"/>
        </w:rPr>
        <w:t xml:space="preserve">李老师       </w:t>
      </w:r>
      <w:r>
        <w:rPr>
          <w:rFonts w:hint="eastAsia" w:ascii="宋体" w:hAnsi="宋体"/>
          <w:sz w:val="24"/>
        </w:rPr>
        <w:t>杨老师</w:t>
      </w:r>
    </w:p>
    <w:p w14:paraId="177E48B9">
      <w:pPr>
        <w:keepNext w:val="0"/>
        <w:keepLines w:val="0"/>
        <w:pageBreakBefore w:val="0"/>
        <w:widowControl w:val="0"/>
        <w:kinsoku/>
        <w:wordWrap/>
        <w:overflowPunct/>
        <w:topLinePunct w:val="0"/>
        <w:bidi w:val="0"/>
        <w:spacing w:line="360" w:lineRule="auto"/>
        <w:ind w:left="-525" w:leftChars="-250" w:right="-525" w:rightChars="-250" w:firstLine="1080" w:firstLineChars="450"/>
        <w:jc w:val="both"/>
        <w:textAlignment w:val="auto"/>
        <w:rPr>
          <w:rFonts w:ascii="宋体" w:hAnsi="宋体"/>
          <w:sz w:val="24"/>
        </w:rPr>
      </w:pPr>
      <w:r>
        <w:rPr>
          <w:rFonts w:ascii="宋体" w:hAnsi="宋体"/>
          <w:sz w:val="24"/>
        </w:rPr>
        <w:t>电  话</w:t>
      </w:r>
      <w:r>
        <w:rPr>
          <w:rFonts w:hint="eastAsia" w:ascii="宋体" w:hAnsi="宋体"/>
          <w:sz w:val="24"/>
        </w:rPr>
        <w:t>：15304117917</w:t>
      </w:r>
      <w:r>
        <w:rPr>
          <w:rFonts w:hint="eastAsia" w:ascii="宋体" w:hAnsi="宋体"/>
          <w:sz w:val="24"/>
          <w:lang w:val="en-US" w:eastAsia="zh-CN"/>
        </w:rPr>
        <w:t xml:space="preserve">  </w:t>
      </w:r>
      <w:r>
        <w:rPr>
          <w:rFonts w:ascii="宋体" w:hAnsi="宋体"/>
          <w:sz w:val="24"/>
        </w:rPr>
        <w:t>15284417417</w:t>
      </w:r>
    </w:p>
    <w:p w14:paraId="126C68F7">
      <w:pPr>
        <w:keepNext w:val="0"/>
        <w:keepLines w:val="0"/>
        <w:widowControl/>
        <w:suppressLineNumbers w:val="0"/>
        <w:jc w:val="left"/>
      </w:pPr>
    </w:p>
    <w:p w14:paraId="0DFBD000">
      <w:pPr>
        <w:spacing w:line="360" w:lineRule="auto"/>
        <w:ind w:left="-525" w:leftChars="-250" w:right="-525" w:rightChars="-250" w:firstLine="1080" w:firstLineChars="450"/>
        <w:jc w:val="both"/>
        <w:rPr>
          <w:rFonts w:ascii="宋体" w:hAnsi="宋体"/>
          <w:sz w:val="24"/>
        </w:rPr>
      </w:pPr>
    </w:p>
    <w:tbl>
      <w:tblPr>
        <w:tblStyle w:val="26"/>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50"/>
        <w:gridCol w:w="21"/>
      </w:tblGrid>
      <w:tr w14:paraId="2E71D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0" w:type="dxa"/>
        </w:trPr>
        <w:tc>
          <w:tcPr>
            <w:tcW w:w="0" w:type="auto"/>
            <w:tcBorders>
              <w:bottom w:val="single" w:color="EDEDED" w:sz="6" w:space="0"/>
              <w:right w:val="single" w:color="F5F5F5" w:sz="6" w:space="0"/>
            </w:tcBorders>
            <w:shd w:val="clear" w:color="auto" w:fill="F5F5F5"/>
            <w:noWrap/>
            <w:vAlign w:val="top"/>
          </w:tcPr>
          <w:p w14:paraId="0D3C5D1B">
            <w:pPr>
              <w:spacing w:line="360" w:lineRule="auto"/>
              <w:ind w:left="-525" w:leftChars="-250" w:right="-525" w:rightChars="-250" w:firstLine="1080" w:firstLineChars="450"/>
              <w:jc w:val="right"/>
              <w:rPr>
                <w:rFonts w:hint="default" w:ascii="宋体" w:hAnsi="宋体"/>
                <w:sz w:val="24"/>
              </w:rPr>
            </w:pPr>
            <w:r>
              <w:rPr>
                <w:rFonts w:hint="default" w:ascii="宋体" w:hAnsi="宋体"/>
                <w:sz w:val="24"/>
                <w:lang w:val="en-US" w:eastAsia="zh-CN"/>
              </w:rPr>
              <w:t> </w:t>
            </w:r>
          </w:p>
        </w:tc>
        <w:tc>
          <w:tcPr>
            <w:tcW w:w="0" w:type="auto"/>
            <w:tcBorders>
              <w:bottom w:val="single" w:color="EDEDED" w:sz="6" w:space="0"/>
              <w:right w:val="single" w:color="F5F5F5" w:sz="6" w:space="0"/>
            </w:tcBorders>
            <w:shd w:val="clear" w:color="auto" w:fill="F5F5F5"/>
            <w:noWrap/>
            <w:vAlign w:val="top"/>
          </w:tcPr>
          <w:p w14:paraId="22F54743">
            <w:pPr>
              <w:spacing w:line="360" w:lineRule="auto"/>
              <w:ind w:left="-525" w:leftChars="-250" w:right="-525" w:rightChars="-250" w:firstLine="1080" w:firstLineChars="450"/>
              <w:jc w:val="right"/>
              <w:rPr>
                <w:rFonts w:hint="default" w:ascii="宋体" w:hAnsi="宋体"/>
                <w:sz w:val="24"/>
                <w:lang w:val="en-US" w:eastAsia="zh-CN"/>
              </w:rPr>
            </w:pPr>
          </w:p>
        </w:tc>
      </w:tr>
    </w:tbl>
    <w:p w14:paraId="58D2D090">
      <w:pPr>
        <w:spacing w:line="360" w:lineRule="auto"/>
        <w:ind w:left="-525" w:leftChars="-250" w:right="-525" w:rightChars="-250" w:firstLine="1080" w:firstLineChars="450"/>
        <w:jc w:val="right"/>
        <w:rPr>
          <w:rFonts w:hint="eastAsia" w:ascii="宋体" w:hAnsi="宋体" w:eastAsia="宋体" w:cs="黑体"/>
          <w:color w:val="auto"/>
          <w:sz w:val="24"/>
          <w:lang w:eastAsia="zh-CN"/>
        </w:rPr>
      </w:pPr>
      <w:r>
        <w:rPr>
          <w:rFonts w:hint="eastAsia" w:ascii="宋体" w:hAnsi="宋体"/>
          <w:sz w:val="24"/>
          <w:lang w:eastAsia="zh-CN"/>
        </w:rPr>
        <w:t>河口滇越货场物流有限责任公司</w:t>
      </w:r>
    </w:p>
    <w:p w14:paraId="2A97F889">
      <w:pPr>
        <w:spacing w:line="360" w:lineRule="auto"/>
        <w:ind w:left="-525" w:leftChars="-250" w:right="-525" w:rightChars="-250" w:firstLine="1080" w:firstLineChars="450"/>
        <w:jc w:val="right"/>
        <w:rPr>
          <w:rFonts w:ascii="宋体" w:hAnsi="宋体"/>
          <w:sz w:val="24"/>
        </w:rPr>
      </w:pPr>
      <w:r>
        <w:rPr>
          <w:rFonts w:ascii="宋体" w:hAnsi="宋体" w:cs="黑体"/>
          <w:color w:val="auto"/>
          <w:sz w:val="24"/>
        </w:rPr>
        <w:t>202</w:t>
      </w:r>
      <w:r>
        <w:rPr>
          <w:rFonts w:hint="eastAsia" w:ascii="宋体" w:hAnsi="宋体" w:cs="黑体"/>
          <w:color w:val="auto"/>
          <w:sz w:val="24"/>
          <w:lang w:val="en-US" w:eastAsia="zh-CN"/>
        </w:rPr>
        <w:t>6</w:t>
      </w:r>
      <w:r>
        <w:rPr>
          <w:rFonts w:ascii="宋体" w:hAnsi="宋体" w:cs="黑体"/>
          <w:color w:val="auto"/>
          <w:sz w:val="24"/>
        </w:rPr>
        <w:t>年 月 日</w:t>
      </w:r>
    </w:p>
    <w:p w14:paraId="2326598B">
      <w:pPr>
        <w:spacing w:line="360" w:lineRule="auto"/>
        <w:jc w:val="center"/>
        <w:outlineLvl w:val="0"/>
      </w:pPr>
      <w:r>
        <w:br w:type="page"/>
      </w:r>
      <w:bookmarkStart w:id="11" w:name="_Toc23406"/>
      <w:bookmarkStart w:id="12" w:name="_Toc748"/>
      <w:bookmarkStart w:id="13" w:name="_Toc17465"/>
      <w:bookmarkStart w:id="14" w:name="_Toc28903"/>
      <w:bookmarkStart w:id="15" w:name="_Toc7679"/>
      <w:bookmarkStart w:id="16" w:name="_Toc27041578"/>
      <w:bookmarkStart w:id="17" w:name="_Toc756"/>
      <w:bookmarkStart w:id="18" w:name="_Toc2029"/>
      <w:r>
        <w:rPr>
          <w:rFonts w:hint="eastAsia"/>
          <w:b/>
          <w:sz w:val="44"/>
          <w:szCs w:val="44"/>
        </w:rPr>
        <w:t>第二章</w:t>
      </w:r>
      <w:r>
        <w:rPr>
          <w:b/>
          <w:sz w:val="44"/>
          <w:szCs w:val="44"/>
        </w:rPr>
        <w:t xml:space="preserve">  </w:t>
      </w:r>
      <w:r>
        <w:rPr>
          <w:rFonts w:hint="eastAsia"/>
          <w:b/>
          <w:sz w:val="44"/>
          <w:szCs w:val="44"/>
        </w:rPr>
        <w:t>供应商须知</w:t>
      </w:r>
      <w:bookmarkEnd w:id="10"/>
      <w:bookmarkEnd w:id="11"/>
      <w:bookmarkEnd w:id="12"/>
      <w:bookmarkEnd w:id="13"/>
      <w:bookmarkEnd w:id="14"/>
      <w:bookmarkEnd w:id="15"/>
      <w:bookmarkEnd w:id="16"/>
      <w:bookmarkEnd w:id="17"/>
      <w:bookmarkEnd w:id="18"/>
    </w:p>
    <w:p w14:paraId="1145DEB3">
      <w:pPr>
        <w:jc w:val="center"/>
        <w:rPr>
          <w:b/>
          <w:bCs/>
          <w:sz w:val="32"/>
          <w:szCs w:val="32"/>
        </w:rPr>
      </w:pPr>
      <w:bookmarkStart w:id="19" w:name="_Toc27041579"/>
      <w:bookmarkStart w:id="20" w:name="_Toc336273583"/>
      <w:bookmarkStart w:id="21" w:name="_Toc463798060"/>
      <w:bookmarkStart w:id="22" w:name="_Toc3580"/>
      <w:bookmarkStart w:id="23" w:name="_Toc24854"/>
      <w:bookmarkStart w:id="24" w:name="_Toc16126"/>
      <w:bookmarkStart w:id="25" w:name="_Toc24044"/>
      <w:bookmarkStart w:id="26" w:name="_Toc483320788"/>
      <w:bookmarkStart w:id="27" w:name="_Toc19128"/>
      <w:bookmarkStart w:id="28" w:name="_Toc15837"/>
      <w:r>
        <w:rPr>
          <w:rFonts w:hint="eastAsia"/>
          <w:b/>
          <w:bCs/>
          <w:sz w:val="32"/>
          <w:szCs w:val="32"/>
        </w:rPr>
        <w:t>一、总</w:t>
      </w:r>
      <w:r>
        <w:rPr>
          <w:b/>
          <w:bCs/>
          <w:sz w:val="32"/>
          <w:szCs w:val="32"/>
        </w:rPr>
        <w:t xml:space="preserve">  </w:t>
      </w:r>
      <w:r>
        <w:rPr>
          <w:rFonts w:hint="eastAsia"/>
          <w:b/>
          <w:bCs/>
          <w:sz w:val="32"/>
          <w:szCs w:val="32"/>
        </w:rPr>
        <w:t>则</w:t>
      </w:r>
      <w:bookmarkEnd w:id="19"/>
      <w:bookmarkEnd w:id="20"/>
      <w:bookmarkEnd w:id="21"/>
      <w:bookmarkEnd w:id="22"/>
      <w:bookmarkEnd w:id="23"/>
      <w:bookmarkEnd w:id="24"/>
      <w:bookmarkEnd w:id="25"/>
      <w:bookmarkEnd w:id="26"/>
      <w:bookmarkEnd w:id="27"/>
      <w:bookmarkEnd w:id="28"/>
    </w:p>
    <w:p w14:paraId="407D2B28">
      <w:pPr>
        <w:rPr>
          <w:rFonts w:ascii="宋体" w:hAnsi="宋体" w:cs="宋体"/>
          <w:b/>
          <w:bCs/>
          <w:sz w:val="28"/>
          <w:szCs w:val="28"/>
        </w:rPr>
      </w:pPr>
      <w:bookmarkStart w:id="29" w:name="_Toc20083"/>
      <w:bookmarkStart w:id="30" w:name="_Toc333501986"/>
      <w:bookmarkStart w:id="31" w:name="_Toc18995"/>
      <w:bookmarkStart w:id="32" w:name="_Toc463798061"/>
      <w:bookmarkStart w:id="33" w:name="_Toc295488108"/>
      <w:bookmarkStart w:id="34" w:name="_Toc334781363"/>
      <w:bookmarkStart w:id="35" w:name="_Toc317063520"/>
      <w:bookmarkStart w:id="36" w:name="_Toc27041580"/>
      <w:bookmarkStart w:id="37" w:name="_Toc333418601"/>
      <w:bookmarkStart w:id="38" w:name="_Toc21405"/>
      <w:bookmarkStart w:id="39" w:name="_Toc14600"/>
      <w:bookmarkStart w:id="40" w:name="_Toc483320789"/>
      <w:bookmarkStart w:id="41" w:name="_Toc336273584"/>
      <w:bookmarkStart w:id="42" w:name="_Toc28833"/>
      <w:r>
        <w:rPr>
          <w:rFonts w:ascii="宋体" w:hAnsi="宋体" w:cs="宋体"/>
          <w:b/>
          <w:bCs/>
          <w:sz w:val="28"/>
          <w:szCs w:val="28"/>
        </w:rPr>
        <w:t>1.项目概况</w:t>
      </w:r>
      <w:bookmarkEnd w:id="29"/>
      <w:bookmarkEnd w:id="30"/>
      <w:bookmarkEnd w:id="31"/>
      <w:bookmarkEnd w:id="32"/>
      <w:bookmarkEnd w:id="33"/>
      <w:bookmarkEnd w:id="34"/>
      <w:bookmarkEnd w:id="35"/>
      <w:bookmarkEnd w:id="36"/>
      <w:bookmarkEnd w:id="37"/>
      <w:bookmarkEnd w:id="38"/>
      <w:bookmarkEnd w:id="39"/>
      <w:bookmarkEnd w:id="40"/>
      <w:bookmarkEnd w:id="41"/>
      <w:bookmarkEnd w:id="42"/>
    </w:p>
    <w:p w14:paraId="1CED64DE">
      <w:pPr>
        <w:spacing w:line="480" w:lineRule="exact"/>
        <w:ind w:firstLine="480" w:firstLineChars="200"/>
        <w:rPr>
          <w:rFonts w:ascii="宋体" w:hAnsi="宋体"/>
          <w:sz w:val="24"/>
          <w:u w:val="single"/>
        </w:rPr>
      </w:pPr>
      <w:r>
        <w:rPr>
          <w:rFonts w:ascii="宋体" w:hAnsi="宋体"/>
          <w:sz w:val="24"/>
        </w:rPr>
        <w:t>1</w:t>
      </w:r>
      <w:r>
        <w:rPr>
          <w:rFonts w:ascii="宋体" w:hAnsi="宋体"/>
          <w:b/>
          <w:sz w:val="24"/>
        </w:rPr>
        <w:t>.</w:t>
      </w:r>
      <w:r>
        <w:rPr>
          <w:rFonts w:ascii="宋体" w:hAnsi="宋体"/>
          <w:sz w:val="24"/>
        </w:rPr>
        <w:t>1 项</w:t>
      </w:r>
      <w:r>
        <w:rPr>
          <w:rFonts w:hint="eastAsia" w:ascii="宋体" w:hAnsi="宋体"/>
          <w:sz w:val="24"/>
        </w:rPr>
        <w:t>目名</w:t>
      </w:r>
      <w:r>
        <w:rPr>
          <w:rFonts w:ascii="宋体" w:hAnsi="宋体"/>
          <w:sz w:val="24"/>
        </w:rPr>
        <w:t>称</w:t>
      </w:r>
      <w:r>
        <w:rPr>
          <w:rFonts w:hint="eastAsia" w:ascii="宋体" w:hAnsi="宋体"/>
          <w:sz w:val="24"/>
        </w:rPr>
        <w:t>：详见第一章《谈判公告》。</w:t>
      </w:r>
    </w:p>
    <w:p w14:paraId="5A434920">
      <w:pPr>
        <w:spacing w:line="480" w:lineRule="exact"/>
        <w:ind w:firstLine="480" w:firstLineChars="200"/>
        <w:rPr>
          <w:rFonts w:ascii="宋体" w:hAnsi="宋体"/>
          <w:sz w:val="24"/>
        </w:rPr>
      </w:pPr>
      <w:r>
        <w:rPr>
          <w:rFonts w:ascii="宋体" w:hAnsi="宋体"/>
          <w:sz w:val="24"/>
        </w:rPr>
        <w:t>1</w:t>
      </w:r>
      <w:r>
        <w:rPr>
          <w:rFonts w:ascii="宋体" w:hAnsi="宋体"/>
          <w:b/>
          <w:sz w:val="24"/>
        </w:rPr>
        <w:t>.</w:t>
      </w:r>
      <w:r>
        <w:rPr>
          <w:rFonts w:ascii="宋体" w:hAnsi="宋体"/>
          <w:sz w:val="24"/>
        </w:rPr>
        <w:t>2</w:t>
      </w:r>
      <w:r>
        <w:rPr>
          <w:rFonts w:hint="eastAsia" w:ascii="宋体" w:hAnsi="宋体"/>
          <w:sz w:val="24"/>
        </w:rPr>
        <w:t>项目内容：</w:t>
      </w:r>
      <w:r>
        <w:rPr>
          <w:rFonts w:ascii="宋体" w:hAnsi="宋体"/>
          <w:sz w:val="24"/>
        </w:rPr>
        <w:t>详见</w:t>
      </w:r>
      <w:r>
        <w:rPr>
          <w:rFonts w:hint="eastAsia" w:ascii="宋体" w:hAnsi="宋体"/>
          <w:sz w:val="24"/>
        </w:rPr>
        <w:t>第四章《技术要求》。</w:t>
      </w:r>
    </w:p>
    <w:p w14:paraId="62593E78">
      <w:pPr>
        <w:spacing w:line="480" w:lineRule="exact"/>
        <w:ind w:firstLine="480" w:firstLineChars="200"/>
        <w:rPr>
          <w:rFonts w:ascii="宋体" w:hAnsi="宋体"/>
          <w:sz w:val="24"/>
          <w:u w:val="single"/>
        </w:rPr>
      </w:pPr>
      <w:r>
        <w:rPr>
          <w:rFonts w:ascii="宋体" w:hAnsi="宋体"/>
          <w:sz w:val="24"/>
        </w:rPr>
        <w:t>1</w:t>
      </w:r>
      <w:r>
        <w:rPr>
          <w:rFonts w:ascii="宋体" w:hAnsi="宋体"/>
          <w:b/>
          <w:sz w:val="24"/>
        </w:rPr>
        <w:t>.</w:t>
      </w:r>
      <w:r>
        <w:rPr>
          <w:rFonts w:ascii="宋体" w:hAnsi="宋体"/>
          <w:sz w:val="24"/>
        </w:rPr>
        <w:t>3</w:t>
      </w:r>
      <w:r>
        <w:rPr>
          <w:rFonts w:hint="eastAsia" w:ascii="宋体" w:hAnsi="宋体"/>
          <w:sz w:val="24"/>
        </w:rPr>
        <w:t>投标</w:t>
      </w:r>
      <w:r>
        <w:rPr>
          <w:rFonts w:ascii="宋体" w:hAnsi="宋体"/>
          <w:sz w:val="24"/>
        </w:rPr>
        <w:t>有效期：90日历天。</w:t>
      </w:r>
    </w:p>
    <w:p w14:paraId="14BE6660">
      <w:pPr>
        <w:rPr>
          <w:rFonts w:ascii="宋体" w:hAnsi="宋体" w:cs="宋体"/>
          <w:b/>
          <w:bCs/>
          <w:sz w:val="28"/>
          <w:szCs w:val="28"/>
        </w:rPr>
      </w:pPr>
      <w:bookmarkStart w:id="43" w:name="_Toc333418602"/>
      <w:bookmarkStart w:id="44" w:name="_Toc317063521"/>
      <w:bookmarkStart w:id="45" w:name="_Toc31067"/>
      <w:bookmarkStart w:id="46" w:name="_Toc295488109"/>
      <w:bookmarkStart w:id="47" w:name="_Toc9118"/>
      <w:bookmarkStart w:id="48" w:name="_Toc333501987"/>
      <w:bookmarkStart w:id="49" w:name="_Toc32575"/>
      <w:bookmarkStart w:id="50" w:name="_Toc334781364"/>
      <w:bookmarkStart w:id="51" w:name="_Toc16944"/>
      <w:bookmarkStart w:id="52" w:name="_Toc5129"/>
      <w:bookmarkStart w:id="53" w:name="_Toc463798062"/>
      <w:bookmarkStart w:id="54" w:name="_Toc483320790"/>
      <w:bookmarkStart w:id="55" w:name="_Toc336273585"/>
      <w:bookmarkStart w:id="56" w:name="_Toc27041581"/>
      <w:r>
        <w:rPr>
          <w:rFonts w:ascii="宋体" w:hAnsi="宋体" w:cs="宋体"/>
          <w:b/>
          <w:bCs/>
          <w:sz w:val="28"/>
          <w:szCs w:val="28"/>
        </w:rPr>
        <w:t>2.合格的供应商</w:t>
      </w:r>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76A301D">
      <w:pPr>
        <w:spacing w:line="480" w:lineRule="exact"/>
        <w:ind w:firstLine="480" w:firstLineChars="200"/>
        <w:rPr>
          <w:rFonts w:ascii="宋体" w:hAnsi="宋体"/>
          <w:sz w:val="24"/>
        </w:rPr>
      </w:pPr>
      <w:bookmarkStart w:id="57" w:name="_Toc317063522"/>
      <w:bookmarkStart w:id="58" w:name="_Toc333418603"/>
      <w:bookmarkStart w:id="59" w:name="_Toc333501988"/>
      <w:bookmarkStart w:id="60" w:name="_Toc295488110"/>
      <w:bookmarkStart w:id="61" w:name="_Toc336273586"/>
      <w:bookmarkStart w:id="62" w:name="_Toc334781365"/>
      <w:bookmarkStart w:id="63" w:name="_Toc463798064"/>
      <w:r>
        <w:rPr>
          <w:rFonts w:ascii="宋体" w:hAnsi="宋体"/>
          <w:sz w:val="24"/>
        </w:rPr>
        <w:t xml:space="preserve">2.1 </w:t>
      </w:r>
      <w:r>
        <w:rPr>
          <w:rFonts w:hint="eastAsia" w:ascii="宋体" w:hAnsi="宋体"/>
          <w:sz w:val="24"/>
        </w:rPr>
        <w:t>采用资格后审。</w:t>
      </w:r>
    </w:p>
    <w:p w14:paraId="6FC4AE0F">
      <w:pPr>
        <w:spacing w:line="480" w:lineRule="exact"/>
        <w:ind w:firstLine="480" w:firstLineChars="200"/>
        <w:rPr>
          <w:rFonts w:ascii="宋体" w:hAnsi="宋体"/>
          <w:sz w:val="24"/>
        </w:rPr>
      </w:pPr>
      <w:r>
        <w:rPr>
          <w:rFonts w:ascii="宋体" w:hAnsi="宋体"/>
          <w:sz w:val="24"/>
        </w:rPr>
        <w:t xml:space="preserve">2.2 </w:t>
      </w:r>
      <w:r>
        <w:rPr>
          <w:rFonts w:hint="eastAsia" w:ascii="宋体" w:hAnsi="宋体"/>
          <w:sz w:val="24"/>
        </w:rPr>
        <w:t>应符合谈判文件第一章谈判公告</w:t>
      </w:r>
      <w:r>
        <w:rPr>
          <w:rFonts w:ascii="宋体" w:hAnsi="宋体"/>
          <w:sz w:val="24"/>
        </w:rPr>
        <w:t>的资格要求。</w:t>
      </w:r>
    </w:p>
    <w:p w14:paraId="67567A5F">
      <w:pPr>
        <w:rPr>
          <w:rFonts w:ascii="宋体" w:hAnsi="宋体" w:cs="宋体"/>
          <w:b/>
          <w:bCs/>
          <w:sz w:val="28"/>
          <w:szCs w:val="28"/>
        </w:rPr>
      </w:pPr>
      <w:bookmarkStart w:id="64" w:name="_Toc1013"/>
      <w:bookmarkStart w:id="65" w:name="_Toc1920"/>
      <w:bookmarkStart w:id="66" w:name="_Toc27041582"/>
      <w:bookmarkStart w:id="67" w:name="_Toc9396"/>
      <w:bookmarkStart w:id="68" w:name="_Toc14420"/>
      <w:bookmarkStart w:id="69" w:name="_Toc483320791"/>
      <w:bookmarkStart w:id="70" w:name="_Toc7252"/>
      <w:r>
        <w:rPr>
          <w:rFonts w:ascii="宋体" w:hAnsi="宋体" w:cs="宋体"/>
          <w:b/>
          <w:bCs/>
          <w:sz w:val="28"/>
          <w:szCs w:val="28"/>
        </w:rPr>
        <w:t>3.供应商费用</w:t>
      </w:r>
      <w:bookmarkEnd w:id="57"/>
      <w:bookmarkEnd w:id="58"/>
      <w:bookmarkEnd w:id="59"/>
      <w:bookmarkEnd w:id="60"/>
      <w:bookmarkEnd w:id="61"/>
      <w:bookmarkEnd w:id="62"/>
      <w:bookmarkEnd w:id="63"/>
      <w:bookmarkEnd w:id="64"/>
      <w:bookmarkEnd w:id="65"/>
      <w:bookmarkEnd w:id="66"/>
      <w:bookmarkEnd w:id="67"/>
      <w:bookmarkEnd w:id="68"/>
      <w:bookmarkEnd w:id="69"/>
      <w:bookmarkEnd w:id="70"/>
    </w:p>
    <w:p w14:paraId="7BA17157">
      <w:pPr>
        <w:spacing w:line="480" w:lineRule="exact"/>
        <w:ind w:firstLine="480" w:firstLineChars="200"/>
        <w:rPr>
          <w:rFonts w:ascii="宋体" w:hAnsi="宋体"/>
          <w:sz w:val="24"/>
        </w:rPr>
      </w:pPr>
      <w:r>
        <w:rPr>
          <w:rFonts w:ascii="宋体" w:hAnsi="宋体"/>
          <w:sz w:val="24"/>
        </w:rPr>
        <w:t xml:space="preserve">3.1 </w:t>
      </w:r>
      <w:r>
        <w:rPr>
          <w:rFonts w:hint="eastAsia" w:ascii="宋体" w:hAnsi="宋体"/>
          <w:sz w:val="24"/>
        </w:rPr>
        <w:t>供应商</w:t>
      </w:r>
      <w:r>
        <w:rPr>
          <w:rFonts w:ascii="宋体" w:hAnsi="宋体"/>
          <w:sz w:val="24"/>
        </w:rPr>
        <w:t>应</w:t>
      </w:r>
      <w:r>
        <w:rPr>
          <w:rFonts w:hint="eastAsia" w:ascii="宋体" w:hAnsi="宋体"/>
          <w:sz w:val="24"/>
        </w:rPr>
        <w:t>承</w:t>
      </w:r>
      <w:r>
        <w:rPr>
          <w:rFonts w:ascii="宋体" w:hAnsi="宋体"/>
          <w:sz w:val="24"/>
        </w:rPr>
        <w:t>担</w:t>
      </w:r>
      <w:r>
        <w:rPr>
          <w:rFonts w:hint="eastAsia" w:ascii="宋体" w:hAnsi="宋体"/>
          <w:sz w:val="24"/>
        </w:rPr>
        <w:t>所有与</w:t>
      </w:r>
      <w:r>
        <w:rPr>
          <w:rFonts w:ascii="宋体" w:hAnsi="宋体"/>
          <w:sz w:val="24"/>
        </w:rPr>
        <w:t>编写</w:t>
      </w:r>
      <w:r>
        <w:rPr>
          <w:rFonts w:hint="eastAsia" w:ascii="宋体" w:hAnsi="宋体"/>
          <w:sz w:val="24"/>
        </w:rPr>
        <w:t>和提交响应文件有</w:t>
      </w:r>
      <w:r>
        <w:rPr>
          <w:rFonts w:ascii="宋体" w:hAnsi="宋体"/>
          <w:sz w:val="24"/>
        </w:rPr>
        <w:t>关的费</w:t>
      </w:r>
      <w:r>
        <w:rPr>
          <w:rFonts w:hint="eastAsia" w:ascii="宋体" w:hAnsi="宋体"/>
          <w:sz w:val="24"/>
        </w:rPr>
        <w:t>用，不</w:t>
      </w:r>
      <w:r>
        <w:rPr>
          <w:rFonts w:ascii="宋体" w:hAnsi="宋体"/>
          <w:sz w:val="24"/>
        </w:rPr>
        <w:t>论</w:t>
      </w:r>
      <w:r>
        <w:rPr>
          <w:rFonts w:hint="eastAsia" w:ascii="宋体" w:hAnsi="宋体"/>
          <w:sz w:val="24"/>
        </w:rPr>
        <w:t>谈判</w:t>
      </w:r>
      <w:r>
        <w:rPr>
          <w:rFonts w:ascii="宋体" w:hAnsi="宋体"/>
          <w:sz w:val="24"/>
        </w:rPr>
        <w:t>结</w:t>
      </w:r>
      <w:r>
        <w:rPr>
          <w:rFonts w:hint="eastAsia" w:ascii="宋体" w:hAnsi="宋体"/>
          <w:sz w:val="24"/>
        </w:rPr>
        <w:t>果如何，采</w:t>
      </w:r>
      <w:r>
        <w:rPr>
          <w:rFonts w:ascii="宋体" w:hAnsi="宋体"/>
          <w:sz w:val="24"/>
        </w:rPr>
        <w:t>购</w:t>
      </w:r>
      <w:r>
        <w:rPr>
          <w:rFonts w:hint="eastAsia" w:ascii="宋体" w:hAnsi="宋体"/>
          <w:sz w:val="24"/>
        </w:rPr>
        <w:t>人在任何情</w:t>
      </w:r>
      <w:r>
        <w:rPr>
          <w:rFonts w:ascii="宋体" w:hAnsi="宋体"/>
          <w:sz w:val="24"/>
        </w:rPr>
        <w:t>况</w:t>
      </w:r>
      <w:r>
        <w:rPr>
          <w:rFonts w:hint="eastAsia" w:ascii="宋体" w:hAnsi="宋体"/>
          <w:sz w:val="24"/>
        </w:rPr>
        <w:t>下均</w:t>
      </w:r>
      <w:r>
        <w:rPr>
          <w:rFonts w:ascii="宋体" w:hAnsi="宋体"/>
          <w:sz w:val="24"/>
        </w:rPr>
        <w:t>无义务和责</w:t>
      </w:r>
      <w:r>
        <w:rPr>
          <w:rFonts w:hint="eastAsia" w:ascii="宋体" w:hAnsi="宋体"/>
          <w:sz w:val="24"/>
        </w:rPr>
        <w:t>任承</w:t>
      </w:r>
      <w:r>
        <w:rPr>
          <w:rFonts w:ascii="宋体" w:hAnsi="宋体"/>
          <w:sz w:val="24"/>
        </w:rPr>
        <w:t>担这些费</w:t>
      </w:r>
      <w:r>
        <w:rPr>
          <w:rFonts w:hint="eastAsia" w:ascii="宋体" w:hAnsi="宋体"/>
          <w:sz w:val="24"/>
        </w:rPr>
        <w:t>用。</w:t>
      </w:r>
    </w:p>
    <w:p w14:paraId="7B8606D8">
      <w:pPr>
        <w:jc w:val="center"/>
        <w:rPr>
          <w:b/>
          <w:bCs/>
          <w:sz w:val="32"/>
          <w:szCs w:val="32"/>
        </w:rPr>
      </w:pPr>
      <w:bookmarkStart w:id="71" w:name="_Toc27041583"/>
      <w:bookmarkStart w:id="72" w:name="_Toc336273587"/>
      <w:bookmarkStart w:id="73" w:name="_Toc463798065"/>
      <w:bookmarkStart w:id="74" w:name="_Toc23232"/>
      <w:bookmarkStart w:id="75" w:name="_Toc16442"/>
      <w:bookmarkStart w:id="76" w:name="_Toc2976"/>
      <w:bookmarkStart w:id="77" w:name="_Toc28021"/>
      <w:bookmarkStart w:id="78" w:name="_Toc27736"/>
      <w:bookmarkStart w:id="79" w:name="_Toc483320792"/>
      <w:bookmarkStart w:id="80" w:name="_Toc8092"/>
      <w:r>
        <w:rPr>
          <w:rFonts w:hint="eastAsia"/>
          <w:b/>
          <w:bCs/>
          <w:sz w:val="32"/>
          <w:szCs w:val="32"/>
        </w:rPr>
        <w:t>二、谈判文件</w:t>
      </w:r>
      <w:bookmarkEnd w:id="71"/>
      <w:bookmarkEnd w:id="72"/>
      <w:bookmarkEnd w:id="73"/>
      <w:bookmarkEnd w:id="74"/>
      <w:bookmarkEnd w:id="75"/>
      <w:bookmarkEnd w:id="76"/>
      <w:bookmarkEnd w:id="77"/>
      <w:bookmarkEnd w:id="78"/>
      <w:bookmarkEnd w:id="79"/>
      <w:bookmarkEnd w:id="80"/>
    </w:p>
    <w:p w14:paraId="5FC19091">
      <w:pPr>
        <w:rPr>
          <w:rFonts w:ascii="宋体" w:hAnsi="宋体" w:cs="宋体"/>
          <w:b/>
          <w:bCs/>
          <w:sz w:val="28"/>
          <w:szCs w:val="28"/>
        </w:rPr>
      </w:pPr>
      <w:bookmarkStart w:id="81" w:name="_Toc295488112"/>
      <w:bookmarkStart w:id="82" w:name="_Toc15024"/>
      <w:bookmarkStart w:id="83" w:name="_Toc16919"/>
      <w:bookmarkStart w:id="84" w:name="_Toc21029"/>
      <w:bookmarkStart w:id="85" w:name="_Toc483320793"/>
      <w:bookmarkStart w:id="86" w:name="_Toc333418605"/>
      <w:bookmarkStart w:id="87" w:name="_Toc334781367"/>
      <w:bookmarkStart w:id="88" w:name="_Toc463798066"/>
      <w:bookmarkStart w:id="89" w:name="_Toc333501990"/>
      <w:bookmarkStart w:id="90" w:name="_Toc15777"/>
      <w:bookmarkStart w:id="91" w:name="_Toc336273588"/>
      <w:bookmarkStart w:id="92" w:name="_Toc27041584"/>
      <w:bookmarkStart w:id="93" w:name="_Toc6166"/>
      <w:bookmarkStart w:id="94" w:name="_Toc317063524"/>
      <w:r>
        <w:rPr>
          <w:rFonts w:ascii="宋体" w:hAnsi="宋体" w:cs="宋体"/>
          <w:b/>
          <w:bCs/>
          <w:sz w:val="28"/>
          <w:szCs w:val="28"/>
        </w:rPr>
        <w:t>4.谈判文件的构成</w:t>
      </w:r>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1FD3ED82">
      <w:pPr>
        <w:spacing w:line="460" w:lineRule="exact"/>
        <w:ind w:firstLine="480" w:firstLineChars="200"/>
        <w:rPr>
          <w:rFonts w:ascii="宋体" w:hAnsi="宋体"/>
          <w:sz w:val="24"/>
        </w:rPr>
      </w:pPr>
      <w:r>
        <w:rPr>
          <w:rFonts w:ascii="宋体" w:hAnsi="宋体"/>
          <w:sz w:val="24"/>
        </w:rPr>
        <w:t>4.1</w:t>
      </w:r>
      <w:r>
        <w:rPr>
          <w:rFonts w:hint="eastAsia" w:ascii="宋体" w:hAnsi="宋体"/>
          <w:sz w:val="24"/>
        </w:rPr>
        <w:t>谈判</w:t>
      </w:r>
      <w:r>
        <w:rPr>
          <w:rFonts w:ascii="宋体" w:hAnsi="宋体"/>
          <w:sz w:val="24"/>
        </w:rPr>
        <w:t>文</w:t>
      </w:r>
      <w:r>
        <w:rPr>
          <w:rFonts w:hint="eastAsia" w:ascii="宋体" w:hAnsi="宋体"/>
          <w:sz w:val="24"/>
        </w:rPr>
        <w:t>件由目</w:t>
      </w:r>
      <w:r>
        <w:rPr>
          <w:rFonts w:ascii="宋体" w:hAnsi="宋体"/>
          <w:sz w:val="24"/>
        </w:rPr>
        <w:t>录</w:t>
      </w:r>
      <w:r>
        <w:rPr>
          <w:rFonts w:hint="eastAsia" w:ascii="宋体" w:hAnsi="宋体"/>
          <w:sz w:val="24"/>
        </w:rPr>
        <w:t>所</w:t>
      </w:r>
      <w:r>
        <w:rPr>
          <w:rFonts w:ascii="宋体" w:hAnsi="宋体"/>
          <w:sz w:val="24"/>
        </w:rPr>
        <w:t>列内</w:t>
      </w:r>
      <w:r>
        <w:rPr>
          <w:rFonts w:hint="eastAsia" w:ascii="宋体" w:hAnsi="宋体"/>
          <w:sz w:val="24"/>
        </w:rPr>
        <w:t>容</w:t>
      </w:r>
      <w:r>
        <w:rPr>
          <w:rFonts w:ascii="宋体" w:hAnsi="宋体"/>
          <w:sz w:val="24"/>
        </w:rPr>
        <w:t>组</w:t>
      </w:r>
      <w:r>
        <w:rPr>
          <w:rFonts w:hint="eastAsia" w:ascii="宋体" w:hAnsi="宋体"/>
          <w:sz w:val="24"/>
        </w:rPr>
        <w:t>成。</w:t>
      </w:r>
    </w:p>
    <w:p w14:paraId="204B5E1C">
      <w:pPr>
        <w:spacing w:line="460" w:lineRule="exact"/>
        <w:ind w:firstLine="480" w:firstLineChars="200"/>
        <w:rPr>
          <w:rFonts w:ascii="宋体" w:hAnsi="宋体"/>
          <w:sz w:val="24"/>
        </w:rPr>
      </w:pPr>
      <w:r>
        <w:rPr>
          <w:rFonts w:ascii="宋体" w:hAnsi="宋体"/>
          <w:sz w:val="24"/>
        </w:rPr>
        <w:t xml:space="preserve">4.2 </w:t>
      </w:r>
      <w:r>
        <w:rPr>
          <w:rFonts w:hint="eastAsia" w:ascii="宋体" w:hAnsi="宋体"/>
          <w:sz w:val="24"/>
        </w:rPr>
        <w:t>供应商</w:t>
      </w:r>
      <w:r>
        <w:rPr>
          <w:rFonts w:ascii="宋体" w:hAnsi="宋体"/>
          <w:sz w:val="24"/>
        </w:rPr>
        <w:t>应认</w:t>
      </w:r>
      <w:r>
        <w:rPr>
          <w:rFonts w:hint="eastAsia" w:ascii="宋体" w:hAnsi="宋体"/>
          <w:sz w:val="24"/>
        </w:rPr>
        <w:t>真</w:t>
      </w:r>
      <w:r>
        <w:rPr>
          <w:rFonts w:ascii="宋体" w:hAnsi="宋体"/>
          <w:sz w:val="24"/>
        </w:rPr>
        <w:t>阅读</w:t>
      </w:r>
      <w:r>
        <w:rPr>
          <w:rFonts w:hint="eastAsia" w:ascii="宋体" w:hAnsi="宋体"/>
          <w:sz w:val="24"/>
        </w:rPr>
        <w:t>谈判</w:t>
      </w:r>
      <w:r>
        <w:rPr>
          <w:rFonts w:ascii="宋体" w:hAnsi="宋体"/>
          <w:sz w:val="24"/>
        </w:rPr>
        <w:t>文</w:t>
      </w:r>
      <w:r>
        <w:rPr>
          <w:rFonts w:hint="eastAsia" w:ascii="宋体" w:hAnsi="宋体"/>
          <w:sz w:val="24"/>
        </w:rPr>
        <w:t>件中所有的事</w:t>
      </w:r>
      <w:r>
        <w:rPr>
          <w:rFonts w:ascii="宋体" w:hAnsi="宋体"/>
          <w:sz w:val="24"/>
        </w:rPr>
        <w:t>项</w:t>
      </w:r>
      <w:r>
        <w:rPr>
          <w:rFonts w:hint="eastAsia" w:ascii="宋体" w:hAnsi="宋体"/>
          <w:sz w:val="24"/>
        </w:rPr>
        <w:t>、格式、</w:t>
      </w:r>
      <w:r>
        <w:rPr>
          <w:rFonts w:ascii="宋体" w:hAnsi="宋体"/>
          <w:sz w:val="24"/>
        </w:rPr>
        <w:t>条</w:t>
      </w:r>
      <w:r>
        <w:rPr>
          <w:rFonts w:hint="eastAsia" w:ascii="宋体" w:hAnsi="宋体"/>
          <w:sz w:val="24"/>
        </w:rPr>
        <w:t>款和</w:t>
      </w:r>
      <w:r>
        <w:rPr>
          <w:rFonts w:ascii="宋体" w:hAnsi="宋体"/>
          <w:sz w:val="24"/>
        </w:rPr>
        <w:t>规</w:t>
      </w:r>
      <w:r>
        <w:rPr>
          <w:rFonts w:hint="eastAsia" w:ascii="宋体" w:hAnsi="宋体"/>
          <w:sz w:val="24"/>
        </w:rPr>
        <w:t>范等要求。供应商应按照谈判</w:t>
      </w:r>
      <w:r>
        <w:rPr>
          <w:rFonts w:ascii="宋体" w:hAnsi="宋体"/>
          <w:sz w:val="24"/>
        </w:rPr>
        <w:t>文</w:t>
      </w:r>
      <w:r>
        <w:rPr>
          <w:rFonts w:hint="eastAsia" w:ascii="宋体" w:hAnsi="宋体"/>
          <w:sz w:val="24"/>
        </w:rPr>
        <w:t>件要求提交全部</w:t>
      </w:r>
      <w:r>
        <w:rPr>
          <w:rFonts w:ascii="宋体" w:hAnsi="宋体"/>
          <w:sz w:val="24"/>
        </w:rPr>
        <w:t>数</w:t>
      </w:r>
      <w:r>
        <w:rPr>
          <w:rFonts w:hint="eastAsia" w:ascii="宋体" w:hAnsi="宋体"/>
          <w:sz w:val="24"/>
        </w:rPr>
        <w:t>据并</w:t>
      </w:r>
      <w:r>
        <w:rPr>
          <w:rFonts w:ascii="宋体" w:hAnsi="宋体"/>
          <w:sz w:val="24"/>
        </w:rPr>
        <w:t>对</w:t>
      </w:r>
      <w:r>
        <w:rPr>
          <w:rFonts w:hint="eastAsia" w:ascii="宋体" w:hAnsi="宋体"/>
          <w:sz w:val="24"/>
        </w:rPr>
        <w:t>谈判</w:t>
      </w:r>
      <w:r>
        <w:rPr>
          <w:rFonts w:ascii="宋体" w:hAnsi="宋体"/>
          <w:sz w:val="24"/>
        </w:rPr>
        <w:t>文件</w:t>
      </w:r>
      <w:r>
        <w:rPr>
          <w:rFonts w:hint="eastAsia" w:ascii="宋体" w:hAnsi="宋体"/>
          <w:sz w:val="24"/>
        </w:rPr>
        <w:t>在各方面都做出</w:t>
      </w:r>
      <w:r>
        <w:rPr>
          <w:rFonts w:ascii="宋体" w:hAnsi="宋体"/>
          <w:sz w:val="24"/>
        </w:rPr>
        <w:t>实质</w:t>
      </w:r>
      <w:r>
        <w:rPr>
          <w:rFonts w:hint="eastAsia" w:ascii="宋体" w:hAnsi="宋体"/>
          <w:sz w:val="24"/>
        </w:rPr>
        <w:t>性</w:t>
      </w:r>
      <w:r>
        <w:rPr>
          <w:rFonts w:ascii="宋体" w:hAnsi="宋体"/>
          <w:sz w:val="24"/>
        </w:rPr>
        <w:t>响应</w:t>
      </w:r>
      <w:r>
        <w:rPr>
          <w:rFonts w:hint="eastAsia" w:ascii="宋体" w:hAnsi="宋体"/>
          <w:sz w:val="24"/>
        </w:rPr>
        <w:t>。</w:t>
      </w:r>
    </w:p>
    <w:p w14:paraId="06660F66">
      <w:pPr>
        <w:rPr>
          <w:rFonts w:ascii="宋体" w:hAnsi="宋体" w:cs="宋体"/>
          <w:b/>
          <w:bCs/>
          <w:sz w:val="28"/>
          <w:szCs w:val="28"/>
        </w:rPr>
      </w:pPr>
      <w:bookmarkStart w:id="95" w:name="_Toc10794"/>
      <w:bookmarkStart w:id="96" w:name="_Toc334781368"/>
      <w:bookmarkStart w:id="97" w:name="_Toc4928"/>
      <w:bookmarkStart w:id="98" w:name="_Toc333501991"/>
      <w:bookmarkStart w:id="99" w:name="_Toc463798067"/>
      <w:bookmarkStart w:id="100" w:name="_Toc295488113"/>
      <w:bookmarkStart w:id="101" w:name="_Toc336273589"/>
      <w:bookmarkStart w:id="102" w:name="_Toc333418606"/>
      <w:bookmarkStart w:id="103" w:name="_Toc14318"/>
      <w:bookmarkStart w:id="104" w:name="_Toc27041585"/>
      <w:bookmarkStart w:id="105" w:name="_Toc15572"/>
      <w:bookmarkStart w:id="106" w:name="_Toc317063525"/>
      <w:bookmarkStart w:id="107" w:name="_Toc483320794"/>
      <w:bookmarkStart w:id="108" w:name="_Toc27777"/>
      <w:r>
        <w:rPr>
          <w:rFonts w:ascii="宋体" w:hAnsi="宋体" w:cs="宋体"/>
          <w:b/>
          <w:bCs/>
          <w:sz w:val="28"/>
          <w:szCs w:val="28"/>
        </w:rPr>
        <w:t>5.谈判文件的修改</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14:paraId="14696A83">
      <w:pPr>
        <w:spacing w:line="480" w:lineRule="exact"/>
        <w:ind w:firstLine="480" w:firstLineChars="200"/>
        <w:rPr>
          <w:rFonts w:ascii="宋体" w:hAnsi="宋体"/>
          <w:sz w:val="24"/>
        </w:rPr>
      </w:pPr>
      <w:r>
        <w:rPr>
          <w:rFonts w:ascii="宋体" w:hAnsi="宋体"/>
          <w:sz w:val="24"/>
        </w:rPr>
        <w:t xml:space="preserve">5.1 </w:t>
      </w:r>
      <w:r>
        <w:rPr>
          <w:rFonts w:hint="eastAsia" w:ascii="宋体" w:hAnsi="宋体"/>
          <w:sz w:val="24"/>
        </w:rPr>
        <w:t>在</w:t>
      </w:r>
      <w:r>
        <w:rPr>
          <w:rFonts w:ascii="宋体" w:hAnsi="宋体"/>
          <w:sz w:val="24"/>
        </w:rPr>
        <w:t>递</w:t>
      </w:r>
      <w:r>
        <w:rPr>
          <w:rFonts w:hint="eastAsia" w:ascii="宋体" w:hAnsi="宋体"/>
          <w:sz w:val="24"/>
        </w:rPr>
        <w:t>交响应</w:t>
      </w:r>
      <w:r>
        <w:rPr>
          <w:rFonts w:ascii="宋体" w:hAnsi="宋体"/>
          <w:sz w:val="24"/>
        </w:rPr>
        <w:t>文件截止时间</w:t>
      </w:r>
      <w:r>
        <w:rPr>
          <w:rFonts w:hint="eastAsia" w:ascii="宋体" w:hAnsi="宋体"/>
          <w:sz w:val="24"/>
        </w:rPr>
        <w:t>前任何</w:t>
      </w:r>
      <w:r>
        <w:rPr>
          <w:rFonts w:ascii="宋体" w:hAnsi="宋体"/>
          <w:sz w:val="24"/>
        </w:rPr>
        <w:t>时</w:t>
      </w:r>
      <w:r>
        <w:rPr>
          <w:rFonts w:hint="eastAsia" w:ascii="宋体" w:hAnsi="宋体"/>
          <w:sz w:val="24"/>
        </w:rPr>
        <w:t>候，</w:t>
      </w:r>
      <w:r>
        <w:rPr>
          <w:rFonts w:ascii="宋体" w:hAnsi="宋体"/>
          <w:sz w:val="24"/>
        </w:rPr>
        <w:t>无论</w:t>
      </w:r>
      <w:r>
        <w:rPr>
          <w:rFonts w:hint="eastAsia" w:ascii="宋体" w:hAnsi="宋体"/>
          <w:sz w:val="24"/>
        </w:rPr>
        <w:t>出于何种原因，采</w:t>
      </w:r>
      <w:r>
        <w:rPr>
          <w:rFonts w:ascii="宋体" w:hAnsi="宋体"/>
          <w:sz w:val="24"/>
        </w:rPr>
        <w:t>购</w:t>
      </w:r>
      <w:r>
        <w:rPr>
          <w:rFonts w:hint="eastAsia" w:ascii="宋体" w:hAnsi="宋体"/>
          <w:sz w:val="24"/>
        </w:rPr>
        <w:t>人可主</w:t>
      </w:r>
      <w:r>
        <w:rPr>
          <w:rFonts w:ascii="宋体" w:hAnsi="宋体"/>
          <w:sz w:val="24"/>
        </w:rPr>
        <w:t>动</w:t>
      </w:r>
      <w:r>
        <w:rPr>
          <w:rFonts w:hint="eastAsia" w:ascii="宋体" w:hAnsi="宋体"/>
          <w:sz w:val="24"/>
        </w:rPr>
        <w:t>地或在解答供应商提出的澄清</w:t>
      </w:r>
      <w:r>
        <w:rPr>
          <w:rFonts w:ascii="宋体" w:hAnsi="宋体"/>
          <w:sz w:val="24"/>
        </w:rPr>
        <w:t>问题时对</w:t>
      </w:r>
      <w:r>
        <w:rPr>
          <w:rFonts w:hint="eastAsia" w:ascii="宋体" w:hAnsi="宋体"/>
          <w:sz w:val="24"/>
        </w:rPr>
        <w:t>谈判文件</w:t>
      </w:r>
      <w:r>
        <w:rPr>
          <w:rFonts w:ascii="宋体" w:hAnsi="宋体"/>
          <w:sz w:val="24"/>
        </w:rPr>
        <w:t>进</w:t>
      </w:r>
      <w:r>
        <w:rPr>
          <w:rFonts w:hint="eastAsia" w:ascii="宋体" w:hAnsi="宋体"/>
          <w:sz w:val="24"/>
        </w:rPr>
        <w:t>行修改。若文件出</w:t>
      </w:r>
      <w:r>
        <w:rPr>
          <w:rFonts w:ascii="宋体" w:hAnsi="宋体"/>
          <w:sz w:val="24"/>
        </w:rPr>
        <w:t>现</w:t>
      </w:r>
      <w:r>
        <w:rPr>
          <w:rFonts w:hint="eastAsia" w:ascii="宋体" w:hAnsi="宋体"/>
          <w:sz w:val="24"/>
        </w:rPr>
        <w:t>前后不一致</w:t>
      </w:r>
      <w:r>
        <w:rPr>
          <w:rFonts w:ascii="宋体" w:hAnsi="宋体"/>
          <w:sz w:val="24"/>
        </w:rPr>
        <w:t>时</w:t>
      </w:r>
      <w:r>
        <w:rPr>
          <w:rFonts w:hint="eastAsia" w:ascii="宋体" w:hAnsi="宋体"/>
          <w:sz w:val="24"/>
        </w:rPr>
        <w:t>，以最</w:t>
      </w:r>
      <w:r>
        <w:rPr>
          <w:rFonts w:ascii="宋体" w:hAnsi="宋体"/>
          <w:sz w:val="24"/>
        </w:rPr>
        <w:t>后发</w:t>
      </w:r>
      <w:r>
        <w:rPr>
          <w:rFonts w:hint="eastAsia" w:ascii="宋体" w:hAnsi="宋体"/>
          <w:sz w:val="24"/>
        </w:rPr>
        <w:t>出的文件</w:t>
      </w:r>
      <w:r>
        <w:rPr>
          <w:rFonts w:ascii="宋体" w:hAnsi="宋体"/>
          <w:sz w:val="24"/>
        </w:rPr>
        <w:t>为</w:t>
      </w:r>
      <w:r>
        <w:rPr>
          <w:rFonts w:hint="eastAsia" w:ascii="宋体" w:hAnsi="宋体"/>
          <w:sz w:val="24"/>
        </w:rPr>
        <w:t>准。</w:t>
      </w:r>
    </w:p>
    <w:p w14:paraId="2B27EEBF">
      <w:pPr>
        <w:spacing w:line="480" w:lineRule="exact"/>
        <w:ind w:firstLine="480" w:firstLineChars="200"/>
        <w:rPr>
          <w:rFonts w:ascii="宋体" w:hAnsi="宋体"/>
          <w:sz w:val="24"/>
        </w:rPr>
      </w:pPr>
      <w:r>
        <w:rPr>
          <w:rFonts w:ascii="宋体" w:hAnsi="宋体"/>
          <w:sz w:val="24"/>
        </w:rPr>
        <w:t xml:space="preserve">5.2 </w:t>
      </w:r>
      <w:r>
        <w:rPr>
          <w:rFonts w:hint="eastAsia" w:ascii="宋体" w:hAnsi="宋体"/>
          <w:sz w:val="24"/>
        </w:rPr>
        <w:t>采购人对已发出的谈判文件进行必要的澄清或者修改的，澄清或者修改的内容作为谈判文件的组成部分。澄清或者修改的内容可能影响响应文件编制的，采购人将在提交首次响应文件截止之日</w:t>
      </w:r>
      <w:r>
        <w:rPr>
          <w:rFonts w:ascii="宋体" w:hAnsi="宋体"/>
          <w:sz w:val="24"/>
        </w:rPr>
        <w:t>3个工作日前，以书面形式通知所有接收谈判文件的供应商，不足3个工作日的，将顺延提交首次响应文件截止之日。</w:t>
      </w:r>
    </w:p>
    <w:p w14:paraId="35FECFFB">
      <w:pPr>
        <w:spacing w:line="480" w:lineRule="exact"/>
        <w:ind w:firstLine="480" w:firstLineChars="200"/>
        <w:rPr>
          <w:rFonts w:ascii="宋体" w:hAnsi="宋体"/>
          <w:sz w:val="24"/>
        </w:rPr>
      </w:pPr>
      <w:r>
        <w:rPr>
          <w:rFonts w:ascii="宋体" w:hAnsi="宋体"/>
          <w:sz w:val="24"/>
        </w:rPr>
        <w:t>5.3</w:t>
      </w:r>
      <w:r>
        <w:rPr>
          <w:rFonts w:hint="eastAsia" w:ascii="宋体" w:hAnsi="宋体"/>
          <w:sz w:val="24"/>
        </w:rPr>
        <w:t>采购人可以视采购具体情况，推迟递交响应文件截止时间，并将变更时间书面通知所有接收谈判文件的供应商。</w:t>
      </w:r>
    </w:p>
    <w:p w14:paraId="0B7DABAD">
      <w:pPr>
        <w:jc w:val="center"/>
        <w:rPr>
          <w:b/>
          <w:bCs/>
          <w:sz w:val="32"/>
          <w:szCs w:val="32"/>
        </w:rPr>
      </w:pPr>
      <w:bookmarkStart w:id="109" w:name="_Toc29268"/>
      <w:bookmarkStart w:id="110" w:name="_Toc336273590"/>
      <w:bookmarkStart w:id="111" w:name="_Toc27041586"/>
      <w:bookmarkStart w:id="112" w:name="_Toc1801"/>
      <w:bookmarkStart w:id="113" w:name="_Toc25138"/>
      <w:bookmarkStart w:id="114" w:name="_Toc483320795"/>
      <w:bookmarkStart w:id="115" w:name="_Toc27426"/>
      <w:bookmarkStart w:id="116" w:name="_Toc463798068"/>
      <w:bookmarkStart w:id="117" w:name="_Toc20752"/>
      <w:bookmarkStart w:id="118" w:name="_Toc899"/>
      <w:r>
        <w:rPr>
          <w:rFonts w:hint="eastAsia"/>
          <w:b/>
          <w:bCs/>
          <w:sz w:val="32"/>
          <w:szCs w:val="32"/>
        </w:rPr>
        <w:t>三、响应文件的编制</w:t>
      </w:r>
      <w:bookmarkEnd w:id="109"/>
      <w:bookmarkEnd w:id="110"/>
      <w:bookmarkEnd w:id="111"/>
      <w:bookmarkEnd w:id="112"/>
      <w:bookmarkEnd w:id="113"/>
      <w:bookmarkEnd w:id="114"/>
      <w:bookmarkEnd w:id="115"/>
      <w:bookmarkEnd w:id="116"/>
      <w:bookmarkEnd w:id="117"/>
      <w:bookmarkEnd w:id="118"/>
    </w:p>
    <w:p w14:paraId="6F2FB701">
      <w:pPr>
        <w:rPr>
          <w:rFonts w:ascii="宋体" w:hAnsi="宋体" w:cs="宋体"/>
          <w:b/>
          <w:bCs/>
          <w:sz w:val="28"/>
          <w:szCs w:val="28"/>
        </w:rPr>
      </w:pPr>
      <w:bookmarkStart w:id="119" w:name="_Toc27041587"/>
      <w:bookmarkStart w:id="120" w:name="_Toc334781370"/>
      <w:bookmarkStart w:id="121" w:name="_Toc317063527"/>
      <w:bookmarkStart w:id="122" w:name="_Toc483320796"/>
      <w:bookmarkStart w:id="123" w:name="_Toc333501993"/>
      <w:bookmarkStart w:id="124" w:name="_Toc333418608"/>
      <w:bookmarkStart w:id="125" w:name="_Toc5385"/>
      <w:bookmarkStart w:id="126" w:name="_Toc25044"/>
      <w:bookmarkStart w:id="127" w:name="_Toc11419"/>
      <w:bookmarkStart w:id="128" w:name="_Toc19093"/>
      <w:bookmarkStart w:id="129" w:name="_Toc13832"/>
      <w:bookmarkStart w:id="130" w:name="_Toc463798069"/>
      <w:bookmarkStart w:id="131" w:name="_Toc295488115"/>
      <w:r>
        <w:rPr>
          <w:rFonts w:ascii="宋体" w:hAnsi="宋体" w:cs="宋体"/>
          <w:b/>
          <w:bCs/>
          <w:sz w:val="28"/>
          <w:szCs w:val="28"/>
        </w:rPr>
        <w:t>6.响应文件的报价、语言及度量衡单位</w:t>
      </w:r>
      <w:bookmarkEnd w:id="119"/>
      <w:bookmarkEnd w:id="120"/>
      <w:bookmarkEnd w:id="121"/>
      <w:bookmarkEnd w:id="122"/>
      <w:bookmarkEnd w:id="123"/>
      <w:bookmarkEnd w:id="124"/>
      <w:bookmarkEnd w:id="125"/>
      <w:bookmarkEnd w:id="126"/>
      <w:bookmarkEnd w:id="127"/>
      <w:bookmarkEnd w:id="128"/>
      <w:bookmarkEnd w:id="129"/>
      <w:bookmarkEnd w:id="130"/>
      <w:bookmarkEnd w:id="131"/>
    </w:p>
    <w:p w14:paraId="148C932F">
      <w:pPr>
        <w:spacing w:line="480" w:lineRule="exact"/>
        <w:ind w:firstLine="480" w:firstLineChars="200"/>
        <w:rPr>
          <w:rFonts w:ascii="宋体" w:hAnsi="宋体"/>
          <w:b/>
          <w:sz w:val="24"/>
        </w:rPr>
      </w:pPr>
      <w:r>
        <w:rPr>
          <w:rFonts w:ascii="宋体"/>
          <w:sz w:val="24"/>
        </w:rPr>
        <w:t>6.1</w:t>
      </w:r>
      <w:r>
        <w:rPr>
          <w:rFonts w:hint="eastAsia" w:ascii="宋体"/>
          <w:sz w:val="24"/>
        </w:rPr>
        <w:t>供应商的谈判报价应包括:成本价、税费、售后服务费、人员工资、设备与安装费、保险费、调试、验收费、试运行费、配合费、人员培训费、成交服务费、公证费、政策性文件规定及合同包含的所有风险、责任等各项应有费用</w:t>
      </w:r>
      <w:r>
        <w:rPr>
          <w:rFonts w:hint="eastAsia" w:ascii="宋体" w:hAnsi="宋体"/>
          <w:sz w:val="24"/>
        </w:rPr>
        <w:t>。</w:t>
      </w:r>
    </w:p>
    <w:p w14:paraId="6FF72240">
      <w:pPr>
        <w:pStyle w:val="6"/>
        <w:spacing w:line="480" w:lineRule="exact"/>
        <w:ind w:firstLine="523" w:firstLineChars="218"/>
        <w:rPr>
          <w:rFonts w:ascii="宋体" w:hAnsi="宋体"/>
          <w:sz w:val="24"/>
        </w:rPr>
      </w:pPr>
      <w:r>
        <w:rPr>
          <w:rFonts w:ascii="宋体" w:hAnsi="宋体"/>
          <w:sz w:val="24"/>
        </w:rPr>
        <w:t>6.2 报价</w:t>
      </w:r>
      <w:r>
        <w:rPr>
          <w:rFonts w:hint="eastAsia" w:ascii="宋体" w:hAnsi="宋体"/>
          <w:sz w:val="24"/>
        </w:rPr>
        <w:t>大小</w:t>
      </w:r>
      <w:r>
        <w:rPr>
          <w:rFonts w:ascii="宋体" w:hAnsi="宋体"/>
          <w:sz w:val="24"/>
        </w:rPr>
        <w:t>写</w:t>
      </w:r>
      <w:r>
        <w:rPr>
          <w:rFonts w:hint="eastAsia" w:ascii="宋体" w:hAnsi="宋体"/>
          <w:sz w:val="24"/>
        </w:rPr>
        <w:t>金</w:t>
      </w:r>
      <w:r>
        <w:rPr>
          <w:rFonts w:ascii="宋体" w:hAnsi="宋体"/>
          <w:sz w:val="24"/>
        </w:rPr>
        <w:t>额不</w:t>
      </w:r>
      <w:r>
        <w:rPr>
          <w:rFonts w:hint="eastAsia" w:ascii="宋体" w:hAnsi="宋体"/>
          <w:sz w:val="24"/>
        </w:rPr>
        <w:t>一致的，以</w:t>
      </w:r>
      <w:r>
        <w:rPr>
          <w:rFonts w:hint="eastAsia" w:ascii="宋体" w:hAnsi="宋体"/>
          <w:b/>
          <w:sz w:val="24"/>
        </w:rPr>
        <w:t>大</w:t>
      </w:r>
      <w:r>
        <w:rPr>
          <w:rFonts w:ascii="宋体" w:hAnsi="宋体"/>
          <w:b/>
          <w:sz w:val="24"/>
        </w:rPr>
        <w:t>写</w:t>
      </w:r>
      <w:r>
        <w:rPr>
          <w:rFonts w:hint="eastAsia" w:ascii="宋体" w:hAnsi="宋体"/>
          <w:sz w:val="24"/>
        </w:rPr>
        <w:t>金</w:t>
      </w:r>
      <w:r>
        <w:rPr>
          <w:rFonts w:ascii="宋体" w:hAnsi="宋体"/>
          <w:sz w:val="24"/>
        </w:rPr>
        <w:t>额为</w:t>
      </w:r>
      <w:r>
        <w:rPr>
          <w:rFonts w:hint="eastAsia" w:ascii="宋体" w:hAnsi="宋体"/>
          <w:sz w:val="24"/>
        </w:rPr>
        <w:t>准；</w:t>
      </w:r>
      <w:r>
        <w:rPr>
          <w:rFonts w:ascii="宋体" w:hAnsi="宋体"/>
          <w:sz w:val="24"/>
        </w:rPr>
        <w:t>总</w:t>
      </w:r>
      <w:r>
        <w:rPr>
          <w:rFonts w:hint="eastAsia" w:ascii="宋体" w:hAnsi="宋体"/>
          <w:sz w:val="24"/>
        </w:rPr>
        <w:t>价金</w:t>
      </w:r>
      <w:r>
        <w:rPr>
          <w:rFonts w:ascii="宋体" w:hAnsi="宋体"/>
          <w:sz w:val="24"/>
        </w:rPr>
        <w:t>额</w:t>
      </w:r>
      <w:r>
        <w:rPr>
          <w:rFonts w:hint="eastAsia" w:ascii="宋体" w:hAnsi="宋体"/>
          <w:sz w:val="24"/>
        </w:rPr>
        <w:t>与按</w:t>
      </w:r>
      <w:r>
        <w:rPr>
          <w:rFonts w:ascii="宋体" w:hAnsi="宋体"/>
          <w:sz w:val="24"/>
        </w:rPr>
        <w:t>单</w:t>
      </w:r>
      <w:r>
        <w:rPr>
          <w:rFonts w:hint="eastAsia" w:ascii="宋体" w:hAnsi="宋体"/>
          <w:sz w:val="24"/>
        </w:rPr>
        <w:t>价</w:t>
      </w:r>
      <w:r>
        <w:rPr>
          <w:rFonts w:ascii="宋体" w:hAnsi="宋体"/>
          <w:sz w:val="24"/>
        </w:rPr>
        <w:t>汇总</w:t>
      </w:r>
      <w:r>
        <w:rPr>
          <w:rFonts w:hint="eastAsia" w:ascii="宋体" w:hAnsi="宋体"/>
          <w:sz w:val="24"/>
        </w:rPr>
        <w:t>金</w:t>
      </w:r>
      <w:r>
        <w:rPr>
          <w:rFonts w:ascii="宋体" w:hAnsi="宋体"/>
          <w:sz w:val="24"/>
        </w:rPr>
        <w:t>额不</w:t>
      </w:r>
      <w:r>
        <w:rPr>
          <w:rFonts w:hint="eastAsia" w:ascii="宋体" w:hAnsi="宋体"/>
          <w:sz w:val="24"/>
        </w:rPr>
        <w:t>一致的，以</w:t>
      </w:r>
      <w:r>
        <w:rPr>
          <w:rFonts w:ascii="宋体" w:hAnsi="宋体"/>
          <w:b/>
          <w:sz w:val="24"/>
        </w:rPr>
        <w:t>单</w:t>
      </w:r>
      <w:r>
        <w:rPr>
          <w:rFonts w:hint="eastAsia" w:ascii="宋体" w:hAnsi="宋体"/>
          <w:b/>
          <w:sz w:val="24"/>
        </w:rPr>
        <w:t>价</w:t>
      </w:r>
      <w:r>
        <w:rPr>
          <w:rFonts w:hint="eastAsia" w:ascii="宋体" w:hAnsi="宋体"/>
          <w:sz w:val="24"/>
        </w:rPr>
        <w:t>金</w:t>
      </w:r>
      <w:r>
        <w:rPr>
          <w:rFonts w:ascii="宋体" w:hAnsi="宋体"/>
          <w:sz w:val="24"/>
        </w:rPr>
        <w:t>额计</w:t>
      </w:r>
      <w:r>
        <w:rPr>
          <w:rFonts w:hint="eastAsia" w:ascii="宋体" w:hAnsi="宋体"/>
          <w:sz w:val="24"/>
        </w:rPr>
        <w:t>算</w:t>
      </w:r>
      <w:r>
        <w:rPr>
          <w:rFonts w:ascii="宋体" w:hAnsi="宋体"/>
          <w:sz w:val="24"/>
        </w:rPr>
        <w:t>结</w:t>
      </w:r>
      <w:r>
        <w:rPr>
          <w:rFonts w:hint="eastAsia" w:ascii="宋体" w:hAnsi="宋体"/>
          <w:sz w:val="24"/>
        </w:rPr>
        <w:t>果</w:t>
      </w:r>
      <w:r>
        <w:rPr>
          <w:rFonts w:ascii="宋体" w:hAnsi="宋体"/>
          <w:sz w:val="24"/>
        </w:rPr>
        <w:t>为</w:t>
      </w:r>
      <w:r>
        <w:rPr>
          <w:rFonts w:hint="eastAsia" w:ascii="宋体" w:hAnsi="宋体"/>
          <w:sz w:val="24"/>
        </w:rPr>
        <w:t>准；</w:t>
      </w:r>
      <w:r>
        <w:rPr>
          <w:rFonts w:ascii="宋体" w:hAnsi="宋体"/>
          <w:sz w:val="24"/>
        </w:rPr>
        <w:t>单</w:t>
      </w:r>
      <w:r>
        <w:rPr>
          <w:rFonts w:hint="eastAsia" w:ascii="宋体" w:hAnsi="宋体"/>
          <w:sz w:val="24"/>
        </w:rPr>
        <w:t>价金</w:t>
      </w:r>
      <w:r>
        <w:rPr>
          <w:rFonts w:ascii="宋体" w:hAnsi="宋体"/>
          <w:sz w:val="24"/>
        </w:rPr>
        <w:t>额</w:t>
      </w:r>
      <w:r>
        <w:rPr>
          <w:rFonts w:hint="eastAsia" w:ascii="宋体" w:hAnsi="宋体"/>
          <w:sz w:val="24"/>
        </w:rPr>
        <w:t>小</w:t>
      </w:r>
      <w:r>
        <w:rPr>
          <w:rFonts w:ascii="宋体" w:hAnsi="宋体"/>
          <w:sz w:val="24"/>
        </w:rPr>
        <w:t>数点</w:t>
      </w:r>
      <w:r>
        <w:rPr>
          <w:rFonts w:hint="eastAsia" w:ascii="宋体" w:hAnsi="宋体"/>
          <w:sz w:val="24"/>
        </w:rPr>
        <w:t>有明</w:t>
      </w:r>
      <w:r>
        <w:rPr>
          <w:rFonts w:ascii="宋体" w:hAnsi="宋体"/>
          <w:sz w:val="24"/>
        </w:rPr>
        <w:t>显错</w:t>
      </w:r>
      <w:r>
        <w:rPr>
          <w:rFonts w:hint="eastAsia" w:ascii="宋体" w:hAnsi="宋体"/>
          <w:sz w:val="24"/>
        </w:rPr>
        <w:t>位的，</w:t>
      </w:r>
      <w:r>
        <w:rPr>
          <w:rFonts w:ascii="宋体" w:hAnsi="宋体"/>
          <w:sz w:val="24"/>
        </w:rPr>
        <w:t>以总</w:t>
      </w:r>
      <w:r>
        <w:rPr>
          <w:rFonts w:hint="eastAsia" w:ascii="宋体" w:hAnsi="宋体"/>
          <w:sz w:val="24"/>
        </w:rPr>
        <w:t>价</w:t>
      </w:r>
      <w:r>
        <w:rPr>
          <w:rFonts w:ascii="宋体" w:hAnsi="宋体"/>
          <w:sz w:val="24"/>
        </w:rPr>
        <w:t>为</w:t>
      </w:r>
      <w:r>
        <w:rPr>
          <w:rFonts w:hint="eastAsia" w:ascii="宋体" w:hAnsi="宋体"/>
          <w:sz w:val="24"/>
        </w:rPr>
        <w:t>准，并修改</w:t>
      </w:r>
      <w:r>
        <w:rPr>
          <w:rFonts w:ascii="宋体" w:hAnsi="宋体"/>
          <w:sz w:val="24"/>
        </w:rPr>
        <w:t>单</w:t>
      </w:r>
      <w:r>
        <w:rPr>
          <w:rFonts w:hint="eastAsia" w:ascii="宋体" w:hAnsi="宋体"/>
          <w:sz w:val="24"/>
        </w:rPr>
        <w:t>价；</w:t>
      </w:r>
      <w:r>
        <w:rPr>
          <w:rFonts w:ascii="宋体" w:hAnsi="宋体"/>
          <w:sz w:val="24"/>
        </w:rPr>
        <w:t>对不</w:t>
      </w:r>
      <w:r>
        <w:rPr>
          <w:rFonts w:hint="eastAsia" w:ascii="宋体" w:hAnsi="宋体"/>
          <w:sz w:val="24"/>
        </w:rPr>
        <w:t>同文字文本响应文件的</w:t>
      </w:r>
      <w:r>
        <w:rPr>
          <w:rFonts w:ascii="宋体" w:hAnsi="宋体"/>
          <w:sz w:val="24"/>
        </w:rPr>
        <w:t>解释发</w:t>
      </w:r>
      <w:r>
        <w:rPr>
          <w:rFonts w:hint="eastAsia" w:ascii="宋体" w:hAnsi="宋体"/>
          <w:sz w:val="24"/>
        </w:rPr>
        <w:t>生</w:t>
      </w:r>
      <w:r>
        <w:rPr>
          <w:rFonts w:ascii="宋体" w:hAnsi="宋体"/>
          <w:sz w:val="24"/>
        </w:rPr>
        <w:t>异议</w:t>
      </w:r>
      <w:r>
        <w:rPr>
          <w:rFonts w:hint="eastAsia" w:ascii="宋体" w:hAnsi="宋体"/>
          <w:sz w:val="24"/>
        </w:rPr>
        <w:t>的，以</w:t>
      </w:r>
      <w:r>
        <w:rPr>
          <w:rFonts w:hint="eastAsia" w:ascii="宋体" w:hAnsi="宋体"/>
          <w:b/>
          <w:sz w:val="24"/>
        </w:rPr>
        <w:t>中文</w:t>
      </w:r>
      <w:r>
        <w:rPr>
          <w:rFonts w:hint="eastAsia" w:ascii="宋体" w:hAnsi="宋体"/>
          <w:sz w:val="24"/>
        </w:rPr>
        <w:t>文本</w:t>
      </w:r>
      <w:r>
        <w:rPr>
          <w:rFonts w:ascii="宋体" w:hAnsi="宋体"/>
          <w:sz w:val="24"/>
        </w:rPr>
        <w:t>为</w:t>
      </w:r>
      <w:r>
        <w:rPr>
          <w:rFonts w:hint="eastAsia" w:ascii="宋体" w:hAnsi="宋体"/>
          <w:sz w:val="24"/>
        </w:rPr>
        <w:t>准。</w:t>
      </w:r>
    </w:p>
    <w:p w14:paraId="76E9E995">
      <w:pPr>
        <w:spacing w:line="480" w:lineRule="exact"/>
        <w:ind w:firstLine="480" w:firstLineChars="200"/>
        <w:rPr>
          <w:rFonts w:ascii="宋体" w:hAnsi="宋体"/>
          <w:sz w:val="24"/>
        </w:rPr>
      </w:pPr>
      <w:r>
        <w:rPr>
          <w:rFonts w:ascii="宋体" w:hAnsi="宋体"/>
          <w:sz w:val="24"/>
        </w:rPr>
        <w:t xml:space="preserve">6.3 </w:t>
      </w:r>
      <w:r>
        <w:rPr>
          <w:rFonts w:hint="eastAsia" w:ascii="宋体" w:hAnsi="宋体"/>
          <w:sz w:val="24"/>
        </w:rPr>
        <w:t>供应商提交的响应</w:t>
      </w:r>
      <w:r>
        <w:rPr>
          <w:rFonts w:ascii="宋体" w:hAnsi="宋体"/>
          <w:sz w:val="24"/>
        </w:rPr>
        <w:t>文件</w:t>
      </w:r>
      <w:r>
        <w:rPr>
          <w:rFonts w:hint="eastAsia" w:ascii="宋体" w:hAnsi="宋体"/>
          <w:sz w:val="24"/>
        </w:rPr>
        <w:t>以及供应商与采购人就有</w:t>
      </w:r>
      <w:r>
        <w:rPr>
          <w:rFonts w:ascii="宋体" w:hAnsi="宋体"/>
          <w:sz w:val="24"/>
        </w:rPr>
        <w:t>关问题的</w:t>
      </w:r>
      <w:r>
        <w:rPr>
          <w:rFonts w:hint="eastAsia" w:ascii="宋体" w:hAnsi="宋体"/>
          <w:sz w:val="24"/>
        </w:rPr>
        <w:t>所有</w:t>
      </w:r>
      <w:r>
        <w:rPr>
          <w:rFonts w:ascii="宋体" w:hAnsi="宋体"/>
          <w:sz w:val="24"/>
        </w:rPr>
        <w:t>来</w:t>
      </w:r>
      <w:r>
        <w:rPr>
          <w:rFonts w:hint="eastAsia" w:ascii="宋体" w:hAnsi="宋体"/>
          <w:sz w:val="24"/>
        </w:rPr>
        <w:t>往函</w:t>
      </w:r>
      <w:r>
        <w:rPr>
          <w:rFonts w:ascii="宋体" w:hAnsi="宋体"/>
          <w:sz w:val="24"/>
        </w:rPr>
        <w:t>电</w:t>
      </w:r>
      <w:r>
        <w:rPr>
          <w:rFonts w:hint="eastAsia" w:ascii="宋体" w:hAnsi="宋体"/>
          <w:sz w:val="24"/>
        </w:rPr>
        <w:t>均</w:t>
      </w:r>
      <w:r>
        <w:rPr>
          <w:rFonts w:ascii="宋体" w:hAnsi="宋体"/>
          <w:sz w:val="24"/>
        </w:rPr>
        <w:t>应</w:t>
      </w:r>
      <w:r>
        <w:rPr>
          <w:rFonts w:hint="eastAsia" w:ascii="宋体" w:hAnsi="宋体"/>
          <w:sz w:val="24"/>
        </w:rPr>
        <w:t>使用</w:t>
      </w:r>
      <w:r>
        <w:rPr>
          <w:rFonts w:hint="eastAsia" w:ascii="宋体" w:hAnsi="宋体"/>
          <w:b/>
          <w:sz w:val="24"/>
        </w:rPr>
        <w:t>中文</w:t>
      </w:r>
      <w:r>
        <w:rPr>
          <w:rFonts w:hint="eastAsia" w:ascii="宋体" w:hAnsi="宋体"/>
          <w:sz w:val="24"/>
        </w:rPr>
        <w:t>。</w:t>
      </w:r>
    </w:p>
    <w:p w14:paraId="06B2EE8C">
      <w:pPr>
        <w:spacing w:line="480" w:lineRule="exact"/>
        <w:ind w:firstLine="480" w:firstLineChars="200"/>
        <w:rPr>
          <w:rFonts w:ascii="宋体" w:hAnsi="宋体"/>
          <w:sz w:val="24"/>
        </w:rPr>
      </w:pPr>
      <w:r>
        <w:rPr>
          <w:rFonts w:ascii="宋体" w:hAnsi="宋体"/>
          <w:sz w:val="24"/>
        </w:rPr>
        <w:t>6.4</w:t>
      </w:r>
      <w:r>
        <w:rPr>
          <w:rFonts w:hint="eastAsia" w:ascii="宋体" w:hAnsi="宋体"/>
          <w:sz w:val="24"/>
        </w:rPr>
        <w:t>用非中文版印刷的</w:t>
      </w:r>
      <w:r>
        <w:rPr>
          <w:rFonts w:ascii="宋体" w:hAnsi="宋体"/>
          <w:sz w:val="24"/>
        </w:rPr>
        <w:t>产</w:t>
      </w:r>
      <w:r>
        <w:rPr>
          <w:rFonts w:hint="eastAsia" w:ascii="宋体" w:hAnsi="宋体"/>
          <w:sz w:val="24"/>
        </w:rPr>
        <w:t>品</w:t>
      </w:r>
      <w:r>
        <w:rPr>
          <w:rFonts w:ascii="宋体" w:hAnsi="宋体"/>
          <w:sz w:val="24"/>
        </w:rPr>
        <w:t>说</w:t>
      </w:r>
      <w:r>
        <w:rPr>
          <w:rFonts w:hint="eastAsia" w:ascii="宋体" w:hAnsi="宋体"/>
          <w:sz w:val="24"/>
        </w:rPr>
        <w:t>明</w:t>
      </w:r>
      <w:r>
        <w:rPr>
          <w:rFonts w:ascii="宋体" w:hAnsi="宋体"/>
          <w:sz w:val="24"/>
        </w:rPr>
        <w:t>书</w:t>
      </w:r>
      <w:r>
        <w:rPr>
          <w:rFonts w:hint="eastAsia" w:ascii="宋体" w:hAnsi="宋体"/>
          <w:sz w:val="24"/>
        </w:rPr>
        <w:t>、技</w:t>
      </w:r>
      <w:r>
        <w:rPr>
          <w:rFonts w:ascii="宋体" w:hAnsi="宋体"/>
          <w:sz w:val="24"/>
        </w:rPr>
        <w:t>术数</w:t>
      </w:r>
      <w:r>
        <w:rPr>
          <w:rFonts w:hint="eastAsia" w:ascii="宋体" w:hAnsi="宋体"/>
          <w:sz w:val="24"/>
        </w:rPr>
        <w:t>据、</w:t>
      </w:r>
      <w:r>
        <w:rPr>
          <w:rFonts w:ascii="宋体" w:hAnsi="宋体"/>
          <w:sz w:val="24"/>
        </w:rPr>
        <w:t>资</w:t>
      </w:r>
      <w:r>
        <w:rPr>
          <w:rFonts w:hint="eastAsia" w:ascii="宋体" w:hAnsi="宋体"/>
          <w:sz w:val="24"/>
        </w:rPr>
        <w:t>格</w:t>
      </w:r>
      <w:r>
        <w:rPr>
          <w:rFonts w:ascii="宋体" w:hAnsi="宋体"/>
          <w:sz w:val="24"/>
        </w:rPr>
        <w:t>资质证书</w:t>
      </w:r>
      <w:r>
        <w:rPr>
          <w:rFonts w:hint="eastAsia" w:ascii="宋体" w:hAnsi="宋体"/>
          <w:sz w:val="24"/>
        </w:rPr>
        <w:t>等，供应商</w:t>
      </w:r>
      <w:r>
        <w:rPr>
          <w:rFonts w:ascii="宋体" w:hAnsi="宋体"/>
          <w:sz w:val="24"/>
        </w:rPr>
        <w:t>应</w:t>
      </w:r>
      <w:r>
        <w:rPr>
          <w:rFonts w:hint="eastAsia" w:ascii="宋体" w:hAnsi="宋体"/>
          <w:sz w:val="24"/>
        </w:rPr>
        <w:t>提供符合中</w:t>
      </w:r>
      <w:r>
        <w:rPr>
          <w:rFonts w:ascii="宋体" w:hAnsi="宋体"/>
          <w:sz w:val="24"/>
        </w:rPr>
        <w:t>国</w:t>
      </w:r>
      <w:r>
        <w:rPr>
          <w:rFonts w:hint="eastAsia" w:ascii="宋体" w:hAnsi="宋体"/>
          <w:sz w:val="24"/>
        </w:rPr>
        <w:t>有</w:t>
      </w:r>
      <w:r>
        <w:rPr>
          <w:rFonts w:ascii="宋体" w:hAnsi="宋体"/>
          <w:sz w:val="24"/>
        </w:rPr>
        <w:t>关</w:t>
      </w:r>
      <w:r>
        <w:rPr>
          <w:rFonts w:hint="eastAsia" w:ascii="宋体" w:hAnsi="宋体"/>
          <w:sz w:val="24"/>
        </w:rPr>
        <w:t>法律、法</w:t>
      </w:r>
      <w:r>
        <w:rPr>
          <w:rFonts w:ascii="宋体" w:hAnsi="宋体"/>
          <w:sz w:val="24"/>
        </w:rPr>
        <w:t>规</w:t>
      </w:r>
      <w:r>
        <w:rPr>
          <w:rFonts w:hint="eastAsia" w:ascii="宋体" w:hAnsi="宋体"/>
          <w:sz w:val="24"/>
        </w:rPr>
        <w:t>的中</w:t>
      </w:r>
      <w:r>
        <w:rPr>
          <w:rFonts w:ascii="宋体" w:hAnsi="宋体"/>
          <w:sz w:val="24"/>
        </w:rPr>
        <w:t>文译</w:t>
      </w:r>
      <w:r>
        <w:rPr>
          <w:rFonts w:hint="eastAsia" w:ascii="宋体" w:hAnsi="宋体"/>
          <w:sz w:val="24"/>
        </w:rPr>
        <w:t>本，并以</w:t>
      </w:r>
      <w:r>
        <w:rPr>
          <w:rFonts w:hint="eastAsia" w:ascii="宋体" w:hAnsi="宋体"/>
          <w:b/>
          <w:sz w:val="24"/>
        </w:rPr>
        <w:t>中</w:t>
      </w:r>
      <w:r>
        <w:rPr>
          <w:rFonts w:ascii="宋体" w:hAnsi="宋体"/>
          <w:b/>
          <w:sz w:val="24"/>
        </w:rPr>
        <w:t>文译</w:t>
      </w:r>
      <w:r>
        <w:rPr>
          <w:rFonts w:hint="eastAsia" w:ascii="宋体" w:hAnsi="宋体"/>
          <w:b/>
          <w:sz w:val="24"/>
        </w:rPr>
        <w:t>本</w:t>
      </w:r>
      <w:r>
        <w:rPr>
          <w:rFonts w:ascii="宋体" w:hAnsi="宋体"/>
          <w:sz w:val="24"/>
        </w:rPr>
        <w:t>为</w:t>
      </w:r>
      <w:r>
        <w:rPr>
          <w:rFonts w:hint="eastAsia" w:ascii="宋体" w:hAnsi="宋体"/>
          <w:sz w:val="24"/>
        </w:rPr>
        <w:t>准。</w:t>
      </w:r>
    </w:p>
    <w:p w14:paraId="19761640">
      <w:pPr>
        <w:spacing w:line="480" w:lineRule="exact"/>
        <w:ind w:firstLine="480" w:firstLineChars="200"/>
        <w:rPr>
          <w:rFonts w:ascii="宋体" w:hAnsi="宋体"/>
          <w:sz w:val="24"/>
        </w:rPr>
      </w:pPr>
      <w:r>
        <w:rPr>
          <w:rFonts w:ascii="宋体" w:hAnsi="宋体"/>
          <w:sz w:val="24"/>
        </w:rPr>
        <w:t xml:space="preserve">6.5 </w:t>
      </w:r>
      <w:r>
        <w:rPr>
          <w:rFonts w:hint="eastAsia" w:ascii="宋体" w:hAnsi="宋体"/>
          <w:sz w:val="24"/>
        </w:rPr>
        <w:t>响应文件中所使用的度量衡</w:t>
      </w:r>
      <w:r>
        <w:rPr>
          <w:rFonts w:ascii="宋体" w:hAnsi="宋体"/>
          <w:sz w:val="24"/>
        </w:rPr>
        <w:t>单</w:t>
      </w:r>
      <w:r>
        <w:rPr>
          <w:rFonts w:hint="eastAsia" w:ascii="宋体" w:hAnsi="宋体"/>
          <w:sz w:val="24"/>
        </w:rPr>
        <w:t>位，除谈判</w:t>
      </w:r>
      <w:r>
        <w:rPr>
          <w:rFonts w:ascii="宋体" w:hAnsi="宋体"/>
          <w:sz w:val="24"/>
        </w:rPr>
        <w:t>文</w:t>
      </w:r>
      <w:r>
        <w:rPr>
          <w:rFonts w:hint="eastAsia" w:ascii="宋体" w:hAnsi="宋体"/>
          <w:sz w:val="24"/>
        </w:rPr>
        <w:t>件中有特殊要求外，一律用公制。</w:t>
      </w:r>
    </w:p>
    <w:p w14:paraId="6240613A">
      <w:pPr>
        <w:rPr>
          <w:rFonts w:ascii="宋体" w:hAnsi="宋体" w:cs="宋体"/>
          <w:b/>
          <w:bCs/>
          <w:sz w:val="28"/>
          <w:szCs w:val="28"/>
        </w:rPr>
      </w:pPr>
      <w:bookmarkStart w:id="132" w:name="_Toc22663"/>
      <w:bookmarkStart w:id="133" w:name="_Toc336273591"/>
      <w:bookmarkStart w:id="134" w:name="_Toc5802"/>
      <w:bookmarkStart w:id="135" w:name="_Toc3388"/>
      <w:bookmarkStart w:id="136" w:name="_Toc483320797"/>
      <w:bookmarkStart w:id="137" w:name="_Toc27041588"/>
      <w:bookmarkStart w:id="138" w:name="_Toc8551"/>
      <w:bookmarkStart w:id="139" w:name="_Toc463798070"/>
      <w:bookmarkStart w:id="140" w:name="_Toc334781371"/>
      <w:bookmarkStart w:id="141" w:name="_Toc295488116"/>
      <w:bookmarkStart w:id="142" w:name="_Toc333418609"/>
      <w:bookmarkStart w:id="143" w:name="_Toc317063528"/>
      <w:bookmarkStart w:id="144" w:name="_Toc23460"/>
      <w:bookmarkStart w:id="145" w:name="_Toc333501994"/>
      <w:bookmarkStart w:id="146" w:name="_Toc122530380"/>
      <w:r>
        <w:rPr>
          <w:rFonts w:ascii="宋体" w:hAnsi="宋体" w:cs="宋体"/>
          <w:b/>
          <w:bCs/>
          <w:sz w:val="28"/>
          <w:szCs w:val="28"/>
        </w:rPr>
        <w:t>7.响应文件的组成</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5ADECEF4">
      <w:pPr>
        <w:spacing w:line="480" w:lineRule="exact"/>
        <w:ind w:firstLine="480" w:firstLineChars="200"/>
        <w:rPr>
          <w:rFonts w:ascii="宋体" w:hAnsi="宋体"/>
          <w:b/>
          <w:sz w:val="24"/>
        </w:rPr>
      </w:pPr>
      <w:r>
        <w:rPr>
          <w:rFonts w:ascii="宋体" w:hAnsi="宋体"/>
          <w:sz w:val="24"/>
        </w:rPr>
        <w:t>7.1谈判文件</w:t>
      </w:r>
      <w:r>
        <w:rPr>
          <w:rFonts w:hint="eastAsia" w:ascii="宋体" w:hAnsi="宋体"/>
          <w:sz w:val="24"/>
        </w:rPr>
        <w:t>附件中提供格式的，</w:t>
      </w:r>
      <w:r>
        <w:rPr>
          <w:rFonts w:ascii="宋体" w:hAnsi="宋体"/>
          <w:sz w:val="24"/>
        </w:rPr>
        <w:t>请务</w:t>
      </w:r>
      <w:r>
        <w:rPr>
          <w:rFonts w:hint="eastAsia" w:ascii="宋体" w:hAnsi="宋体"/>
          <w:sz w:val="24"/>
        </w:rPr>
        <w:t>必按照附件的格式</w:t>
      </w:r>
      <w:r>
        <w:rPr>
          <w:rFonts w:ascii="宋体" w:hAnsi="宋体"/>
          <w:sz w:val="24"/>
        </w:rPr>
        <w:t>填写</w:t>
      </w:r>
      <w:r>
        <w:rPr>
          <w:rFonts w:hint="eastAsia" w:ascii="宋体" w:hAnsi="宋体"/>
          <w:sz w:val="24"/>
        </w:rPr>
        <w:t>。</w:t>
      </w:r>
      <w:r>
        <w:rPr>
          <w:rFonts w:hint="eastAsia" w:ascii="宋体" w:hAnsi="宋体"/>
          <w:b/>
          <w:sz w:val="24"/>
        </w:rPr>
        <w:t>若要求提供复印件的应在复印件上加盖单位公章（鲜章）。</w:t>
      </w:r>
    </w:p>
    <w:p w14:paraId="30B63B29">
      <w:pPr>
        <w:spacing w:line="480" w:lineRule="exact"/>
        <w:ind w:firstLine="480" w:firstLineChars="200"/>
        <w:rPr>
          <w:rFonts w:ascii="宋体" w:hAnsi="宋体"/>
          <w:sz w:val="24"/>
        </w:rPr>
      </w:pPr>
      <w:r>
        <w:rPr>
          <w:rFonts w:ascii="宋体" w:hAnsi="宋体"/>
          <w:sz w:val="24"/>
        </w:rPr>
        <w:t>7.2竞争性谈判响应文件由商务部分及技术部分组成。</w:t>
      </w:r>
    </w:p>
    <w:p w14:paraId="5A086989">
      <w:pPr>
        <w:spacing w:line="480" w:lineRule="exact"/>
        <w:ind w:firstLine="480" w:firstLineChars="200"/>
        <w:rPr>
          <w:rFonts w:ascii="宋体" w:hAnsi="宋体"/>
          <w:sz w:val="24"/>
        </w:rPr>
      </w:pPr>
      <w:r>
        <w:rPr>
          <w:rFonts w:ascii="宋体" w:hAnsi="宋体"/>
          <w:sz w:val="24"/>
        </w:rPr>
        <w:t>7.3商务部分，包含但不限于以下内容：</w:t>
      </w:r>
    </w:p>
    <w:bookmarkEnd w:id="146"/>
    <w:p w14:paraId="0FC59E37">
      <w:pPr>
        <w:spacing w:line="480" w:lineRule="exact"/>
        <w:ind w:firstLine="480" w:firstLineChars="200"/>
        <w:rPr>
          <w:rFonts w:ascii="宋体" w:hAnsi="宋体"/>
          <w:sz w:val="24"/>
        </w:rPr>
      </w:pPr>
      <w:r>
        <w:rPr>
          <w:rFonts w:hint="eastAsia" w:ascii="宋体" w:hAnsi="宋体"/>
          <w:sz w:val="24"/>
        </w:rPr>
        <w:t>（</w:t>
      </w:r>
      <w:r>
        <w:rPr>
          <w:rFonts w:ascii="宋体" w:hAnsi="宋体"/>
          <w:sz w:val="24"/>
        </w:rPr>
        <w:t>1）报价</w:t>
      </w:r>
      <w:r>
        <w:rPr>
          <w:rFonts w:hint="eastAsia" w:ascii="宋体" w:hAnsi="宋体"/>
          <w:sz w:val="24"/>
        </w:rPr>
        <w:t>函</w:t>
      </w:r>
    </w:p>
    <w:p w14:paraId="2B53579C">
      <w:pPr>
        <w:spacing w:line="480" w:lineRule="exact"/>
        <w:ind w:firstLine="480" w:firstLineChars="200"/>
        <w:rPr>
          <w:rFonts w:ascii="宋体" w:hAnsi="宋体"/>
          <w:sz w:val="24"/>
        </w:rPr>
      </w:pPr>
      <w:r>
        <w:rPr>
          <w:rFonts w:hint="eastAsia" w:ascii="宋体" w:hAnsi="宋体"/>
          <w:sz w:val="24"/>
        </w:rPr>
        <w:t>（</w:t>
      </w:r>
      <w:r>
        <w:rPr>
          <w:rFonts w:ascii="宋体" w:hAnsi="宋体"/>
          <w:sz w:val="24"/>
        </w:rPr>
        <w:t>2）法定代表人身份证</w:t>
      </w:r>
      <w:r>
        <w:rPr>
          <w:rFonts w:hint="eastAsia" w:ascii="宋体" w:hAnsi="宋体"/>
          <w:sz w:val="24"/>
        </w:rPr>
        <w:t>明</w:t>
      </w:r>
      <w:r>
        <w:rPr>
          <w:rFonts w:ascii="宋体" w:hAnsi="宋体"/>
          <w:sz w:val="24"/>
        </w:rPr>
        <w:t>书</w:t>
      </w:r>
    </w:p>
    <w:p w14:paraId="3754B4EB">
      <w:pPr>
        <w:spacing w:line="480" w:lineRule="exact"/>
        <w:ind w:firstLine="480" w:firstLineChars="200"/>
        <w:rPr>
          <w:rFonts w:ascii="宋体" w:hAnsi="宋体"/>
          <w:sz w:val="24"/>
        </w:rPr>
      </w:pPr>
      <w:r>
        <w:rPr>
          <w:rFonts w:hint="eastAsia" w:ascii="宋体" w:hAnsi="宋体"/>
          <w:sz w:val="24"/>
        </w:rPr>
        <w:t>（</w:t>
      </w:r>
      <w:r>
        <w:rPr>
          <w:rFonts w:ascii="宋体" w:hAnsi="宋体"/>
          <w:sz w:val="24"/>
        </w:rPr>
        <w:t>3）法定代表人授权</w:t>
      </w:r>
      <w:r>
        <w:rPr>
          <w:rFonts w:hint="eastAsia" w:ascii="宋体" w:hAnsi="宋体"/>
          <w:sz w:val="24"/>
        </w:rPr>
        <w:t>委托</w:t>
      </w:r>
      <w:r>
        <w:rPr>
          <w:rFonts w:ascii="宋体" w:hAnsi="宋体"/>
          <w:sz w:val="24"/>
        </w:rPr>
        <w:t>书</w:t>
      </w:r>
    </w:p>
    <w:p w14:paraId="47AD6C85">
      <w:pPr>
        <w:spacing w:line="480" w:lineRule="exact"/>
        <w:ind w:firstLine="480" w:firstLineChars="200"/>
        <w:rPr>
          <w:rFonts w:ascii="宋体" w:hAnsi="宋体"/>
          <w:sz w:val="24"/>
        </w:rPr>
      </w:pPr>
      <w:r>
        <w:rPr>
          <w:rFonts w:hint="eastAsia" w:ascii="宋体" w:hAnsi="宋体"/>
          <w:sz w:val="24"/>
        </w:rPr>
        <w:t>（</w:t>
      </w:r>
      <w:r>
        <w:rPr>
          <w:rFonts w:ascii="宋体" w:hAnsi="宋体"/>
          <w:sz w:val="24"/>
        </w:rPr>
        <w:t>4）报价一览表</w:t>
      </w:r>
    </w:p>
    <w:p w14:paraId="6328F94A">
      <w:pPr>
        <w:spacing w:line="480" w:lineRule="exact"/>
        <w:ind w:firstLine="465"/>
        <w:rPr>
          <w:rFonts w:ascii="宋体" w:hAnsi="宋体"/>
          <w:sz w:val="24"/>
        </w:rPr>
      </w:pPr>
      <w:r>
        <w:rPr>
          <w:rFonts w:hint="eastAsia" w:ascii="宋体" w:hAnsi="宋体"/>
          <w:sz w:val="24"/>
        </w:rPr>
        <w:t>（</w:t>
      </w:r>
      <w:r>
        <w:rPr>
          <w:rFonts w:ascii="宋体" w:hAnsi="宋体"/>
          <w:sz w:val="24"/>
        </w:rPr>
        <w:t>5</w:t>
      </w:r>
      <w:r>
        <w:rPr>
          <w:rFonts w:hint="eastAsia" w:ascii="宋体" w:hAnsi="宋体"/>
          <w:sz w:val="24"/>
        </w:rPr>
        <w:t>）资格证明</w:t>
      </w:r>
      <w:r>
        <w:rPr>
          <w:rFonts w:ascii="宋体" w:hAnsi="宋体"/>
          <w:sz w:val="24"/>
        </w:rPr>
        <w:t>文件</w:t>
      </w:r>
    </w:p>
    <w:p w14:paraId="35F076F5">
      <w:pPr>
        <w:spacing w:line="480" w:lineRule="exact"/>
        <w:ind w:firstLine="465"/>
        <w:rPr>
          <w:rFonts w:ascii="宋体" w:hAnsi="宋体"/>
          <w:sz w:val="24"/>
        </w:rPr>
      </w:pPr>
      <w:r>
        <w:rPr>
          <w:rFonts w:hint="eastAsia" w:ascii="宋体" w:hAnsi="宋体"/>
          <w:sz w:val="24"/>
        </w:rPr>
        <w:t>（</w:t>
      </w:r>
      <w:r>
        <w:rPr>
          <w:rFonts w:ascii="宋体" w:hAnsi="宋体"/>
          <w:sz w:val="24"/>
        </w:rPr>
        <w:t>6</w:t>
      </w:r>
      <w:r>
        <w:rPr>
          <w:rFonts w:hint="eastAsia" w:ascii="宋体" w:hAnsi="宋体"/>
          <w:sz w:val="24"/>
        </w:rPr>
        <w:t>）其他</w:t>
      </w:r>
      <w:r>
        <w:rPr>
          <w:rFonts w:ascii="宋体" w:hAnsi="宋体"/>
          <w:sz w:val="24"/>
        </w:rPr>
        <w:t>资料</w:t>
      </w:r>
    </w:p>
    <w:p w14:paraId="65105E22">
      <w:pPr>
        <w:spacing w:line="480" w:lineRule="exact"/>
        <w:ind w:firstLine="480" w:firstLineChars="200"/>
        <w:rPr>
          <w:rFonts w:ascii="宋体" w:hAnsi="宋体"/>
          <w:sz w:val="24"/>
        </w:rPr>
      </w:pPr>
      <w:r>
        <w:rPr>
          <w:rFonts w:ascii="宋体" w:hAnsi="宋体"/>
          <w:sz w:val="24"/>
        </w:rPr>
        <w:t>7.4技术部分，包含但不限于以下内容：</w:t>
      </w:r>
    </w:p>
    <w:p w14:paraId="3FF822FB">
      <w:pPr>
        <w:spacing w:line="480" w:lineRule="exact"/>
        <w:ind w:firstLine="480" w:firstLineChars="200"/>
        <w:rPr>
          <w:rFonts w:ascii="宋体" w:hAnsi="宋体"/>
          <w:sz w:val="24"/>
        </w:rPr>
      </w:pPr>
      <w:r>
        <w:rPr>
          <w:rFonts w:hint="eastAsia" w:ascii="宋体" w:hAnsi="宋体"/>
          <w:sz w:val="24"/>
        </w:rPr>
        <w:t>（</w:t>
      </w:r>
      <w:r>
        <w:rPr>
          <w:rFonts w:ascii="宋体" w:hAnsi="宋体"/>
          <w:sz w:val="24"/>
        </w:rPr>
        <w:t>1）技术偏离表</w:t>
      </w:r>
    </w:p>
    <w:p w14:paraId="2D62CEDA">
      <w:pPr>
        <w:spacing w:line="480" w:lineRule="exact"/>
        <w:ind w:firstLine="480" w:firstLineChars="200"/>
        <w:rPr>
          <w:rFonts w:ascii="宋体" w:hAnsi="宋体"/>
          <w:sz w:val="24"/>
        </w:rPr>
      </w:pPr>
      <w:r>
        <w:rPr>
          <w:rFonts w:hint="eastAsia" w:ascii="宋体" w:hAnsi="宋体"/>
          <w:sz w:val="24"/>
        </w:rPr>
        <w:t>（</w:t>
      </w:r>
      <w:r>
        <w:rPr>
          <w:rFonts w:ascii="宋体" w:hAnsi="宋体"/>
          <w:sz w:val="24"/>
        </w:rPr>
        <w:t>2）技术响应方案</w:t>
      </w:r>
    </w:p>
    <w:p w14:paraId="42A6489A">
      <w:pPr>
        <w:spacing w:line="480" w:lineRule="exact"/>
        <w:ind w:firstLine="480" w:firstLineChars="200"/>
        <w:rPr>
          <w:rFonts w:ascii="宋体" w:hAnsi="宋体"/>
          <w:sz w:val="24"/>
        </w:rPr>
      </w:pPr>
      <w:r>
        <w:rPr>
          <w:rFonts w:hint="eastAsia" w:ascii="宋体" w:hAnsi="宋体"/>
          <w:sz w:val="24"/>
        </w:rPr>
        <w:t>（</w:t>
      </w:r>
      <w:r>
        <w:rPr>
          <w:rFonts w:ascii="宋体" w:hAnsi="宋体"/>
          <w:sz w:val="24"/>
        </w:rPr>
        <w:t>3）其他资料</w:t>
      </w:r>
    </w:p>
    <w:p w14:paraId="003C19C2">
      <w:pPr>
        <w:spacing w:line="480" w:lineRule="exact"/>
        <w:ind w:firstLine="480" w:firstLineChars="200"/>
        <w:rPr>
          <w:rFonts w:ascii="宋体" w:hAnsi="宋体"/>
          <w:sz w:val="24"/>
        </w:rPr>
      </w:pPr>
      <w:r>
        <w:rPr>
          <w:rFonts w:hint="eastAsia" w:ascii="宋体" w:hAnsi="宋体"/>
          <w:b/>
          <w:bCs/>
          <w:sz w:val="24"/>
        </w:rPr>
        <w:t>供</w:t>
      </w:r>
      <w:r>
        <w:rPr>
          <w:rFonts w:hint="eastAsia" w:ascii="宋体" w:hAnsi="宋体"/>
          <w:b/>
          <w:sz w:val="24"/>
        </w:rPr>
        <w:t>应</w:t>
      </w:r>
      <w:r>
        <w:rPr>
          <w:rFonts w:hint="eastAsia" w:ascii="宋体" w:hAnsi="宋体"/>
          <w:b/>
          <w:bCs/>
          <w:sz w:val="24"/>
        </w:rPr>
        <w:t>商</w:t>
      </w:r>
      <w:r>
        <w:rPr>
          <w:rFonts w:ascii="宋体" w:hAnsi="宋体"/>
          <w:b/>
          <w:bCs/>
          <w:sz w:val="24"/>
        </w:rPr>
        <w:t>应将</w:t>
      </w:r>
      <w:r>
        <w:rPr>
          <w:rFonts w:hint="eastAsia" w:ascii="宋体" w:hAnsi="宋体"/>
          <w:b/>
          <w:bCs/>
          <w:sz w:val="24"/>
        </w:rPr>
        <w:t>响应</w:t>
      </w:r>
      <w:r>
        <w:rPr>
          <w:rFonts w:ascii="宋体" w:hAnsi="宋体"/>
          <w:b/>
          <w:bCs/>
          <w:sz w:val="24"/>
        </w:rPr>
        <w:t>文件装订</w:t>
      </w:r>
      <w:r>
        <w:rPr>
          <w:rFonts w:hint="eastAsia" w:ascii="宋体" w:hAnsi="宋体"/>
          <w:b/>
          <w:bCs/>
          <w:sz w:val="24"/>
        </w:rPr>
        <w:t>成</w:t>
      </w:r>
      <w:r>
        <w:rPr>
          <w:rFonts w:ascii="宋体" w:hAnsi="宋体"/>
          <w:b/>
          <w:bCs/>
          <w:sz w:val="24"/>
        </w:rPr>
        <w:t>册</w:t>
      </w:r>
      <w:r>
        <w:rPr>
          <w:rFonts w:hint="eastAsia" w:ascii="宋体" w:hAnsi="宋体"/>
          <w:b/>
          <w:bCs/>
          <w:sz w:val="24"/>
        </w:rPr>
        <w:t>，并</w:t>
      </w:r>
      <w:r>
        <w:rPr>
          <w:rFonts w:ascii="宋体" w:hAnsi="宋体"/>
          <w:b/>
          <w:bCs/>
          <w:sz w:val="24"/>
        </w:rPr>
        <w:t>编写</w:t>
      </w:r>
      <w:r>
        <w:rPr>
          <w:rFonts w:hint="eastAsia" w:ascii="宋体" w:hAnsi="宋体"/>
          <w:b/>
          <w:bCs/>
          <w:sz w:val="24"/>
        </w:rPr>
        <w:t>目</w:t>
      </w:r>
      <w:r>
        <w:rPr>
          <w:rFonts w:ascii="宋体" w:hAnsi="宋体"/>
          <w:b/>
          <w:bCs/>
          <w:sz w:val="24"/>
        </w:rPr>
        <w:t>录和页码</w:t>
      </w:r>
      <w:r>
        <w:rPr>
          <w:rFonts w:hint="eastAsia" w:ascii="宋体" w:hAnsi="宋体"/>
          <w:b/>
          <w:bCs/>
          <w:sz w:val="24"/>
        </w:rPr>
        <w:t>。</w:t>
      </w:r>
    </w:p>
    <w:p w14:paraId="1CB4EAD7">
      <w:pPr>
        <w:rPr>
          <w:rFonts w:ascii="宋体" w:hAnsi="宋体" w:cs="宋体"/>
          <w:b/>
          <w:bCs/>
          <w:sz w:val="28"/>
          <w:szCs w:val="28"/>
        </w:rPr>
      </w:pPr>
      <w:bookmarkStart w:id="147" w:name="_Toc29392"/>
      <w:bookmarkStart w:id="148" w:name="_Toc23463"/>
      <w:bookmarkStart w:id="149" w:name="_Toc463798071"/>
      <w:bookmarkStart w:id="150" w:name="_Toc483320798"/>
      <w:bookmarkStart w:id="151" w:name="_Toc334781372"/>
      <w:bookmarkStart w:id="152" w:name="_Toc27041589"/>
      <w:bookmarkStart w:id="153" w:name="_Toc333418610"/>
      <w:bookmarkStart w:id="154" w:name="_Toc317063529"/>
      <w:bookmarkStart w:id="155" w:name="_Toc16048"/>
      <w:bookmarkStart w:id="156" w:name="_Toc336273592"/>
      <w:bookmarkStart w:id="157" w:name="_Toc333501995"/>
      <w:bookmarkStart w:id="158" w:name="_Toc10846"/>
      <w:bookmarkStart w:id="159" w:name="_Toc295488117"/>
      <w:bookmarkStart w:id="160" w:name="_Toc28603"/>
      <w:r>
        <w:rPr>
          <w:rFonts w:ascii="宋体" w:hAnsi="宋体" w:cs="宋体"/>
          <w:b/>
          <w:bCs/>
          <w:sz w:val="28"/>
          <w:szCs w:val="28"/>
        </w:rPr>
        <w:t>8.响应文件的式样和签署</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14:paraId="63A1F8E5">
      <w:pPr>
        <w:spacing w:line="480" w:lineRule="exact"/>
        <w:ind w:firstLine="480" w:firstLineChars="200"/>
        <w:rPr>
          <w:rFonts w:ascii="宋体" w:hAnsi="宋体"/>
          <w:sz w:val="24"/>
        </w:rPr>
      </w:pPr>
      <w:r>
        <w:rPr>
          <w:rFonts w:ascii="宋体" w:hAnsi="宋体"/>
          <w:sz w:val="24"/>
        </w:rPr>
        <w:t>8.1</w:t>
      </w:r>
      <w:r>
        <w:rPr>
          <w:rFonts w:hint="eastAsia" w:ascii="宋体" w:hAnsi="宋体"/>
          <w:sz w:val="24"/>
        </w:rPr>
        <w:t>响应</w:t>
      </w:r>
      <w:r>
        <w:rPr>
          <w:rFonts w:ascii="宋体" w:hAnsi="宋体"/>
          <w:sz w:val="24"/>
        </w:rPr>
        <w:t>文件</w:t>
      </w:r>
      <w:r>
        <w:rPr>
          <w:rFonts w:hint="eastAsia" w:ascii="宋体" w:hAnsi="宋体"/>
          <w:sz w:val="24"/>
        </w:rPr>
        <w:t>份</w:t>
      </w:r>
      <w:r>
        <w:rPr>
          <w:rFonts w:ascii="宋体" w:hAnsi="宋体"/>
          <w:sz w:val="24"/>
        </w:rPr>
        <w:t>数</w:t>
      </w:r>
      <w:r>
        <w:rPr>
          <w:rFonts w:hint="eastAsia" w:ascii="宋体" w:hAnsi="宋体"/>
          <w:sz w:val="24"/>
        </w:rPr>
        <w:t>：</w:t>
      </w:r>
      <w:r>
        <w:rPr>
          <w:rFonts w:hint="eastAsia" w:ascii="宋体" w:hAnsi="宋体"/>
          <w:b/>
          <w:sz w:val="24"/>
          <w:u w:val="single"/>
        </w:rPr>
        <w:t>谈判申请文件总计</w:t>
      </w:r>
      <w:r>
        <w:rPr>
          <w:rFonts w:ascii="宋体" w:hAnsi="宋体"/>
          <w:b/>
          <w:sz w:val="24"/>
          <w:u w:val="single"/>
        </w:rPr>
        <w:t>3</w:t>
      </w:r>
      <w:r>
        <w:rPr>
          <w:rFonts w:hint="eastAsia" w:ascii="宋体" w:hAnsi="宋体"/>
          <w:b/>
          <w:sz w:val="24"/>
          <w:u w:val="single"/>
        </w:rPr>
        <w:t>份，其中正本</w:t>
      </w:r>
      <w:r>
        <w:rPr>
          <w:rFonts w:ascii="宋体" w:hAnsi="宋体"/>
          <w:b/>
          <w:sz w:val="24"/>
          <w:u w:val="single"/>
        </w:rPr>
        <w:t>1份，副本1</w:t>
      </w:r>
      <w:r>
        <w:rPr>
          <w:rFonts w:hint="eastAsia" w:ascii="宋体" w:hAnsi="宋体"/>
          <w:b/>
          <w:sz w:val="24"/>
          <w:u w:val="single"/>
        </w:rPr>
        <w:t>份，电子版本</w:t>
      </w:r>
      <w:r>
        <w:rPr>
          <w:rFonts w:ascii="宋体" w:hAnsi="宋体"/>
          <w:b/>
          <w:sz w:val="24"/>
          <w:u w:val="single"/>
        </w:rPr>
        <w:t>1份（其中包含：word格式可编辑版本一份；PDF</w:t>
      </w:r>
      <w:r>
        <w:rPr>
          <w:rFonts w:hint="eastAsia" w:ascii="宋体" w:hAnsi="宋体"/>
          <w:b/>
          <w:sz w:val="24"/>
          <w:u w:val="single"/>
        </w:rPr>
        <w:t>彩色扫描件一份（签字盖</w:t>
      </w:r>
      <w:r>
        <w:rPr>
          <w:rFonts w:hint="eastAsia" w:ascii="宋体" w:hAnsi="宋体"/>
          <w:b/>
          <w:sz w:val="24"/>
          <w:u w:val="single"/>
          <w:lang w:val="en-US" w:eastAsia="zh-CN"/>
        </w:rPr>
        <w:t>鲜</w:t>
      </w:r>
      <w:r>
        <w:rPr>
          <w:rFonts w:hint="eastAsia" w:ascii="宋体" w:hAnsi="宋体"/>
          <w:b/>
          <w:sz w:val="24"/>
          <w:u w:val="single"/>
        </w:rPr>
        <w:t>章后响应文件的所有内容（包含封面））</w:t>
      </w:r>
      <w:r>
        <w:rPr>
          <w:rFonts w:hint="eastAsia" w:ascii="宋体" w:hAnsi="宋体"/>
          <w:sz w:val="24"/>
        </w:rPr>
        <w:t>；每份响应</w:t>
      </w:r>
      <w:r>
        <w:rPr>
          <w:rFonts w:ascii="宋体" w:hAnsi="宋体"/>
          <w:sz w:val="24"/>
        </w:rPr>
        <w:t>文件须</w:t>
      </w:r>
      <w:r>
        <w:rPr>
          <w:rFonts w:hint="eastAsia" w:ascii="宋体" w:hAnsi="宋体"/>
          <w:sz w:val="24"/>
        </w:rPr>
        <w:t>清楚地</w:t>
      </w:r>
      <w:r>
        <w:rPr>
          <w:rFonts w:ascii="宋体" w:hAnsi="宋体"/>
          <w:sz w:val="24"/>
        </w:rPr>
        <w:t>标</w:t>
      </w:r>
      <w:r>
        <w:rPr>
          <w:rFonts w:hint="eastAsia" w:ascii="宋体" w:hAnsi="宋体"/>
          <w:sz w:val="24"/>
        </w:rPr>
        <w:t>明“正本”和“副本”字</w:t>
      </w:r>
      <w:r>
        <w:rPr>
          <w:rFonts w:ascii="宋体" w:hAnsi="宋体"/>
          <w:sz w:val="24"/>
        </w:rPr>
        <w:t>样</w:t>
      </w:r>
      <w:r>
        <w:rPr>
          <w:rFonts w:hint="eastAsia" w:ascii="宋体" w:hAnsi="宋体"/>
          <w:sz w:val="24"/>
        </w:rPr>
        <w:t>。</w:t>
      </w:r>
    </w:p>
    <w:p w14:paraId="57D659A8">
      <w:pPr>
        <w:spacing w:line="480" w:lineRule="exact"/>
        <w:ind w:firstLine="480" w:firstLineChars="200"/>
        <w:rPr>
          <w:rFonts w:ascii="宋体" w:hAnsi="宋体"/>
          <w:sz w:val="24"/>
        </w:rPr>
      </w:pPr>
      <w:r>
        <w:rPr>
          <w:rFonts w:ascii="宋体" w:hAnsi="宋体"/>
          <w:sz w:val="24"/>
        </w:rPr>
        <w:t xml:space="preserve">8.2 </w:t>
      </w:r>
      <w:r>
        <w:rPr>
          <w:rFonts w:hint="eastAsia" w:ascii="宋体" w:hAnsi="宋体"/>
          <w:sz w:val="24"/>
        </w:rPr>
        <w:t>响应</w:t>
      </w:r>
      <w:r>
        <w:rPr>
          <w:rFonts w:ascii="宋体" w:hAnsi="宋体"/>
          <w:sz w:val="24"/>
        </w:rPr>
        <w:t>文件的</w:t>
      </w:r>
      <w:r>
        <w:rPr>
          <w:rFonts w:hint="eastAsia" w:ascii="宋体" w:hAnsi="宋体"/>
          <w:sz w:val="24"/>
        </w:rPr>
        <w:t>正本</w:t>
      </w:r>
      <w:r>
        <w:rPr>
          <w:rFonts w:ascii="宋体" w:hAnsi="宋体"/>
          <w:sz w:val="24"/>
        </w:rPr>
        <w:t>应</w:t>
      </w:r>
      <w:r>
        <w:rPr>
          <w:rFonts w:hint="eastAsia" w:ascii="宋体" w:hAnsi="宋体"/>
          <w:sz w:val="24"/>
        </w:rPr>
        <w:t>打印或用不褪色墨水</w:t>
      </w:r>
      <w:r>
        <w:rPr>
          <w:rFonts w:ascii="宋体" w:hAnsi="宋体"/>
          <w:sz w:val="24"/>
        </w:rPr>
        <w:t>书写</w:t>
      </w:r>
      <w:r>
        <w:rPr>
          <w:rFonts w:hint="eastAsia" w:ascii="宋体" w:hAnsi="宋体"/>
          <w:sz w:val="24"/>
        </w:rPr>
        <w:t>，并由供应商法定代表人或其授</w:t>
      </w:r>
      <w:r>
        <w:rPr>
          <w:rFonts w:ascii="宋体" w:hAnsi="宋体"/>
          <w:sz w:val="24"/>
        </w:rPr>
        <w:t>权</w:t>
      </w:r>
      <w:r>
        <w:rPr>
          <w:rFonts w:hint="eastAsia" w:ascii="宋体" w:hAnsi="宋体"/>
          <w:sz w:val="24"/>
        </w:rPr>
        <w:t>代理人按竞争性谈判</w:t>
      </w:r>
      <w:r>
        <w:rPr>
          <w:rFonts w:ascii="宋体" w:hAnsi="宋体"/>
          <w:sz w:val="24"/>
        </w:rPr>
        <w:t>要求签</w:t>
      </w:r>
      <w:r>
        <w:rPr>
          <w:rFonts w:hint="eastAsia" w:ascii="宋体" w:hAnsi="宋体"/>
          <w:sz w:val="24"/>
        </w:rPr>
        <w:t>字、</w:t>
      </w:r>
      <w:r>
        <w:rPr>
          <w:rFonts w:ascii="宋体" w:hAnsi="宋体"/>
          <w:sz w:val="24"/>
        </w:rPr>
        <w:t>盖</w:t>
      </w:r>
      <w:r>
        <w:rPr>
          <w:rFonts w:hint="eastAsia" w:ascii="宋体" w:hAnsi="宋体"/>
          <w:sz w:val="24"/>
        </w:rPr>
        <w:t>公章（鲜章）。响应</w:t>
      </w:r>
      <w:r>
        <w:rPr>
          <w:rFonts w:ascii="宋体" w:hAnsi="宋体"/>
          <w:sz w:val="24"/>
        </w:rPr>
        <w:t>文件</w:t>
      </w:r>
      <w:r>
        <w:rPr>
          <w:rFonts w:hint="eastAsia" w:ascii="宋体" w:hAnsi="宋体"/>
          <w:sz w:val="24"/>
        </w:rPr>
        <w:t>副本可由正本复印而</w:t>
      </w:r>
      <w:r>
        <w:rPr>
          <w:rFonts w:ascii="宋体" w:hAnsi="宋体"/>
          <w:sz w:val="24"/>
        </w:rPr>
        <w:t>来</w:t>
      </w:r>
      <w:r>
        <w:rPr>
          <w:rFonts w:hint="eastAsia" w:ascii="宋体" w:hAnsi="宋体"/>
          <w:sz w:val="24"/>
        </w:rPr>
        <w:t>，一旦正本和副本不符，以正本</w:t>
      </w:r>
      <w:r>
        <w:rPr>
          <w:rFonts w:ascii="宋体" w:hAnsi="宋体"/>
          <w:sz w:val="24"/>
        </w:rPr>
        <w:t>为</w:t>
      </w:r>
      <w:r>
        <w:rPr>
          <w:rFonts w:hint="eastAsia" w:ascii="宋体" w:hAnsi="宋体"/>
          <w:sz w:val="24"/>
        </w:rPr>
        <w:t>准。授</w:t>
      </w:r>
      <w:r>
        <w:rPr>
          <w:rFonts w:ascii="宋体" w:hAnsi="宋体"/>
          <w:sz w:val="24"/>
        </w:rPr>
        <w:t>权</w:t>
      </w:r>
      <w:r>
        <w:rPr>
          <w:rFonts w:hint="eastAsia" w:ascii="宋体" w:hAnsi="宋体"/>
          <w:sz w:val="24"/>
        </w:rPr>
        <w:t>代</w:t>
      </w:r>
      <w:r>
        <w:rPr>
          <w:rFonts w:ascii="宋体" w:hAnsi="宋体"/>
          <w:sz w:val="24"/>
        </w:rPr>
        <w:t>表须将</w:t>
      </w:r>
      <w:r>
        <w:rPr>
          <w:rFonts w:hint="eastAsia" w:ascii="宋体" w:hAnsi="宋体"/>
          <w:sz w:val="24"/>
        </w:rPr>
        <w:t>以</w:t>
      </w:r>
      <w:r>
        <w:rPr>
          <w:rFonts w:ascii="宋体" w:hAnsi="宋体"/>
          <w:sz w:val="24"/>
        </w:rPr>
        <w:t>书</w:t>
      </w:r>
      <w:r>
        <w:rPr>
          <w:rFonts w:hint="eastAsia" w:ascii="宋体" w:hAnsi="宋体"/>
          <w:sz w:val="24"/>
        </w:rPr>
        <w:t>面形式出具的“法定代表人授</w:t>
      </w:r>
      <w:r>
        <w:rPr>
          <w:rFonts w:ascii="宋体" w:hAnsi="宋体"/>
          <w:sz w:val="24"/>
        </w:rPr>
        <w:t>权</w:t>
      </w:r>
      <w:r>
        <w:rPr>
          <w:rFonts w:hint="eastAsia" w:ascii="宋体" w:hAnsi="宋体"/>
          <w:sz w:val="24"/>
        </w:rPr>
        <w:t>委托</w:t>
      </w:r>
      <w:r>
        <w:rPr>
          <w:rFonts w:ascii="宋体" w:hAnsi="宋体"/>
          <w:sz w:val="24"/>
        </w:rPr>
        <w:t>书</w:t>
      </w:r>
      <w:r>
        <w:rPr>
          <w:rFonts w:hint="eastAsia" w:ascii="宋体" w:hAnsi="宋体"/>
          <w:sz w:val="24"/>
        </w:rPr>
        <w:t>”附在响应</w:t>
      </w:r>
      <w:r>
        <w:rPr>
          <w:rFonts w:ascii="宋体" w:hAnsi="宋体"/>
          <w:sz w:val="24"/>
        </w:rPr>
        <w:t>文件</w:t>
      </w:r>
      <w:r>
        <w:rPr>
          <w:rFonts w:hint="eastAsia" w:ascii="宋体" w:hAnsi="宋体"/>
          <w:sz w:val="24"/>
        </w:rPr>
        <w:t>中。</w:t>
      </w:r>
    </w:p>
    <w:p w14:paraId="553A7485">
      <w:pPr>
        <w:spacing w:line="480" w:lineRule="exact"/>
        <w:ind w:firstLine="480" w:firstLineChars="200"/>
        <w:rPr>
          <w:rFonts w:ascii="宋体" w:hAnsi="宋体"/>
          <w:sz w:val="24"/>
        </w:rPr>
      </w:pPr>
      <w:r>
        <w:rPr>
          <w:rFonts w:ascii="宋体" w:hAnsi="宋体"/>
          <w:sz w:val="24"/>
        </w:rPr>
        <w:t xml:space="preserve">8.3 </w:t>
      </w:r>
      <w:r>
        <w:rPr>
          <w:rFonts w:hint="eastAsia" w:ascii="宋体" w:hAnsi="宋体"/>
          <w:sz w:val="24"/>
        </w:rPr>
        <w:t>除供应商</w:t>
      </w:r>
      <w:r>
        <w:rPr>
          <w:rFonts w:ascii="宋体" w:hAnsi="宋体"/>
          <w:sz w:val="24"/>
        </w:rPr>
        <w:t>对错漏处</w:t>
      </w:r>
      <w:r>
        <w:rPr>
          <w:rFonts w:hint="eastAsia" w:ascii="宋体" w:hAnsi="宋体"/>
          <w:sz w:val="24"/>
        </w:rPr>
        <w:t>做必要修改外，响应</w:t>
      </w:r>
      <w:r>
        <w:rPr>
          <w:rFonts w:ascii="宋体" w:hAnsi="宋体"/>
          <w:sz w:val="24"/>
        </w:rPr>
        <w:t>文件</w:t>
      </w:r>
      <w:r>
        <w:rPr>
          <w:rFonts w:hint="eastAsia" w:ascii="宋体" w:hAnsi="宋体"/>
          <w:sz w:val="24"/>
        </w:rPr>
        <w:t>不得行</w:t>
      </w:r>
      <w:r>
        <w:rPr>
          <w:rFonts w:ascii="宋体" w:hAnsi="宋体"/>
          <w:sz w:val="24"/>
        </w:rPr>
        <w:t>间</w:t>
      </w:r>
      <w:r>
        <w:rPr>
          <w:rFonts w:hint="eastAsia" w:ascii="宋体" w:hAnsi="宋体"/>
          <w:sz w:val="24"/>
        </w:rPr>
        <w:t>插字、涂改和增</w:t>
      </w:r>
      <w:r>
        <w:rPr>
          <w:rFonts w:ascii="宋体" w:hAnsi="宋体"/>
          <w:sz w:val="24"/>
        </w:rPr>
        <w:t>删</w:t>
      </w:r>
      <w:r>
        <w:rPr>
          <w:rFonts w:hint="eastAsia" w:ascii="宋体" w:hAnsi="宋体"/>
          <w:sz w:val="24"/>
        </w:rPr>
        <w:t>，如有修改</w:t>
      </w:r>
      <w:r>
        <w:rPr>
          <w:rFonts w:ascii="宋体" w:hAnsi="宋体"/>
          <w:sz w:val="24"/>
        </w:rPr>
        <w:t>错漏处</w:t>
      </w:r>
      <w:r>
        <w:rPr>
          <w:rFonts w:hint="eastAsia" w:ascii="宋体" w:hAnsi="宋体"/>
          <w:sz w:val="24"/>
        </w:rPr>
        <w:t>，必</w:t>
      </w:r>
      <w:r>
        <w:rPr>
          <w:rFonts w:ascii="宋体" w:hAnsi="宋体"/>
          <w:sz w:val="24"/>
        </w:rPr>
        <w:t>须</w:t>
      </w:r>
      <w:r>
        <w:rPr>
          <w:rFonts w:hint="eastAsia" w:ascii="宋体" w:hAnsi="宋体"/>
          <w:sz w:val="24"/>
        </w:rPr>
        <w:t>由</w:t>
      </w:r>
      <w:r>
        <w:rPr>
          <w:rFonts w:hint="eastAsia" w:ascii="宋体" w:hAnsi="宋体"/>
          <w:b/>
          <w:bCs/>
          <w:sz w:val="24"/>
        </w:rPr>
        <w:t>同一</w:t>
      </w:r>
      <w:r>
        <w:rPr>
          <w:rFonts w:ascii="宋体" w:hAnsi="宋体"/>
          <w:b/>
          <w:bCs/>
          <w:sz w:val="24"/>
        </w:rPr>
        <w:t>签</w:t>
      </w:r>
      <w:r>
        <w:rPr>
          <w:rFonts w:hint="eastAsia" w:ascii="宋体" w:hAnsi="宋体"/>
          <w:b/>
          <w:bCs/>
          <w:sz w:val="24"/>
        </w:rPr>
        <w:t>署人</w:t>
      </w:r>
      <w:r>
        <w:rPr>
          <w:rFonts w:hint="eastAsia" w:ascii="宋体" w:hAnsi="宋体"/>
          <w:sz w:val="24"/>
        </w:rPr>
        <w:t>在修改</w:t>
      </w:r>
      <w:r>
        <w:rPr>
          <w:rFonts w:ascii="宋体" w:hAnsi="宋体"/>
          <w:sz w:val="24"/>
        </w:rPr>
        <w:t>错漏处签</w:t>
      </w:r>
      <w:r>
        <w:rPr>
          <w:rFonts w:hint="eastAsia" w:ascii="宋体" w:hAnsi="宋体"/>
          <w:sz w:val="24"/>
        </w:rPr>
        <w:t>字或</w:t>
      </w:r>
      <w:r>
        <w:rPr>
          <w:rFonts w:ascii="宋体" w:hAnsi="宋体"/>
          <w:sz w:val="24"/>
        </w:rPr>
        <w:t>盖</w:t>
      </w:r>
      <w:r>
        <w:rPr>
          <w:rFonts w:hint="eastAsia" w:ascii="宋体" w:hAnsi="宋体"/>
          <w:sz w:val="24"/>
        </w:rPr>
        <w:t>章。</w:t>
      </w:r>
    </w:p>
    <w:p w14:paraId="3E950123">
      <w:pPr>
        <w:rPr>
          <w:rFonts w:ascii="宋体" w:hAnsi="宋体" w:cs="宋体"/>
          <w:b/>
          <w:bCs/>
          <w:sz w:val="28"/>
          <w:szCs w:val="28"/>
        </w:rPr>
      </w:pPr>
      <w:bookmarkStart w:id="161" w:name="_Toc463798072"/>
      <w:bookmarkStart w:id="162" w:name="_Toc28801"/>
      <w:bookmarkStart w:id="163" w:name="_Toc27041590"/>
      <w:bookmarkStart w:id="164" w:name="_Toc295488118"/>
      <w:bookmarkStart w:id="165" w:name="_Toc333418611"/>
      <w:bookmarkStart w:id="166" w:name="_Toc20183"/>
      <w:bookmarkStart w:id="167" w:name="_Toc483320799"/>
      <w:bookmarkStart w:id="168" w:name="_Toc22064"/>
      <w:bookmarkStart w:id="169" w:name="_Toc333501996"/>
      <w:bookmarkStart w:id="170" w:name="_Toc2659"/>
      <w:bookmarkStart w:id="171" w:name="_Toc336273593"/>
      <w:bookmarkStart w:id="172" w:name="_Toc317063530"/>
      <w:bookmarkStart w:id="173" w:name="_Toc334781373"/>
      <w:bookmarkStart w:id="174" w:name="_Toc24730"/>
      <w:bookmarkStart w:id="175" w:name="_Toc122530383"/>
      <w:r>
        <w:rPr>
          <w:rFonts w:ascii="宋体" w:hAnsi="宋体" w:cs="宋体"/>
          <w:b/>
          <w:bCs/>
          <w:sz w:val="28"/>
          <w:szCs w:val="28"/>
        </w:rPr>
        <w:t>9.谈判保证金</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14:paraId="755967FD">
      <w:pPr>
        <w:spacing w:line="480" w:lineRule="exact"/>
        <w:ind w:firstLine="480" w:firstLineChars="200"/>
        <w:rPr>
          <w:rFonts w:ascii="宋体" w:hAnsi="宋体"/>
          <w:sz w:val="24"/>
        </w:rPr>
      </w:pPr>
      <w:r>
        <w:rPr>
          <w:rFonts w:hint="eastAsia" w:ascii="宋体" w:hAnsi="宋体"/>
          <w:sz w:val="24"/>
        </w:rPr>
        <w:t>本项目不要求谈判保证金。</w:t>
      </w:r>
    </w:p>
    <w:bookmarkEnd w:id="175"/>
    <w:p w14:paraId="01F751AB">
      <w:pPr>
        <w:jc w:val="center"/>
        <w:rPr>
          <w:b/>
          <w:bCs/>
          <w:sz w:val="32"/>
          <w:szCs w:val="32"/>
        </w:rPr>
      </w:pPr>
      <w:bookmarkStart w:id="176" w:name="_Toc28300"/>
      <w:bookmarkStart w:id="177" w:name="_Toc463798073"/>
      <w:bookmarkStart w:id="178" w:name="_Toc336273594"/>
      <w:bookmarkStart w:id="179" w:name="_Toc27041591"/>
      <w:bookmarkStart w:id="180" w:name="_Toc483320800"/>
      <w:bookmarkStart w:id="181" w:name="_Toc8418"/>
      <w:bookmarkStart w:id="182" w:name="_Toc28198"/>
      <w:bookmarkStart w:id="183" w:name="_Toc12625"/>
      <w:bookmarkStart w:id="184" w:name="_Toc4828"/>
      <w:bookmarkStart w:id="185" w:name="_Toc9897"/>
      <w:r>
        <w:rPr>
          <w:rFonts w:hint="eastAsia"/>
          <w:b/>
          <w:bCs/>
          <w:sz w:val="32"/>
          <w:szCs w:val="32"/>
        </w:rPr>
        <w:t>四、响应文件的递交</w:t>
      </w:r>
      <w:bookmarkEnd w:id="176"/>
      <w:bookmarkEnd w:id="177"/>
      <w:bookmarkEnd w:id="178"/>
      <w:bookmarkEnd w:id="179"/>
      <w:bookmarkEnd w:id="180"/>
      <w:bookmarkEnd w:id="181"/>
      <w:bookmarkEnd w:id="182"/>
      <w:bookmarkEnd w:id="183"/>
      <w:bookmarkEnd w:id="184"/>
      <w:bookmarkEnd w:id="185"/>
    </w:p>
    <w:p w14:paraId="0804D13C">
      <w:pPr>
        <w:rPr>
          <w:rFonts w:ascii="宋体" w:hAnsi="宋体" w:cs="宋体"/>
          <w:b/>
          <w:bCs/>
          <w:sz w:val="28"/>
          <w:szCs w:val="28"/>
        </w:rPr>
      </w:pPr>
      <w:bookmarkStart w:id="186" w:name="_Toc153621829"/>
      <w:bookmarkStart w:id="187" w:name="_Toc27041592"/>
      <w:bookmarkStart w:id="188" w:name="_Toc333501998"/>
      <w:bookmarkStart w:id="189" w:name="_Toc333418613"/>
      <w:bookmarkStart w:id="190" w:name="_Toc322513181"/>
      <w:bookmarkStart w:id="191" w:name="_Toc17318"/>
      <w:bookmarkStart w:id="192" w:name="_Toc31238"/>
      <w:bookmarkStart w:id="193" w:name="_Toc122530384"/>
      <w:bookmarkStart w:id="194" w:name="_Toc463798074"/>
      <w:bookmarkStart w:id="195" w:name="_Toc334781375"/>
      <w:bookmarkStart w:id="196" w:name="_Toc17729"/>
      <w:bookmarkStart w:id="197" w:name="_Toc336273595"/>
      <w:bookmarkStart w:id="198" w:name="_Toc5826"/>
      <w:bookmarkStart w:id="199" w:name="_Toc12360"/>
      <w:bookmarkStart w:id="200" w:name="_Toc483320801"/>
      <w:r>
        <w:rPr>
          <w:rFonts w:ascii="宋体" w:hAnsi="宋体" w:cs="宋体"/>
          <w:b/>
          <w:bCs/>
          <w:sz w:val="28"/>
          <w:szCs w:val="28"/>
        </w:rPr>
        <w:t xml:space="preserve">10. </w:t>
      </w:r>
      <w:r>
        <w:rPr>
          <w:rFonts w:hint="eastAsia" w:ascii="宋体" w:hAnsi="宋体" w:cs="宋体"/>
          <w:b/>
          <w:bCs/>
          <w:sz w:val="28"/>
          <w:szCs w:val="28"/>
        </w:rPr>
        <w:t>响应文件的密封和标记</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14:paraId="3BDBA28C">
      <w:pPr>
        <w:spacing w:line="460" w:lineRule="exact"/>
        <w:ind w:firstLine="480" w:firstLineChars="200"/>
        <w:rPr>
          <w:rFonts w:ascii="宋体" w:hAnsi="宋体"/>
          <w:b/>
          <w:bCs/>
          <w:sz w:val="24"/>
          <w:u w:val="single"/>
        </w:rPr>
      </w:pPr>
      <w:r>
        <w:rPr>
          <w:rFonts w:ascii="宋体" w:hAnsi="宋体"/>
          <w:sz w:val="24"/>
        </w:rPr>
        <w:t xml:space="preserve">10.1 </w:t>
      </w:r>
      <w:r>
        <w:rPr>
          <w:rFonts w:hint="eastAsia" w:ascii="宋体" w:hAnsi="宋体"/>
          <w:sz w:val="24"/>
        </w:rPr>
        <w:t>供应商应将响应文件的正本和副本（含电子版</w:t>
      </w:r>
      <w:r>
        <w:rPr>
          <w:rFonts w:ascii="宋体" w:hAnsi="宋体"/>
          <w:sz w:val="24"/>
        </w:rPr>
        <w:t>U盘）一起密封在一个外层封套中，并在外封套上标明项目名称、项目编号并注明“响应文件递交截止时间前不得开封”字样。</w:t>
      </w:r>
    </w:p>
    <w:p w14:paraId="73F7A4B9">
      <w:pPr>
        <w:spacing w:line="460" w:lineRule="exact"/>
        <w:ind w:firstLine="480" w:firstLineChars="200"/>
        <w:rPr>
          <w:rFonts w:ascii="宋体" w:hAnsi="宋体"/>
          <w:sz w:val="24"/>
        </w:rPr>
      </w:pPr>
      <w:r>
        <w:rPr>
          <w:rFonts w:ascii="宋体" w:hAnsi="宋体"/>
          <w:sz w:val="24"/>
        </w:rPr>
        <w:t xml:space="preserve">10.2 </w:t>
      </w:r>
      <w:r>
        <w:rPr>
          <w:rFonts w:hint="eastAsia" w:ascii="宋体" w:hAnsi="宋体"/>
          <w:sz w:val="24"/>
        </w:rPr>
        <w:t>密封口处应加盖供应商公章或密封章。</w:t>
      </w:r>
    </w:p>
    <w:p w14:paraId="7E772FE2">
      <w:pPr>
        <w:spacing w:line="460" w:lineRule="exact"/>
        <w:ind w:firstLine="480" w:firstLineChars="200"/>
        <w:rPr>
          <w:rFonts w:ascii="宋体" w:hAnsi="宋体"/>
          <w:sz w:val="24"/>
        </w:rPr>
      </w:pPr>
      <w:r>
        <w:rPr>
          <w:rFonts w:ascii="宋体" w:hAnsi="宋体"/>
          <w:sz w:val="24"/>
        </w:rPr>
        <w:t xml:space="preserve">10.3 </w:t>
      </w:r>
      <w:r>
        <w:rPr>
          <w:rFonts w:hint="eastAsia" w:ascii="宋体" w:hAnsi="宋体"/>
          <w:sz w:val="24"/>
        </w:rPr>
        <w:t>响应文件应按谈判文件的竞争性谈判公告中指定的时间和地点由法定代表人或其授权的委托代理人亲自送交指定地点。</w:t>
      </w:r>
    </w:p>
    <w:p w14:paraId="3D74F9D9">
      <w:pPr>
        <w:rPr>
          <w:rFonts w:ascii="宋体" w:hAnsi="宋体" w:cs="宋体"/>
          <w:b/>
          <w:bCs/>
          <w:sz w:val="28"/>
          <w:szCs w:val="28"/>
        </w:rPr>
      </w:pPr>
      <w:bookmarkStart w:id="201" w:name="_Toc333418614"/>
      <w:bookmarkStart w:id="202" w:name="_Toc463798075"/>
      <w:bookmarkStart w:id="203" w:name="_Toc12241"/>
      <w:bookmarkStart w:id="204" w:name="_Toc25247"/>
      <w:bookmarkStart w:id="205" w:name="_Toc6149"/>
      <w:bookmarkStart w:id="206" w:name="_Toc27041593"/>
      <w:bookmarkStart w:id="207" w:name="_Toc24592"/>
      <w:bookmarkStart w:id="208" w:name="_Toc494"/>
      <w:bookmarkStart w:id="209" w:name="_Toc336273596"/>
      <w:bookmarkStart w:id="210" w:name="_Toc333501999"/>
      <w:bookmarkStart w:id="211" w:name="_Toc322513182"/>
      <w:bookmarkStart w:id="212" w:name="_Toc334781376"/>
      <w:bookmarkStart w:id="213" w:name="_Toc483320802"/>
      <w:r>
        <w:rPr>
          <w:rFonts w:ascii="宋体" w:hAnsi="宋体" w:cs="宋体"/>
          <w:b/>
          <w:bCs/>
          <w:sz w:val="28"/>
          <w:szCs w:val="28"/>
        </w:rPr>
        <w:t xml:space="preserve">11. </w:t>
      </w:r>
      <w:r>
        <w:rPr>
          <w:rFonts w:hint="eastAsia" w:ascii="宋体" w:hAnsi="宋体" w:cs="宋体"/>
          <w:b/>
          <w:bCs/>
          <w:sz w:val="28"/>
          <w:szCs w:val="28"/>
        </w:rPr>
        <w:t>递交截止时间</w:t>
      </w:r>
      <w:bookmarkEnd w:id="201"/>
      <w:bookmarkEnd w:id="202"/>
      <w:bookmarkEnd w:id="203"/>
      <w:bookmarkEnd w:id="204"/>
      <w:bookmarkEnd w:id="205"/>
      <w:bookmarkEnd w:id="206"/>
      <w:bookmarkEnd w:id="207"/>
      <w:bookmarkEnd w:id="208"/>
      <w:bookmarkEnd w:id="209"/>
      <w:bookmarkEnd w:id="210"/>
      <w:bookmarkEnd w:id="211"/>
      <w:bookmarkEnd w:id="212"/>
      <w:bookmarkEnd w:id="213"/>
    </w:p>
    <w:p w14:paraId="4BA1C057">
      <w:pPr>
        <w:spacing w:before="62" w:beforeLines="20" w:line="480" w:lineRule="exact"/>
        <w:ind w:firstLine="480" w:firstLineChars="200"/>
        <w:rPr>
          <w:rFonts w:ascii="宋体" w:hAnsi="宋体"/>
          <w:sz w:val="24"/>
        </w:rPr>
      </w:pPr>
      <w:r>
        <w:rPr>
          <w:rFonts w:ascii="宋体" w:hAnsi="宋体"/>
          <w:sz w:val="24"/>
        </w:rPr>
        <w:t xml:space="preserve">11.1 </w:t>
      </w:r>
      <w:r>
        <w:rPr>
          <w:rFonts w:hint="eastAsia" w:ascii="宋体" w:hAnsi="宋体"/>
          <w:sz w:val="24"/>
        </w:rPr>
        <w:t>采购人收到响应文件的时间不得迟于谈判文件的谈判公告中规定的递交截止时间，否则不予接收。</w:t>
      </w:r>
    </w:p>
    <w:p w14:paraId="175CA086">
      <w:pPr>
        <w:spacing w:line="480" w:lineRule="exact"/>
        <w:ind w:firstLine="480" w:firstLineChars="200"/>
        <w:rPr>
          <w:rFonts w:ascii="宋体" w:hAnsi="宋体"/>
          <w:sz w:val="24"/>
        </w:rPr>
      </w:pPr>
      <w:r>
        <w:rPr>
          <w:rFonts w:ascii="宋体" w:hAnsi="宋体"/>
          <w:sz w:val="24"/>
        </w:rPr>
        <w:t xml:space="preserve">11.2 </w:t>
      </w:r>
      <w:r>
        <w:rPr>
          <w:rFonts w:hint="eastAsia" w:ascii="宋体" w:hAnsi="宋体"/>
          <w:sz w:val="24"/>
        </w:rPr>
        <w:t>推迟递交截止时间应以书面形式通知供应商。</w:t>
      </w:r>
    </w:p>
    <w:p w14:paraId="57870321">
      <w:pPr>
        <w:spacing w:line="480" w:lineRule="exact"/>
        <w:ind w:firstLine="480" w:firstLineChars="200"/>
        <w:rPr>
          <w:rFonts w:ascii="宋体" w:hAnsi="宋体"/>
          <w:sz w:val="24"/>
        </w:rPr>
      </w:pPr>
      <w:r>
        <w:rPr>
          <w:rFonts w:ascii="宋体" w:hAnsi="宋体"/>
          <w:sz w:val="24"/>
        </w:rPr>
        <w:t xml:space="preserve">11.3 </w:t>
      </w:r>
      <w:r>
        <w:rPr>
          <w:rFonts w:hint="eastAsia" w:ascii="宋体" w:hAnsi="宋体"/>
          <w:sz w:val="24"/>
        </w:rPr>
        <w:t>采购人将拒绝接收在响应文件递交截止时间后供应商主动递交的任何材料。</w:t>
      </w:r>
    </w:p>
    <w:p w14:paraId="718FE9A5">
      <w:pPr>
        <w:rPr>
          <w:rFonts w:ascii="宋体" w:hAnsi="宋体" w:cs="宋体"/>
          <w:b/>
          <w:bCs/>
          <w:sz w:val="28"/>
          <w:szCs w:val="28"/>
        </w:rPr>
      </w:pPr>
      <w:bookmarkStart w:id="214" w:name="_Toc322513183"/>
      <w:bookmarkStart w:id="215" w:name="_Toc30342"/>
      <w:bookmarkStart w:id="216" w:name="_Toc26907"/>
      <w:bookmarkStart w:id="217" w:name="_Toc27041594"/>
      <w:bookmarkStart w:id="218" w:name="_Toc336273597"/>
      <w:bookmarkStart w:id="219" w:name="_Toc9105"/>
      <w:bookmarkStart w:id="220" w:name="_Toc463798076"/>
      <w:bookmarkStart w:id="221" w:name="_Toc334781377"/>
      <w:bookmarkStart w:id="222" w:name="_Toc17785"/>
      <w:bookmarkStart w:id="223" w:name="_Toc483320803"/>
      <w:bookmarkStart w:id="224" w:name="_Toc28254"/>
      <w:bookmarkStart w:id="225" w:name="_Toc333418615"/>
      <w:bookmarkStart w:id="226" w:name="_Toc333502000"/>
      <w:r>
        <w:rPr>
          <w:rFonts w:ascii="宋体" w:hAnsi="宋体" w:cs="宋体"/>
          <w:b/>
          <w:bCs/>
          <w:sz w:val="28"/>
          <w:szCs w:val="28"/>
        </w:rPr>
        <w:t xml:space="preserve">12. </w:t>
      </w:r>
      <w:r>
        <w:rPr>
          <w:rFonts w:hint="eastAsia" w:ascii="宋体" w:hAnsi="宋体" w:cs="宋体"/>
          <w:b/>
          <w:bCs/>
          <w:sz w:val="28"/>
          <w:szCs w:val="28"/>
        </w:rPr>
        <w:t>响应文件修改和撤回</w:t>
      </w:r>
      <w:bookmarkEnd w:id="214"/>
      <w:bookmarkEnd w:id="215"/>
      <w:bookmarkEnd w:id="216"/>
      <w:bookmarkEnd w:id="217"/>
      <w:bookmarkEnd w:id="218"/>
      <w:bookmarkEnd w:id="219"/>
      <w:bookmarkEnd w:id="220"/>
      <w:bookmarkEnd w:id="221"/>
      <w:bookmarkEnd w:id="222"/>
      <w:bookmarkEnd w:id="223"/>
      <w:bookmarkEnd w:id="224"/>
      <w:bookmarkEnd w:id="225"/>
      <w:bookmarkEnd w:id="226"/>
    </w:p>
    <w:p w14:paraId="390344EB">
      <w:pPr>
        <w:spacing w:before="62" w:beforeLines="20" w:line="460" w:lineRule="exact"/>
        <w:ind w:firstLine="480" w:firstLineChars="200"/>
        <w:rPr>
          <w:rFonts w:ascii="宋体" w:hAnsi="宋体"/>
          <w:sz w:val="24"/>
        </w:rPr>
      </w:pPr>
      <w:r>
        <w:rPr>
          <w:rFonts w:ascii="宋体" w:hAnsi="宋体"/>
          <w:sz w:val="24"/>
        </w:rPr>
        <w:t>12.1在规定的响应文件递交截止时间前供应商可以书面形式补充修改或撤回已递交的响应文件，但必须在规定的响应文件递交截止时间之前书面申请并经采购人认可才能生效。补充和修改的内容为响应文件的组成部分。</w:t>
      </w:r>
    </w:p>
    <w:p w14:paraId="4D77CD74">
      <w:pPr>
        <w:spacing w:before="62" w:beforeLines="20" w:line="460" w:lineRule="exact"/>
        <w:ind w:firstLine="480" w:firstLineChars="200"/>
        <w:rPr>
          <w:rFonts w:ascii="宋体" w:hAnsi="宋体"/>
          <w:sz w:val="24"/>
        </w:rPr>
      </w:pPr>
      <w:r>
        <w:rPr>
          <w:rFonts w:ascii="宋体" w:hAnsi="宋体"/>
          <w:sz w:val="24"/>
        </w:rPr>
        <w:t xml:space="preserve">12.2 </w:t>
      </w:r>
      <w:r>
        <w:rPr>
          <w:rFonts w:hint="eastAsia" w:ascii="宋体" w:hAnsi="宋体"/>
          <w:sz w:val="24"/>
        </w:rPr>
        <w:t>供应商的修改或撤回通知书应按第</w:t>
      </w:r>
      <w:r>
        <w:rPr>
          <w:rFonts w:ascii="宋体" w:hAnsi="宋体"/>
          <w:sz w:val="24"/>
        </w:rPr>
        <w:t>10条规定编制、密封、标记和递交，并应在内层封套上另注“修改”或“撤回”字样。</w:t>
      </w:r>
    </w:p>
    <w:p w14:paraId="0811AC11">
      <w:pPr>
        <w:spacing w:line="460" w:lineRule="exact"/>
        <w:ind w:firstLine="480" w:firstLineChars="200"/>
        <w:rPr>
          <w:rFonts w:ascii="宋体" w:hAnsi="宋体"/>
          <w:sz w:val="24"/>
        </w:rPr>
      </w:pPr>
      <w:r>
        <w:rPr>
          <w:rFonts w:ascii="宋体" w:hAnsi="宋体"/>
          <w:sz w:val="24"/>
        </w:rPr>
        <w:t xml:space="preserve">12.3 </w:t>
      </w:r>
      <w:r>
        <w:rPr>
          <w:rFonts w:hint="eastAsia" w:ascii="宋体" w:hAnsi="宋体"/>
          <w:sz w:val="24"/>
        </w:rPr>
        <w:t>在响应文件递交截止时间之后，供应商不得对其响应文件做任何修改。</w:t>
      </w:r>
    </w:p>
    <w:p w14:paraId="2902C23F">
      <w:pPr>
        <w:jc w:val="center"/>
        <w:rPr>
          <w:b/>
          <w:bCs/>
          <w:sz w:val="32"/>
          <w:szCs w:val="32"/>
        </w:rPr>
      </w:pPr>
      <w:bookmarkStart w:id="227" w:name="_Toc29291"/>
      <w:bookmarkStart w:id="228" w:name="_Toc19283"/>
      <w:bookmarkStart w:id="229" w:name="_Toc463798077"/>
      <w:bookmarkStart w:id="230" w:name="_Toc26568"/>
      <w:bookmarkStart w:id="231" w:name="_Toc29557"/>
      <w:bookmarkStart w:id="232" w:name="_Toc6628"/>
      <w:bookmarkStart w:id="233" w:name="_Toc22477"/>
      <w:bookmarkStart w:id="234" w:name="_Toc27041595"/>
      <w:bookmarkStart w:id="235" w:name="_Toc483320804"/>
      <w:bookmarkStart w:id="236" w:name="_Toc336273598"/>
      <w:bookmarkStart w:id="237" w:name="_Toc122530387"/>
      <w:bookmarkStart w:id="238" w:name="_Toc322513184"/>
      <w:r>
        <w:rPr>
          <w:rFonts w:hint="eastAsia"/>
          <w:b/>
          <w:bCs/>
          <w:sz w:val="32"/>
          <w:szCs w:val="32"/>
        </w:rPr>
        <w:t>五、谈判与评审</w:t>
      </w:r>
      <w:bookmarkEnd w:id="227"/>
      <w:bookmarkEnd w:id="228"/>
      <w:bookmarkEnd w:id="229"/>
      <w:bookmarkEnd w:id="230"/>
      <w:bookmarkEnd w:id="231"/>
      <w:bookmarkEnd w:id="232"/>
      <w:bookmarkEnd w:id="233"/>
      <w:bookmarkEnd w:id="234"/>
      <w:bookmarkEnd w:id="235"/>
    </w:p>
    <w:p w14:paraId="69E2BBF5">
      <w:pPr>
        <w:rPr>
          <w:rFonts w:ascii="宋体" w:hAnsi="宋体" w:cs="宋体"/>
          <w:b/>
          <w:bCs/>
          <w:sz w:val="28"/>
          <w:szCs w:val="28"/>
        </w:rPr>
      </w:pPr>
      <w:bookmarkStart w:id="239" w:name="_Toc122530388"/>
      <w:bookmarkStart w:id="240" w:name="_Toc336273599"/>
      <w:bookmarkStart w:id="241" w:name="_Toc322513185"/>
      <w:bookmarkStart w:id="242" w:name="_Toc334781379"/>
      <w:bookmarkStart w:id="243" w:name="_Toc333502002"/>
      <w:bookmarkStart w:id="244" w:name="_Toc483320805"/>
      <w:bookmarkStart w:id="245" w:name="_Toc333418617"/>
      <w:bookmarkStart w:id="246" w:name="_Toc463798078"/>
      <w:bookmarkStart w:id="247" w:name="_Toc5796"/>
      <w:bookmarkStart w:id="248" w:name="_Toc6449"/>
      <w:bookmarkStart w:id="249" w:name="_Toc24963"/>
      <w:bookmarkStart w:id="250" w:name="_Toc27041596"/>
      <w:bookmarkStart w:id="251" w:name="_Toc13665"/>
      <w:bookmarkStart w:id="252" w:name="_Toc20690"/>
      <w:r>
        <w:rPr>
          <w:rFonts w:ascii="宋体" w:hAnsi="宋体" w:cs="宋体"/>
          <w:b/>
          <w:bCs/>
          <w:sz w:val="28"/>
          <w:szCs w:val="28"/>
        </w:rPr>
        <w:t>13</w:t>
      </w:r>
      <w:bookmarkEnd w:id="239"/>
      <w:r>
        <w:rPr>
          <w:rFonts w:ascii="宋体" w:hAnsi="宋体" w:cs="宋体"/>
          <w:b/>
          <w:bCs/>
          <w:sz w:val="28"/>
          <w:szCs w:val="28"/>
        </w:rPr>
        <w:t xml:space="preserve">. </w:t>
      </w:r>
      <w:r>
        <w:rPr>
          <w:rFonts w:hint="eastAsia" w:ascii="宋体" w:hAnsi="宋体" w:cs="宋体"/>
          <w:b/>
          <w:bCs/>
          <w:sz w:val="28"/>
          <w:szCs w:val="28"/>
        </w:rPr>
        <w:t>谈判</w:t>
      </w:r>
      <w:bookmarkEnd w:id="240"/>
      <w:bookmarkEnd w:id="241"/>
      <w:bookmarkEnd w:id="242"/>
      <w:bookmarkEnd w:id="243"/>
      <w:bookmarkEnd w:id="244"/>
      <w:bookmarkEnd w:id="245"/>
      <w:bookmarkEnd w:id="246"/>
      <w:r>
        <w:rPr>
          <w:rFonts w:hint="eastAsia" w:ascii="宋体" w:hAnsi="宋体" w:cs="宋体"/>
          <w:b/>
          <w:bCs/>
          <w:sz w:val="28"/>
          <w:szCs w:val="28"/>
        </w:rPr>
        <w:t>原则</w:t>
      </w:r>
      <w:bookmarkEnd w:id="247"/>
      <w:bookmarkEnd w:id="248"/>
      <w:bookmarkEnd w:id="249"/>
      <w:bookmarkEnd w:id="250"/>
      <w:bookmarkEnd w:id="251"/>
      <w:bookmarkEnd w:id="252"/>
    </w:p>
    <w:p w14:paraId="3A519460">
      <w:pPr>
        <w:spacing w:line="460" w:lineRule="exact"/>
        <w:ind w:firstLine="480" w:firstLineChars="200"/>
        <w:rPr>
          <w:rFonts w:ascii="宋体" w:hAnsi="宋体"/>
          <w:sz w:val="24"/>
        </w:rPr>
      </w:pPr>
      <w:r>
        <w:rPr>
          <w:rFonts w:ascii="宋体" w:hAnsi="宋体"/>
          <w:sz w:val="24"/>
        </w:rPr>
        <w:t>13.1</w:t>
      </w:r>
      <w:r>
        <w:rPr>
          <w:rFonts w:hint="eastAsia" w:ascii="宋体" w:hAnsi="宋体"/>
          <w:sz w:val="24"/>
        </w:rPr>
        <w:t>根据相关法律、法规及竞争性谈判文件制定本办法。</w:t>
      </w:r>
    </w:p>
    <w:p w14:paraId="66B5EFB4">
      <w:pPr>
        <w:spacing w:line="460" w:lineRule="exact"/>
        <w:ind w:firstLine="480" w:firstLineChars="200"/>
        <w:rPr>
          <w:rFonts w:ascii="宋体" w:hAnsi="宋体"/>
          <w:sz w:val="24"/>
        </w:rPr>
      </w:pPr>
      <w:r>
        <w:rPr>
          <w:rFonts w:ascii="宋体" w:hAnsi="宋体"/>
          <w:sz w:val="24"/>
        </w:rPr>
        <w:t>13.2</w:t>
      </w:r>
      <w:r>
        <w:rPr>
          <w:rFonts w:hint="eastAsia" w:ascii="宋体" w:hAnsi="宋体"/>
          <w:sz w:val="24"/>
        </w:rPr>
        <w:t>谈判小组由采购人的代表和有关技术、经济等方面的专家组成，成员人数应当为三人及以上单数。其中，技术、经济等方面的专家不得少于成员总数的三分之二。谈判小组应当推选组长，但采购需求部门及所属公司代表不得担任组长。</w:t>
      </w:r>
    </w:p>
    <w:p w14:paraId="6CB9BB82">
      <w:pPr>
        <w:spacing w:line="460" w:lineRule="exact"/>
        <w:ind w:firstLine="480" w:firstLineChars="200"/>
        <w:rPr>
          <w:rFonts w:ascii="宋体" w:hAnsi="宋体"/>
          <w:sz w:val="24"/>
        </w:rPr>
      </w:pPr>
      <w:r>
        <w:rPr>
          <w:rFonts w:hint="eastAsia" w:ascii="宋体" w:hAnsi="宋体"/>
          <w:sz w:val="24"/>
        </w:rPr>
        <w:t>除授权代表外，采购人可以委派纪委等相关人员进入谈判现场，对谈判工作实施监督。</w:t>
      </w:r>
    </w:p>
    <w:p w14:paraId="2C5B5261">
      <w:pPr>
        <w:spacing w:line="460" w:lineRule="exact"/>
        <w:ind w:firstLine="480" w:firstLineChars="200"/>
        <w:rPr>
          <w:rFonts w:ascii="宋体" w:hAnsi="宋体"/>
          <w:sz w:val="24"/>
        </w:rPr>
      </w:pPr>
      <w:r>
        <w:rPr>
          <w:rFonts w:ascii="宋体" w:hAnsi="宋体"/>
          <w:sz w:val="24"/>
        </w:rPr>
        <w:t>13.3</w:t>
      </w:r>
      <w:r>
        <w:rPr>
          <w:rFonts w:hint="eastAsia" w:ascii="宋体" w:hAnsi="宋体"/>
          <w:sz w:val="24"/>
        </w:rPr>
        <w:t>谈判原则：依照“公平、公正、科学、合法、保密”的原则。</w:t>
      </w:r>
    </w:p>
    <w:p w14:paraId="4674194C">
      <w:pPr>
        <w:rPr>
          <w:rFonts w:ascii="宋体" w:hAnsi="宋体" w:cs="宋体"/>
          <w:b/>
          <w:bCs/>
          <w:sz w:val="28"/>
          <w:szCs w:val="28"/>
        </w:rPr>
      </w:pPr>
      <w:bookmarkStart w:id="253" w:name="_Toc28659"/>
      <w:bookmarkStart w:id="254" w:name="_Toc13163"/>
      <w:bookmarkStart w:id="255" w:name="_Toc29485"/>
      <w:bookmarkStart w:id="256" w:name="_Toc4408"/>
      <w:bookmarkStart w:id="257" w:name="_Toc27041597"/>
      <w:bookmarkStart w:id="258" w:name="_Toc6244"/>
      <w:r>
        <w:rPr>
          <w:rFonts w:ascii="宋体" w:hAnsi="宋体" w:cs="宋体"/>
          <w:b/>
          <w:bCs/>
          <w:sz w:val="28"/>
          <w:szCs w:val="28"/>
        </w:rPr>
        <w:t xml:space="preserve">14. </w:t>
      </w:r>
      <w:r>
        <w:rPr>
          <w:rFonts w:hint="eastAsia" w:ascii="宋体" w:hAnsi="宋体" w:cs="宋体"/>
          <w:b/>
          <w:bCs/>
          <w:sz w:val="28"/>
          <w:szCs w:val="28"/>
        </w:rPr>
        <w:t>谈判程序</w:t>
      </w:r>
      <w:bookmarkEnd w:id="253"/>
      <w:bookmarkEnd w:id="254"/>
      <w:bookmarkEnd w:id="255"/>
      <w:bookmarkEnd w:id="256"/>
      <w:bookmarkEnd w:id="257"/>
      <w:bookmarkEnd w:id="258"/>
    </w:p>
    <w:p w14:paraId="6EFB4C14">
      <w:pPr>
        <w:spacing w:line="460" w:lineRule="exact"/>
        <w:ind w:firstLine="480" w:firstLineChars="200"/>
        <w:rPr>
          <w:rFonts w:ascii="宋体" w:hAnsi="宋体"/>
          <w:sz w:val="24"/>
        </w:rPr>
      </w:pPr>
      <w:r>
        <w:rPr>
          <w:rFonts w:ascii="宋体" w:hAnsi="宋体"/>
          <w:sz w:val="24"/>
        </w:rPr>
        <w:t>14.1谈判会议程序：</w:t>
      </w:r>
    </w:p>
    <w:p w14:paraId="39A28271">
      <w:pPr>
        <w:numPr>
          <w:ilvl w:val="0"/>
          <w:numId w:val="2"/>
        </w:numPr>
        <w:spacing w:line="460" w:lineRule="exact"/>
        <w:ind w:firstLine="480" w:firstLineChars="200"/>
        <w:rPr>
          <w:rFonts w:ascii="宋体" w:hAnsi="宋体"/>
          <w:sz w:val="24"/>
        </w:rPr>
      </w:pPr>
      <w:r>
        <w:rPr>
          <w:rFonts w:hint="eastAsia" w:ascii="宋体" w:hAnsi="宋体"/>
          <w:sz w:val="24"/>
        </w:rPr>
        <w:t>监督小组检查所有已递交的响应文件的密封情况，并公布检查结果。</w:t>
      </w:r>
    </w:p>
    <w:p w14:paraId="2A730789">
      <w:pPr>
        <w:numPr>
          <w:ilvl w:val="0"/>
          <w:numId w:val="2"/>
        </w:numPr>
        <w:spacing w:line="460" w:lineRule="exact"/>
        <w:ind w:firstLine="480" w:firstLineChars="200"/>
        <w:rPr>
          <w:rFonts w:ascii="宋体" w:hAnsi="宋体"/>
          <w:sz w:val="24"/>
        </w:rPr>
      </w:pPr>
      <w:r>
        <w:rPr>
          <w:rFonts w:hint="eastAsia" w:ascii="宋体" w:hAnsi="宋体"/>
          <w:sz w:val="24"/>
        </w:rPr>
        <w:t>供应商代表随机抽取谈判顺序。</w:t>
      </w:r>
    </w:p>
    <w:p w14:paraId="19F4EE7C">
      <w:pPr>
        <w:spacing w:line="460" w:lineRule="exact"/>
        <w:ind w:firstLine="480" w:firstLineChars="200"/>
        <w:rPr>
          <w:rFonts w:ascii="宋体" w:hAnsi="宋体"/>
          <w:sz w:val="24"/>
        </w:rPr>
      </w:pPr>
      <w:r>
        <w:rPr>
          <w:rFonts w:hint="eastAsia" w:ascii="宋体" w:hAnsi="宋体"/>
          <w:sz w:val="24"/>
        </w:rPr>
        <w:t>（</w:t>
      </w:r>
      <w:r>
        <w:rPr>
          <w:rFonts w:ascii="宋体" w:hAnsi="宋体"/>
          <w:sz w:val="24"/>
        </w:rPr>
        <w:t>3）当众拆封响应文件并进行第一轮唱价。</w:t>
      </w:r>
    </w:p>
    <w:p w14:paraId="646DCB1C">
      <w:pPr>
        <w:spacing w:line="460" w:lineRule="exact"/>
        <w:ind w:firstLine="480" w:firstLineChars="200"/>
        <w:rPr>
          <w:rFonts w:ascii="宋体" w:hAnsi="宋体"/>
          <w:sz w:val="24"/>
        </w:rPr>
      </w:pPr>
      <w:r>
        <w:rPr>
          <w:rFonts w:hint="eastAsia" w:ascii="宋体" w:hAnsi="宋体"/>
          <w:sz w:val="24"/>
        </w:rPr>
        <w:t>（</w:t>
      </w:r>
      <w:r>
        <w:rPr>
          <w:rFonts w:ascii="宋体" w:hAnsi="宋体"/>
          <w:sz w:val="24"/>
        </w:rPr>
        <w:t>4）响应文件提交谈判小组评审，谈判供应商回避等候谈判。</w:t>
      </w:r>
    </w:p>
    <w:p w14:paraId="6315D69F">
      <w:pPr>
        <w:spacing w:line="460" w:lineRule="exact"/>
        <w:ind w:firstLine="480" w:firstLineChars="200"/>
        <w:rPr>
          <w:rFonts w:ascii="宋体" w:hAnsi="宋体"/>
          <w:sz w:val="24"/>
        </w:rPr>
      </w:pPr>
      <w:r>
        <w:rPr>
          <w:rFonts w:hint="eastAsia" w:ascii="宋体" w:hAnsi="宋体"/>
          <w:sz w:val="24"/>
        </w:rPr>
        <w:t>（</w:t>
      </w:r>
      <w:r>
        <w:rPr>
          <w:rFonts w:ascii="宋体" w:hAnsi="宋体"/>
          <w:sz w:val="24"/>
        </w:rPr>
        <w:t>5）谈判小组首先对所有响应文件进行初步评审。</w:t>
      </w:r>
    </w:p>
    <w:p w14:paraId="57D78FB7">
      <w:pPr>
        <w:spacing w:line="460" w:lineRule="exact"/>
        <w:ind w:firstLine="480" w:firstLineChars="200"/>
        <w:rPr>
          <w:rFonts w:ascii="宋体" w:hAnsi="宋体"/>
          <w:b/>
          <w:sz w:val="24"/>
        </w:rPr>
      </w:pPr>
      <w:r>
        <w:rPr>
          <w:rFonts w:hint="eastAsia" w:ascii="宋体" w:hAnsi="宋体"/>
          <w:sz w:val="24"/>
        </w:rPr>
        <w:t>（</w:t>
      </w:r>
      <w:r>
        <w:rPr>
          <w:rFonts w:ascii="宋体" w:hAnsi="宋体"/>
          <w:sz w:val="24"/>
        </w:rPr>
        <w:t>6）谈判小组按谈判顺序依次与供应商进行谈判，</w:t>
      </w:r>
      <w:r>
        <w:rPr>
          <w:rFonts w:hint="eastAsia" w:ascii="宋体" w:hAnsi="宋体"/>
          <w:b/>
          <w:sz w:val="24"/>
        </w:rPr>
        <w:t>本次谈判采用多轮报价，供应商应澄清相关问题并在规定时间内提交相应轮次报价及承诺，原则上当轮报价不得高于上一轮次报价，该供应商最终确定的价格以其最后报价为准。</w:t>
      </w:r>
    </w:p>
    <w:p w14:paraId="03B14649">
      <w:pPr>
        <w:spacing w:line="460" w:lineRule="exact"/>
        <w:ind w:firstLine="480" w:firstLineChars="200"/>
        <w:rPr>
          <w:rFonts w:ascii="宋体" w:hAnsi="宋体"/>
          <w:sz w:val="24"/>
        </w:rPr>
      </w:pPr>
      <w:r>
        <w:rPr>
          <w:rFonts w:hint="eastAsia" w:ascii="宋体" w:hAnsi="宋体"/>
          <w:sz w:val="24"/>
        </w:rPr>
        <w:t>（</w:t>
      </w:r>
      <w:r>
        <w:rPr>
          <w:rFonts w:ascii="宋体" w:hAnsi="宋体"/>
          <w:sz w:val="24"/>
        </w:rPr>
        <w:t>6）谈判小组对通过初步评审的响应文件进行详细评审。</w:t>
      </w:r>
    </w:p>
    <w:p w14:paraId="42E21A16">
      <w:pPr>
        <w:spacing w:line="460" w:lineRule="exact"/>
        <w:ind w:firstLine="480" w:firstLineChars="200"/>
        <w:rPr>
          <w:rFonts w:ascii="宋体" w:hAnsi="宋体"/>
          <w:sz w:val="24"/>
        </w:rPr>
      </w:pPr>
      <w:r>
        <w:rPr>
          <w:rFonts w:hint="eastAsia" w:ascii="宋体" w:hAnsi="宋体"/>
          <w:sz w:val="24"/>
        </w:rPr>
        <w:t>（</w:t>
      </w:r>
      <w:r>
        <w:rPr>
          <w:rFonts w:ascii="宋体" w:hAnsi="宋体"/>
          <w:sz w:val="24"/>
        </w:rPr>
        <w:t>7）谈判小组根据供应商提交的响应文件及最终报价承诺，对供应商的报价、服务、方案承诺等内容进行综合评审。</w:t>
      </w:r>
    </w:p>
    <w:p w14:paraId="770FA757">
      <w:pPr>
        <w:spacing w:line="460" w:lineRule="exact"/>
        <w:ind w:firstLine="480" w:firstLineChars="200"/>
        <w:rPr>
          <w:rFonts w:ascii="宋体" w:hAnsi="宋体"/>
          <w:sz w:val="24"/>
        </w:rPr>
      </w:pPr>
      <w:r>
        <w:rPr>
          <w:rFonts w:hint="eastAsia" w:ascii="宋体" w:hAnsi="宋体"/>
          <w:sz w:val="24"/>
        </w:rPr>
        <w:t>（</w:t>
      </w:r>
      <w:r>
        <w:rPr>
          <w:rFonts w:ascii="宋体" w:hAnsi="宋体"/>
          <w:sz w:val="24"/>
        </w:rPr>
        <w:t>8）谈判小组根据各有效响应文件的最终报价、详细评审，编制谈判评审报告，提交“推荐成交候选人名单”。</w:t>
      </w:r>
    </w:p>
    <w:p w14:paraId="2E939D48">
      <w:pPr>
        <w:spacing w:line="460" w:lineRule="exact"/>
        <w:ind w:firstLine="480" w:firstLineChars="200"/>
        <w:rPr>
          <w:rFonts w:ascii="宋体" w:hAnsi="宋体"/>
          <w:sz w:val="24"/>
        </w:rPr>
      </w:pPr>
      <w:r>
        <w:rPr>
          <w:rFonts w:ascii="宋体" w:hAnsi="宋体"/>
          <w:sz w:val="24"/>
        </w:rPr>
        <w:t xml:space="preserve">14.2 </w:t>
      </w:r>
      <w:r>
        <w:rPr>
          <w:rFonts w:hint="eastAsia" w:ascii="宋体" w:hAnsi="宋体"/>
          <w:sz w:val="24"/>
        </w:rPr>
        <w:t>评审办法：本次谈判采用综合评分法，是指响应文件满足谈判文件全部实质性要求且按评审因素的量化指标评审得分最高的供应商为成交候选供应商的评审方法。</w:t>
      </w:r>
    </w:p>
    <w:p w14:paraId="7005A38D">
      <w:pPr>
        <w:spacing w:line="460" w:lineRule="exact"/>
        <w:ind w:firstLine="480" w:firstLineChars="200"/>
        <w:rPr>
          <w:rFonts w:ascii="宋体" w:hAnsi="宋体"/>
          <w:sz w:val="24"/>
        </w:rPr>
      </w:pPr>
      <w:r>
        <w:rPr>
          <w:rFonts w:ascii="宋体" w:hAnsi="宋体"/>
          <w:sz w:val="24"/>
        </w:rPr>
        <w:t>14.3初步评审（分为资格性检查和符合性检查）：</w:t>
      </w:r>
    </w:p>
    <w:p w14:paraId="2360549B">
      <w:pPr>
        <w:spacing w:line="460" w:lineRule="exact"/>
        <w:ind w:firstLine="480" w:firstLineChars="200"/>
        <w:rPr>
          <w:rFonts w:ascii="宋体" w:hAnsi="宋体"/>
          <w:sz w:val="24"/>
        </w:rPr>
      </w:pPr>
      <w:r>
        <w:rPr>
          <w:rFonts w:hint="eastAsia" w:ascii="宋体" w:hAnsi="宋体"/>
          <w:sz w:val="24"/>
        </w:rPr>
        <w:t>（</w:t>
      </w:r>
      <w:r>
        <w:rPr>
          <w:rFonts w:ascii="宋体" w:hAnsi="宋体"/>
          <w:sz w:val="24"/>
        </w:rPr>
        <w:t>1）资格性审查：依据法律法规和竞争性谈判文件的规定，对响应文件中的资格证明等进行审查，以确定供应商是否具备谈判资格。只有通过资格审查的响应文件才能进入符合性审查。</w:t>
      </w:r>
    </w:p>
    <w:p w14:paraId="419A85DE">
      <w:pPr>
        <w:spacing w:line="460" w:lineRule="exact"/>
        <w:ind w:firstLine="480" w:firstLineChars="200"/>
        <w:rPr>
          <w:rFonts w:ascii="宋体" w:hAnsi="宋体"/>
          <w:sz w:val="24"/>
        </w:rPr>
      </w:pPr>
      <w:r>
        <w:rPr>
          <w:rFonts w:hint="eastAsia" w:ascii="宋体" w:hAnsi="宋体"/>
          <w:sz w:val="24"/>
        </w:rPr>
        <w:t>（</w:t>
      </w:r>
      <w:r>
        <w:rPr>
          <w:rFonts w:ascii="宋体" w:hAnsi="宋体"/>
          <w:sz w:val="24"/>
        </w:rPr>
        <w:t>2）符合性检查:依据竞争性谈判文件的规定，从响应文件的有效性、完整性和对竞争性谈判文件的响应程度进行审查，以确定是否对竞争性谈判文件的实质性要求作出响应。</w:t>
      </w:r>
    </w:p>
    <w:p w14:paraId="600E5B08">
      <w:pPr>
        <w:spacing w:line="460" w:lineRule="exact"/>
        <w:ind w:firstLine="480" w:firstLineChars="200"/>
        <w:rPr>
          <w:rFonts w:ascii="宋体" w:hAnsi="宋体"/>
          <w:sz w:val="24"/>
        </w:rPr>
      </w:pPr>
      <w:r>
        <w:rPr>
          <w:rFonts w:ascii="宋体" w:hAnsi="宋体"/>
          <w:sz w:val="24"/>
        </w:rPr>
        <w:t>A、无单位盖章并无法定代表人或其委托代理人签字或盖章的。</w:t>
      </w:r>
    </w:p>
    <w:p w14:paraId="21C72364">
      <w:pPr>
        <w:spacing w:line="460" w:lineRule="exact"/>
        <w:ind w:firstLine="480" w:firstLineChars="200"/>
        <w:rPr>
          <w:rFonts w:ascii="宋体" w:hAnsi="宋体"/>
          <w:sz w:val="24"/>
        </w:rPr>
      </w:pPr>
      <w:r>
        <w:rPr>
          <w:rFonts w:ascii="宋体" w:hAnsi="宋体"/>
          <w:sz w:val="24"/>
        </w:rPr>
        <w:t>B</w:t>
      </w:r>
      <w:r>
        <w:rPr>
          <w:rFonts w:hint="eastAsia" w:ascii="宋体" w:hAnsi="宋体"/>
          <w:sz w:val="24"/>
        </w:rPr>
        <w:t>、法定代表人委托代理人谈判，但无法定代表人授权书的。</w:t>
      </w:r>
    </w:p>
    <w:p w14:paraId="6FA572DD">
      <w:pPr>
        <w:spacing w:line="460" w:lineRule="exact"/>
        <w:ind w:firstLine="480" w:firstLineChars="200"/>
        <w:rPr>
          <w:rFonts w:ascii="宋体" w:hAnsi="宋体"/>
          <w:sz w:val="24"/>
        </w:rPr>
      </w:pPr>
      <w:r>
        <w:rPr>
          <w:rFonts w:ascii="宋体" w:hAnsi="宋体"/>
          <w:sz w:val="24"/>
        </w:rPr>
        <w:t>C</w:t>
      </w:r>
      <w:r>
        <w:rPr>
          <w:rFonts w:hint="eastAsia" w:ascii="宋体" w:hAnsi="宋体"/>
          <w:sz w:val="24"/>
        </w:rPr>
        <w:t>、未按规定的格式填写，内容不全或关键字迹模糊、无法辨认的。</w:t>
      </w:r>
    </w:p>
    <w:p w14:paraId="393489B0">
      <w:pPr>
        <w:spacing w:line="460" w:lineRule="exact"/>
        <w:ind w:firstLine="480" w:firstLineChars="200"/>
        <w:rPr>
          <w:rFonts w:ascii="宋体" w:hAnsi="宋体"/>
          <w:sz w:val="24"/>
        </w:rPr>
      </w:pPr>
      <w:r>
        <w:rPr>
          <w:rFonts w:ascii="宋体" w:hAnsi="宋体"/>
          <w:sz w:val="24"/>
        </w:rPr>
        <w:t>D</w:t>
      </w:r>
      <w:r>
        <w:rPr>
          <w:rFonts w:hint="eastAsia" w:ascii="宋体" w:hAnsi="宋体"/>
          <w:sz w:val="24"/>
        </w:rPr>
        <w:t>、供应商递交两份或多份内容不同的响应文件，或在一份响应文件中对同一内容报两个或多个报价，且未声明哪一个为最终报价的，按竞争性谈判文件规定提交备选谈判方案的除外。</w:t>
      </w:r>
    </w:p>
    <w:p w14:paraId="2F92F317">
      <w:pPr>
        <w:spacing w:line="460" w:lineRule="exact"/>
        <w:ind w:firstLine="480" w:firstLineChars="200"/>
        <w:rPr>
          <w:rFonts w:ascii="宋体" w:hAnsi="宋体"/>
          <w:sz w:val="24"/>
        </w:rPr>
      </w:pPr>
      <w:r>
        <w:rPr>
          <w:rFonts w:ascii="宋体" w:hAnsi="宋体"/>
          <w:sz w:val="24"/>
        </w:rPr>
        <w:t>E</w:t>
      </w:r>
      <w:r>
        <w:rPr>
          <w:rFonts w:hint="eastAsia" w:ascii="宋体" w:hAnsi="宋体"/>
          <w:sz w:val="24"/>
        </w:rPr>
        <w:t>、谈判有效期不满足竞争性谈判文件要求的。</w:t>
      </w:r>
    </w:p>
    <w:p w14:paraId="33847E24">
      <w:pPr>
        <w:spacing w:line="460" w:lineRule="exact"/>
        <w:ind w:firstLine="480" w:firstLineChars="200"/>
        <w:rPr>
          <w:rFonts w:ascii="宋体" w:hAnsi="宋体"/>
          <w:color w:val="auto"/>
          <w:sz w:val="24"/>
        </w:rPr>
      </w:pPr>
      <w:r>
        <w:rPr>
          <w:rFonts w:ascii="宋体" w:hAnsi="宋体"/>
          <w:sz w:val="24"/>
        </w:rPr>
        <w:t>F</w:t>
      </w:r>
      <w:r>
        <w:rPr>
          <w:rFonts w:hint="eastAsia" w:ascii="宋体" w:hAnsi="宋体"/>
          <w:sz w:val="24"/>
        </w:rPr>
        <w:t>、未按竞争性谈判文件要求提交相关资料的。</w:t>
      </w:r>
    </w:p>
    <w:p w14:paraId="7CE7FB2C">
      <w:pPr>
        <w:spacing w:line="460" w:lineRule="exact"/>
        <w:ind w:firstLine="480" w:firstLineChars="200"/>
        <w:rPr>
          <w:rFonts w:ascii="宋体" w:hAnsi="宋体"/>
          <w:sz w:val="24"/>
        </w:rPr>
      </w:pPr>
      <w:r>
        <w:rPr>
          <w:rFonts w:ascii="宋体" w:hAnsi="宋体"/>
          <w:sz w:val="24"/>
        </w:rPr>
        <w:t>G</w:t>
      </w:r>
      <w:r>
        <w:rPr>
          <w:rFonts w:hint="eastAsia" w:ascii="宋体" w:hAnsi="宋体"/>
          <w:sz w:val="24"/>
        </w:rPr>
        <w:t>、未按实质性要求响应竞争性谈判文件明确规定的。</w:t>
      </w:r>
    </w:p>
    <w:p w14:paraId="6A9BCDDA">
      <w:pPr>
        <w:spacing w:line="460" w:lineRule="exact"/>
        <w:ind w:firstLine="480" w:firstLineChars="200"/>
        <w:rPr>
          <w:rFonts w:ascii="宋体" w:hAnsi="宋体"/>
          <w:sz w:val="24"/>
        </w:rPr>
      </w:pPr>
      <w:r>
        <w:rPr>
          <w:rFonts w:ascii="宋体" w:hAnsi="宋体"/>
          <w:sz w:val="24"/>
        </w:rPr>
        <w:t>H</w:t>
      </w:r>
      <w:r>
        <w:rPr>
          <w:rFonts w:hint="eastAsia" w:ascii="宋体" w:hAnsi="宋体"/>
          <w:sz w:val="24"/>
        </w:rPr>
        <w:t>、响应文件附有采购人不能接受的条件。</w:t>
      </w:r>
    </w:p>
    <w:p w14:paraId="76352299">
      <w:pPr>
        <w:spacing w:line="460" w:lineRule="exact"/>
        <w:ind w:firstLine="480" w:firstLineChars="200"/>
        <w:rPr>
          <w:rFonts w:ascii="宋体" w:hAnsi="宋体"/>
          <w:sz w:val="24"/>
        </w:rPr>
      </w:pPr>
      <w:r>
        <w:rPr>
          <w:rFonts w:ascii="宋体" w:hAnsi="宋体"/>
          <w:sz w:val="24"/>
        </w:rPr>
        <w:t>I</w:t>
      </w:r>
      <w:r>
        <w:rPr>
          <w:rFonts w:hint="eastAsia" w:ascii="宋体" w:hAnsi="宋体"/>
          <w:sz w:val="24"/>
        </w:rPr>
        <w:t>、不符合法律、法规和竞争性谈判文件中规定的其他实质性要求的。</w:t>
      </w:r>
    </w:p>
    <w:p w14:paraId="6F7D31D4">
      <w:pPr>
        <w:spacing w:line="460" w:lineRule="exact"/>
        <w:ind w:firstLine="480" w:firstLineChars="200"/>
        <w:rPr>
          <w:rFonts w:ascii="宋体" w:hAnsi="宋体"/>
          <w:sz w:val="24"/>
        </w:rPr>
      </w:pPr>
      <w:r>
        <w:rPr>
          <w:rFonts w:ascii="宋体" w:hAnsi="宋体"/>
          <w:sz w:val="24"/>
        </w:rPr>
        <w:t>14.4详细评审</w:t>
      </w:r>
    </w:p>
    <w:p w14:paraId="30ED81BC">
      <w:pPr>
        <w:spacing w:line="460" w:lineRule="exact"/>
        <w:ind w:firstLine="480" w:firstLineChars="200"/>
        <w:rPr>
          <w:rFonts w:ascii="宋体" w:hAnsi="宋体"/>
          <w:sz w:val="24"/>
        </w:rPr>
      </w:pPr>
      <w:r>
        <w:rPr>
          <w:rFonts w:ascii="宋体" w:hAnsi="宋体"/>
          <w:sz w:val="24"/>
        </w:rPr>
        <w:t>14.4.1供应商的评审总得分=F1+F2+F3，其中</w:t>
      </w:r>
    </w:p>
    <w:p w14:paraId="2296DC8B">
      <w:pPr>
        <w:spacing w:line="460" w:lineRule="exact"/>
        <w:ind w:firstLine="1440" w:firstLineChars="600"/>
        <w:rPr>
          <w:rFonts w:ascii="宋体" w:hAnsi="宋体"/>
          <w:sz w:val="24"/>
        </w:rPr>
      </w:pPr>
      <w:r>
        <w:rPr>
          <w:rFonts w:hint="eastAsia" w:ascii="宋体" w:hAnsi="宋体"/>
          <w:sz w:val="24"/>
        </w:rPr>
        <w:t>技术部分</w:t>
      </w:r>
      <w:r>
        <w:rPr>
          <w:rFonts w:ascii="宋体" w:hAnsi="宋体"/>
          <w:sz w:val="24"/>
        </w:rPr>
        <w:t>F1：40分</w:t>
      </w:r>
    </w:p>
    <w:p w14:paraId="109792C5">
      <w:pPr>
        <w:spacing w:line="460" w:lineRule="exact"/>
        <w:ind w:firstLine="1440" w:firstLineChars="600"/>
        <w:rPr>
          <w:rFonts w:ascii="宋体" w:hAnsi="宋体"/>
          <w:sz w:val="24"/>
        </w:rPr>
      </w:pPr>
      <w:r>
        <w:rPr>
          <w:rFonts w:hint="eastAsia" w:ascii="宋体" w:hAnsi="宋体"/>
          <w:sz w:val="24"/>
        </w:rPr>
        <w:t>商务部分</w:t>
      </w:r>
      <w:r>
        <w:rPr>
          <w:rFonts w:ascii="宋体" w:hAnsi="宋体"/>
          <w:sz w:val="24"/>
        </w:rPr>
        <w:t>F2：10分</w:t>
      </w:r>
    </w:p>
    <w:p w14:paraId="0F7D5080">
      <w:pPr>
        <w:spacing w:line="460" w:lineRule="exact"/>
        <w:ind w:firstLine="1440" w:firstLineChars="600"/>
      </w:pPr>
      <w:r>
        <w:rPr>
          <w:rFonts w:hint="eastAsia" w:ascii="宋体" w:hAnsi="宋体"/>
          <w:sz w:val="24"/>
        </w:rPr>
        <w:t>报价部分</w:t>
      </w:r>
      <w:r>
        <w:rPr>
          <w:rFonts w:ascii="宋体" w:hAnsi="宋体"/>
          <w:sz w:val="24"/>
        </w:rPr>
        <w:t>F3：50分</w:t>
      </w:r>
    </w:p>
    <w:p w14:paraId="1C307171">
      <w:pPr>
        <w:spacing w:line="560" w:lineRule="exact"/>
        <w:ind w:firstLine="480" w:firstLineChars="200"/>
        <w:rPr>
          <w:rFonts w:ascii="宋体" w:hAnsi="宋体"/>
          <w:sz w:val="24"/>
        </w:rPr>
      </w:pPr>
      <w:r>
        <w:rPr>
          <w:rFonts w:ascii="宋体" w:hAnsi="宋体"/>
          <w:sz w:val="24"/>
        </w:rPr>
        <w:t>14.4.2技术得分F1（满分40分）</w:t>
      </w:r>
    </w:p>
    <w:tbl>
      <w:tblPr>
        <w:tblStyle w:val="26"/>
        <w:tblW w:w="4994" w:type="pct"/>
        <w:tblInd w:w="0" w:type="dxa"/>
        <w:tblLayout w:type="fixed"/>
        <w:tblCellMar>
          <w:top w:w="0" w:type="dxa"/>
          <w:left w:w="0" w:type="dxa"/>
          <w:bottom w:w="0" w:type="dxa"/>
          <w:right w:w="0" w:type="dxa"/>
        </w:tblCellMar>
      </w:tblPr>
      <w:tblGrid>
        <w:gridCol w:w="851"/>
        <w:gridCol w:w="1630"/>
        <w:gridCol w:w="6272"/>
        <w:gridCol w:w="647"/>
      </w:tblGrid>
      <w:tr w14:paraId="2E4214A7">
        <w:tblPrEx>
          <w:tblCellMar>
            <w:top w:w="0" w:type="dxa"/>
            <w:left w:w="0" w:type="dxa"/>
            <w:bottom w:w="0" w:type="dxa"/>
            <w:right w:w="0" w:type="dxa"/>
          </w:tblCellMar>
        </w:tblPrEx>
        <w:trPr>
          <w:trHeight w:val="90" w:hRule="atLeast"/>
        </w:trPr>
        <w:tc>
          <w:tcPr>
            <w:tcW w:w="45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097CCACE">
            <w:pPr>
              <w:widowControl/>
              <w:jc w:val="center"/>
              <w:textAlignment w:val="bottom"/>
              <w:rPr>
                <w:rFonts w:hint="eastAsia" w:ascii="宋体" w:hAnsi="宋体" w:eastAsia="宋体" w:cs="宋体"/>
                <w:color w:val="auto"/>
                <w:sz w:val="24"/>
                <w:szCs w:val="24"/>
              </w:rPr>
            </w:pPr>
            <w:r>
              <w:rPr>
                <w:rFonts w:hint="eastAsia" w:ascii="宋体" w:hAnsi="宋体" w:eastAsia="宋体" w:cs="宋体"/>
                <w:b/>
                <w:color w:val="auto"/>
                <w:kern w:val="0"/>
                <w:sz w:val="24"/>
                <w:szCs w:val="24"/>
                <w:lang w:bidi="ar"/>
              </w:rPr>
              <w:t>序号</w:t>
            </w:r>
          </w:p>
        </w:tc>
        <w:tc>
          <w:tcPr>
            <w:tcW w:w="866"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37CF0A5">
            <w:pPr>
              <w:widowControl/>
              <w:jc w:val="center"/>
              <w:textAlignment w:val="bottom"/>
              <w:rPr>
                <w:rFonts w:hint="eastAsia" w:ascii="宋体" w:hAnsi="宋体" w:eastAsia="宋体" w:cs="宋体"/>
                <w:b/>
                <w:color w:val="auto"/>
                <w:kern w:val="0"/>
                <w:sz w:val="24"/>
                <w:szCs w:val="24"/>
                <w:lang w:bidi="ar"/>
              </w:rPr>
            </w:pPr>
          </w:p>
          <w:p w14:paraId="3B289912">
            <w:pPr>
              <w:widowControl/>
              <w:jc w:val="center"/>
              <w:textAlignment w:val="bottom"/>
              <w:rPr>
                <w:rFonts w:hint="eastAsia" w:ascii="宋体" w:hAnsi="宋体" w:eastAsia="宋体" w:cs="宋体"/>
                <w:color w:val="auto"/>
                <w:sz w:val="24"/>
                <w:szCs w:val="24"/>
              </w:rPr>
            </w:pPr>
            <w:r>
              <w:rPr>
                <w:rFonts w:hint="eastAsia" w:ascii="宋体" w:hAnsi="宋体" w:eastAsia="宋体" w:cs="宋体"/>
                <w:b/>
                <w:color w:val="auto"/>
                <w:kern w:val="0"/>
                <w:sz w:val="24"/>
                <w:szCs w:val="24"/>
                <w:lang w:bidi="ar"/>
              </w:rPr>
              <w:t>评审内容</w:t>
            </w:r>
          </w:p>
          <w:p w14:paraId="1F852B0C">
            <w:pPr>
              <w:widowControl/>
              <w:jc w:val="center"/>
              <w:textAlignment w:val="bottom"/>
              <w:rPr>
                <w:rFonts w:hint="eastAsia" w:ascii="宋体" w:hAnsi="宋体" w:eastAsia="宋体" w:cs="宋体"/>
                <w:color w:val="auto"/>
                <w:sz w:val="24"/>
                <w:szCs w:val="24"/>
              </w:rPr>
            </w:pPr>
          </w:p>
        </w:tc>
        <w:tc>
          <w:tcPr>
            <w:tcW w:w="333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2D1273A">
            <w:pPr>
              <w:widowControl/>
              <w:jc w:val="center"/>
              <w:textAlignment w:val="bottom"/>
              <w:rPr>
                <w:rFonts w:hint="eastAsia" w:ascii="宋体" w:hAnsi="宋体" w:eastAsia="宋体" w:cs="宋体"/>
                <w:color w:val="auto"/>
                <w:sz w:val="24"/>
                <w:szCs w:val="24"/>
              </w:rPr>
            </w:pPr>
            <w:r>
              <w:rPr>
                <w:rFonts w:hint="eastAsia" w:ascii="宋体" w:hAnsi="宋体" w:eastAsia="宋体" w:cs="宋体"/>
                <w:b/>
                <w:color w:val="auto"/>
                <w:kern w:val="0"/>
                <w:sz w:val="24"/>
                <w:szCs w:val="24"/>
                <w:lang w:bidi="ar"/>
              </w:rPr>
              <w:t>评审标准</w:t>
            </w:r>
          </w:p>
        </w:tc>
        <w:tc>
          <w:tcPr>
            <w:tcW w:w="344"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CDABAEE">
            <w:pPr>
              <w:widowControl/>
              <w:jc w:val="center"/>
              <w:textAlignment w:val="bottom"/>
              <w:rPr>
                <w:rFonts w:hint="eastAsia" w:ascii="宋体" w:hAnsi="宋体" w:eastAsia="宋体" w:cs="宋体"/>
                <w:color w:val="auto"/>
                <w:sz w:val="24"/>
                <w:szCs w:val="24"/>
              </w:rPr>
            </w:pPr>
            <w:r>
              <w:rPr>
                <w:rFonts w:hint="eastAsia" w:ascii="宋体" w:hAnsi="宋体" w:eastAsia="宋体" w:cs="宋体"/>
                <w:b/>
                <w:color w:val="auto"/>
                <w:kern w:val="0"/>
                <w:sz w:val="24"/>
                <w:szCs w:val="24"/>
                <w:lang w:bidi="ar"/>
              </w:rPr>
              <w:t>分值</w:t>
            </w:r>
          </w:p>
        </w:tc>
      </w:tr>
      <w:tr w14:paraId="7B37E148">
        <w:tblPrEx>
          <w:tblCellMar>
            <w:top w:w="0" w:type="dxa"/>
            <w:left w:w="0" w:type="dxa"/>
            <w:bottom w:w="0" w:type="dxa"/>
            <w:right w:w="0" w:type="dxa"/>
          </w:tblCellMar>
        </w:tblPrEx>
        <w:trPr>
          <w:trHeight w:val="3609" w:hRule="atLeast"/>
        </w:trPr>
        <w:tc>
          <w:tcPr>
            <w:tcW w:w="45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81F1C7E">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w:t>
            </w:r>
          </w:p>
        </w:tc>
        <w:tc>
          <w:tcPr>
            <w:tcW w:w="866"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C94CEBD">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企业综合能力及设计方案</w:t>
            </w:r>
          </w:p>
        </w:tc>
        <w:tc>
          <w:tcPr>
            <w:tcW w:w="333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F6BE6EE">
            <w:pPr>
              <w:rPr>
                <w:rFonts w:hint="eastAsia" w:ascii="宋体" w:hAnsi="宋体" w:eastAsia="宋体" w:cs="宋体"/>
                <w:sz w:val="24"/>
                <w:szCs w:val="24"/>
                <w:lang w:eastAsia="zh-CN"/>
              </w:rPr>
            </w:pPr>
            <w:r>
              <w:rPr>
                <w:rFonts w:hint="eastAsia" w:ascii="宋体" w:hAnsi="宋体" w:eastAsia="宋体" w:cs="宋体"/>
                <w:sz w:val="24"/>
                <w:szCs w:val="24"/>
              </w:rPr>
              <w:t>第一档次（</w:t>
            </w:r>
            <w:r>
              <w:rPr>
                <w:rFonts w:hint="eastAsia" w:ascii="宋体" w:hAnsi="宋体" w:cs="宋体"/>
                <w:sz w:val="24"/>
                <w:szCs w:val="24"/>
                <w:lang w:val="en-US" w:eastAsia="zh-CN"/>
              </w:rPr>
              <w:t>15</w:t>
            </w:r>
            <w:r>
              <w:rPr>
                <w:rFonts w:hint="eastAsia" w:ascii="宋体" w:hAnsi="宋体" w:eastAsia="宋体" w:cs="宋体"/>
                <w:sz w:val="24"/>
                <w:szCs w:val="24"/>
              </w:rPr>
              <w:t>-</w:t>
            </w:r>
            <w:r>
              <w:rPr>
                <w:rFonts w:hint="eastAsia" w:ascii="宋体" w:hAnsi="宋体" w:cs="宋体"/>
                <w:sz w:val="24"/>
                <w:szCs w:val="24"/>
                <w:lang w:val="en-US" w:eastAsia="zh-CN"/>
              </w:rPr>
              <w:t>20</w:t>
            </w:r>
            <w:r>
              <w:rPr>
                <w:rFonts w:hint="eastAsia" w:ascii="宋体" w:hAnsi="宋体" w:eastAsia="宋体" w:cs="宋体"/>
                <w:sz w:val="24"/>
                <w:szCs w:val="24"/>
              </w:rPr>
              <w:t>分）：营业执照经营范围涵盖标识标牌设计、制作、安装等相关资质，对采购人企业VI形象有充分理解，</w:t>
            </w:r>
            <w:r>
              <w:rPr>
                <w:rFonts w:hint="eastAsia" w:ascii="宋体" w:hAnsi="宋体" w:cs="宋体"/>
                <w:sz w:val="24"/>
                <w:szCs w:val="24"/>
                <w:lang w:val="en-US" w:eastAsia="zh-CN"/>
              </w:rPr>
              <w:t>提</w:t>
            </w:r>
            <w:r>
              <w:rPr>
                <w:rFonts w:hint="eastAsia" w:ascii="宋体" w:hAnsi="宋体" w:eastAsia="宋体" w:cs="宋体"/>
                <w:sz w:val="24"/>
                <w:szCs w:val="24"/>
              </w:rPr>
              <w:t>前进行实地踏勘，充分了解既有旧标识牌的分布位置、安装结构、供电线路及周边环境。设计方案系统完整，包含新旧标识替换的整体规划、各点位效果图、结构安装详图及电气接线方案，新标识牌样式、材质、色彩与企业VI系统高度统一，夜间发光均匀美观，整体效果显著提升。</w:t>
            </w:r>
          </w:p>
          <w:p w14:paraId="1413755C">
            <w:pPr>
              <w:bidi w:val="0"/>
              <w:rPr>
                <w:rFonts w:hint="eastAsia" w:ascii="宋体" w:hAnsi="宋体" w:eastAsia="宋体" w:cs="宋体"/>
                <w:sz w:val="24"/>
                <w:szCs w:val="24"/>
                <w:lang w:eastAsia="zh-CN"/>
              </w:rPr>
            </w:pPr>
            <w:r>
              <w:rPr>
                <w:rFonts w:hint="eastAsia" w:ascii="宋体" w:hAnsi="宋体" w:eastAsia="宋体" w:cs="宋体"/>
                <w:sz w:val="24"/>
                <w:szCs w:val="24"/>
                <w:lang w:eastAsia="zh-CN"/>
              </w:rPr>
              <w:t>第二档次（</w:t>
            </w:r>
            <w:r>
              <w:rPr>
                <w:rFonts w:hint="eastAsia" w:ascii="宋体" w:hAnsi="宋体" w:cs="宋体"/>
                <w:sz w:val="24"/>
                <w:szCs w:val="24"/>
                <w:lang w:val="en-US" w:eastAsia="zh-CN"/>
              </w:rPr>
              <w:t>10</w:t>
            </w:r>
            <w:r>
              <w:rPr>
                <w:rFonts w:hint="eastAsia" w:ascii="宋体" w:hAnsi="宋体" w:eastAsia="宋体" w:cs="宋体"/>
                <w:sz w:val="24"/>
                <w:szCs w:val="24"/>
                <w:lang w:eastAsia="zh-CN"/>
              </w:rPr>
              <w:t>-</w:t>
            </w:r>
            <w:r>
              <w:rPr>
                <w:rFonts w:hint="eastAsia" w:ascii="宋体" w:hAnsi="宋体" w:cs="宋体"/>
                <w:sz w:val="24"/>
                <w:szCs w:val="24"/>
                <w:lang w:val="en-US" w:eastAsia="zh-CN"/>
              </w:rPr>
              <w:t>14</w:t>
            </w:r>
            <w:r>
              <w:rPr>
                <w:rFonts w:hint="eastAsia" w:ascii="宋体" w:hAnsi="宋体" w:eastAsia="宋体" w:cs="宋体"/>
                <w:sz w:val="24"/>
                <w:szCs w:val="24"/>
                <w:lang w:eastAsia="zh-CN"/>
              </w:rPr>
              <w:t>分）：营业执照经营范围涵盖标识标牌相关资质，对采购人企业形象有一定了解，结合现场情况制定了较为完整的标识标牌设计方案，内容基本齐全，新旧替换布点规划合理，能够满足企业形象展示需要。</w:t>
            </w:r>
          </w:p>
          <w:p w14:paraId="401A8CA6">
            <w:pPr>
              <w:bidi w:val="0"/>
              <w:rPr>
                <w:rFonts w:hint="eastAsia" w:ascii="宋体" w:hAnsi="宋体" w:eastAsia="宋体" w:cs="宋体"/>
                <w:sz w:val="24"/>
                <w:szCs w:val="24"/>
                <w:lang w:eastAsia="zh-CN"/>
              </w:rPr>
            </w:pPr>
            <w:r>
              <w:rPr>
                <w:rFonts w:hint="eastAsia" w:ascii="宋体" w:hAnsi="宋体" w:eastAsia="宋体" w:cs="宋体"/>
                <w:sz w:val="24"/>
                <w:szCs w:val="24"/>
                <w:lang w:eastAsia="zh-CN"/>
              </w:rPr>
              <w:t>第三档次（1-</w:t>
            </w:r>
            <w:r>
              <w:rPr>
                <w:rFonts w:hint="eastAsia" w:ascii="宋体" w:hAnsi="宋体" w:cs="宋体"/>
                <w:sz w:val="24"/>
                <w:szCs w:val="24"/>
                <w:lang w:val="en-US" w:eastAsia="zh-CN"/>
              </w:rPr>
              <w:t>9</w:t>
            </w:r>
            <w:r>
              <w:rPr>
                <w:rFonts w:hint="eastAsia" w:ascii="宋体" w:hAnsi="宋体" w:eastAsia="宋体" w:cs="宋体"/>
                <w:sz w:val="24"/>
                <w:szCs w:val="24"/>
                <w:lang w:eastAsia="zh-CN"/>
              </w:rPr>
              <w:t>分）：营业执照经营范围涵盖标识标牌相关业务，但对采购人企业情况了解不够充分，提供了初步的设计方案但内容简单，未能充分结合企业VI及现场实际条件进行针对性设计。</w:t>
            </w:r>
          </w:p>
          <w:p w14:paraId="7E381D60">
            <w:pPr>
              <w:bidi w:val="0"/>
              <w:rPr>
                <w:rFonts w:hint="eastAsia" w:ascii="宋体" w:hAnsi="宋体" w:eastAsia="宋体" w:cs="宋体"/>
                <w:sz w:val="24"/>
                <w:szCs w:val="24"/>
                <w:lang w:eastAsia="zh-CN"/>
              </w:rPr>
            </w:pPr>
            <w:r>
              <w:rPr>
                <w:rFonts w:hint="eastAsia" w:ascii="宋体" w:hAnsi="宋体" w:eastAsia="宋体" w:cs="宋体"/>
                <w:sz w:val="24"/>
                <w:szCs w:val="24"/>
                <w:lang w:eastAsia="zh-CN"/>
              </w:rPr>
              <w:t>第四个档次（0分）</w:t>
            </w:r>
            <w:r>
              <w:rPr>
                <w:rFonts w:hint="eastAsia" w:ascii="宋体" w:hAnsi="宋体" w:cs="宋体"/>
                <w:sz w:val="24"/>
                <w:szCs w:val="24"/>
                <w:lang w:eastAsia="zh-CN"/>
              </w:rPr>
              <w:t>：</w:t>
            </w:r>
            <w:r>
              <w:rPr>
                <w:rFonts w:hint="eastAsia" w:ascii="宋体" w:hAnsi="宋体" w:eastAsia="宋体" w:cs="宋体"/>
                <w:sz w:val="24"/>
                <w:szCs w:val="24"/>
                <w:lang w:eastAsia="zh-CN"/>
              </w:rPr>
              <w:t>营业执照经营范围不包含标识标牌相关资质，未能提供实质性的设计方案，不具备完成本项目的基本能力。</w:t>
            </w:r>
          </w:p>
        </w:tc>
        <w:tc>
          <w:tcPr>
            <w:tcW w:w="344"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0CC5DD1">
            <w:pPr>
              <w:widowControl/>
              <w:jc w:val="center"/>
              <w:textAlignment w:val="center"/>
              <w:rPr>
                <w:rFonts w:hint="eastAsia" w:ascii="宋体" w:hAnsi="宋体" w:eastAsia="宋体" w:cs="宋体"/>
                <w:color w:val="auto"/>
                <w:kern w:val="0"/>
                <w:sz w:val="24"/>
                <w:szCs w:val="24"/>
                <w:lang w:bidi="ar"/>
              </w:rPr>
            </w:pPr>
            <w:r>
              <w:rPr>
                <w:rFonts w:hint="eastAsia" w:ascii="宋体" w:hAnsi="宋体" w:cs="宋体"/>
                <w:kern w:val="0"/>
                <w:sz w:val="24"/>
                <w:szCs w:val="24"/>
                <w:lang w:val="en-US" w:eastAsia="zh-CN" w:bidi="ar"/>
              </w:rPr>
              <w:t>20</w:t>
            </w:r>
            <w:r>
              <w:rPr>
                <w:rFonts w:hint="eastAsia" w:ascii="宋体" w:hAnsi="宋体" w:eastAsia="宋体" w:cs="宋体"/>
                <w:color w:val="auto"/>
                <w:kern w:val="0"/>
                <w:sz w:val="24"/>
                <w:szCs w:val="24"/>
                <w:lang w:bidi="ar"/>
              </w:rPr>
              <w:t>分</w:t>
            </w:r>
          </w:p>
        </w:tc>
      </w:tr>
      <w:tr w14:paraId="2EB53091">
        <w:tblPrEx>
          <w:tblCellMar>
            <w:top w:w="0" w:type="dxa"/>
            <w:left w:w="0" w:type="dxa"/>
            <w:bottom w:w="0" w:type="dxa"/>
            <w:right w:w="0" w:type="dxa"/>
          </w:tblCellMar>
        </w:tblPrEx>
        <w:trPr>
          <w:trHeight w:val="3885" w:hRule="atLeast"/>
        </w:trPr>
        <w:tc>
          <w:tcPr>
            <w:tcW w:w="45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9CA7680">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2</w:t>
            </w:r>
          </w:p>
        </w:tc>
        <w:tc>
          <w:tcPr>
            <w:tcW w:w="866"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730E357">
            <w:pPr>
              <w:widowControl/>
              <w:jc w:val="center"/>
              <w:textAlignment w:val="center"/>
              <w:rPr>
                <w:rFonts w:hint="eastAsia" w:ascii="宋体" w:hAnsi="宋体" w:eastAsia="宋体" w:cs="宋体"/>
                <w:color w:val="auto"/>
                <w:sz w:val="24"/>
                <w:szCs w:val="24"/>
              </w:rPr>
            </w:pPr>
            <w:r>
              <w:rPr>
                <w:rFonts w:hint="eastAsia" w:ascii="宋体" w:hAnsi="宋体" w:eastAsia="宋体" w:cs="宋体"/>
                <w:kern w:val="0"/>
                <w:sz w:val="24"/>
                <w:szCs w:val="24"/>
                <w:lang w:val="en-US" w:eastAsia="zh-CN" w:bidi="ar"/>
              </w:rPr>
              <w:t>组织/作业能力</w:t>
            </w:r>
          </w:p>
        </w:tc>
        <w:tc>
          <w:tcPr>
            <w:tcW w:w="333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8E87E99">
            <w:pPr>
              <w:rPr>
                <w:rFonts w:hint="eastAsia" w:ascii="宋体" w:hAnsi="宋体" w:eastAsia="宋体" w:cs="宋体"/>
                <w:sz w:val="24"/>
                <w:szCs w:val="24"/>
              </w:rPr>
            </w:pPr>
            <w:r>
              <w:rPr>
                <w:rFonts w:hint="eastAsia" w:ascii="宋体" w:hAnsi="宋体" w:eastAsia="宋体" w:cs="宋体"/>
                <w:sz w:val="24"/>
                <w:szCs w:val="24"/>
              </w:rPr>
              <w:t>第一档次（8-10分）</w:t>
            </w:r>
            <w:r>
              <w:rPr>
                <w:rFonts w:hint="eastAsia" w:ascii="宋体" w:hAnsi="宋体" w:cs="宋体"/>
                <w:sz w:val="24"/>
                <w:szCs w:val="24"/>
                <w:lang w:eastAsia="zh-CN"/>
              </w:rPr>
              <w:t>：</w:t>
            </w:r>
            <w:r>
              <w:rPr>
                <w:rFonts w:hint="eastAsia" w:ascii="宋体" w:hAnsi="宋体" w:eastAsia="宋体" w:cs="宋体"/>
                <w:sz w:val="24"/>
                <w:szCs w:val="24"/>
              </w:rPr>
              <w:t>具备高效的组织调度能力，人员储备充足且分工明确。针对本项目涉及的高空作业及LED灯具电气安装作业，配备足够数量的持有效“高处安装、维护、拆除作业”特种作业操作证的高空作业人员及持证电工。编制的施工组织方案科学合理，包含旧标识牌安全拆除、新标识牌吊装安装、电气接线的完整工序，施工周期规划紧凑可行。安全专项方案完整详</w:t>
            </w:r>
            <w:r>
              <w:rPr>
                <w:rFonts w:hint="eastAsia" w:ascii="宋体" w:hAnsi="宋体" w:cs="宋体"/>
                <w:sz w:val="24"/>
                <w:szCs w:val="24"/>
                <w:lang w:val="en-US" w:eastAsia="zh-CN"/>
              </w:rPr>
              <w:t>细</w:t>
            </w:r>
            <w:r>
              <w:rPr>
                <w:rFonts w:hint="eastAsia" w:ascii="宋体" w:hAnsi="宋体" w:eastAsia="宋体" w:cs="宋体"/>
                <w:sz w:val="24"/>
                <w:szCs w:val="24"/>
              </w:rPr>
              <w:t>，高空作业安全防护措施、临电作业安全措施到位，能够确保安全、保质、保量、提前完成全部施工任务，且针对广告文天气、高空坠落等制定了全面完善的应急保障措施。</w:t>
            </w:r>
          </w:p>
          <w:p w14:paraId="422E8D89">
            <w:pPr>
              <w:rPr>
                <w:rFonts w:hint="eastAsia" w:ascii="宋体" w:hAnsi="宋体" w:eastAsia="宋体" w:cs="宋体"/>
                <w:sz w:val="24"/>
                <w:szCs w:val="24"/>
              </w:rPr>
            </w:pPr>
            <w:r>
              <w:rPr>
                <w:rFonts w:hint="eastAsia" w:ascii="宋体" w:hAnsi="宋体" w:eastAsia="宋体" w:cs="宋体"/>
                <w:sz w:val="24"/>
                <w:szCs w:val="24"/>
              </w:rPr>
              <w:t>第二档次（5-7分）</w:t>
            </w:r>
            <w:r>
              <w:rPr>
                <w:rFonts w:hint="eastAsia" w:ascii="宋体" w:hAnsi="宋体" w:cs="宋体"/>
                <w:sz w:val="24"/>
                <w:szCs w:val="24"/>
                <w:lang w:eastAsia="zh-CN"/>
              </w:rPr>
              <w:t>：</w:t>
            </w:r>
            <w:r>
              <w:rPr>
                <w:rFonts w:hint="eastAsia" w:ascii="宋体" w:hAnsi="宋体" w:eastAsia="宋体" w:cs="宋体"/>
                <w:sz w:val="24"/>
                <w:szCs w:val="24"/>
              </w:rPr>
              <w:t>能够及时组织施工人员到场施工，高空作业及电工持证人员满足基本施工需要，有明确的施工进度计划和安全管理措施。施工方案中包含旧标识拆除及新标识安装的基本工序安排，能够确保安全、保质、保量、按期完成施工任务，施工过程中有相应的安全防护措施。</w:t>
            </w:r>
          </w:p>
          <w:p w14:paraId="10094895">
            <w:pPr>
              <w:rPr>
                <w:rFonts w:hint="eastAsia" w:ascii="宋体" w:hAnsi="宋体" w:eastAsia="宋体" w:cs="宋体"/>
                <w:sz w:val="24"/>
                <w:szCs w:val="24"/>
              </w:rPr>
            </w:pPr>
            <w:r>
              <w:rPr>
                <w:rFonts w:hint="eastAsia" w:ascii="宋体" w:hAnsi="宋体" w:eastAsia="宋体" w:cs="宋体"/>
                <w:sz w:val="24"/>
                <w:szCs w:val="24"/>
              </w:rPr>
              <w:t>第三档次（1-4分）：能够组织施工人员开展作业，但高空作业及电工持证人员配备不足。有基本的施工安排但缺乏详细的工期计划，安全保障措施不够完善，存在工期延期和安全风险。</w:t>
            </w:r>
          </w:p>
          <w:p w14:paraId="4E75267D">
            <w:pPr>
              <w:pStyle w:val="9"/>
              <w:rPr>
                <w:rFonts w:hint="eastAsia"/>
              </w:rPr>
            </w:pPr>
            <w:r>
              <w:rPr>
                <w:rFonts w:hint="eastAsia" w:ascii="宋体" w:hAnsi="宋体" w:eastAsia="宋体" w:cs="宋体"/>
                <w:kern w:val="2"/>
                <w:sz w:val="24"/>
                <w:szCs w:val="24"/>
                <w:lang w:val="en-US" w:eastAsia="zh-CN" w:bidi="ar-SA"/>
              </w:rPr>
              <w:t>第四档次（0分）：不具备组织正常施工作业的能力，无法保障高空作业及电工持证人员的配备，无法保障安全规范开展拆除及安装作业，无法保质保量完成本项目建设任务。</w:t>
            </w:r>
          </w:p>
        </w:tc>
        <w:tc>
          <w:tcPr>
            <w:tcW w:w="344"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4F0A34A">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kern w:val="0"/>
                <w:sz w:val="24"/>
                <w:szCs w:val="24"/>
                <w:lang w:bidi="ar"/>
              </w:rPr>
              <w:t>1</w:t>
            </w:r>
            <w:r>
              <w:rPr>
                <w:rFonts w:hint="eastAsia" w:ascii="宋体" w:hAnsi="宋体" w:cs="宋体"/>
                <w:color w:val="auto"/>
                <w:kern w:val="0"/>
                <w:sz w:val="24"/>
                <w:szCs w:val="24"/>
                <w:lang w:val="en-US" w:eastAsia="zh-CN" w:bidi="ar"/>
              </w:rPr>
              <w:t>0</w:t>
            </w:r>
            <w:r>
              <w:rPr>
                <w:rFonts w:hint="eastAsia" w:ascii="宋体" w:hAnsi="宋体" w:eastAsia="宋体" w:cs="宋体"/>
                <w:color w:val="auto"/>
                <w:kern w:val="0"/>
                <w:sz w:val="24"/>
                <w:szCs w:val="24"/>
                <w:lang w:bidi="ar"/>
              </w:rPr>
              <w:t>分</w:t>
            </w:r>
          </w:p>
        </w:tc>
      </w:tr>
      <w:tr w14:paraId="610606D2">
        <w:tblPrEx>
          <w:tblCellMar>
            <w:top w:w="0" w:type="dxa"/>
            <w:left w:w="0" w:type="dxa"/>
            <w:bottom w:w="0" w:type="dxa"/>
            <w:right w:w="0" w:type="dxa"/>
          </w:tblCellMar>
        </w:tblPrEx>
        <w:trPr>
          <w:trHeight w:val="1964" w:hRule="atLeast"/>
        </w:trPr>
        <w:tc>
          <w:tcPr>
            <w:tcW w:w="452"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814E69E">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3</w:t>
            </w:r>
          </w:p>
        </w:tc>
        <w:tc>
          <w:tcPr>
            <w:tcW w:w="866"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4E0213A">
            <w:pPr>
              <w:widowControl/>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bidi="ar"/>
              </w:rPr>
              <w:t>质量保障及</w:t>
            </w:r>
            <w:r>
              <w:rPr>
                <w:rFonts w:hint="eastAsia" w:ascii="宋体" w:hAnsi="宋体" w:eastAsia="宋体" w:cs="宋体"/>
                <w:kern w:val="0"/>
                <w:sz w:val="24"/>
                <w:szCs w:val="24"/>
                <w:lang w:bidi="ar"/>
              </w:rPr>
              <w:t>售后服务</w:t>
            </w:r>
          </w:p>
        </w:tc>
        <w:tc>
          <w:tcPr>
            <w:tcW w:w="3336" w:type="pct"/>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62D8DFE">
            <w:pPr>
              <w:numPr>
                <w:ilvl w:val="0"/>
                <w:numId w:val="0"/>
              </w:numPr>
              <w:rPr>
                <w:rFonts w:hint="eastAsia" w:ascii="宋体" w:hAnsi="宋体" w:eastAsia="宋体" w:cs="宋体"/>
                <w:sz w:val="24"/>
                <w:szCs w:val="24"/>
              </w:rPr>
            </w:pPr>
            <w:r>
              <w:rPr>
                <w:rFonts w:hint="eastAsia" w:ascii="宋体" w:hAnsi="宋体" w:eastAsia="宋体" w:cs="宋体"/>
                <w:sz w:val="24"/>
                <w:szCs w:val="24"/>
              </w:rPr>
              <w:t>第一档次（8-10分）</w:t>
            </w:r>
            <w:r>
              <w:rPr>
                <w:rFonts w:hint="eastAsia" w:ascii="宋体" w:hAnsi="宋体" w:cs="宋体"/>
                <w:sz w:val="24"/>
                <w:szCs w:val="24"/>
                <w:lang w:eastAsia="zh-CN"/>
              </w:rPr>
              <w:t>：</w:t>
            </w:r>
            <w:r>
              <w:rPr>
                <w:rFonts w:hint="eastAsia" w:ascii="宋体" w:hAnsi="宋体" w:eastAsia="宋体" w:cs="宋体"/>
                <w:sz w:val="24"/>
                <w:szCs w:val="24"/>
              </w:rPr>
              <w:t>产品的各项技术参数指标完全满足或优于采购要求。LED光源采用国内一线户外专用品牌高亮防水灯珠，色温一致性好，防护等级高；提供材料具备优异的耐候性、耐腐蚀性和抗老化性能，能够适应室外高温环境下的长期使用。售后服务方案完善，LED光源及电气部分质保期优厚，有明确的维修响应时效和定期巡检维护计划，整体质保承诺显著优于项目需求。</w:t>
            </w:r>
          </w:p>
          <w:p w14:paraId="02AD5BBC">
            <w:pPr>
              <w:bidi w:val="0"/>
              <w:rPr>
                <w:rFonts w:hint="eastAsia" w:ascii="宋体" w:hAnsi="宋体" w:eastAsia="宋体" w:cs="宋体"/>
                <w:sz w:val="24"/>
                <w:szCs w:val="24"/>
              </w:rPr>
            </w:pPr>
            <w:r>
              <w:rPr>
                <w:rFonts w:hint="eastAsia" w:ascii="宋体" w:hAnsi="宋体" w:eastAsia="宋体" w:cs="宋体"/>
                <w:sz w:val="24"/>
                <w:szCs w:val="24"/>
              </w:rPr>
              <w:t>第二档次（5-7分）</w:t>
            </w:r>
            <w:r>
              <w:rPr>
                <w:rFonts w:hint="eastAsia" w:ascii="宋体" w:hAnsi="宋体" w:cs="宋体"/>
                <w:sz w:val="24"/>
                <w:szCs w:val="24"/>
                <w:lang w:eastAsia="zh-CN"/>
              </w:rPr>
              <w:t>：</w:t>
            </w:r>
            <w:r>
              <w:rPr>
                <w:rFonts w:hint="eastAsia" w:ascii="宋体" w:hAnsi="宋体" w:eastAsia="宋体" w:cs="宋体"/>
                <w:sz w:val="24"/>
                <w:szCs w:val="24"/>
              </w:rPr>
              <w:t>产品技术参数指标基本满足采购要求。LED灯具及标识牌主要材料具备相关质量证明，具备较好的耐候性、耐腐蚀性和抗老化性能，可适应室外气候条件。提供实物样品，整体制作质量良好，工艺无明显缺陷。售后服务方案完整，有基本的质保承诺和维修响应安排。第三档次第</w:t>
            </w:r>
            <w:r>
              <w:rPr>
                <w:rFonts w:hint="eastAsia" w:ascii="宋体" w:hAnsi="宋体" w:eastAsia="宋体" w:cs="宋体"/>
                <w:sz w:val="24"/>
                <w:szCs w:val="24"/>
                <w:lang w:val="en-US" w:eastAsia="zh-CN"/>
              </w:rPr>
              <w:t>三</w:t>
            </w:r>
            <w:r>
              <w:rPr>
                <w:rFonts w:hint="eastAsia" w:ascii="宋体" w:hAnsi="宋体" w:eastAsia="宋体" w:cs="宋体"/>
                <w:sz w:val="24"/>
                <w:szCs w:val="24"/>
              </w:rPr>
              <w:t>档次（1-4分）：产品技术参数指标基本参照采购要求，所用材料虽无完整资质文件，但具备一定的耐候性和抗老化性能，基本能满足室外使用需求。提供样品，但制作工艺存在一定瑕疵。承诺提供售后服务，但服务内容和响应时效不够明确。</w:t>
            </w:r>
          </w:p>
          <w:p w14:paraId="74C50351">
            <w:pPr>
              <w:pStyle w:val="9"/>
              <w:rPr>
                <w:rFonts w:hint="eastAsia"/>
              </w:rPr>
            </w:pPr>
            <w:r>
              <w:rPr>
                <w:rFonts w:hint="eastAsia" w:ascii="宋体" w:hAnsi="宋体" w:eastAsia="宋体" w:cs="宋体"/>
                <w:kern w:val="2"/>
                <w:sz w:val="24"/>
                <w:szCs w:val="24"/>
                <w:lang w:val="en-US" w:eastAsia="zh-CN" w:bidi="ar-SA"/>
              </w:rPr>
              <w:t>第四档次（0分）： 产品技术参数指标偏离采购要求，所用材料质量低劣、无任何质量证明，不具备耐候性和耐久性保障。不提供售后服务承诺。</w:t>
            </w:r>
          </w:p>
        </w:tc>
        <w:tc>
          <w:tcPr>
            <w:tcW w:w="344"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36912E1">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kern w:val="0"/>
                <w:sz w:val="24"/>
                <w:szCs w:val="24"/>
                <w:lang w:val="en-US" w:eastAsia="zh-CN" w:bidi="ar"/>
              </w:rPr>
              <w:t>10</w:t>
            </w:r>
            <w:r>
              <w:rPr>
                <w:rFonts w:hint="eastAsia" w:ascii="宋体" w:hAnsi="宋体" w:eastAsia="宋体" w:cs="宋体"/>
                <w:color w:val="auto"/>
                <w:kern w:val="0"/>
                <w:sz w:val="24"/>
                <w:szCs w:val="24"/>
                <w:lang w:bidi="ar"/>
              </w:rPr>
              <w:t>分</w:t>
            </w:r>
          </w:p>
        </w:tc>
      </w:tr>
      <w:tr w14:paraId="1D6622A4">
        <w:tblPrEx>
          <w:tblCellMar>
            <w:top w:w="0" w:type="dxa"/>
            <w:left w:w="0" w:type="dxa"/>
            <w:bottom w:w="0" w:type="dxa"/>
            <w:right w:w="0" w:type="dxa"/>
          </w:tblCellMar>
        </w:tblPrEx>
        <w:trPr>
          <w:trHeight w:val="589" w:hRule="atLeast"/>
        </w:trPr>
        <w:tc>
          <w:tcPr>
            <w:tcW w:w="4655" w:type="pct"/>
            <w:gridSpan w:val="3"/>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4016C67">
            <w:pPr>
              <w:widowControl/>
              <w:jc w:val="center"/>
              <w:textAlignment w:val="center"/>
              <w:rPr>
                <w:rFonts w:hint="eastAsia" w:ascii="宋体" w:hAnsi="宋体" w:eastAsia="宋体" w:cs="宋体"/>
                <w:b/>
                <w:bCs/>
                <w:sz w:val="24"/>
                <w:szCs w:val="24"/>
              </w:rPr>
            </w:pPr>
            <w:r>
              <w:rPr>
                <w:rFonts w:hint="eastAsia" w:ascii="宋体" w:hAnsi="宋体" w:eastAsia="宋体" w:cs="宋体"/>
                <w:b/>
                <w:bCs/>
                <w:color w:val="auto"/>
                <w:kern w:val="0"/>
                <w:sz w:val="24"/>
                <w:szCs w:val="24"/>
                <w:lang w:bidi="ar"/>
              </w:rPr>
              <w:t>合计</w:t>
            </w:r>
          </w:p>
        </w:tc>
        <w:tc>
          <w:tcPr>
            <w:tcW w:w="344" w:type="pc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5A88795">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40分</w:t>
            </w:r>
          </w:p>
        </w:tc>
      </w:tr>
    </w:tbl>
    <w:p w14:paraId="724BBA4D">
      <w:pPr>
        <w:spacing w:line="460" w:lineRule="exact"/>
        <w:rPr>
          <w:rFonts w:ascii="宋体" w:hAnsi="宋体"/>
          <w:sz w:val="24"/>
        </w:rPr>
      </w:pPr>
    </w:p>
    <w:p w14:paraId="5E371C2C">
      <w:pPr>
        <w:spacing w:line="460" w:lineRule="exact"/>
        <w:ind w:firstLine="480" w:firstLineChars="200"/>
        <w:rPr>
          <w:rFonts w:ascii="宋体" w:hAnsi="宋体"/>
          <w:sz w:val="24"/>
        </w:rPr>
      </w:pPr>
      <w:r>
        <w:rPr>
          <w:rFonts w:ascii="宋体" w:hAnsi="宋体"/>
          <w:sz w:val="24"/>
        </w:rPr>
        <w:t>14.4.3商务得分F2（满分</w:t>
      </w:r>
      <w:r>
        <w:rPr>
          <w:rFonts w:hint="eastAsia" w:ascii="宋体" w:hAnsi="宋体"/>
          <w:sz w:val="24"/>
        </w:rPr>
        <w:t>10）</w:t>
      </w:r>
    </w:p>
    <w:tbl>
      <w:tblPr>
        <w:tblStyle w:val="26"/>
        <w:tblpPr w:leftFromText="180" w:rightFromText="180" w:vertAnchor="text" w:horzAnchor="page" w:tblpX="1312" w:tblpY="173"/>
        <w:tblOverlap w:val="never"/>
        <w:tblW w:w="4986" w:type="pct"/>
        <w:tblInd w:w="0" w:type="dxa"/>
        <w:tblLayout w:type="fixed"/>
        <w:tblCellMar>
          <w:top w:w="0" w:type="dxa"/>
          <w:left w:w="0" w:type="dxa"/>
          <w:bottom w:w="0" w:type="dxa"/>
          <w:right w:w="0" w:type="dxa"/>
        </w:tblCellMar>
      </w:tblPr>
      <w:tblGrid>
        <w:gridCol w:w="1118"/>
        <w:gridCol w:w="1319"/>
        <w:gridCol w:w="6280"/>
        <w:gridCol w:w="668"/>
      </w:tblGrid>
      <w:tr w14:paraId="2CBB6668">
        <w:tblPrEx>
          <w:tblCellMar>
            <w:top w:w="0" w:type="dxa"/>
            <w:left w:w="0" w:type="dxa"/>
            <w:bottom w:w="0" w:type="dxa"/>
            <w:right w:w="0" w:type="dxa"/>
          </w:tblCellMar>
        </w:tblPrEx>
        <w:trPr>
          <w:trHeight w:val="588" w:hRule="atLeast"/>
        </w:trPr>
        <w:tc>
          <w:tcPr>
            <w:tcW w:w="595"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0340BC19">
            <w:pPr>
              <w:widowControl/>
              <w:jc w:val="center"/>
              <w:textAlignment w:val="bottom"/>
              <w:rPr>
                <w:rFonts w:ascii="宋体" w:hAnsi="宋体" w:cs="宋体"/>
                <w:b/>
                <w:color w:val="auto"/>
                <w:sz w:val="24"/>
                <w:szCs w:val="24"/>
              </w:rPr>
            </w:pPr>
            <w:r>
              <w:rPr>
                <w:rFonts w:hint="eastAsia" w:ascii="宋体" w:hAnsi="宋体" w:cs="宋体"/>
                <w:b/>
                <w:color w:val="auto"/>
                <w:kern w:val="0"/>
                <w:sz w:val="24"/>
                <w:szCs w:val="24"/>
                <w:lang w:bidi="ar"/>
              </w:rPr>
              <w:t>序号</w:t>
            </w:r>
          </w:p>
        </w:tc>
        <w:tc>
          <w:tcPr>
            <w:tcW w:w="702"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657CC513">
            <w:pPr>
              <w:widowControl/>
              <w:jc w:val="center"/>
              <w:textAlignment w:val="bottom"/>
              <w:rPr>
                <w:rFonts w:ascii="宋体" w:hAnsi="宋体" w:cs="宋体"/>
                <w:b/>
                <w:color w:val="auto"/>
                <w:sz w:val="24"/>
                <w:szCs w:val="24"/>
              </w:rPr>
            </w:pPr>
            <w:r>
              <w:rPr>
                <w:rFonts w:hint="eastAsia" w:ascii="宋体" w:hAnsi="宋体" w:cs="宋体"/>
                <w:b/>
                <w:color w:val="auto"/>
                <w:kern w:val="0"/>
                <w:sz w:val="24"/>
                <w:szCs w:val="24"/>
                <w:lang w:bidi="ar"/>
              </w:rPr>
              <w:t>评审内容</w:t>
            </w:r>
          </w:p>
        </w:tc>
        <w:tc>
          <w:tcPr>
            <w:tcW w:w="3345"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7EA15A5E">
            <w:pPr>
              <w:widowControl/>
              <w:jc w:val="center"/>
              <w:textAlignment w:val="bottom"/>
              <w:rPr>
                <w:rFonts w:ascii="宋体" w:hAnsi="宋体" w:cs="宋体"/>
                <w:b/>
                <w:color w:val="auto"/>
                <w:sz w:val="24"/>
                <w:szCs w:val="24"/>
              </w:rPr>
            </w:pPr>
            <w:r>
              <w:rPr>
                <w:rFonts w:hint="eastAsia" w:ascii="宋体" w:hAnsi="宋体" w:cs="宋体"/>
                <w:b/>
                <w:color w:val="auto"/>
                <w:kern w:val="0"/>
                <w:sz w:val="24"/>
                <w:szCs w:val="24"/>
                <w:lang w:bidi="ar"/>
              </w:rPr>
              <w:t>评审标准</w:t>
            </w:r>
          </w:p>
        </w:tc>
        <w:tc>
          <w:tcPr>
            <w:tcW w:w="355"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0F14D1A5">
            <w:pPr>
              <w:widowControl/>
              <w:jc w:val="center"/>
              <w:textAlignment w:val="bottom"/>
              <w:rPr>
                <w:rFonts w:ascii="宋体" w:hAnsi="宋体" w:cs="宋体"/>
                <w:b/>
                <w:color w:val="auto"/>
                <w:sz w:val="24"/>
                <w:szCs w:val="24"/>
              </w:rPr>
            </w:pPr>
            <w:r>
              <w:rPr>
                <w:rFonts w:hint="eastAsia" w:ascii="宋体" w:hAnsi="宋体" w:cs="宋体"/>
                <w:b/>
                <w:color w:val="auto"/>
                <w:kern w:val="0"/>
                <w:sz w:val="24"/>
                <w:szCs w:val="24"/>
                <w:lang w:bidi="ar"/>
              </w:rPr>
              <w:t>分值</w:t>
            </w:r>
          </w:p>
        </w:tc>
      </w:tr>
      <w:tr w14:paraId="1881B0E2">
        <w:tblPrEx>
          <w:tblCellMar>
            <w:top w:w="0" w:type="dxa"/>
            <w:left w:w="0" w:type="dxa"/>
            <w:bottom w:w="0" w:type="dxa"/>
            <w:right w:w="0" w:type="dxa"/>
          </w:tblCellMar>
        </w:tblPrEx>
        <w:trPr>
          <w:trHeight w:val="90" w:hRule="atLeast"/>
        </w:trPr>
        <w:tc>
          <w:tcPr>
            <w:tcW w:w="595" w:type="pct"/>
            <w:tcBorders>
              <w:top w:val="single" w:color="auto" w:sz="4" w:space="0"/>
              <w:left w:val="single" w:color="auto" w:sz="4" w:space="0"/>
              <w:right w:val="single" w:color="auto" w:sz="4" w:space="0"/>
            </w:tcBorders>
            <w:noWrap/>
            <w:tcMar>
              <w:top w:w="15" w:type="dxa"/>
              <w:left w:w="15" w:type="dxa"/>
              <w:right w:w="15" w:type="dxa"/>
            </w:tcMar>
            <w:vAlign w:val="center"/>
          </w:tcPr>
          <w:p w14:paraId="2C5477DA">
            <w:pPr>
              <w:widowControl/>
              <w:jc w:val="center"/>
              <w:textAlignment w:val="bottom"/>
              <w:rPr>
                <w:rFonts w:ascii="宋体" w:hAnsi="宋体" w:cs="宋体"/>
                <w:b/>
                <w:color w:val="auto"/>
                <w:kern w:val="0"/>
                <w:sz w:val="24"/>
                <w:szCs w:val="24"/>
                <w:lang w:bidi="ar"/>
              </w:rPr>
            </w:pPr>
            <w:r>
              <w:rPr>
                <w:rFonts w:ascii="宋体" w:hAnsi="宋体" w:cs="宋体"/>
                <w:bCs/>
                <w:color w:val="auto"/>
                <w:kern w:val="0"/>
                <w:sz w:val="24"/>
                <w:szCs w:val="24"/>
                <w:lang w:bidi="ar"/>
              </w:rPr>
              <w:t>1</w:t>
            </w:r>
          </w:p>
        </w:tc>
        <w:tc>
          <w:tcPr>
            <w:tcW w:w="702" w:type="pct"/>
            <w:tcBorders>
              <w:top w:val="single" w:color="auto" w:sz="4" w:space="0"/>
              <w:left w:val="single" w:color="auto" w:sz="4" w:space="0"/>
              <w:right w:val="single" w:color="auto" w:sz="4" w:space="0"/>
            </w:tcBorders>
            <w:noWrap/>
            <w:tcMar>
              <w:top w:w="15" w:type="dxa"/>
              <w:left w:w="15" w:type="dxa"/>
              <w:right w:w="15" w:type="dxa"/>
            </w:tcMar>
            <w:vAlign w:val="center"/>
          </w:tcPr>
          <w:p w14:paraId="3F86B864">
            <w:pPr>
              <w:widowControl/>
              <w:jc w:val="center"/>
              <w:textAlignment w:val="center"/>
              <w:rPr>
                <w:rFonts w:ascii="宋体" w:hAnsi="宋体" w:cs="宋体"/>
                <w:b/>
                <w:color w:val="auto"/>
                <w:kern w:val="0"/>
                <w:sz w:val="24"/>
                <w:szCs w:val="24"/>
                <w:highlight w:val="yellow"/>
                <w:lang w:bidi="ar"/>
              </w:rPr>
            </w:pPr>
            <w:r>
              <w:rPr>
                <w:rFonts w:hint="eastAsia" w:ascii="宋体" w:hAnsi="宋体" w:cs="宋体"/>
                <w:sz w:val="24"/>
                <w:szCs w:val="24"/>
              </w:rPr>
              <w:t>类似业绩</w:t>
            </w:r>
          </w:p>
        </w:tc>
        <w:tc>
          <w:tcPr>
            <w:tcW w:w="3345"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3CD90F18">
            <w:pPr>
              <w:rPr>
                <w:rFonts w:hint="eastAsia" w:ascii="宋体" w:hAnsi="宋体" w:eastAsia="宋体" w:cs="宋体"/>
                <w:b/>
                <w:color w:val="auto"/>
                <w:kern w:val="0"/>
                <w:sz w:val="24"/>
                <w:szCs w:val="24"/>
                <w:highlight w:val="yellow"/>
                <w:lang w:val="en-US" w:eastAsia="zh-CN" w:bidi="ar"/>
              </w:rPr>
            </w:pPr>
            <w:r>
              <w:rPr>
                <w:rFonts w:hint="eastAsia" w:ascii="宋体" w:hAnsi="宋体" w:cs="宋体"/>
                <w:color w:val="auto"/>
                <w:sz w:val="24"/>
                <w:szCs w:val="24"/>
              </w:rPr>
              <w:t>根据类似产品的供货业绩进行评分，每提供一项</w:t>
            </w:r>
            <w:r>
              <w:rPr>
                <w:rFonts w:hint="eastAsia" w:ascii="宋体" w:hAnsi="宋体" w:cs="宋体"/>
                <w:color w:val="auto"/>
                <w:sz w:val="24"/>
                <w:szCs w:val="24"/>
                <w:lang w:val="en-US" w:eastAsia="zh-CN"/>
              </w:rPr>
              <w:t>类似标识牌供货</w:t>
            </w:r>
            <w:r>
              <w:rPr>
                <w:rFonts w:hint="eastAsia" w:ascii="宋体" w:hAnsi="宋体" w:cs="宋体"/>
                <w:color w:val="auto"/>
                <w:sz w:val="24"/>
                <w:szCs w:val="24"/>
              </w:rPr>
              <w:t>业绩</w:t>
            </w:r>
            <w:r>
              <w:rPr>
                <w:rFonts w:hint="eastAsia" w:ascii="宋体" w:hAnsi="宋体" w:cs="宋体"/>
                <w:color w:val="auto"/>
                <w:sz w:val="24"/>
                <w:szCs w:val="24"/>
                <w:lang w:val="en-US" w:eastAsia="zh-CN"/>
              </w:rPr>
              <w:t>得</w:t>
            </w:r>
            <w:r>
              <w:rPr>
                <w:rFonts w:hint="eastAsia" w:ascii="宋体" w:hAnsi="宋体" w:cs="宋体"/>
                <w:color w:val="auto"/>
                <w:sz w:val="24"/>
                <w:szCs w:val="24"/>
              </w:rPr>
              <w:t>2分，加满为止。</w:t>
            </w:r>
            <w:r>
              <w:rPr>
                <w:rFonts w:hint="eastAsia" w:ascii="宋体" w:hAnsi="宋体" w:cs="宋体"/>
                <w:color w:val="auto"/>
                <w:sz w:val="24"/>
                <w:szCs w:val="24"/>
                <w:lang w:val="en-US" w:eastAsia="zh-CN"/>
              </w:rPr>
              <w:t>(</w:t>
            </w:r>
            <w:r>
              <w:rPr>
                <w:rFonts w:hint="eastAsia" w:ascii="宋体" w:hAnsi="宋体" w:cs="宋体"/>
                <w:color w:val="auto"/>
                <w:sz w:val="24"/>
                <w:szCs w:val="24"/>
              </w:rPr>
              <w:t>须提供合同扫描件或中标通知书作为证明材料，未提供的视为无效，不计分。</w:t>
            </w:r>
            <w:r>
              <w:rPr>
                <w:rFonts w:hint="eastAsia" w:ascii="宋体" w:hAnsi="宋体" w:cs="宋体"/>
                <w:sz w:val="24"/>
                <w:szCs w:val="24"/>
                <w:lang w:val="en-US" w:eastAsia="zh-CN"/>
              </w:rPr>
              <w:t>)</w:t>
            </w:r>
          </w:p>
        </w:tc>
        <w:tc>
          <w:tcPr>
            <w:tcW w:w="355" w:type="pct"/>
            <w:tcBorders>
              <w:top w:val="single" w:color="auto" w:sz="4" w:space="0"/>
              <w:left w:val="single" w:color="auto" w:sz="4" w:space="0"/>
              <w:right w:val="single" w:color="auto" w:sz="4" w:space="0"/>
            </w:tcBorders>
            <w:noWrap/>
            <w:tcMar>
              <w:top w:w="15" w:type="dxa"/>
              <w:left w:w="15" w:type="dxa"/>
              <w:right w:w="15" w:type="dxa"/>
            </w:tcMar>
            <w:vAlign w:val="center"/>
          </w:tcPr>
          <w:p w14:paraId="6E24E568">
            <w:pPr>
              <w:widowControl/>
              <w:jc w:val="center"/>
              <w:textAlignment w:val="center"/>
              <w:rPr>
                <w:rFonts w:ascii="宋体" w:hAnsi="宋体" w:cs="宋体"/>
                <w:b/>
                <w:color w:val="auto"/>
                <w:kern w:val="0"/>
                <w:sz w:val="24"/>
                <w:szCs w:val="24"/>
                <w:lang w:bidi="ar"/>
              </w:rPr>
            </w:pPr>
            <w:r>
              <w:rPr>
                <w:rFonts w:hint="eastAsia" w:ascii="宋体" w:hAnsi="宋体" w:cs="宋体"/>
                <w:kern w:val="0"/>
                <w:sz w:val="24"/>
                <w:szCs w:val="24"/>
                <w:lang w:bidi="ar"/>
              </w:rPr>
              <w:t>10</w:t>
            </w:r>
            <w:r>
              <w:rPr>
                <w:rFonts w:hint="eastAsia" w:ascii="宋体" w:hAnsi="宋体" w:cs="宋体"/>
                <w:color w:val="auto"/>
                <w:kern w:val="0"/>
                <w:sz w:val="24"/>
                <w:szCs w:val="24"/>
                <w:lang w:bidi="ar"/>
              </w:rPr>
              <w:t>分</w:t>
            </w:r>
          </w:p>
        </w:tc>
      </w:tr>
      <w:tr w14:paraId="38EE92B5">
        <w:tblPrEx>
          <w:tblCellMar>
            <w:top w:w="0" w:type="dxa"/>
            <w:left w:w="0" w:type="dxa"/>
            <w:bottom w:w="0" w:type="dxa"/>
            <w:right w:w="0" w:type="dxa"/>
          </w:tblCellMar>
        </w:tblPrEx>
        <w:trPr>
          <w:trHeight w:val="580" w:hRule="atLeast"/>
        </w:trPr>
        <w:tc>
          <w:tcPr>
            <w:tcW w:w="4644" w:type="pct"/>
            <w:gridSpan w:val="3"/>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426B895F">
            <w:pPr>
              <w:widowControl/>
              <w:jc w:val="center"/>
              <w:textAlignment w:val="center"/>
              <w:rPr>
                <w:rFonts w:ascii="宋体" w:hAnsi="宋体" w:cs="宋体"/>
                <w:b/>
                <w:bCs/>
                <w:color w:val="auto"/>
                <w:kern w:val="0"/>
                <w:sz w:val="24"/>
                <w:szCs w:val="24"/>
                <w:lang w:bidi="ar"/>
              </w:rPr>
            </w:pPr>
            <w:r>
              <w:rPr>
                <w:rFonts w:hint="eastAsia" w:ascii="宋体" w:hAnsi="宋体" w:cs="宋体"/>
                <w:b/>
                <w:bCs/>
                <w:color w:val="auto"/>
                <w:kern w:val="0"/>
                <w:sz w:val="24"/>
                <w:szCs w:val="24"/>
                <w:lang w:bidi="ar"/>
              </w:rPr>
              <w:t>合计</w:t>
            </w:r>
          </w:p>
        </w:tc>
        <w:tc>
          <w:tcPr>
            <w:tcW w:w="355" w:type="pct"/>
            <w:tcBorders>
              <w:top w:val="single" w:color="auto" w:sz="4" w:space="0"/>
              <w:left w:val="single" w:color="auto" w:sz="4" w:space="0"/>
              <w:bottom w:val="single" w:color="auto" w:sz="4" w:space="0"/>
              <w:right w:val="single" w:color="auto" w:sz="4" w:space="0"/>
            </w:tcBorders>
            <w:noWrap/>
            <w:tcMar>
              <w:top w:w="15" w:type="dxa"/>
              <w:left w:w="15" w:type="dxa"/>
              <w:right w:w="15" w:type="dxa"/>
            </w:tcMar>
            <w:vAlign w:val="center"/>
          </w:tcPr>
          <w:p w14:paraId="3281CEFD">
            <w:pPr>
              <w:widowControl/>
              <w:jc w:val="center"/>
              <w:textAlignment w:val="center"/>
              <w:rPr>
                <w:rFonts w:ascii="宋体" w:hAnsi="宋体" w:cs="宋体"/>
                <w:b/>
                <w:bCs/>
                <w:color w:val="auto"/>
                <w:kern w:val="0"/>
                <w:sz w:val="24"/>
                <w:szCs w:val="24"/>
                <w:lang w:bidi="ar"/>
              </w:rPr>
            </w:pPr>
            <w:r>
              <w:rPr>
                <w:rFonts w:ascii="宋体" w:hAnsi="宋体" w:cs="宋体"/>
                <w:b/>
                <w:bCs/>
                <w:color w:val="auto"/>
                <w:kern w:val="0"/>
                <w:sz w:val="24"/>
                <w:szCs w:val="24"/>
                <w:lang w:bidi="ar"/>
              </w:rPr>
              <w:t>10分</w:t>
            </w:r>
          </w:p>
        </w:tc>
      </w:tr>
    </w:tbl>
    <w:p w14:paraId="337EF894">
      <w:pPr>
        <w:spacing w:line="460" w:lineRule="exact"/>
        <w:ind w:firstLine="480" w:firstLineChars="200"/>
        <w:rPr>
          <w:rFonts w:ascii="宋体" w:hAnsi="宋体"/>
          <w:sz w:val="24"/>
        </w:rPr>
      </w:pPr>
      <w:bookmarkStart w:id="259" w:name="_Toc8942"/>
      <w:bookmarkStart w:id="260" w:name="_Toc27041598"/>
      <w:bookmarkStart w:id="261" w:name="_Toc13693"/>
      <w:bookmarkStart w:id="262" w:name="_Toc15413"/>
      <w:bookmarkStart w:id="263" w:name="_Toc7981"/>
      <w:bookmarkStart w:id="264" w:name="_Toc12553"/>
      <w:r>
        <w:rPr>
          <w:rFonts w:ascii="宋体" w:hAnsi="宋体"/>
          <w:sz w:val="24"/>
        </w:rPr>
        <w:t>14.4.4价格得分F3（满分50分）</w:t>
      </w:r>
    </w:p>
    <w:p w14:paraId="291322E7">
      <w:pPr>
        <w:spacing w:line="460" w:lineRule="exact"/>
        <w:ind w:firstLine="480" w:firstLineChars="200"/>
        <w:rPr>
          <w:rFonts w:ascii="宋体" w:hAnsi="宋体" w:cs="宋体"/>
          <w:color w:val="auto"/>
          <w:kern w:val="0"/>
          <w:sz w:val="24"/>
          <w:lang w:bidi="ar"/>
        </w:rPr>
      </w:pPr>
      <w:r>
        <w:rPr>
          <w:rFonts w:hint="eastAsia" w:ascii="宋体" w:hAnsi="宋体" w:cs="宋体"/>
          <w:color w:val="auto"/>
          <w:kern w:val="0"/>
          <w:sz w:val="24"/>
          <w:lang w:bidi="ar"/>
        </w:rPr>
        <w:t>（</w:t>
      </w:r>
      <w:r>
        <w:rPr>
          <w:rFonts w:ascii="宋体" w:hAnsi="宋体" w:cs="宋体"/>
          <w:color w:val="auto"/>
          <w:kern w:val="0"/>
          <w:sz w:val="24"/>
          <w:lang w:bidi="ar"/>
        </w:rPr>
        <w:t>1）评审基准价：满足谈判文件要求且价格最低的有效谈判报价；</w:t>
      </w:r>
    </w:p>
    <w:p w14:paraId="5E2EC94A">
      <w:pPr>
        <w:spacing w:line="460" w:lineRule="exact"/>
        <w:ind w:firstLine="480" w:firstLineChars="200"/>
        <w:rPr>
          <w:rFonts w:ascii="宋体" w:hAnsi="宋体" w:cs="宋体"/>
          <w:color w:val="auto"/>
          <w:kern w:val="0"/>
          <w:sz w:val="24"/>
          <w:lang w:bidi="ar"/>
        </w:rPr>
      </w:pPr>
      <w:r>
        <w:rPr>
          <w:rFonts w:hint="eastAsia" w:ascii="宋体" w:hAnsi="宋体" w:cs="宋体"/>
          <w:color w:val="auto"/>
          <w:kern w:val="0"/>
          <w:sz w:val="24"/>
          <w:lang w:bidi="ar"/>
        </w:rPr>
        <w:t>（</w:t>
      </w:r>
      <w:r>
        <w:rPr>
          <w:rFonts w:ascii="宋体" w:hAnsi="宋体" w:cs="宋体"/>
          <w:color w:val="auto"/>
          <w:kern w:val="0"/>
          <w:sz w:val="24"/>
          <w:lang w:bidi="ar"/>
        </w:rPr>
        <w:t xml:space="preserve">2）得分计算：满足谈判文件要求且价格最低的有效谈判报价，其报价分为满分。 </w:t>
      </w:r>
      <w:r>
        <w:rPr>
          <w:rFonts w:hint="eastAsia" w:ascii="宋体" w:hAnsi="宋体" w:cs="宋体"/>
          <w:color w:val="auto"/>
          <w:kern w:val="0"/>
          <w:sz w:val="24"/>
          <w:lang w:bidi="ar"/>
        </w:rPr>
        <w:t>其他报价供应商的报价按如下规格计算：</w:t>
      </w:r>
    </w:p>
    <w:p w14:paraId="43ECFFC3">
      <w:pPr>
        <w:spacing w:line="460" w:lineRule="exact"/>
        <w:ind w:firstLine="960" w:firstLineChars="400"/>
        <w:rPr>
          <w:rFonts w:ascii="宋体" w:hAnsi="宋体" w:cs="宋体"/>
          <w:color w:val="auto"/>
          <w:kern w:val="0"/>
          <w:sz w:val="24"/>
          <w:lang w:bidi="ar"/>
        </w:rPr>
      </w:pPr>
      <w:r>
        <w:rPr>
          <w:rFonts w:hint="eastAsia" w:ascii="宋体" w:hAnsi="宋体" w:cs="宋体"/>
          <w:color w:val="auto"/>
          <w:kern w:val="0"/>
          <w:sz w:val="24"/>
          <w:lang w:bidi="ar"/>
        </w:rPr>
        <w:t>报价得分</w:t>
      </w:r>
      <w:r>
        <w:rPr>
          <w:rFonts w:ascii="宋体" w:hAnsi="宋体" w:cs="宋体"/>
          <w:color w:val="auto"/>
          <w:kern w:val="0"/>
          <w:sz w:val="24"/>
          <w:lang w:bidi="ar"/>
        </w:rPr>
        <w:t>=（评审基准价÷评审价）×50</w:t>
      </w:r>
    </w:p>
    <w:p w14:paraId="761CBA8C">
      <w:pPr>
        <w:spacing w:line="460" w:lineRule="exact"/>
        <w:ind w:firstLine="480" w:firstLineChars="200"/>
        <w:rPr>
          <w:rFonts w:ascii="宋体" w:hAnsi="宋体"/>
          <w:sz w:val="24"/>
        </w:rPr>
      </w:pPr>
      <w:r>
        <w:rPr>
          <w:rFonts w:ascii="宋体" w:hAnsi="宋体"/>
          <w:sz w:val="24"/>
        </w:rPr>
        <w:t>14.5推荐原则</w:t>
      </w:r>
    </w:p>
    <w:p w14:paraId="472D7D7A">
      <w:pPr>
        <w:spacing w:line="460" w:lineRule="exact"/>
        <w:ind w:firstLine="480" w:firstLineChars="200"/>
        <w:rPr>
          <w:rFonts w:ascii="宋体" w:hAnsi="宋体"/>
          <w:sz w:val="24"/>
        </w:rPr>
      </w:pPr>
      <w:r>
        <w:rPr>
          <w:rFonts w:hint="eastAsia" w:ascii="宋体" w:hAnsi="宋体"/>
          <w:sz w:val="24"/>
        </w:rPr>
        <w:t>本次谈判采用综合评分法，谈判小组按评审后综合得分由高到低顺序推荐</w:t>
      </w:r>
      <w:r>
        <w:rPr>
          <w:rFonts w:ascii="宋体" w:hAnsi="宋体"/>
          <w:sz w:val="24"/>
        </w:rPr>
        <w:t>1～3名成交侯选人。总得分相同的，按谈判报价得分由高到低顺序排列；总得分相同、报价得分相同，按技术得分由高到低顺序排列；总得分相同、报价得分相同、技术得分均相同的，由谈判小组不记名投票推荐。</w:t>
      </w:r>
    </w:p>
    <w:p w14:paraId="37338B76">
      <w:pPr>
        <w:spacing w:line="460" w:lineRule="exact"/>
        <w:ind w:firstLine="480" w:firstLineChars="200"/>
        <w:rPr>
          <w:rFonts w:ascii="宋体" w:hAnsi="宋体"/>
          <w:sz w:val="24"/>
        </w:rPr>
      </w:pPr>
      <w:r>
        <w:rPr>
          <w:rFonts w:ascii="宋体" w:hAnsi="宋体"/>
          <w:sz w:val="24"/>
        </w:rPr>
        <w:t>14.6评审报告</w:t>
      </w:r>
    </w:p>
    <w:p w14:paraId="4F79F50C">
      <w:pPr>
        <w:spacing w:line="460" w:lineRule="exact"/>
        <w:ind w:firstLine="480" w:firstLineChars="200"/>
        <w:rPr>
          <w:rFonts w:ascii="宋体" w:hAnsi="宋体"/>
          <w:sz w:val="24"/>
        </w:rPr>
      </w:pPr>
      <w:r>
        <w:rPr>
          <w:rFonts w:hint="eastAsia" w:ascii="宋体" w:hAnsi="宋体"/>
          <w:sz w:val="24"/>
        </w:rPr>
        <w:t>谈判小组根据评审情况推荐确定成交候选人名单并提出书面评标报告。</w:t>
      </w:r>
    </w:p>
    <w:p w14:paraId="14BABCA1">
      <w:pPr>
        <w:rPr>
          <w:rFonts w:ascii="宋体" w:hAnsi="宋体" w:cs="宋体"/>
          <w:b/>
          <w:bCs/>
          <w:sz w:val="28"/>
          <w:szCs w:val="28"/>
        </w:rPr>
      </w:pPr>
      <w:r>
        <w:rPr>
          <w:rFonts w:ascii="宋体" w:hAnsi="宋体" w:cs="宋体"/>
          <w:b/>
          <w:bCs/>
          <w:sz w:val="28"/>
          <w:szCs w:val="28"/>
        </w:rPr>
        <w:t xml:space="preserve">15. </w:t>
      </w:r>
      <w:r>
        <w:rPr>
          <w:rFonts w:hint="eastAsia" w:ascii="宋体" w:hAnsi="宋体" w:cs="宋体"/>
          <w:b/>
          <w:bCs/>
          <w:sz w:val="28"/>
          <w:szCs w:val="28"/>
        </w:rPr>
        <w:t>谈判过程的保密</w:t>
      </w:r>
      <w:bookmarkEnd w:id="259"/>
      <w:bookmarkEnd w:id="260"/>
      <w:bookmarkEnd w:id="261"/>
      <w:bookmarkEnd w:id="262"/>
      <w:bookmarkEnd w:id="263"/>
      <w:bookmarkEnd w:id="264"/>
    </w:p>
    <w:p w14:paraId="5AE33C36">
      <w:pPr>
        <w:spacing w:line="460" w:lineRule="exact"/>
        <w:ind w:firstLine="480" w:firstLineChars="200"/>
        <w:rPr>
          <w:rFonts w:ascii="宋体" w:hAnsi="宋体"/>
          <w:sz w:val="24"/>
        </w:rPr>
      </w:pPr>
      <w:r>
        <w:rPr>
          <w:rFonts w:hint="eastAsia" w:ascii="宋体" w:hAnsi="宋体"/>
          <w:sz w:val="24"/>
        </w:rPr>
        <w:t>在谈判中，谈判的任何一方不得透露与谈判有关的其他供应商的技术资料、价格和其他信息。谈判开始后，直到授予供应商合同止，凡是属于审查、澄清、谈判和比较的有关资料以及成交建议等均不向供应商或其他人员透露。</w:t>
      </w:r>
    </w:p>
    <w:p w14:paraId="5A89C7A5">
      <w:pPr>
        <w:rPr>
          <w:rFonts w:ascii="宋体" w:hAnsi="宋体" w:cs="宋体"/>
          <w:b/>
          <w:bCs/>
          <w:sz w:val="28"/>
          <w:szCs w:val="28"/>
        </w:rPr>
      </w:pPr>
      <w:bookmarkStart w:id="265" w:name="_Toc12437177"/>
      <w:bookmarkStart w:id="266" w:name="_Toc28684"/>
      <w:bookmarkStart w:id="267" w:name="_Toc7247"/>
      <w:bookmarkStart w:id="268" w:name="_Toc27041599"/>
      <w:bookmarkStart w:id="269" w:name="_Toc29653"/>
      <w:bookmarkStart w:id="270" w:name="_Toc7975"/>
      <w:bookmarkStart w:id="271" w:name="_Toc21674"/>
      <w:r>
        <w:rPr>
          <w:rFonts w:ascii="宋体" w:hAnsi="宋体" w:cs="宋体"/>
          <w:b/>
          <w:bCs/>
          <w:sz w:val="28"/>
          <w:szCs w:val="28"/>
        </w:rPr>
        <w:t xml:space="preserve">16. </w:t>
      </w:r>
      <w:bookmarkEnd w:id="265"/>
      <w:bookmarkStart w:id="272" w:name="_Toc329810208"/>
      <w:bookmarkStart w:id="273" w:name="_Toc86124068"/>
      <w:bookmarkStart w:id="274" w:name="_Toc476608032"/>
      <w:bookmarkStart w:id="275" w:name="_Toc378499713"/>
      <w:bookmarkStart w:id="276" w:name="_Toc448349619"/>
      <w:bookmarkStart w:id="277" w:name="_Toc384279669"/>
      <w:bookmarkStart w:id="278" w:name="_Toc9584093"/>
      <w:r>
        <w:rPr>
          <w:rFonts w:hint="eastAsia" w:ascii="宋体" w:hAnsi="宋体" w:cs="宋体"/>
          <w:b/>
          <w:bCs/>
          <w:sz w:val="28"/>
          <w:szCs w:val="28"/>
        </w:rPr>
        <w:t>出现下列情形之一的，将终止竞争性谈判或重新开展采购活动：</w:t>
      </w:r>
      <w:bookmarkEnd w:id="266"/>
      <w:bookmarkEnd w:id="267"/>
      <w:bookmarkEnd w:id="268"/>
      <w:bookmarkEnd w:id="269"/>
      <w:bookmarkEnd w:id="270"/>
      <w:bookmarkEnd w:id="271"/>
      <w:bookmarkEnd w:id="272"/>
      <w:bookmarkEnd w:id="273"/>
      <w:bookmarkEnd w:id="274"/>
      <w:bookmarkEnd w:id="275"/>
      <w:bookmarkEnd w:id="276"/>
      <w:bookmarkEnd w:id="277"/>
      <w:bookmarkEnd w:id="278"/>
    </w:p>
    <w:p w14:paraId="72BCF196">
      <w:pPr>
        <w:spacing w:line="460" w:lineRule="exact"/>
        <w:ind w:firstLine="480" w:firstLineChars="200"/>
        <w:rPr>
          <w:rFonts w:ascii="宋体" w:hAnsi="宋体"/>
          <w:sz w:val="24"/>
        </w:rPr>
      </w:pPr>
      <w:r>
        <w:rPr>
          <w:rFonts w:ascii="宋体" w:hAnsi="宋体"/>
          <w:sz w:val="24"/>
        </w:rPr>
        <w:t>16.1因情况变化，不再符合规定的</w:t>
      </w:r>
      <w:r>
        <w:rPr>
          <w:rFonts w:hint="eastAsia" w:ascii="宋体" w:hAnsi="宋体"/>
          <w:sz w:val="24"/>
        </w:rPr>
        <w:t>竞争性谈判</w:t>
      </w:r>
      <w:r>
        <w:rPr>
          <w:rFonts w:ascii="宋体" w:hAnsi="宋体"/>
          <w:sz w:val="24"/>
        </w:rPr>
        <w:t>适用情形的</w:t>
      </w:r>
      <w:r>
        <w:rPr>
          <w:rFonts w:hint="eastAsia" w:ascii="宋体" w:hAnsi="宋体"/>
          <w:sz w:val="24"/>
        </w:rPr>
        <w:t>；</w:t>
      </w:r>
    </w:p>
    <w:p w14:paraId="558CEFDE">
      <w:pPr>
        <w:spacing w:line="460" w:lineRule="exact"/>
        <w:ind w:firstLine="480" w:firstLineChars="200"/>
        <w:rPr>
          <w:rFonts w:ascii="宋体" w:hAnsi="宋体"/>
          <w:sz w:val="24"/>
        </w:rPr>
      </w:pPr>
      <w:r>
        <w:rPr>
          <w:rFonts w:ascii="宋体" w:hAnsi="宋体"/>
          <w:sz w:val="24"/>
        </w:rPr>
        <w:t>16.2出现影响采购公正的违法、违规行为的</w:t>
      </w:r>
      <w:r>
        <w:rPr>
          <w:rFonts w:hint="eastAsia" w:ascii="宋体" w:hAnsi="宋体"/>
          <w:sz w:val="24"/>
        </w:rPr>
        <w:t>；</w:t>
      </w:r>
    </w:p>
    <w:p w14:paraId="1ADAF28A">
      <w:pPr>
        <w:spacing w:line="460" w:lineRule="exact"/>
        <w:ind w:firstLine="480" w:firstLineChars="200"/>
      </w:pPr>
      <w:r>
        <w:rPr>
          <w:rFonts w:ascii="宋体" w:hAnsi="宋体"/>
          <w:sz w:val="24"/>
        </w:rPr>
        <w:t>16.3</w:t>
      </w:r>
      <w:r>
        <w:rPr>
          <w:rFonts w:hint="eastAsia" w:ascii="宋体" w:hAnsi="宋体"/>
          <w:sz w:val="24"/>
        </w:rPr>
        <w:t>有效应答供应商不足三个使得本次谈判明显缺乏竞争的。</w:t>
      </w:r>
    </w:p>
    <w:p w14:paraId="5C975845">
      <w:pPr>
        <w:spacing w:line="460" w:lineRule="exact"/>
        <w:ind w:firstLine="480" w:firstLineChars="200"/>
        <w:rPr>
          <w:rFonts w:ascii="宋体" w:hAnsi="宋体"/>
          <w:sz w:val="24"/>
        </w:rPr>
      </w:pPr>
    </w:p>
    <w:bookmarkEnd w:id="236"/>
    <w:bookmarkEnd w:id="237"/>
    <w:bookmarkEnd w:id="238"/>
    <w:p w14:paraId="35223B7D">
      <w:pPr>
        <w:jc w:val="center"/>
        <w:rPr>
          <w:b/>
          <w:bCs/>
          <w:sz w:val="32"/>
          <w:szCs w:val="32"/>
        </w:rPr>
      </w:pPr>
      <w:bookmarkStart w:id="279" w:name="_Toc27041600"/>
      <w:bookmarkStart w:id="280" w:name="_Toc322513186"/>
      <w:bookmarkStart w:id="281" w:name="_Toc66"/>
      <w:bookmarkStart w:id="282" w:name="_Toc122530390"/>
      <w:bookmarkStart w:id="283" w:name="_Toc780"/>
      <w:bookmarkStart w:id="284" w:name="_Toc24190"/>
      <w:bookmarkStart w:id="285" w:name="_Toc22246"/>
      <w:bookmarkStart w:id="286" w:name="_Toc15623"/>
      <w:bookmarkStart w:id="287" w:name="_Toc19488"/>
      <w:bookmarkStart w:id="288" w:name="_Toc483320806"/>
      <w:bookmarkStart w:id="289" w:name="_Toc336273600"/>
      <w:bookmarkStart w:id="290" w:name="_Toc463798079"/>
      <w:r>
        <w:rPr>
          <w:rFonts w:hint="eastAsia"/>
          <w:b/>
          <w:bCs/>
          <w:sz w:val="32"/>
          <w:szCs w:val="32"/>
        </w:rPr>
        <w:t>六、成交通知和合同授予</w:t>
      </w:r>
      <w:bookmarkEnd w:id="279"/>
      <w:bookmarkEnd w:id="280"/>
      <w:bookmarkEnd w:id="281"/>
      <w:bookmarkEnd w:id="282"/>
      <w:bookmarkEnd w:id="283"/>
      <w:bookmarkEnd w:id="284"/>
      <w:bookmarkEnd w:id="285"/>
      <w:bookmarkEnd w:id="286"/>
      <w:bookmarkEnd w:id="287"/>
      <w:bookmarkEnd w:id="288"/>
      <w:bookmarkEnd w:id="289"/>
      <w:bookmarkEnd w:id="290"/>
    </w:p>
    <w:p w14:paraId="7D50FDE0">
      <w:pPr>
        <w:rPr>
          <w:rFonts w:ascii="宋体" w:hAnsi="宋体" w:cs="宋体"/>
          <w:b/>
          <w:bCs/>
          <w:sz w:val="28"/>
          <w:szCs w:val="28"/>
        </w:rPr>
      </w:pPr>
      <w:bookmarkStart w:id="291" w:name="_Toc23686"/>
      <w:bookmarkStart w:id="292" w:name="_Toc27041601"/>
      <w:bookmarkStart w:id="293" w:name="_Toc13513"/>
      <w:bookmarkStart w:id="294" w:name="_Toc16666"/>
      <w:bookmarkStart w:id="295" w:name="_Toc5489"/>
      <w:bookmarkStart w:id="296" w:name="_Toc19903"/>
      <w:r>
        <w:rPr>
          <w:rFonts w:ascii="宋体" w:hAnsi="宋体" w:cs="宋体"/>
          <w:b/>
          <w:bCs/>
          <w:sz w:val="28"/>
          <w:szCs w:val="28"/>
        </w:rPr>
        <w:t xml:space="preserve">17. </w:t>
      </w:r>
      <w:r>
        <w:rPr>
          <w:rFonts w:hint="eastAsia" w:ascii="宋体" w:hAnsi="宋体" w:cs="宋体"/>
          <w:b/>
          <w:bCs/>
          <w:sz w:val="28"/>
          <w:szCs w:val="28"/>
        </w:rPr>
        <w:t>成交通知</w:t>
      </w:r>
      <w:bookmarkEnd w:id="291"/>
      <w:bookmarkEnd w:id="292"/>
      <w:bookmarkEnd w:id="293"/>
      <w:bookmarkEnd w:id="294"/>
      <w:bookmarkEnd w:id="295"/>
      <w:bookmarkEnd w:id="296"/>
    </w:p>
    <w:p w14:paraId="272887EB">
      <w:pPr>
        <w:spacing w:line="460" w:lineRule="exact"/>
        <w:ind w:firstLine="480" w:firstLineChars="200"/>
        <w:rPr>
          <w:rFonts w:ascii="宋体" w:hAnsi="宋体"/>
          <w:sz w:val="24"/>
        </w:rPr>
      </w:pPr>
      <w:r>
        <w:rPr>
          <w:rFonts w:ascii="宋体" w:hAnsi="宋体"/>
          <w:sz w:val="24"/>
        </w:rPr>
        <w:t>17.1</w:t>
      </w:r>
      <w:r>
        <w:rPr>
          <w:rFonts w:hint="eastAsia" w:ascii="宋体" w:hAnsi="宋体"/>
          <w:sz w:val="24"/>
        </w:rPr>
        <w:t>采购人根据谈判小组出具的谈判报告确定成交供应商。</w:t>
      </w:r>
    </w:p>
    <w:p w14:paraId="58F2FA7E">
      <w:pPr>
        <w:spacing w:line="460" w:lineRule="exact"/>
        <w:ind w:firstLine="480" w:firstLineChars="200"/>
        <w:rPr>
          <w:rFonts w:ascii="宋体" w:hAnsi="宋体"/>
          <w:sz w:val="24"/>
        </w:rPr>
      </w:pPr>
      <w:r>
        <w:rPr>
          <w:rFonts w:ascii="宋体" w:hAnsi="宋体"/>
          <w:sz w:val="24"/>
        </w:rPr>
        <w:t>17.2</w:t>
      </w:r>
      <w:r>
        <w:rPr>
          <w:rFonts w:hint="eastAsia" w:ascii="宋体" w:hAnsi="宋体"/>
          <w:sz w:val="24"/>
        </w:rPr>
        <w:t>成交供应商确定后，采购人向成交供应商发出成交通知。</w:t>
      </w:r>
    </w:p>
    <w:p w14:paraId="7C808F7B">
      <w:pPr>
        <w:spacing w:line="460" w:lineRule="exact"/>
        <w:ind w:firstLine="480" w:firstLineChars="200"/>
        <w:rPr>
          <w:rFonts w:ascii="宋体" w:hAnsi="宋体"/>
          <w:sz w:val="24"/>
        </w:rPr>
      </w:pPr>
      <w:r>
        <w:rPr>
          <w:rFonts w:ascii="宋体" w:hAnsi="宋体"/>
          <w:sz w:val="24"/>
        </w:rPr>
        <w:t xml:space="preserve">17.3 </w:t>
      </w:r>
      <w:r>
        <w:rPr>
          <w:rFonts w:hint="eastAsia" w:ascii="宋体" w:hAnsi="宋体"/>
          <w:sz w:val="24"/>
        </w:rPr>
        <w:t>成交通知书是合同的组成部分。</w:t>
      </w:r>
    </w:p>
    <w:p w14:paraId="6B0D6E79">
      <w:pPr>
        <w:spacing w:line="460" w:lineRule="exact"/>
        <w:ind w:firstLine="480" w:firstLineChars="200"/>
        <w:rPr>
          <w:rFonts w:ascii="宋体" w:hAnsi="宋体"/>
          <w:sz w:val="24"/>
        </w:rPr>
      </w:pPr>
      <w:r>
        <w:rPr>
          <w:rFonts w:ascii="宋体" w:hAnsi="宋体"/>
          <w:sz w:val="24"/>
        </w:rPr>
        <w:t xml:space="preserve">17.4 </w:t>
      </w:r>
      <w:r>
        <w:rPr>
          <w:rFonts w:hint="eastAsia" w:ascii="宋体" w:hAnsi="宋体"/>
          <w:sz w:val="24"/>
        </w:rPr>
        <w:t>成交通知书对采购人和成交供应商具有法律约束力。</w:t>
      </w:r>
    </w:p>
    <w:p w14:paraId="7D53FD7B">
      <w:pPr>
        <w:spacing w:line="460" w:lineRule="exact"/>
        <w:ind w:firstLine="480" w:firstLineChars="200"/>
        <w:rPr>
          <w:rFonts w:ascii="宋体" w:hAnsi="宋体"/>
          <w:sz w:val="24"/>
        </w:rPr>
      </w:pPr>
      <w:r>
        <w:rPr>
          <w:rFonts w:ascii="宋体" w:hAnsi="宋体"/>
          <w:sz w:val="24"/>
        </w:rPr>
        <w:t xml:space="preserve">17.5 </w:t>
      </w:r>
      <w:r>
        <w:rPr>
          <w:rFonts w:hint="eastAsia" w:ascii="宋体" w:hAnsi="宋体"/>
          <w:sz w:val="24"/>
        </w:rPr>
        <w:t>若发现谈判供应商有虚假应答的情形，将取消其成交资格，采购人将在三年内停止对其任何采购。</w:t>
      </w:r>
    </w:p>
    <w:p w14:paraId="1A305CAF">
      <w:pPr>
        <w:spacing w:line="460" w:lineRule="exact"/>
        <w:ind w:firstLine="480" w:firstLineChars="200"/>
        <w:rPr>
          <w:rFonts w:ascii="宋体" w:hAnsi="宋体"/>
          <w:sz w:val="24"/>
        </w:rPr>
      </w:pPr>
      <w:r>
        <w:rPr>
          <w:rFonts w:ascii="宋体" w:hAnsi="宋体"/>
          <w:sz w:val="24"/>
        </w:rPr>
        <w:t>17.6成交供应商在签订合同及在合同执行过程中，不按合同规定执行的，将取消其成交资格，采购人将在三年内停止对其任何采购。</w:t>
      </w:r>
    </w:p>
    <w:p w14:paraId="4C6068EF">
      <w:pPr>
        <w:spacing w:line="460" w:lineRule="exact"/>
        <w:ind w:firstLine="480" w:firstLineChars="200"/>
        <w:rPr>
          <w:rFonts w:ascii="宋体" w:hAnsi="宋体"/>
          <w:sz w:val="24"/>
        </w:rPr>
      </w:pPr>
      <w:r>
        <w:rPr>
          <w:rFonts w:ascii="宋体" w:hAnsi="宋体"/>
          <w:sz w:val="24"/>
        </w:rPr>
        <w:t>17.7若有成交供应商被取消成交资格，按本项目所有谈判供应商的排序依次递补。</w:t>
      </w:r>
    </w:p>
    <w:p w14:paraId="29A67DFB">
      <w:bookmarkStart w:id="297" w:name="_Toc122530393"/>
      <w:bookmarkStart w:id="298" w:name="_Toc483320809"/>
      <w:bookmarkStart w:id="299" w:name="_Toc333502006"/>
      <w:bookmarkStart w:id="300" w:name="_Toc322513189"/>
      <w:bookmarkStart w:id="301" w:name="_Toc336273603"/>
      <w:bookmarkStart w:id="302" w:name="_Toc333418621"/>
      <w:bookmarkStart w:id="303" w:name="_Toc463798082"/>
      <w:bookmarkStart w:id="304" w:name="_Toc334781383"/>
    </w:p>
    <w:p w14:paraId="733BC1E6">
      <w:pPr>
        <w:rPr>
          <w:rFonts w:ascii="宋体" w:hAnsi="宋体" w:cs="宋体"/>
          <w:b/>
          <w:bCs/>
          <w:sz w:val="28"/>
          <w:szCs w:val="28"/>
        </w:rPr>
      </w:pPr>
      <w:bookmarkStart w:id="305" w:name="_Toc450"/>
      <w:bookmarkStart w:id="306" w:name="_Toc10639"/>
      <w:bookmarkStart w:id="307" w:name="_Toc9946"/>
      <w:bookmarkStart w:id="308" w:name="_Toc27041602"/>
      <w:bookmarkStart w:id="309" w:name="_Toc12486"/>
      <w:bookmarkStart w:id="310" w:name="_Toc23569"/>
      <w:r>
        <w:rPr>
          <w:rFonts w:ascii="宋体" w:hAnsi="宋体" w:cs="宋体"/>
          <w:b/>
          <w:bCs/>
          <w:sz w:val="28"/>
          <w:szCs w:val="28"/>
        </w:rPr>
        <w:t xml:space="preserve">18. </w:t>
      </w:r>
      <w:r>
        <w:rPr>
          <w:rFonts w:hint="eastAsia" w:ascii="宋体" w:hAnsi="宋体" w:cs="宋体"/>
          <w:b/>
          <w:bCs/>
          <w:sz w:val="28"/>
          <w:szCs w:val="28"/>
        </w:rPr>
        <w:t>签订合同</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568A8BD7">
      <w:pPr>
        <w:spacing w:line="460" w:lineRule="exact"/>
        <w:ind w:firstLine="480" w:firstLineChars="200"/>
        <w:rPr>
          <w:rFonts w:ascii="宋体" w:hAnsi="宋体"/>
          <w:sz w:val="24"/>
        </w:rPr>
      </w:pPr>
      <w:r>
        <w:rPr>
          <w:rFonts w:ascii="宋体" w:hAnsi="宋体"/>
          <w:sz w:val="24"/>
        </w:rPr>
        <w:t xml:space="preserve">18.1 </w:t>
      </w:r>
      <w:r>
        <w:rPr>
          <w:rFonts w:hint="eastAsia" w:ascii="宋体" w:hAnsi="宋体"/>
          <w:sz w:val="24"/>
        </w:rPr>
        <w:t>成交供应商应按《成交通知书》要求与采购人商谈、签订合同。</w:t>
      </w:r>
    </w:p>
    <w:p w14:paraId="1C23978A">
      <w:pPr>
        <w:spacing w:line="460" w:lineRule="exact"/>
        <w:ind w:firstLine="480" w:firstLineChars="200"/>
        <w:rPr>
          <w:rFonts w:ascii="宋体" w:hAnsi="宋体"/>
          <w:sz w:val="24"/>
        </w:rPr>
      </w:pPr>
      <w:r>
        <w:rPr>
          <w:rFonts w:ascii="宋体" w:hAnsi="宋体"/>
          <w:sz w:val="24"/>
        </w:rPr>
        <w:t xml:space="preserve">18.2 </w:t>
      </w:r>
      <w:r>
        <w:rPr>
          <w:rFonts w:hint="eastAsia" w:ascii="宋体" w:hAnsi="宋体"/>
          <w:sz w:val="24"/>
        </w:rPr>
        <w:t>谈判文件（含补遗、修改和答疑文件）、成交供应商的响应文件（含其修改、澄清文件）、谈判承诺、成交通知书，均作为签订合同内容的依据。</w:t>
      </w:r>
    </w:p>
    <w:p w14:paraId="1C795A35">
      <w:pPr>
        <w:rPr>
          <w:rFonts w:hAnsi="宋体" w:cs="宋体"/>
          <w:b/>
          <w:bCs/>
          <w:sz w:val="48"/>
          <w:szCs w:val="48"/>
        </w:rPr>
      </w:pPr>
      <w:bookmarkStart w:id="311" w:name="_Toc1685"/>
    </w:p>
    <w:p w14:paraId="76866B42">
      <w:pPr>
        <w:pStyle w:val="13"/>
        <w:numPr>
          <w:ilvl w:val="0"/>
          <w:numId w:val="3"/>
        </w:numPr>
        <w:spacing w:line="900" w:lineRule="exact"/>
        <w:jc w:val="center"/>
        <w:outlineLvl w:val="0"/>
        <w:rPr>
          <w:rFonts w:hAnsi="宋体" w:eastAsia="宋体" w:cs="宋体"/>
          <w:b/>
          <w:bCs/>
          <w:sz w:val="48"/>
          <w:szCs w:val="48"/>
        </w:rPr>
      </w:pPr>
      <w:bookmarkStart w:id="312" w:name="_Toc2122"/>
      <w:r>
        <w:rPr>
          <w:rFonts w:hint="eastAsia" w:hAnsi="宋体" w:eastAsia="宋体" w:cs="宋体"/>
          <w:b/>
          <w:bCs/>
          <w:sz w:val="48"/>
          <w:szCs w:val="48"/>
        </w:rPr>
        <w:t>合同格式</w:t>
      </w:r>
      <w:bookmarkEnd w:id="311"/>
      <w:bookmarkEnd w:id="312"/>
    </w:p>
    <w:p w14:paraId="242FD3D4">
      <w:pPr>
        <w:spacing w:before="312" w:beforeLines="100" w:after="312" w:afterLines="100" w:line="26" w:lineRule="atLeast"/>
        <w:ind w:firstLine="576" w:firstLineChars="131"/>
        <w:jc w:val="center"/>
        <w:rPr>
          <w:rFonts w:hint="eastAsia" w:ascii="Times New Roman" w:hAnsi="Times New Roman" w:cs="Times New Roman"/>
          <w:b/>
          <w:sz w:val="44"/>
          <w:szCs w:val="44"/>
          <w:lang w:val="en-US" w:eastAsia="zh-CN"/>
        </w:rPr>
      </w:pPr>
      <w:bookmarkStart w:id="313" w:name="_Toc19569"/>
      <w:bookmarkStart w:id="314" w:name="_Toc5306"/>
      <w:bookmarkStart w:id="315" w:name="_Toc14504"/>
      <w:bookmarkStart w:id="316" w:name="_Toc27041606"/>
      <w:bookmarkStart w:id="317" w:name="_Toc321"/>
      <w:bookmarkStart w:id="318" w:name="_Toc29916"/>
      <w:bookmarkStart w:id="319" w:name="_Toc3600"/>
      <w:bookmarkStart w:id="320" w:name="_Toc68441617"/>
      <w:r>
        <w:rPr>
          <w:rFonts w:hint="eastAsia" w:cs="Times New Roman"/>
          <w:b/>
          <w:sz w:val="44"/>
          <w:szCs w:val="44"/>
          <w:lang w:val="en-US" w:eastAsia="zh-CN"/>
        </w:rPr>
        <w:t>北山国际货场企业标识牌采购项目</w:t>
      </w:r>
      <w:r>
        <w:rPr>
          <w:rFonts w:hint="eastAsia" w:ascii="Times New Roman" w:hAnsi="Times New Roman" w:cs="Times New Roman"/>
          <w:b/>
          <w:sz w:val="44"/>
          <w:szCs w:val="44"/>
          <w:lang w:val="en-US" w:eastAsia="zh-CN"/>
        </w:rPr>
        <w:t>合同</w:t>
      </w:r>
    </w:p>
    <w:p w14:paraId="3A567044">
      <w:pPr>
        <w:keepNext w:val="0"/>
        <w:keepLines w:val="0"/>
        <w:pageBreakBefore w:val="0"/>
        <w:widowControl w:val="0"/>
        <w:kinsoku/>
        <w:wordWrap/>
        <w:overflowPunct/>
        <w:topLinePunct w:val="0"/>
        <w:autoSpaceDE w:val="0"/>
        <w:autoSpaceDN w:val="0"/>
        <w:bidi w:val="0"/>
        <w:adjustRightInd w:val="0"/>
        <w:snapToGrid/>
        <w:spacing w:line="360" w:lineRule="auto"/>
        <w:jc w:val="center"/>
        <w:rPr>
          <w:rFonts w:hint="eastAsia" w:ascii="宋体" w:hAnsi="宋体" w:cs="宋体"/>
          <w:b/>
          <w:bCs w:val="0"/>
          <w:color w:val="000000"/>
          <w:kern w:val="0"/>
          <w:sz w:val="24"/>
          <w:szCs w:val="24"/>
          <w:lang w:val="en-US" w:eastAsia="zh-CN"/>
        </w:rPr>
      </w:pPr>
    </w:p>
    <w:p w14:paraId="7543FCB7">
      <w:pPr>
        <w:keepNext w:val="0"/>
        <w:keepLines w:val="0"/>
        <w:pageBreakBefore w:val="0"/>
        <w:widowControl w:val="0"/>
        <w:kinsoku/>
        <w:wordWrap/>
        <w:overflowPunct/>
        <w:topLinePunct w:val="0"/>
        <w:autoSpaceDE w:val="0"/>
        <w:autoSpaceDN w:val="0"/>
        <w:bidi w:val="0"/>
        <w:adjustRightInd w:val="0"/>
        <w:snapToGrid/>
        <w:spacing w:line="360" w:lineRule="auto"/>
        <w:jc w:val="center"/>
        <w:rPr>
          <w:rFonts w:hint="eastAsia" w:ascii="宋体" w:hAnsi="宋体" w:eastAsia="宋体" w:cs="宋体"/>
          <w:b/>
          <w:bCs w:val="0"/>
          <w:color w:val="000000"/>
          <w:kern w:val="0"/>
          <w:sz w:val="24"/>
          <w:szCs w:val="24"/>
          <w:lang w:eastAsia="zh-CN"/>
        </w:rPr>
      </w:pPr>
      <w:r>
        <w:rPr>
          <w:rFonts w:hint="eastAsia" w:ascii="宋体" w:hAnsi="宋体" w:cs="宋体"/>
          <w:b/>
          <w:bCs w:val="0"/>
          <w:color w:val="000000"/>
          <w:kern w:val="0"/>
          <w:sz w:val="24"/>
          <w:szCs w:val="24"/>
          <w:lang w:val="en-US" w:eastAsia="zh-CN"/>
        </w:rPr>
        <w:t>备注：合同版本以最终签订版本为准</w:t>
      </w:r>
    </w:p>
    <w:p w14:paraId="60C1D3D9">
      <w:pPr>
        <w:keepLines w:val="0"/>
        <w:pageBreakBefore w:val="0"/>
        <w:kinsoku/>
        <w:wordWrap/>
        <w:overflowPunct/>
        <w:topLinePunct w:val="0"/>
        <w:bidi w:val="0"/>
        <w:adjustRightInd w:val="0"/>
        <w:snapToGrid w:val="0"/>
        <w:spacing w:line="360" w:lineRule="auto"/>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 xml:space="preserve">                        </w:t>
      </w:r>
      <w:r>
        <w:rPr>
          <w:rFonts w:hint="eastAsia" w:ascii="宋体" w:hAnsi="宋体" w:eastAsia="宋体" w:cs="宋体"/>
          <w:sz w:val="24"/>
          <w:szCs w:val="24"/>
          <w:highlight w:val="none"/>
        </w:rPr>
        <w:t>合同编号：</w:t>
      </w:r>
    </w:p>
    <w:p w14:paraId="439ECA65">
      <w:pPr>
        <w:keepLines w:val="0"/>
        <w:pageBreakBefore w:val="0"/>
        <w:kinsoku/>
        <w:wordWrap/>
        <w:overflowPunct/>
        <w:topLinePunct w:val="0"/>
        <w:bidi w:val="0"/>
        <w:adjustRightInd w:val="0"/>
        <w:snapToGrid w:val="0"/>
        <w:spacing w:line="360" w:lineRule="auto"/>
        <w:rPr>
          <w:rFonts w:hint="eastAsia" w:ascii="宋体" w:hAnsi="宋体" w:eastAsia="宋体" w:cs="宋体"/>
          <w:bCs/>
          <w:sz w:val="24"/>
          <w:szCs w:val="24"/>
          <w:highlight w:val="none"/>
        </w:rPr>
      </w:pPr>
      <w:r>
        <w:rPr>
          <w:rFonts w:hint="eastAsia" w:ascii="宋体" w:hAnsi="宋体" w:eastAsia="宋体" w:cs="宋体"/>
          <w:b/>
          <w:bCs/>
          <w:sz w:val="24"/>
          <w:szCs w:val="24"/>
          <w:highlight w:val="none"/>
        </w:rPr>
        <w:t xml:space="preserve">     </w:t>
      </w:r>
    </w:p>
    <w:p w14:paraId="3186FB98">
      <w:pPr>
        <w:keepLines w:val="0"/>
        <w:pageBreakBefore w:val="0"/>
        <w:kinsoku/>
        <w:wordWrap/>
        <w:overflowPunct/>
        <w:topLinePunct w:val="0"/>
        <w:bidi w:val="0"/>
        <w:adjustRightInd w:val="0"/>
        <w:snapToGrid w:val="0"/>
        <w:spacing w:line="360" w:lineRule="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甲  方：河口</w:t>
      </w:r>
      <w:r>
        <w:rPr>
          <w:rFonts w:hint="eastAsia" w:ascii="宋体" w:hAnsi="宋体" w:eastAsia="宋体" w:cs="宋体"/>
          <w:bCs/>
          <w:sz w:val="24"/>
          <w:szCs w:val="24"/>
          <w:highlight w:val="none"/>
          <w:lang w:val="en-US" w:eastAsia="zh-CN"/>
        </w:rPr>
        <w:t>滇越货场物流</w:t>
      </w:r>
      <w:r>
        <w:rPr>
          <w:rFonts w:hint="eastAsia" w:ascii="宋体" w:hAnsi="宋体" w:eastAsia="宋体" w:cs="宋体"/>
          <w:bCs/>
          <w:sz w:val="24"/>
          <w:szCs w:val="24"/>
          <w:highlight w:val="none"/>
        </w:rPr>
        <w:t>有限责任公司</w:t>
      </w:r>
    </w:p>
    <w:p w14:paraId="19AF108F">
      <w:pPr>
        <w:keepLines w:val="0"/>
        <w:pageBreakBefore w:val="0"/>
        <w:kinsoku/>
        <w:wordWrap/>
        <w:overflowPunct/>
        <w:topLinePunct w:val="0"/>
        <w:bidi w:val="0"/>
        <w:adjustRightInd w:val="0"/>
        <w:snapToGrid w:val="0"/>
        <w:spacing w:line="360" w:lineRule="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  址：云南省红河州河口县北山海关查验货场</w:t>
      </w:r>
    </w:p>
    <w:p w14:paraId="255D1C9C">
      <w:pPr>
        <w:keepLines w:val="0"/>
        <w:pageBreakBefore w:val="0"/>
        <w:kinsoku/>
        <w:wordWrap/>
        <w:overflowPunct/>
        <w:topLinePunct w:val="0"/>
        <w:bidi w:val="0"/>
        <w:adjustRightInd w:val="0"/>
        <w:snapToGrid w:val="0"/>
        <w:spacing w:line="360" w:lineRule="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电  话：0873-356950</w:t>
      </w:r>
      <w:r>
        <w:rPr>
          <w:rFonts w:hint="eastAsia" w:ascii="宋体" w:hAnsi="宋体" w:eastAsia="宋体" w:cs="宋体"/>
          <w:bCs/>
          <w:sz w:val="24"/>
          <w:szCs w:val="24"/>
          <w:highlight w:val="none"/>
          <w:lang w:val="en-US" w:eastAsia="zh-CN"/>
        </w:rPr>
        <w:t>5</w:t>
      </w:r>
    </w:p>
    <w:p w14:paraId="0AD4E4E7">
      <w:pPr>
        <w:keepLines w:val="0"/>
        <w:pageBreakBefore w:val="0"/>
        <w:kinsoku/>
        <w:wordWrap/>
        <w:overflowPunct/>
        <w:topLinePunct w:val="0"/>
        <w:bidi w:val="0"/>
        <w:adjustRightInd w:val="0"/>
        <w:snapToGrid w:val="0"/>
        <w:spacing w:line="360" w:lineRule="auto"/>
        <w:rPr>
          <w:rFonts w:hint="eastAsia" w:ascii="宋体" w:hAnsi="宋体" w:eastAsia="宋体" w:cs="宋体"/>
          <w:bCs/>
          <w:sz w:val="24"/>
          <w:szCs w:val="24"/>
          <w:highlight w:val="none"/>
        </w:rPr>
      </w:pPr>
    </w:p>
    <w:p w14:paraId="21CC6FF0">
      <w:pPr>
        <w:keepLines w:val="0"/>
        <w:pageBreakBefore w:val="0"/>
        <w:kinsoku/>
        <w:wordWrap/>
        <w:overflowPunct/>
        <w:topLinePunct w:val="0"/>
        <w:bidi w:val="0"/>
        <w:adjustRightInd w:val="0"/>
        <w:snapToGrid w:val="0"/>
        <w:spacing w:line="360" w:lineRule="auto"/>
        <w:rPr>
          <w:rFonts w:hint="eastAsia" w:ascii="宋体" w:hAnsi="宋体" w:eastAsia="宋体" w:cs="宋体"/>
          <w:bCs/>
          <w:sz w:val="24"/>
          <w:szCs w:val="24"/>
          <w:highlight w:val="none"/>
          <w:lang w:val="en-US" w:eastAsia="zh-CN"/>
        </w:rPr>
      </w:pPr>
      <w:r>
        <w:rPr>
          <w:rFonts w:hint="eastAsia" w:ascii="宋体" w:hAnsi="宋体" w:eastAsia="宋体" w:cs="宋体"/>
          <w:bCs/>
          <w:sz w:val="24"/>
          <w:szCs w:val="24"/>
          <w:highlight w:val="none"/>
        </w:rPr>
        <w:t>乙  方：</w:t>
      </w:r>
    </w:p>
    <w:p w14:paraId="0475B833">
      <w:pPr>
        <w:keepLines w:val="0"/>
        <w:pageBreakBefore w:val="0"/>
        <w:kinsoku/>
        <w:wordWrap/>
        <w:overflowPunct/>
        <w:topLinePunct w:val="0"/>
        <w:bidi w:val="0"/>
        <w:adjustRightInd w:val="0"/>
        <w:snapToGrid w:val="0"/>
        <w:spacing w:line="360" w:lineRule="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  址：</w:t>
      </w:r>
    </w:p>
    <w:p w14:paraId="62AC7366">
      <w:pPr>
        <w:keepLines w:val="0"/>
        <w:pageBreakBefore w:val="0"/>
        <w:kinsoku/>
        <w:wordWrap/>
        <w:overflowPunct/>
        <w:topLinePunct w:val="0"/>
        <w:bidi w:val="0"/>
        <w:adjustRightInd w:val="0"/>
        <w:snapToGrid w:val="0"/>
        <w:spacing w:line="360" w:lineRule="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联系人：</w:t>
      </w:r>
    </w:p>
    <w:p w14:paraId="777FC79C">
      <w:pPr>
        <w:keepLines w:val="0"/>
        <w:pageBreakBefore w:val="0"/>
        <w:kinsoku/>
        <w:wordWrap/>
        <w:overflowPunct/>
        <w:topLinePunct w:val="0"/>
        <w:bidi w:val="0"/>
        <w:adjustRightInd w:val="0"/>
        <w:snapToGrid w:val="0"/>
        <w:spacing w:line="360" w:lineRule="auto"/>
        <w:rPr>
          <w:rFonts w:hint="eastAsia" w:ascii="宋体" w:hAnsi="宋体" w:eastAsia="宋体" w:cs="宋体"/>
          <w:sz w:val="24"/>
          <w:szCs w:val="24"/>
          <w:highlight w:val="none"/>
        </w:rPr>
      </w:pPr>
      <w:r>
        <w:rPr>
          <w:rFonts w:hint="eastAsia" w:ascii="宋体" w:hAnsi="宋体" w:eastAsia="宋体" w:cs="宋体"/>
          <w:bCs/>
          <w:sz w:val="24"/>
          <w:szCs w:val="24"/>
          <w:highlight w:val="none"/>
        </w:rPr>
        <w:t>电  话：</w:t>
      </w:r>
    </w:p>
    <w:p w14:paraId="241D1FC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position w:val="0"/>
          <w:sz w:val="24"/>
          <w:szCs w:val="24"/>
          <w:lang w:val="en-US" w:eastAsia="zh-CN"/>
        </w:rPr>
      </w:pPr>
    </w:p>
    <w:p w14:paraId="7A65A53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根据《中华人民共和国民法典》、《中华人民共和国政府采购法》及北山国际货场标识标牌采购项目的采购文件、乙方的响应文件及《成交通知书》等文件，甲、乙双方在平等、自愿、公平和诚实信用的基础上，经协商一致，订立本合同。</w:t>
      </w:r>
    </w:p>
    <w:p w14:paraId="21D4D0A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一、项目概况</w:t>
      </w:r>
    </w:p>
    <w:p w14:paraId="3D03477F">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项目名称：北山国际货场标识标牌采购项目</w:t>
      </w:r>
    </w:p>
    <w:p w14:paraId="7DAEF55F">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项目地点：云南省红河哈尼族彝族自治州河口瑶族自治县北山国际货场</w:t>
      </w:r>
    </w:p>
    <w:p w14:paraId="1CD84D1E">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项目内容：乙方负责北山国际货场旧标识牌的拆除、除锈维护保养，新标识牌（含LED发光标识牌）的设计、制作、运输、安装、调试及售后维保等全部工作。</w:t>
      </w:r>
    </w:p>
    <w:p w14:paraId="643921ED">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承包方式：本项目采用乙方包工包料、包运输、包安装、包验收合格、包规定期限内的维护维修的总承包方式。</w:t>
      </w:r>
    </w:p>
    <w:p w14:paraId="6DFD551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二、采购内容及技术要求</w:t>
      </w:r>
    </w:p>
    <w:p w14:paraId="2686B950">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采购清单：具体采购标识牌的名称、规格型号、材质、数量、单价等详见分项报价表。</w:t>
      </w:r>
    </w:p>
    <w:p w14:paraId="2234A258">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技术要求：标识牌的技术参数、材质标准、制作工艺、LED光源要求、安装标准等详见技术要求。乙方提供的产品及服务不得低于技术要求中的标准。</w:t>
      </w:r>
    </w:p>
    <w:p w14:paraId="2DA9F29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三、合同价款</w:t>
      </w:r>
    </w:p>
    <w:p w14:paraId="7DF2B8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合同总价：人民币</w:t>
      </w:r>
      <w:r>
        <w:rPr>
          <w:rFonts w:hint="eastAsia" w:asciiTheme="minorEastAsia" w:hAnsiTheme="minorEastAsia" w:eastAsiaTheme="minorEastAsia" w:cstheme="minorEastAsia"/>
          <w:position w:val="0"/>
          <w:sz w:val="24"/>
          <w:szCs w:val="24"/>
          <w:u w:val="single"/>
          <w:lang w:val="en-US" w:eastAsia="zh-CN"/>
        </w:rPr>
        <w:t xml:space="preserve">       </w:t>
      </w:r>
      <w:r>
        <w:rPr>
          <w:rFonts w:hint="eastAsia" w:asciiTheme="minorEastAsia" w:hAnsiTheme="minorEastAsia" w:eastAsiaTheme="minorEastAsia" w:cstheme="minorEastAsia"/>
          <w:position w:val="0"/>
          <w:sz w:val="24"/>
          <w:szCs w:val="24"/>
          <w:lang w:val="en-US" w:eastAsia="zh-CN"/>
        </w:rPr>
        <w:t>元整（¥）。</w:t>
      </w:r>
    </w:p>
    <w:p w14:paraId="7A95785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该合同总价为固定总价，已包含旧标识牌拆除及部分除锈维护、新标识牌设计、材料、制造、包装、运输、安装、调试、检测、验收合格交付使用之前及质保期内保修服务与备品备件等所有含税费用。合同执行期间合同总价不变，甲方无须另向乙方支付本合同规定之外的其他任何费用。</w:t>
      </w:r>
    </w:p>
    <w:p w14:paraId="54D7667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四、工期要求</w:t>
      </w:r>
    </w:p>
    <w:p w14:paraId="5CF05A2F">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乙方应于合同签订生效之日起______个日历日内完成全部旧标识牌拆除、新标识牌制作安装、调试工作及除锈维护，并交付甲方验收。</w:t>
      </w:r>
    </w:p>
    <w:p w14:paraId="766FCE2F">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进场时间以甲方通知为准。</w:t>
      </w:r>
    </w:p>
    <w:p w14:paraId="19CE74F3">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因甲方原因或不可抗力导致工期延误的，工期相应顺延，乙方不承担违约责任。</w:t>
      </w:r>
    </w:p>
    <w:p w14:paraId="0FC8FEF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五、质量要求</w:t>
      </w:r>
    </w:p>
    <w:p w14:paraId="3C25274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 xml:space="preserve">乙方须提供全新的标识牌，表面无划伤、无碰撞痕迹，且权属清楚，不得侵害他人知识产权。  </w:t>
      </w:r>
    </w:p>
    <w:p w14:paraId="56C1850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 xml:space="preserve">标识牌须符合或优于国家（行业）标准以及采购文件的质量要求和技术指标。  </w:t>
      </w:r>
    </w:p>
    <w:p w14:paraId="6519ED3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bCs/>
          <w:position w:val="0"/>
          <w:sz w:val="24"/>
          <w:szCs w:val="24"/>
          <w:lang w:val="en-US" w:eastAsia="zh-CN"/>
        </w:rPr>
      </w:pPr>
      <w:r>
        <w:rPr>
          <w:rFonts w:hint="eastAsia" w:asciiTheme="minorEastAsia" w:hAnsiTheme="minorEastAsia" w:eastAsiaTheme="minorEastAsia" w:cstheme="minorEastAsia"/>
          <w:b/>
          <w:bCs/>
          <w:position w:val="0"/>
          <w:sz w:val="24"/>
          <w:szCs w:val="24"/>
          <w:lang w:val="en-US" w:eastAsia="zh-CN"/>
        </w:rPr>
        <w:t>1.LED光源、驱动电源及控制器</w:t>
      </w:r>
    </w:p>
    <w:p w14:paraId="60A6011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LED灯珠须采用国内一线户外专用品牌，提供原厂质保函，色温统一，整牌色温偏差符合规范；</w:t>
      </w:r>
    </w:p>
    <w:p w14:paraId="70047DF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驱动电源、主控控制器须为户外专用，整体防护等级不低于IP66（不接受仅灯珠IP65），并具备过压、过流、短路、浪涌保护功能；</w:t>
      </w:r>
    </w:p>
    <w:p w14:paraId="527DB0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LED电路板须进行三防（防潮、防霉、防盐雾）喷涂处理，满足湿热环境试验要求；</w:t>
      </w:r>
    </w:p>
    <w:p w14:paraId="1ACA6CA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LED箱体须设置排水孔及防水透气阀，防止凝露积水。</w:t>
      </w:r>
    </w:p>
    <w:p w14:paraId="59AF68E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bCs/>
          <w:position w:val="0"/>
          <w:sz w:val="24"/>
          <w:szCs w:val="24"/>
          <w:lang w:val="en-US" w:eastAsia="zh-CN"/>
        </w:rPr>
      </w:pPr>
      <w:r>
        <w:rPr>
          <w:rFonts w:hint="eastAsia" w:asciiTheme="minorEastAsia" w:hAnsiTheme="minorEastAsia" w:eastAsiaTheme="minorEastAsia" w:cstheme="minorEastAsia"/>
          <w:b/>
          <w:bCs/>
          <w:position w:val="0"/>
          <w:sz w:val="24"/>
          <w:szCs w:val="24"/>
          <w:lang w:val="en-US" w:eastAsia="zh-CN"/>
        </w:rPr>
        <w:t>2.亚克力发光面板</w:t>
      </w:r>
    </w:p>
    <w:p w14:paraId="79CEA3A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采用抗紫外线户外级亚克力板，透光率≥92%，承诺户外使用5年无明显发黄，并提供板材耐候检测报告。</w:t>
      </w:r>
    </w:p>
    <w:p w14:paraId="6EA1AC3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禁止使用普通室内亚克力，板材厚度须在清单中明确。</w:t>
      </w:r>
    </w:p>
    <w:p w14:paraId="1B7254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b/>
          <w:bCs/>
          <w:position w:val="0"/>
          <w:sz w:val="24"/>
          <w:szCs w:val="24"/>
          <w:lang w:val="en-US" w:eastAsia="zh-CN"/>
        </w:rPr>
        <w:t>3.钢结构骨架及连接件</w:t>
      </w:r>
    </w:p>
    <w:p w14:paraId="771701C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采用国标Q235B钢材，热镀锌层平均厚度≥85μm；</w:t>
      </w:r>
    </w:p>
    <w:p w14:paraId="2FA0619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焊接部位须打磨后喷涂环氧富锌底漆+中间漆+户外耐候面漆；</w:t>
      </w:r>
    </w:p>
    <w:p w14:paraId="74F4165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所有螺栓、垫片须为热镀锌或304不锈钢材质。</w:t>
      </w:r>
    </w:p>
    <w:p w14:paraId="07821C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b/>
          <w:bCs/>
          <w:position w:val="0"/>
          <w:sz w:val="24"/>
          <w:szCs w:val="24"/>
          <w:lang w:val="en-US" w:eastAsia="zh-CN"/>
        </w:rPr>
        <w:t>4.电气及防雷接地</w:t>
      </w:r>
    </w:p>
    <w:p w14:paraId="648F855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外部线缆采用耐候户外铜芯电缆，穿热镀锌金属护管敷设；</w:t>
      </w:r>
    </w:p>
    <w:p w14:paraId="0AAF307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所有金属箱体、钢骨架须做等电位防雷接地，接地电阻≤4Ω；</w:t>
      </w:r>
    </w:p>
    <w:p w14:paraId="4990FA9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LED输入端加装电源防雷浪涌保护器SPD。</w:t>
      </w:r>
    </w:p>
    <w:p w14:paraId="5B795D8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bCs/>
          <w:position w:val="0"/>
          <w:sz w:val="24"/>
          <w:szCs w:val="24"/>
          <w:lang w:val="en-US" w:eastAsia="zh-CN"/>
        </w:rPr>
      </w:pPr>
      <w:r>
        <w:rPr>
          <w:rFonts w:hint="eastAsia" w:asciiTheme="minorEastAsia" w:hAnsiTheme="minorEastAsia" w:eastAsiaTheme="minorEastAsia" w:cstheme="minorEastAsia"/>
          <w:b/>
          <w:bCs/>
          <w:position w:val="0"/>
          <w:sz w:val="24"/>
          <w:szCs w:val="24"/>
          <w:lang w:val="en-US" w:eastAsia="zh-CN"/>
        </w:rPr>
        <w:t>5.非发光标识标牌</w:t>
      </w:r>
    </w:p>
    <w:p w14:paraId="196ADEA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底板采用铝镁合金或铝锰合金板，不使用普通钢板；</w:t>
      </w:r>
    </w:p>
    <w:p w14:paraId="6E113C6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反光膜采用Ⅳ类及以上微棱镜反光膜，文字图案采用模切反光膜工艺，禁止油漆或丝印；</w:t>
      </w:r>
    </w:p>
    <w:p w14:paraId="21A7C10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耐盐雾、耐紫外线性能满足国标要求。</w:t>
      </w:r>
    </w:p>
    <w:p w14:paraId="5FD2B50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制作工艺：亚克力板材边缘须打磨光滑，LED模组固定牢固，发光字表面无划痕、无气泡；铁艺烤漆字须保证漆面均匀、无流挂，涂层附着力达标。</w:t>
      </w:r>
    </w:p>
    <w:p w14:paraId="76A73D7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性能要求：涂层附着力、颜色耐晒牢度、耐盐雾性能、耐湿热性能、耐霉菌性能等须提供第三方检测报告。LED发光字须通过整机通电老化测试（连续72小时无故障）。</w:t>
      </w:r>
    </w:p>
    <w:p w14:paraId="07FFE8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 xml:space="preserve">标识牌制作安装应安全、牢固、美观、平整，发光均匀，无明显暗区和光斑。  </w:t>
      </w:r>
    </w:p>
    <w:p w14:paraId="65AAA93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制造质量问题，乙方应负责包修、包换、包退，费用由乙方承担。甲方有权到乙方生产场地检查质量和生产进度。</w:t>
      </w:r>
    </w:p>
    <w:p w14:paraId="42A70E8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六、旧标识牌拆除</w:t>
      </w:r>
    </w:p>
    <w:p w14:paraId="296ACF3F">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乙方负责北山国际货场原有旧标识牌的安全拆除及清运处置工作。</w:t>
      </w:r>
    </w:p>
    <w:p w14:paraId="3601CDEA">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拆除过程中应确保不损坏周边建筑物、设施及线路，如有损坏，由乙方负责修复并承担费用。</w:t>
      </w:r>
    </w:p>
    <w:p w14:paraId="7C596CF4">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拆除的旧标识牌及废弃物由乙方负责清运出场，并按相关规定妥善处置。</w:t>
      </w:r>
    </w:p>
    <w:p w14:paraId="6CF0DDAB">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拆除作业涉及高空作业的，须严格按高空作业安全规范执行。</w:t>
      </w:r>
    </w:p>
    <w:p w14:paraId="70C93F0E">
      <w:pPr>
        <w:keepNext w:val="0"/>
        <w:keepLines w:val="0"/>
        <w:pageBreakBefore w:val="0"/>
        <w:widowControl w:val="0"/>
        <w:numPr>
          <w:ilvl w:val="0"/>
          <w:numId w:val="7"/>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除锈维护要求：对原钢架进行除锈养护时，除锈后须重新进行防腐处理，具体为：打磨除锈至St2.5级，喷涂环氧富锌底漆+中间漆+户外耐候面漆，或重新热镀锌（镀锌层平均厚度≥85μm），确保焊接部位及原有锈蚀区域得到有效防护。</w:t>
      </w:r>
    </w:p>
    <w:p w14:paraId="57CC61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七、安装施工要求</w:t>
      </w:r>
    </w:p>
    <w:p w14:paraId="2FCB402B">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乙方须按照经甲方确认的安装方案进行施工，方案应包含完整的施工工序、安全措施及应急预案。</w:t>
      </w:r>
    </w:p>
    <w:p w14:paraId="4B525A72">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乙方应严格按照国家有关施工标准及规范进行施工，确保施工安全。</w:t>
      </w:r>
    </w:p>
    <w:p w14:paraId="74E06994">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乙方负责标识牌的基础制作、支架安装、灯箱吊装、电气接线、调试等全部安装工作。</w:t>
      </w:r>
    </w:p>
    <w:p w14:paraId="764F2259">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电气线路敷设须规范，接线安全可靠，接地保护完善。</w:t>
      </w:r>
    </w:p>
    <w:p w14:paraId="46659501">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施工期间应做好安全区域隔离，摆放安全提示牌，施工人员穿戴安全警示服装。</w:t>
      </w:r>
    </w:p>
    <w:p w14:paraId="6703E589">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乙方应服从甲方统一管理，与货场内其他作业及交叉施工单位协调配合。</w:t>
      </w:r>
    </w:p>
    <w:p w14:paraId="35B283A9">
      <w:pPr>
        <w:keepNext w:val="0"/>
        <w:keepLines w:val="0"/>
        <w:pageBreakBefore w:val="0"/>
        <w:widowControl w:val="0"/>
        <w:numPr>
          <w:ilvl w:val="0"/>
          <w:numId w:val="8"/>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施工完成后须清理现场，确保无建筑垃圾残留。</w:t>
      </w:r>
    </w:p>
    <w:p w14:paraId="69C0AE6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八、高空作业安全要求</w:t>
      </w:r>
    </w:p>
    <w:p w14:paraId="40B6CD5A">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凡涉及高空作业的施工人员，必须持有有效的“高处安装、维护、拆除作业”特种作业操作证；电气作业人员须持有效电工特种作业操作证，并向甲方提供证书复印件备案。</w:t>
      </w:r>
    </w:p>
    <w:p w14:paraId="359FD926">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乙方对施工全过程的安全负全部责任，包括施工人员人身安全、第三方人身及财产安全、货场设施及建筑物安全。施工中发生非甲方原因造成的所有安全事故均由乙方承担责任。</w:t>
      </w:r>
    </w:p>
    <w:p w14:paraId="57C81941">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乙方必须为所有施工人员购买人身意外伤害保险，并向甲方提供保险单复印件。</w:t>
      </w:r>
    </w:p>
    <w:p w14:paraId="2500C0B3">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施工前须对作业人员进行安全培训和技术交底，配备合格的安全防护用品（安全帽、安全带（双钩）、安全绳、防滑鞋等）。</w:t>
      </w:r>
    </w:p>
    <w:p w14:paraId="155304FF">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遇大风（风力≥6级）、暴雨、雷电等恶劣天气，必须停止高空作业并撤离现场。</w:t>
      </w:r>
    </w:p>
    <w:p w14:paraId="2A7E7D88">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涉及动火作业须办理动火许可证，配备灭火器材并安排专人监护。</w:t>
      </w:r>
    </w:p>
    <w:p w14:paraId="2C5EB5E3">
      <w:pPr>
        <w:keepNext w:val="0"/>
        <w:keepLines w:val="0"/>
        <w:pageBreakBefore w:val="0"/>
        <w:widowControl w:val="0"/>
        <w:numPr>
          <w:ilvl w:val="0"/>
          <w:numId w:val="9"/>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乙方须在开工前编制详细的安全专项施工方案，报甲方审核后方可开工。</w:t>
      </w:r>
    </w:p>
    <w:p w14:paraId="538B369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九、货物交付与验收</w:t>
      </w:r>
    </w:p>
    <w:p w14:paraId="6FBA8193">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乙方负责将标识牌免费运输至甲方指定地点，并承担运输过程中发生的一切费用及风险。</w:t>
      </w:r>
    </w:p>
    <w:p w14:paraId="71DE9EB4">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货物到达现场后，双方共同核对品牌、外观、规格型号、数量、配件等。</w:t>
      </w:r>
    </w:p>
    <w:p w14:paraId="254BFCDE">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乙方安装调试完毕后通知甲方进行初步验收。初步验收合格后，进入__7__天试用期；试用期间发生质量问题，修复后试用期相应顺延。</w:t>
      </w:r>
    </w:p>
    <w:p w14:paraId="7E4A2B86">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试用期结束后__1__日内完成最终验收，验收合格的，双方签署项目验收单并加盖双方公章。</w:t>
      </w:r>
    </w:p>
    <w:p w14:paraId="178E06FD">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验收标准按国家有关规定以及采购文件的技术指标、乙方的响应文件及本合同约定执行。</w:t>
      </w:r>
    </w:p>
    <w:p w14:paraId="299778CD">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验收时如发现货物有次品、损坏或其它不符合约定的情形，甲方应做详尽记录，由此产生的时间延误与费用由乙方承担。</w:t>
      </w:r>
    </w:p>
    <w:p w14:paraId="17820767">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如货物经乙方__2__次维修仍不能达到约定标准，甲方有权退货，并视作乙方不能交付货物。</w:t>
      </w:r>
    </w:p>
    <w:p w14:paraId="5EDB96F5">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乙方应将所提供货物的产品合格证、使用说明、保修卡等资料交付给甲方。</w:t>
      </w:r>
    </w:p>
    <w:p w14:paraId="64FDE89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十、付款方式</w:t>
      </w:r>
    </w:p>
    <w:p w14:paraId="01335296">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本合同签订后</w:t>
      </w:r>
      <w:r>
        <w:rPr>
          <w:rFonts w:hint="eastAsia" w:asciiTheme="minorEastAsia" w:hAnsiTheme="minorEastAsia" w:eastAsiaTheme="minorEastAsia" w:cstheme="minorEastAsia"/>
          <w:position w:val="0"/>
          <w:sz w:val="24"/>
          <w:szCs w:val="24"/>
          <w:u w:val="single"/>
          <w:lang w:val="en-US" w:eastAsia="zh-CN"/>
        </w:rPr>
        <w:t xml:space="preserve">  7  </w:t>
      </w:r>
      <w:r>
        <w:rPr>
          <w:rFonts w:hint="eastAsia" w:asciiTheme="minorEastAsia" w:hAnsiTheme="minorEastAsia" w:eastAsiaTheme="minorEastAsia" w:cstheme="minorEastAsia"/>
          <w:position w:val="0"/>
          <w:sz w:val="24"/>
          <w:szCs w:val="24"/>
          <w:lang w:val="en-US" w:eastAsia="zh-CN"/>
        </w:rPr>
        <w:t>个工作日内，甲方向乙方支付合同总价的______%，即人民币</w:t>
      </w:r>
      <w:r>
        <w:rPr>
          <w:rFonts w:hint="eastAsia" w:asciiTheme="minorEastAsia" w:hAnsiTheme="minorEastAsia" w:eastAsiaTheme="minorEastAsia" w:cstheme="minorEastAsia"/>
          <w:position w:val="0"/>
          <w:sz w:val="24"/>
          <w:szCs w:val="24"/>
          <w:u w:val="single"/>
          <w:lang w:val="en-US" w:eastAsia="zh-CN"/>
        </w:rPr>
        <w:t xml:space="preserve">     </w:t>
      </w:r>
      <w:r>
        <w:rPr>
          <w:rFonts w:hint="eastAsia" w:asciiTheme="minorEastAsia" w:hAnsiTheme="minorEastAsia" w:eastAsiaTheme="minorEastAsia" w:cstheme="minorEastAsia"/>
          <w:position w:val="0"/>
          <w:sz w:val="24"/>
          <w:szCs w:val="24"/>
          <w:lang w:val="en-US" w:eastAsia="zh-CN"/>
        </w:rPr>
        <w:t>（大写：   ）作为预付款；全部标识牌安装调试完毕并经甲方最终验收合格后</w:t>
      </w:r>
      <w:r>
        <w:rPr>
          <w:rFonts w:hint="eastAsia" w:asciiTheme="minorEastAsia" w:hAnsiTheme="minorEastAsia" w:eastAsiaTheme="minorEastAsia" w:cstheme="minorEastAsia"/>
          <w:position w:val="0"/>
          <w:sz w:val="24"/>
          <w:szCs w:val="24"/>
          <w:u w:val="single"/>
          <w:lang w:val="en-US" w:eastAsia="zh-CN"/>
        </w:rPr>
        <w:t xml:space="preserve">   7   </w:t>
      </w:r>
      <w:r>
        <w:rPr>
          <w:rFonts w:hint="eastAsia" w:asciiTheme="minorEastAsia" w:hAnsiTheme="minorEastAsia" w:eastAsiaTheme="minorEastAsia" w:cstheme="minorEastAsia"/>
          <w:position w:val="0"/>
          <w:sz w:val="24"/>
          <w:szCs w:val="24"/>
          <w:lang w:val="en-US" w:eastAsia="zh-CN"/>
        </w:rPr>
        <w:t>个工作日内，甲方向乙方支付至合同总价的______%，即人民币</w:t>
      </w:r>
      <w:r>
        <w:rPr>
          <w:rFonts w:hint="eastAsia" w:asciiTheme="minorEastAsia" w:hAnsiTheme="minorEastAsia" w:eastAsiaTheme="minorEastAsia" w:cstheme="minorEastAsia"/>
          <w:position w:val="0"/>
          <w:sz w:val="24"/>
          <w:szCs w:val="24"/>
          <w:u w:val="single"/>
          <w:lang w:val="en-US" w:eastAsia="zh-CN"/>
        </w:rPr>
        <w:t xml:space="preserve">     </w:t>
      </w:r>
      <w:r>
        <w:rPr>
          <w:rFonts w:hint="eastAsia" w:asciiTheme="minorEastAsia" w:hAnsiTheme="minorEastAsia" w:eastAsiaTheme="minorEastAsia" w:cstheme="minorEastAsia"/>
          <w:position w:val="0"/>
          <w:sz w:val="24"/>
          <w:szCs w:val="24"/>
          <w:lang w:val="en-US" w:eastAsia="zh-CN"/>
        </w:rPr>
        <w:t>（大写：    ）。</w:t>
      </w:r>
    </w:p>
    <w:p w14:paraId="15D87ED5">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乙方每次申请付款前须向甲方提供合法有效的增值税专用发票，税率为</w:t>
      </w:r>
      <w:r>
        <w:rPr>
          <w:rFonts w:hint="eastAsia" w:asciiTheme="minorEastAsia" w:hAnsiTheme="minorEastAsia" w:eastAsiaTheme="minorEastAsia" w:cstheme="minorEastAsia"/>
          <w:position w:val="0"/>
          <w:sz w:val="24"/>
          <w:szCs w:val="24"/>
          <w:u w:val="single"/>
          <w:lang w:val="en-US" w:eastAsia="zh-CN"/>
        </w:rPr>
        <w:t xml:space="preserve">     </w:t>
      </w:r>
      <w:r>
        <w:rPr>
          <w:rFonts w:hint="eastAsia" w:asciiTheme="minorEastAsia" w:hAnsiTheme="minorEastAsia" w:eastAsiaTheme="minorEastAsia" w:cstheme="minorEastAsia"/>
          <w:position w:val="0"/>
          <w:sz w:val="24"/>
          <w:szCs w:val="24"/>
          <w:lang w:val="en-US" w:eastAsia="zh-CN"/>
        </w:rPr>
        <w:t>。</w:t>
      </w:r>
    </w:p>
    <w:p w14:paraId="00699884">
      <w:pPr>
        <w:keepNext w:val="0"/>
        <w:keepLines w:val="0"/>
        <w:pageBreakBefore w:val="0"/>
        <w:widowControl w:val="0"/>
        <w:numPr>
          <w:ilvl w:val="0"/>
          <w:numId w:val="11"/>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3.本合同质保金为合同总价的</w:t>
      </w:r>
      <w:r>
        <w:rPr>
          <w:rFonts w:hint="eastAsia" w:asciiTheme="minorEastAsia" w:hAnsiTheme="minorEastAsia" w:eastAsiaTheme="minorEastAsia" w:cstheme="minorEastAsia"/>
          <w:position w:val="0"/>
          <w:sz w:val="24"/>
          <w:szCs w:val="24"/>
          <w:u w:val="single"/>
          <w:lang w:val="en-US" w:eastAsia="zh-CN"/>
        </w:rPr>
        <w:t xml:space="preserve">  3%  </w:t>
      </w:r>
      <w:r>
        <w:rPr>
          <w:rFonts w:hint="eastAsia" w:asciiTheme="minorEastAsia" w:hAnsiTheme="minorEastAsia" w:eastAsiaTheme="minorEastAsia" w:cstheme="minorEastAsia"/>
          <w:position w:val="0"/>
          <w:sz w:val="24"/>
          <w:szCs w:val="24"/>
          <w:lang w:val="en-US" w:eastAsia="zh-CN"/>
        </w:rPr>
        <w:t>，即人民币______元（大写：______）。全部标识牌安装调试完毕并经甲方最终验收合格后，甲方有权从应付乙方款项中直接预留合同总价的3%作为质保金；质保期自最终验收合格之日起</w:t>
      </w:r>
      <w:r>
        <w:rPr>
          <w:rFonts w:hint="eastAsia" w:asciiTheme="minorEastAsia" w:hAnsiTheme="minorEastAsia" w:eastAsiaTheme="minorEastAsia" w:cstheme="minorEastAsia"/>
          <w:position w:val="0"/>
          <w:sz w:val="24"/>
          <w:szCs w:val="24"/>
          <w:u w:val="single"/>
          <w:lang w:val="en-US" w:eastAsia="zh-CN"/>
        </w:rPr>
        <w:t xml:space="preserve"> </w:t>
      </w:r>
      <w:r>
        <w:rPr>
          <w:rFonts w:hint="eastAsia" w:asciiTheme="minorEastAsia" w:hAnsiTheme="minorEastAsia" w:eastAsiaTheme="minorEastAsia" w:cstheme="minorEastAsia"/>
          <w:position w:val="0"/>
          <w:sz w:val="24"/>
          <w:szCs w:val="24"/>
          <w:u w:val="single"/>
          <w:lang w:val="en-US" w:eastAsia="zh-CN"/>
        </w:rPr>
        <w:t xml:space="preserve">2 </w:t>
      </w:r>
      <w:r>
        <w:rPr>
          <w:rFonts w:hint="eastAsia" w:asciiTheme="minorEastAsia" w:hAnsiTheme="minorEastAsia" w:eastAsiaTheme="minorEastAsia" w:cstheme="minorEastAsia"/>
          <w:position w:val="0"/>
          <w:sz w:val="24"/>
          <w:szCs w:val="24"/>
          <w:lang w:val="en-US" w:eastAsia="zh-CN"/>
        </w:rPr>
        <w:t>年，质保期满且乙方已按约履行质保义务、无未处理质量问题的，甲方在</w:t>
      </w:r>
      <w:r>
        <w:rPr>
          <w:rFonts w:hint="eastAsia" w:asciiTheme="minorEastAsia" w:hAnsiTheme="minorEastAsia" w:eastAsiaTheme="minorEastAsia" w:cstheme="minorEastAsia"/>
          <w:position w:val="0"/>
          <w:sz w:val="24"/>
          <w:szCs w:val="24"/>
          <w:u w:val="single"/>
          <w:lang w:val="en-US" w:eastAsia="zh-CN"/>
        </w:rPr>
        <w:t xml:space="preserve"> 12 </w:t>
      </w:r>
      <w:r>
        <w:rPr>
          <w:rFonts w:hint="eastAsia" w:asciiTheme="minorEastAsia" w:hAnsiTheme="minorEastAsia" w:eastAsiaTheme="minorEastAsia" w:cstheme="minorEastAsia"/>
          <w:position w:val="0"/>
          <w:sz w:val="24"/>
          <w:szCs w:val="24"/>
          <w:lang w:val="en-US" w:eastAsia="zh-CN"/>
        </w:rPr>
        <w:t>个工作日内向乙方无息返还质保金。质保期内发生质量问题，乙方未及时维修、更换或处理的，甲方有权从质保金中直接扣除相应费用，不足部分仍有权向乙方追偿。</w:t>
      </w:r>
      <w:bookmarkStart w:id="483" w:name="_GoBack"/>
      <w:bookmarkEnd w:id="483"/>
    </w:p>
    <w:p w14:paraId="1862A4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十一、质量保证与售后服务</w:t>
      </w:r>
    </w:p>
    <w:p w14:paraId="743516A2">
      <w:pPr>
        <w:keepNext w:val="0"/>
        <w:keepLines w:val="0"/>
        <w:pageBreakBefore w:val="0"/>
        <w:widowControl w:val="0"/>
        <w:numPr>
          <w:ilvl w:val="0"/>
          <w:numId w:val="12"/>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整体质保期为</w:t>
      </w:r>
      <w:r>
        <w:rPr>
          <w:rFonts w:hint="eastAsia" w:asciiTheme="minorEastAsia" w:hAnsiTheme="minorEastAsia" w:eastAsiaTheme="minorEastAsia" w:cstheme="minorEastAsia"/>
          <w:position w:val="0"/>
          <w:sz w:val="24"/>
          <w:szCs w:val="24"/>
          <w:u w:val="single"/>
          <w:lang w:val="en-US" w:eastAsia="zh-CN"/>
        </w:rPr>
        <w:t>2</w:t>
      </w:r>
      <w:r>
        <w:rPr>
          <w:rFonts w:hint="eastAsia" w:asciiTheme="minorEastAsia" w:hAnsiTheme="minorEastAsia" w:eastAsiaTheme="minorEastAsia" w:cstheme="minorEastAsia"/>
          <w:position w:val="0"/>
          <w:sz w:val="24"/>
          <w:szCs w:val="24"/>
          <w:lang w:val="en-US" w:eastAsia="zh-CN"/>
        </w:rPr>
        <w:t>年，自最终验收合格之日起计算。</w:t>
      </w:r>
    </w:p>
    <w:p w14:paraId="5490FFF0">
      <w:pPr>
        <w:keepNext w:val="0"/>
        <w:keepLines w:val="0"/>
        <w:pageBreakBefore w:val="0"/>
        <w:widowControl w:val="0"/>
        <w:numPr>
          <w:ilvl w:val="0"/>
          <w:numId w:val="12"/>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质保期内，标识牌出现质量问题，乙方应在接到甲方通知后______小时内响应，______小时内到场维修。</w:t>
      </w:r>
    </w:p>
    <w:p w14:paraId="05B7BCFE">
      <w:pPr>
        <w:keepNext w:val="0"/>
        <w:keepLines w:val="0"/>
        <w:pageBreakBefore w:val="0"/>
        <w:widowControl w:val="0"/>
        <w:numPr>
          <w:ilvl w:val="0"/>
          <w:numId w:val="12"/>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紧急故障（如标识牌脱落、线路漏电、LED大面积失效等），乙方须在______小时内修复。</w:t>
      </w:r>
    </w:p>
    <w:p w14:paraId="481802A9">
      <w:pPr>
        <w:keepNext w:val="0"/>
        <w:keepLines w:val="0"/>
        <w:pageBreakBefore w:val="0"/>
        <w:widowControl w:val="0"/>
        <w:numPr>
          <w:ilvl w:val="0"/>
          <w:numId w:val="12"/>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乙方应保证质保期内备品备件的供应。</w:t>
      </w:r>
    </w:p>
    <w:p w14:paraId="2C8AA9B2">
      <w:pPr>
        <w:keepNext w:val="0"/>
        <w:keepLines w:val="0"/>
        <w:pageBreakBefore w:val="0"/>
        <w:widowControl w:val="0"/>
        <w:numPr>
          <w:ilvl w:val="0"/>
          <w:numId w:val="12"/>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乙方负责对甲方指定人员进行标识牌日常使用与简易维护培训。</w:t>
      </w:r>
    </w:p>
    <w:p w14:paraId="519839E2">
      <w:pPr>
        <w:keepNext w:val="0"/>
        <w:keepLines w:val="0"/>
        <w:pageBreakBefore w:val="0"/>
        <w:widowControl w:val="0"/>
        <w:numPr>
          <w:ilvl w:val="0"/>
          <w:numId w:val="12"/>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质保期满后，乙方应以成本价继续提供维修服务。</w:t>
      </w:r>
    </w:p>
    <w:p w14:paraId="3311E8E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十二、双方权利与义务</w:t>
      </w:r>
    </w:p>
    <w:p w14:paraId="56F83BD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（一）甲方权利与义务</w:t>
      </w:r>
    </w:p>
    <w:p w14:paraId="6507A41F">
      <w:pPr>
        <w:keepNext w:val="0"/>
        <w:keepLines w:val="0"/>
        <w:pageBreakBefore w:val="0"/>
        <w:widowControl w:val="0"/>
        <w:numPr>
          <w:ilvl w:val="0"/>
          <w:numId w:val="13"/>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甲方有权对标识牌的制作质量、安装进度、施工安全等进行监督检查，有权要求整改。</w:t>
      </w:r>
    </w:p>
    <w:p w14:paraId="56645D2C">
      <w:pPr>
        <w:keepNext w:val="0"/>
        <w:keepLines w:val="0"/>
        <w:pageBreakBefore w:val="0"/>
        <w:widowControl w:val="0"/>
        <w:numPr>
          <w:ilvl w:val="0"/>
          <w:numId w:val="13"/>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甲方应在开工前提供施工所需场地，协调货场内作业安排，为乙方施工提供便利条件。</w:t>
      </w:r>
    </w:p>
    <w:p w14:paraId="756A47F2">
      <w:pPr>
        <w:keepNext w:val="0"/>
        <w:keepLines w:val="0"/>
        <w:pageBreakBefore w:val="0"/>
        <w:widowControl w:val="0"/>
        <w:numPr>
          <w:ilvl w:val="0"/>
          <w:numId w:val="13"/>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甲方应为乙方提供施工用电源接口（费用由乙方承担）及材料存放场地。</w:t>
      </w:r>
    </w:p>
    <w:p w14:paraId="18084B0B">
      <w:pPr>
        <w:keepNext w:val="0"/>
        <w:keepLines w:val="0"/>
        <w:pageBreakBefore w:val="0"/>
        <w:widowControl w:val="0"/>
        <w:numPr>
          <w:ilvl w:val="0"/>
          <w:numId w:val="13"/>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甲方应按约定及时组织验收并支付合同款项。</w:t>
      </w:r>
    </w:p>
    <w:p w14:paraId="2DB57A1A">
      <w:pPr>
        <w:keepNext w:val="0"/>
        <w:keepLines w:val="0"/>
        <w:pageBreakBefore w:val="0"/>
        <w:widowControl w:val="0"/>
        <w:numPr>
          <w:ilvl w:val="0"/>
          <w:numId w:val="13"/>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甲方委派______（联系电话：______）为现场负责人。</w:t>
      </w:r>
    </w:p>
    <w:p w14:paraId="74270DC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（二）乙方权利与义务</w:t>
      </w:r>
    </w:p>
    <w:p w14:paraId="0520F152">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乙方有权按约定收取合同款项。</w:t>
      </w:r>
    </w:p>
    <w:p w14:paraId="6826DD79">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乙方应按照甲方确认的设计图纸和技术要求进行制作和安装。</w:t>
      </w:r>
    </w:p>
    <w:p w14:paraId="55DA1422">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乙方应编制详细的施工组织方案和安全专项方案，报甲方审核后方可开工。</w:t>
      </w:r>
    </w:p>
    <w:p w14:paraId="5778D67B">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乙方应做好施工安全防护工作，对施工全过程的安全负全部责任。</w:t>
      </w:r>
    </w:p>
    <w:p w14:paraId="75D465CB">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乙方应服从甲方统一管理，与货场内其他作业及交叉施工单位协调配合。</w:t>
      </w:r>
    </w:p>
    <w:p w14:paraId="320334BD">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乙方委派______（联系电话：______）为项目负责人。</w:t>
      </w:r>
    </w:p>
    <w:p w14:paraId="48634E42">
      <w:pPr>
        <w:keepNext w:val="0"/>
        <w:keepLines w:val="0"/>
        <w:pageBreakBefore w:val="0"/>
        <w:widowControl w:val="0"/>
        <w:numPr>
          <w:ilvl w:val="0"/>
          <w:numId w:val="14"/>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乙方在施工期间应做到文明施工，控制噪音、扬尘，减少对货场正常作业的影响。</w:t>
      </w:r>
    </w:p>
    <w:p w14:paraId="51D248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十三、违约责任</w:t>
      </w:r>
    </w:p>
    <w:p w14:paraId="530F8467">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乙双方应全面履行本合同义务，任何一方违约都应承担违约责任。</w:t>
      </w:r>
    </w:p>
    <w:p w14:paraId="19F5249E">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未按约定时间完成交货及安装的，每逾期一日，按合同总价的______‰向甲方支付违约金；货物质量不符合约定的，甲方有权要求乙方免费更换或返工，费用及工期延误由乙方承担；施工中因乙方原因造成人身伤亡或财产损失的，乙方承担全部责任及赔偿。</w:t>
      </w:r>
    </w:p>
    <w:p w14:paraId="73D0C40C">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甲方未按约定时间支付款项的，每逾期一日，按应付未付金额的______‰向乙方支付违约金。</w:t>
      </w:r>
    </w:p>
    <w:p w14:paraId="0458F4C5">
      <w:pPr>
        <w:keepNext w:val="0"/>
        <w:keepLines w:val="0"/>
        <w:pageBreakBefore w:val="0"/>
        <w:widowControl w:val="0"/>
        <w:numPr>
          <w:ilvl w:val="0"/>
          <w:numId w:val="15"/>
        </w:numPr>
        <w:kinsoku/>
        <w:wordWrap/>
        <w:overflowPunct/>
        <w:topLinePunct w:val="0"/>
        <w:autoSpaceDE/>
        <w:autoSpaceDN/>
        <w:bidi w:val="0"/>
        <w:adjustRightInd/>
        <w:snapToGrid/>
        <w:spacing w:line="360" w:lineRule="auto"/>
        <w:ind w:left="425" w:leftChars="0"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因乙方原因致使合同目的无法实现的，甲方有权单方解除合同，乙方应退还已收取的全部款项，并赔偿甲方因此遭受的全部损失。</w:t>
      </w:r>
    </w:p>
    <w:p w14:paraId="6941DAB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十四、不可抗力</w:t>
      </w:r>
    </w:p>
    <w:p w14:paraId="30CD7D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因不可抗力不能履行合同的，根据不可抗力的影响，部分或全部免除责任，但法律另有规定的除外。迟延履行后发生不可抗力的，不能免除责任。一方因不可抗力不能履行合同的，应及时通知对方，并在合理期限内提供证明。</w:t>
      </w:r>
    </w:p>
    <w:p w14:paraId="4172D4F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十五、争议解决</w:t>
      </w:r>
    </w:p>
    <w:p w14:paraId="3E75A2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本合同履行过程中发生争议的，双方应友好协商解决；协商不成的，任何一方均有权向甲方所在地有管辖权的人民法院提起诉讼。</w:t>
      </w:r>
    </w:p>
    <w:p w14:paraId="7B2BFFC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十六、其他约定</w:t>
      </w:r>
    </w:p>
    <w:p w14:paraId="1D6C277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本合同自双方法定代表人或授权代表签字并加盖公章之日起生效。</w:t>
      </w:r>
    </w:p>
    <w:p w14:paraId="3151755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本合同一式_肆_份，甲方执_贰_份，乙方执_贰_份，每份具有同等法律效力。</w:t>
      </w:r>
    </w:p>
    <w:p w14:paraId="362D489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本合同未尽事宜，可由双方另行签订补充协议，补充协议与本合同具有同等法律效力。</w:t>
      </w:r>
    </w:p>
    <w:p w14:paraId="6D82DE2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position w:val="0"/>
          <w:sz w:val="24"/>
          <w:szCs w:val="24"/>
          <w:lang w:val="en-US" w:eastAsia="zh-CN"/>
        </w:rPr>
      </w:pPr>
    </w:p>
    <w:p w14:paraId="52ADE79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（以下无正文）</w:t>
      </w:r>
    </w:p>
    <w:p w14:paraId="752378D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甲方（盖章）：河口滇越货场物流有限责任公司</w:t>
      </w:r>
    </w:p>
    <w:p w14:paraId="7F64257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法定代表人/授权代表（签字）：</w:t>
      </w:r>
    </w:p>
    <w:p w14:paraId="75E80DD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日期：</w:t>
      </w:r>
    </w:p>
    <w:p w14:paraId="7ADE28B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p>
    <w:p w14:paraId="2A47FDD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p>
    <w:p w14:paraId="6B8A8EA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p>
    <w:p w14:paraId="73D6473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乙方（盖章）：</w:t>
      </w:r>
    </w:p>
    <w:p w14:paraId="427F31E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 xml:space="preserve">法定代表人/授权代表（签字）： </w:t>
      </w:r>
    </w:p>
    <w:p w14:paraId="2EE8AB9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日期：</w:t>
      </w:r>
    </w:p>
    <w:p w14:paraId="01EEB74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p>
    <w:p w14:paraId="792B52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position w:val="0"/>
          <w:sz w:val="24"/>
          <w:szCs w:val="24"/>
          <w:lang w:val="en-US" w:eastAsia="zh-CN"/>
        </w:rPr>
      </w:pPr>
    </w:p>
    <w:p w14:paraId="6637779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position w:val="0"/>
          <w:sz w:val="24"/>
          <w:szCs w:val="24"/>
          <w:lang w:val="en-US" w:eastAsia="zh-CN"/>
        </w:rPr>
      </w:pPr>
    </w:p>
    <w:p w14:paraId="4250277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position w:val="0"/>
          <w:sz w:val="24"/>
          <w:szCs w:val="24"/>
          <w:lang w:val="en-US" w:eastAsia="zh-CN"/>
        </w:rPr>
      </w:pPr>
    </w:p>
    <w:p w14:paraId="0ED54B7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position w:val="0"/>
          <w:sz w:val="24"/>
          <w:szCs w:val="24"/>
          <w:lang w:val="en-US" w:eastAsia="zh-CN"/>
        </w:rPr>
      </w:pPr>
    </w:p>
    <w:p w14:paraId="3634FF46">
      <w:pPr>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br w:type="page"/>
      </w:r>
    </w:p>
    <w:p w14:paraId="433C12AD">
      <w:pPr>
        <w:keepNext w:val="0"/>
        <w:keepLines w:val="0"/>
        <w:pageBreakBefore w:val="0"/>
        <w:widowControl w:val="0"/>
        <w:kinsoku/>
        <w:wordWrap/>
        <w:overflowPunct/>
        <w:topLinePunct w:val="0"/>
        <w:bidi w:val="0"/>
        <w:spacing w:line="360" w:lineRule="auto"/>
        <w:jc w:val="center"/>
        <w:textAlignment w:val="auto"/>
        <w:rPr>
          <w:rFonts w:hint="eastAsia" w:asciiTheme="minorEastAsia" w:hAnsiTheme="minorEastAsia" w:eastAsiaTheme="minorEastAsia" w:cstheme="minorEastAsia"/>
          <w:position w:val="0"/>
          <w:sz w:val="24"/>
          <w:szCs w:val="24"/>
        </w:rPr>
      </w:pPr>
      <w:r>
        <w:rPr>
          <w:rFonts w:hint="eastAsia" w:asciiTheme="minorEastAsia" w:hAnsiTheme="minorEastAsia" w:eastAsiaTheme="minorEastAsia" w:cstheme="minorEastAsia"/>
          <w:position w:val="0"/>
          <w:sz w:val="24"/>
          <w:szCs w:val="24"/>
          <w:lang w:val="en-US" w:eastAsia="zh-CN"/>
        </w:rPr>
        <w:t>安全施工</w:t>
      </w:r>
      <w:r>
        <w:rPr>
          <w:rFonts w:hint="eastAsia" w:asciiTheme="minorEastAsia" w:hAnsiTheme="minorEastAsia" w:eastAsiaTheme="minorEastAsia" w:cstheme="minorEastAsia"/>
          <w:position w:val="0"/>
          <w:sz w:val="24"/>
          <w:szCs w:val="24"/>
        </w:rPr>
        <w:t>合同</w:t>
      </w:r>
    </w:p>
    <w:p w14:paraId="5E995246">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p>
    <w:p w14:paraId="726099D3">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r>
        <w:rPr>
          <w:rFonts w:hint="eastAsia" w:asciiTheme="minorEastAsia" w:hAnsiTheme="minorEastAsia" w:eastAsiaTheme="minorEastAsia" w:cstheme="minorEastAsia"/>
          <w:kern w:val="0"/>
          <w:position w:val="0"/>
          <w:sz w:val="24"/>
          <w:szCs w:val="24"/>
        </w:rPr>
        <w:t>为在</w:t>
      </w:r>
      <w:r>
        <w:rPr>
          <w:rFonts w:hint="eastAsia" w:asciiTheme="minorEastAsia" w:hAnsiTheme="minorEastAsia" w:eastAsiaTheme="minorEastAsia" w:cstheme="minorEastAsia"/>
          <w:kern w:val="0"/>
          <w:position w:val="0"/>
          <w:sz w:val="24"/>
          <w:szCs w:val="24"/>
          <w:lang w:val="en-US" w:eastAsia="zh-CN"/>
        </w:rPr>
        <w:t>北山国际货场标识牌采购项目</w:t>
      </w:r>
      <w:r>
        <w:rPr>
          <w:rFonts w:hint="eastAsia" w:asciiTheme="minorEastAsia" w:hAnsiTheme="minorEastAsia" w:eastAsiaTheme="minorEastAsia" w:cstheme="minorEastAsia"/>
          <w:kern w:val="0"/>
          <w:position w:val="0"/>
          <w:sz w:val="24"/>
          <w:szCs w:val="24"/>
        </w:rPr>
        <w:t>合同</w:t>
      </w:r>
      <w:r>
        <w:rPr>
          <w:rFonts w:hint="eastAsia" w:asciiTheme="minorEastAsia" w:hAnsiTheme="minorEastAsia" w:eastAsiaTheme="minorEastAsia" w:cstheme="minorEastAsia"/>
          <w:kern w:val="0"/>
          <w:position w:val="0"/>
          <w:sz w:val="24"/>
          <w:szCs w:val="24"/>
          <w:lang w:val="en-US" w:eastAsia="zh-CN"/>
        </w:rPr>
        <w:t>施工</w:t>
      </w:r>
      <w:r>
        <w:rPr>
          <w:rFonts w:hint="eastAsia" w:asciiTheme="minorEastAsia" w:hAnsiTheme="minorEastAsia" w:eastAsiaTheme="minorEastAsia" w:cstheme="minorEastAsia"/>
          <w:kern w:val="0"/>
          <w:position w:val="0"/>
          <w:sz w:val="24"/>
          <w:szCs w:val="24"/>
        </w:rPr>
        <w:t>过程中创造安全、高效</w:t>
      </w:r>
      <w:r>
        <w:rPr>
          <w:rFonts w:hint="eastAsia" w:asciiTheme="minorEastAsia" w:hAnsiTheme="minorEastAsia" w:eastAsiaTheme="minorEastAsia" w:cstheme="minorEastAsia"/>
          <w:kern w:val="0"/>
          <w:position w:val="0"/>
          <w:sz w:val="24"/>
          <w:szCs w:val="24"/>
          <w:lang w:val="en-US" w:eastAsia="zh-CN"/>
        </w:rPr>
        <w:t>的</w:t>
      </w:r>
      <w:r>
        <w:rPr>
          <w:rFonts w:hint="eastAsia" w:asciiTheme="minorEastAsia" w:hAnsiTheme="minorEastAsia" w:eastAsiaTheme="minorEastAsia" w:cstheme="minorEastAsia"/>
          <w:kern w:val="0"/>
          <w:position w:val="0"/>
          <w:sz w:val="24"/>
          <w:szCs w:val="24"/>
        </w:rPr>
        <w:t>环境，</w:t>
      </w:r>
      <w:r>
        <w:rPr>
          <w:rFonts w:hint="eastAsia" w:asciiTheme="minorEastAsia" w:hAnsiTheme="minorEastAsia" w:eastAsiaTheme="minorEastAsia" w:cstheme="minorEastAsia"/>
          <w:kern w:val="0"/>
          <w:position w:val="0"/>
          <w:sz w:val="24"/>
          <w:szCs w:val="24"/>
          <w:lang w:val="en-US" w:eastAsia="zh-CN"/>
        </w:rPr>
        <w:t>切实</w:t>
      </w:r>
      <w:r>
        <w:rPr>
          <w:rFonts w:hint="eastAsia" w:asciiTheme="minorEastAsia" w:hAnsiTheme="minorEastAsia" w:eastAsiaTheme="minorEastAsia" w:cstheme="minorEastAsia"/>
          <w:kern w:val="0"/>
          <w:position w:val="0"/>
          <w:sz w:val="24"/>
          <w:szCs w:val="24"/>
        </w:rPr>
        <w:t>本项目</w:t>
      </w:r>
      <w:r>
        <w:rPr>
          <w:rFonts w:hint="eastAsia" w:asciiTheme="minorEastAsia" w:hAnsiTheme="minorEastAsia" w:eastAsiaTheme="minorEastAsia" w:cstheme="minorEastAsia"/>
          <w:kern w:val="0"/>
          <w:position w:val="0"/>
          <w:sz w:val="24"/>
          <w:szCs w:val="24"/>
          <w:lang w:val="en-US" w:eastAsia="zh-CN"/>
        </w:rPr>
        <w:t>施工</w:t>
      </w:r>
      <w:r>
        <w:rPr>
          <w:rFonts w:hint="eastAsia" w:asciiTheme="minorEastAsia" w:hAnsiTheme="minorEastAsia" w:eastAsiaTheme="minorEastAsia" w:cstheme="minorEastAsia"/>
          <w:kern w:val="0"/>
          <w:position w:val="0"/>
          <w:sz w:val="24"/>
          <w:szCs w:val="24"/>
        </w:rPr>
        <w:t>及后续服务的安全管理工作，本项目委托人</w:t>
      </w:r>
      <w:r>
        <w:rPr>
          <w:rFonts w:hint="eastAsia" w:asciiTheme="minorEastAsia" w:hAnsiTheme="minorEastAsia" w:eastAsiaTheme="minorEastAsia" w:cstheme="minorEastAsia"/>
          <w:kern w:val="0"/>
          <w:position w:val="0"/>
          <w:sz w:val="24"/>
          <w:szCs w:val="24"/>
          <w:lang w:val="en-US" w:eastAsia="zh-CN"/>
        </w:rPr>
        <w:t>河口滇越货场物流有限责任公司</w:t>
      </w:r>
      <w:r>
        <w:rPr>
          <w:rFonts w:hint="eastAsia" w:asciiTheme="minorEastAsia" w:hAnsiTheme="minorEastAsia" w:eastAsiaTheme="minorEastAsia" w:cstheme="minorEastAsia"/>
          <w:kern w:val="0"/>
          <w:position w:val="0"/>
          <w:sz w:val="24"/>
          <w:szCs w:val="24"/>
        </w:rPr>
        <w:t>（以下简称“委托人”）与</w:t>
      </w:r>
      <w:r>
        <w:rPr>
          <w:rFonts w:hint="eastAsia" w:asciiTheme="minorEastAsia" w:hAnsiTheme="minorEastAsia" w:eastAsiaTheme="minorEastAsia" w:cstheme="minorEastAsia"/>
          <w:kern w:val="0"/>
          <w:position w:val="0"/>
          <w:sz w:val="24"/>
          <w:szCs w:val="24"/>
          <w:u w:val="single"/>
          <w:lang w:val="en-US" w:eastAsia="zh-CN"/>
        </w:rPr>
        <w:t xml:space="preserve">                </w:t>
      </w:r>
      <w:r>
        <w:rPr>
          <w:rFonts w:hint="eastAsia" w:asciiTheme="minorEastAsia" w:hAnsiTheme="minorEastAsia" w:eastAsiaTheme="minorEastAsia" w:cstheme="minorEastAsia"/>
          <w:kern w:val="0"/>
          <w:position w:val="0"/>
          <w:sz w:val="24"/>
          <w:szCs w:val="24"/>
          <w:lang w:eastAsia="zh-CN"/>
        </w:rPr>
        <w:t>（</w:t>
      </w:r>
      <w:r>
        <w:rPr>
          <w:rFonts w:hint="eastAsia" w:asciiTheme="minorEastAsia" w:hAnsiTheme="minorEastAsia" w:eastAsiaTheme="minorEastAsia" w:cstheme="minorEastAsia"/>
          <w:kern w:val="0"/>
          <w:position w:val="0"/>
          <w:sz w:val="24"/>
          <w:szCs w:val="24"/>
          <w:lang w:val="en-US" w:eastAsia="zh-CN"/>
        </w:rPr>
        <w:t>以下简称“中标单位”）</w:t>
      </w:r>
      <w:r>
        <w:rPr>
          <w:rFonts w:hint="eastAsia" w:asciiTheme="minorEastAsia" w:hAnsiTheme="minorEastAsia" w:eastAsiaTheme="minorEastAsia" w:cstheme="minorEastAsia"/>
          <w:kern w:val="0"/>
          <w:position w:val="0"/>
          <w:sz w:val="24"/>
          <w:szCs w:val="24"/>
        </w:rPr>
        <w:t>特此签订安全生产合同：</w:t>
      </w:r>
    </w:p>
    <w:p w14:paraId="32407549">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r>
        <w:rPr>
          <w:rFonts w:hint="eastAsia" w:asciiTheme="minorEastAsia" w:hAnsiTheme="minorEastAsia" w:eastAsiaTheme="minorEastAsia" w:cstheme="minorEastAsia"/>
          <w:kern w:val="0"/>
          <w:position w:val="0"/>
          <w:sz w:val="24"/>
          <w:szCs w:val="24"/>
        </w:rPr>
        <w:t>一、委托人职责</w:t>
      </w:r>
    </w:p>
    <w:p w14:paraId="74EFA3D1">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r>
        <w:rPr>
          <w:rFonts w:hint="eastAsia" w:asciiTheme="minorEastAsia" w:hAnsiTheme="minorEastAsia" w:eastAsiaTheme="minorEastAsia" w:cstheme="minorEastAsia"/>
          <w:kern w:val="0"/>
          <w:position w:val="0"/>
          <w:sz w:val="24"/>
          <w:szCs w:val="24"/>
        </w:rPr>
        <w:t>1.严格遵守国家有关安全生产的法律法规，认真执行工程承包合同中的有关安全要求。</w:t>
      </w:r>
    </w:p>
    <w:p w14:paraId="2FB68E40">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r>
        <w:rPr>
          <w:rFonts w:hint="eastAsia" w:asciiTheme="minorEastAsia" w:hAnsiTheme="minorEastAsia" w:eastAsiaTheme="minorEastAsia" w:cstheme="minorEastAsia"/>
          <w:kern w:val="0"/>
          <w:position w:val="0"/>
          <w:sz w:val="24"/>
          <w:szCs w:val="24"/>
        </w:rPr>
        <w:t>2.按照“安全第一、预防为主、综合治理”和坚持“管生产必须管安全”的原则进行安全生产管理，做到生产与安全同时计划、布置、检查、总结和评比。</w:t>
      </w:r>
    </w:p>
    <w:p w14:paraId="0BB8EB8B">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r>
        <w:rPr>
          <w:rFonts w:hint="eastAsia" w:asciiTheme="minorEastAsia" w:hAnsiTheme="minorEastAsia" w:eastAsiaTheme="minorEastAsia" w:cstheme="minorEastAsia"/>
          <w:kern w:val="0"/>
          <w:position w:val="0"/>
          <w:sz w:val="24"/>
          <w:szCs w:val="24"/>
        </w:rPr>
        <w:t>3.定期召开安全生产调度会，及时传达中央及地方的有关安全生产精神。</w:t>
      </w:r>
    </w:p>
    <w:p w14:paraId="790E2EE2">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r>
        <w:rPr>
          <w:rFonts w:hint="eastAsia" w:asciiTheme="minorEastAsia" w:hAnsiTheme="minorEastAsia" w:eastAsiaTheme="minorEastAsia" w:cstheme="minorEastAsia"/>
          <w:kern w:val="0"/>
          <w:position w:val="0"/>
          <w:sz w:val="24"/>
          <w:szCs w:val="24"/>
        </w:rPr>
        <w:t>二、</w:t>
      </w:r>
      <w:r>
        <w:rPr>
          <w:rFonts w:hint="eastAsia" w:asciiTheme="minorEastAsia" w:hAnsiTheme="minorEastAsia" w:eastAsiaTheme="minorEastAsia" w:cstheme="minorEastAsia"/>
          <w:kern w:val="0"/>
          <w:position w:val="0"/>
          <w:sz w:val="24"/>
          <w:szCs w:val="24"/>
          <w:lang w:eastAsia="zh-CN"/>
        </w:rPr>
        <w:t>中标单位</w:t>
      </w:r>
      <w:r>
        <w:rPr>
          <w:rFonts w:hint="eastAsia" w:asciiTheme="minorEastAsia" w:hAnsiTheme="minorEastAsia" w:eastAsiaTheme="minorEastAsia" w:cstheme="minorEastAsia"/>
          <w:kern w:val="0"/>
          <w:position w:val="0"/>
          <w:sz w:val="24"/>
          <w:szCs w:val="24"/>
        </w:rPr>
        <w:t>职责</w:t>
      </w:r>
    </w:p>
    <w:p w14:paraId="79C96FA5">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r>
        <w:rPr>
          <w:rFonts w:hint="eastAsia" w:asciiTheme="minorEastAsia" w:hAnsiTheme="minorEastAsia" w:eastAsiaTheme="minorEastAsia" w:cstheme="minorEastAsia"/>
          <w:kern w:val="0"/>
          <w:position w:val="0"/>
          <w:sz w:val="24"/>
          <w:szCs w:val="24"/>
        </w:rPr>
        <w:t>1.严格遵守国家有关安全生产的法律法规及其他相关安全生产的规定，认真执行合同中的有关安全生产要求。</w:t>
      </w:r>
    </w:p>
    <w:p w14:paraId="336E7845">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r>
        <w:rPr>
          <w:rFonts w:hint="eastAsia" w:asciiTheme="minorEastAsia" w:hAnsiTheme="minorEastAsia" w:eastAsiaTheme="minorEastAsia" w:cstheme="minorEastAsia"/>
          <w:kern w:val="0"/>
          <w:position w:val="0"/>
          <w:sz w:val="24"/>
          <w:szCs w:val="24"/>
        </w:rPr>
        <w:t>2.坚持“安全第一、预防为主、综合治理”和“管生产必须管安全”的原则，加强安全生产宣传教育，增强全员安全生产意识，建立健全各项安全生产的管理机构和安全生产管理制度，配备专职及兼职安全检查人员，有组织有领导地开展安全生产活动。各级领导、</w:t>
      </w:r>
      <w:bookmarkStart w:id="321" w:name="_Hlk132116633"/>
      <w:r>
        <w:rPr>
          <w:rFonts w:hint="eastAsia" w:asciiTheme="minorEastAsia" w:hAnsiTheme="minorEastAsia" w:eastAsiaTheme="minorEastAsia" w:cstheme="minorEastAsia"/>
          <w:kern w:val="0"/>
          <w:position w:val="0"/>
          <w:sz w:val="24"/>
          <w:szCs w:val="24"/>
        </w:rPr>
        <w:t>分项负责人</w:t>
      </w:r>
      <w:bookmarkEnd w:id="321"/>
      <w:r>
        <w:rPr>
          <w:rFonts w:hint="eastAsia" w:asciiTheme="minorEastAsia" w:hAnsiTheme="minorEastAsia" w:eastAsiaTheme="minorEastAsia" w:cstheme="minorEastAsia"/>
          <w:kern w:val="0"/>
          <w:position w:val="0"/>
          <w:sz w:val="24"/>
          <w:szCs w:val="24"/>
        </w:rPr>
        <w:t>、生产管理人员和具体操作人员，必须熟悉和遵守本条款的各项规定，做到生产与安全工作同时计划、布置、检查、总结和评比。</w:t>
      </w:r>
    </w:p>
    <w:p w14:paraId="46A3ED30">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r>
        <w:rPr>
          <w:rFonts w:hint="eastAsia" w:asciiTheme="minorEastAsia" w:hAnsiTheme="minorEastAsia" w:eastAsiaTheme="minorEastAsia" w:cstheme="minorEastAsia"/>
          <w:kern w:val="0"/>
          <w:position w:val="0"/>
          <w:sz w:val="24"/>
          <w:szCs w:val="24"/>
        </w:rPr>
        <w:t>3.建立健全并落实全员安全生产责任制。从派往项目实施的项目负责人到分项负责人、生产工人（包括临时雇请的民工）的安全生产管理系统必须做到纵向到底，一环不漏；各职能部门、人员的安全生产责任制做到横向到边，人人有责。项目负责人是安全生产的第一责任人。</w:t>
      </w:r>
    </w:p>
    <w:p w14:paraId="757E57FB">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r>
        <w:rPr>
          <w:rFonts w:hint="eastAsia" w:asciiTheme="minorEastAsia" w:hAnsiTheme="minorEastAsia" w:eastAsiaTheme="minorEastAsia" w:cstheme="minorEastAsia"/>
          <w:kern w:val="0"/>
          <w:position w:val="0"/>
          <w:sz w:val="24"/>
          <w:szCs w:val="24"/>
        </w:rPr>
        <w:t>4.</w:t>
      </w:r>
      <w:r>
        <w:rPr>
          <w:rFonts w:hint="eastAsia" w:asciiTheme="minorEastAsia" w:hAnsiTheme="minorEastAsia" w:eastAsiaTheme="minorEastAsia" w:cstheme="minorEastAsia"/>
          <w:kern w:val="0"/>
          <w:position w:val="0"/>
          <w:sz w:val="24"/>
          <w:szCs w:val="24"/>
          <w:lang w:eastAsia="zh-CN"/>
        </w:rPr>
        <w:t>中标单位</w:t>
      </w:r>
      <w:r>
        <w:rPr>
          <w:rFonts w:hint="eastAsia" w:asciiTheme="minorEastAsia" w:hAnsiTheme="minorEastAsia" w:eastAsiaTheme="minorEastAsia" w:cstheme="minorEastAsia"/>
          <w:kern w:val="0"/>
          <w:position w:val="0"/>
          <w:sz w:val="24"/>
          <w:szCs w:val="24"/>
        </w:rPr>
        <w:t>在任何时候都应采取各种合理的预防措施，防止其员工发生任何违法、违禁、暴力或妨碍治安的行为。</w:t>
      </w:r>
    </w:p>
    <w:p w14:paraId="38F5BB9D">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r>
        <w:rPr>
          <w:rFonts w:hint="eastAsia" w:asciiTheme="minorEastAsia" w:hAnsiTheme="minorEastAsia" w:eastAsiaTheme="minorEastAsia" w:cstheme="minorEastAsia"/>
          <w:kern w:val="0"/>
          <w:position w:val="0"/>
          <w:sz w:val="24"/>
          <w:szCs w:val="24"/>
        </w:rPr>
        <w:t>5.</w:t>
      </w:r>
      <w:r>
        <w:rPr>
          <w:rFonts w:hint="eastAsia" w:asciiTheme="minorEastAsia" w:hAnsiTheme="minorEastAsia" w:eastAsiaTheme="minorEastAsia" w:cstheme="minorEastAsia"/>
          <w:kern w:val="0"/>
          <w:position w:val="0"/>
          <w:sz w:val="24"/>
          <w:szCs w:val="24"/>
          <w:lang w:eastAsia="zh-CN"/>
        </w:rPr>
        <w:t>中标单位</w:t>
      </w:r>
      <w:r>
        <w:rPr>
          <w:rFonts w:hint="eastAsia" w:asciiTheme="minorEastAsia" w:hAnsiTheme="minorEastAsia" w:eastAsiaTheme="minorEastAsia" w:cstheme="minorEastAsia"/>
          <w:kern w:val="0"/>
          <w:position w:val="0"/>
          <w:sz w:val="24"/>
          <w:szCs w:val="24"/>
        </w:rPr>
        <w:t>参加</w:t>
      </w:r>
      <w:r>
        <w:rPr>
          <w:rFonts w:hint="eastAsia" w:asciiTheme="minorEastAsia" w:hAnsiTheme="minorEastAsia" w:eastAsiaTheme="minorEastAsia" w:cstheme="minorEastAsia"/>
          <w:kern w:val="0"/>
          <w:position w:val="0"/>
          <w:sz w:val="24"/>
          <w:szCs w:val="24"/>
          <w:lang w:val="en-US" w:eastAsia="zh-CN"/>
        </w:rPr>
        <w:t>高空作业及特种作业的</w:t>
      </w:r>
      <w:r>
        <w:rPr>
          <w:rFonts w:hint="eastAsia" w:asciiTheme="minorEastAsia" w:hAnsiTheme="minorEastAsia" w:eastAsiaTheme="minorEastAsia" w:cstheme="minorEastAsia"/>
          <w:kern w:val="0"/>
          <w:position w:val="0"/>
          <w:sz w:val="24"/>
          <w:szCs w:val="24"/>
        </w:rPr>
        <w:t>人员，必须接受安全技术教育，熟知和遵守本工种的各项安全技术操作规程，定期进行安全技术考核，合格者方准上岗操作。现场如出现特种作业无证操作现象时，项目负责人必须承担管理责任。</w:t>
      </w:r>
    </w:p>
    <w:p w14:paraId="26A92F80">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r>
        <w:rPr>
          <w:rFonts w:hint="eastAsia" w:asciiTheme="minorEastAsia" w:hAnsiTheme="minorEastAsia" w:eastAsiaTheme="minorEastAsia" w:cstheme="minorEastAsia"/>
          <w:kern w:val="0"/>
          <w:position w:val="0"/>
          <w:sz w:val="24"/>
          <w:szCs w:val="24"/>
        </w:rPr>
        <w:t>6.所有机具设备和高空作业的设备均应定期检查，并有安全员的签字记录，保证其经常处于完好状态；不合格的机具、设备和劳动保护用品严禁使用。</w:t>
      </w:r>
    </w:p>
    <w:p w14:paraId="214ABCD8">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r>
        <w:rPr>
          <w:rFonts w:hint="eastAsia" w:asciiTheme="minorEastAsia" w:hAnsiTheme="minorEastAsia" w:eastAsiaTheme="minorEastAsia" w:cstheme="minorEastAsia"/>
          <w:kern w:val="0"/>
          <w:position w:val="0"/>
          <w:sz w:val="24"/>
          <w:szCs w:val="24"/>
        </w:rPr>
        <w:t>7.</w:t>
      </w:r>
      <w:r>
        <w:rPr>
          <w:rFonts w:hint="eastAsia" w:asciiTheme="minorEastAsia" w:hAnsiTheme="minorEastAsia" w:eastAsiaTheme="minorEastAsia" w:cstheme="minorEastAsia"/>
          <w:kern w:val="0"/>
          <w:position w:val="0"/>
          <w:sz w:val="24"/>
          <w:szCs w:val="24"/>
          <w:lang w:eastAsia="zh-CN"/>
        </w:rPr>
        <w:t>中标单位</w:t>
      </w:r>
      <w:r>
        <w:rPr>
          <w:rFonts w:hint="eastAsia" w:asciiTheme="minorEastAsia" w:hAnsiTheme="minorEastAsia" w:eastAsiaTheme="minorEastAsia" w:cstheme="minorEastAsia"/>
          <w:kern w:val="0"/>
          <w:position w:val="0"/>
          <w:sz w:val="24"/>
          <w:szCs w:val="24"/>
        </w:rPr>
        <w:t>必须按照本工程项目特点，组织制定本工程实施中的生产安全事故应急救援预案；如果发生安全事故，应按照《国务院关于特大安全事故行政责任追究的规定》以及其他有关规定，及时上报有关部门，并坚持“四不放过”的原则，严肃处理相关责任人。</w:t>
      </w:r>
    </w:p>
    <w:p w14:paraId="289E4617">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r>
        <w:rPr>
          <w:rFonts w:hint="eastAsia" w:asciiTheme="minorEastAsia" w:hAnsiTheme="minorEastAsia" w:eastAsiaTheme="minorEastAsia" w:cstheme="minorEastAsia"/>
          <w:kern w:val="0"/>
          <w:position w:val="0"/>
          <w:sz w:val="24"/>
          <w:szCs w:val="24"/>
        </w:rPr>
        <w:t>8.在服务过程中，</w:t>
      </w:r>
      <w:r>
        <w:rPr>
          <w:rFonts w:hint="eastAsia" w:asciiTheme="minorEastAsia" w:hAnsiTheme="minorEastAsia" w:eastAsiaTheme="minorEastAsia" w:cstheme="minorEastAsia"/>
          <w:kern w:val="0"/>
          <w:position w:val="0"/>
          <w:sz w:val="24"/>
          <w:szCs w:val="24"/>
          <w:lang w:eastAsia="zh-CN"/>
        </w:rPr>
        <w:t>中标单位</w:t>
      </w:r>
      <w:r>
        <w:rPr>
          <w:rFonts w:hint="eastAsia" w:asciiTheme="minorEastAsia" w:hAnsiTheme="minorEastAsia" w:eastAsiaTheme="minorEastAsia" w:cstheme="minorEastAsia"/>
          <w:kern w:val="0"/>
          <w:position w:val="0"/>
          <w:sz w:val="24"/>
          <w:szCs w:val="24"/>
        </w:rPr>
        <w:t>产生的安全事故，所造成的一切损失均由</w:t>
      </w:r>
      <w:r>
        <w:rPr>
          <w:rFonts w:hint="eastAsia" w:asciiTheme="minorEastAsia" w:hAnsiTheme="minorEastAsia" w:eastAsiaTheme="minorEastAsia" w:cstheme="minorEastAsia"/>
          <w:kern w:val="0"/>
          <w:position w:val="0"/>
          <w:sz w:val="24"/>
          <w:szCs w:val="24"/>
          <w:lang w:eastAsia="zh-CN"/>
        </w:rPr>
        <w:t>中标单位</w:t>
      </w:r>
      <w:r>
        <w:rPr>
          <w:rFonts w:hint="eastAsia" w:asciiTheme="minorEastAsia" w:hAnsiTheme="minorEastAsia" w:eastAsiaTheme="minorEastAsia" w:cstheme="minorEastAsia"/>
          <w:kern w:val="0"/>
          <w:position w:val="0"/>
          <w:sz w:val="24"/>
          <w:szCs w:val="24"/>
        </w:rPr>
        <w:t>全部承担。</w:t>
      </w:r>
    </w:p>
    <w:p w14:paraId="1C9A8A65">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r>
        <w:rPr>
          <w:rFonts w:hint="eastAsia" w:asciiTheme="minorEastAsia" w:hAnsiTheme="minorEastAsia" w:eastAsiaTheme="minorEastAsia" w:cstheme="minorEastAsia"/>
          <w:kern w:val="0"/>
          <w:position w:val="0"/>
          <w:sz w:val="24"/>
          <w:szCs w:val="24"/>
        </w:rPr>
        <w:t>三、违约责任</w:t>
      </w:r>
    </w:p>
    <w:p w14:paraId="09801A65">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r>
        <w:rPr>
          <w:rFonts w:hint="eastAsia" w:asciiTheme="minorEastAsia" w:hAnsiTheme="minorEastAsia" w:eastAsiaTheme="minorEastAsia" w:cstheme="minorEastAsia"/>
          <w:kern w:val="0"/>
          <w:position w:val="0"/>
          <w:sz w:val="24"/>
          <w:szCs w:val="24"/>
        </w:rPr>
        <w:t>如因委托人或</w:t>
      </w:r>
      <w:r>
        <w:rPr>
          <w:rFonts w:hint="eastAsia" w:asciiTheme="minorEastAsia" w:hAnsiTheme="minorEastAsia" w:eastAsiaTheme="minorEastAsia" w:cstheme="minorEastAsia"/>
          <w:kern w:val="0"/>
          <w:position w:val="0"/>
          <w:sz w:val="24"/>
          <w:szCs w:val="24"/>
          <w:lang w:eastAsia="zh-CN"/>
        </w:rPr>
        <w:t>中标单位</w:t>
      </w:r>
      <w:r>
        <w:rPr>
          <w:rFonts w:hint="eastAsia" w:asciiTheme="minorEastAsia" w:hAnsiTheme="minorEastAsia" w:eastAsiaTheme="minorEastAsia" w:cstheme="minorEastAsia"/>
          <w:kern w:val="0"/>
          <w:position w:val="0"/>
          <w:sz w:val="24"/>
          <w:szCs w:val="24"/>
        </w:rPr>
        <w:t>违约造成安全事故，将依法追究责任。</w:t>
      </w:r>
    </w:p>
    <w:p w14:paraId="13F25803">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r>
        <w:rPr>
          <w:rFonts w:hint="eastAsia" w:asciiTheme="minorEastAsia" w:hAnsiTheme="minorEastAsia" w:eastAsiaTheme="minorEastAsia" w:cstheme="minorEastAsia"/>
          <w:kern w:val="0"/>
          <w:position w:val="0"/>
          <w:sz w:val="24"/>
          <w:szCs w:val="24"/>
        </w:rPr>
        <w:t>四、本合同作为</w:t>
      </w:r>
      <w:r>
        <w:rPr>
          <w:rFonts w:hint="eastAsia" w:asciiTheme="minorEastAsia" w:hAnsiTheme="minorEastAsia" w:eastAsiaTheme="minorEastAsia" w:cstheme="minorEastAsia"/>
          <w:kern w:val="0"/>
          <w:position w:val="0"/>
          <w:sz w:val="24"/>
          <w:szCs w:val="24"/>
          <w:lang w:val="en-US" w:eastAsia="zh-CN"/>
        </w:rPr>
        <w:t>北山国际货场标识牌采购项目</w:t>
      </w:r>
      <w:r>
        <w:rPr>
          <w:rFonts w:hint="eastAsia" w:asciiTheme="minorEastAsia" w:hAnsiTheme="minorEastAsia" w:eastAsiaTheme="minorEastAsia" w:cstheme="minorEastAsia"/>
          <w:bCs/>
          <w:position w:val="0"/>
          <w:sz w:val="24"/>
          <w:szCs w:val="24"/>
          <w:highlight w:val="none"/>
        </w:rPr>
        <w:t>合同</w:t>
      </w:r>
      <w:r>
        <w:rPr>
          <w:rFonts w:hint="eastAsia" w:asciiTheme="minorEastAsia" w:hAnsiTheme="minorEastAsia" w:eastAsiaTheme="minorEastAsia" w:cstheme="minorEastAsia"/>
          <w:bCs/>
          <w:position w:val="0"/>
          <w:sz w:val="24"/>
          <w:szCs w:val="24"/>
        </w:rPr>
        <w:t>的附件</w:t>
      </w:r>
      <w:r>
        <w:rPr>
          <w:rFonts w:hint="eastAsia" w:asciiTheme="minorEastAsia" w:hAnsiTheme="minorEastAsia" w:eastAsiaTheme="minorEastAsia" w:cstheme="minorEastAsia"/>
          <w:kern w:val="0"/>
          <w:position w:val="0"/>
          <w:sz w:val="24"/>
          <w:szCs w:val="24"/>
        </w:rPr>
        <w:t>，与主合同具有同等的法律效力，并同时生效、同时终止。</w:t>
      </w:r>
    </w:p>
    <w:p w14:paraId="5A86C72A">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ind w:firstLine="480" w:firstLineChars="200"/>
        <w:jc w:val="left"/>
        <w:textAlignment w:val="auto"/>
        <w:rPr>
          <w:rFonts w:hint="eastAsia" w:asciiTheme="minorEastAsia" w:hAnsiTheme="minorEastAsia" w:eastAsiaTheme="minorEastAsia" w:cstheme="minorEastAsia"/>
          <w:kern w:val="0"/>
          <w:position w:val="0"/>
          <w:sz w:val="24"/>
          <w:szCs w:val="24"/>
        </w:rPr>
      </w:pPr>
      <w:r>
        <w:rPr>
          <w:rFonts w:hint="eastAsia" w:asciiTheme="minorEastAsia" w:hAnsiTheme="minorEastAsia" w:eastAsiaTheme="minorEastAsia" w:cstheme="minorEastAsia"/>
          <w:kern w:val="0"/>
          <w:position w:val="0"/>
          <w:sz w:val="24"/>
          <w:szCs w:val="24"/>
        </w:rPr>
        <w:t>五、</w:t>
      </w:r>
      <w:r>
        <w:rPr>
          <w:rFonts w:hint="eastAsia" w:asciiTheme="minorEastAsia" w:hAnsiTheme="minorEastAsia" w:eastAsiaTheme="minorEastAsia" w:cstheme="minorEastAsia"/>
          <w:position w:val="0"/>
          <w:sz w:val="24"/>
          <w:szCs w:val="24"/>
        </w:rPr>
        <w:t>本合同一式</w:t>
      </w:r>
      <w:r>
        <w:rPr>
          <w:rFonts w:hint="eastAsia" w:asciiTheme="minorEastAsia" w:hAnsiTheme="minorEastAsia" w:eastAsiaTheme="minorEastAsia" w:cstheme="minorEastAsia"/>
          <w:position w:val="0"/>
          <w:sz w:val="24"/>
          <w:szCs w:val="24"/>
          <w:lang w:val="en-US" w:eastAsia="zh-CN"/>
        </w:rPr>
        <w:t>贰</w:t>
      </w:r>
      <w:r>
        <w:rPr>
          <w:rFonts w:hint="eastAsia" w:asciiTheme="minorEastAsia" w:hAnsiTheme="minorEastAsia" w:eastAsiaTheme="minorEastAsia" w:cstheme="minorEastAsia"/>
          <w:position w:val="0"/>
          <w:sz w:val="24"/>
          <w:szCs w:val="24"/>
        </w:rPr>
        <w:t>份，</w:t>
      </w:r>
      <w:r>
        <w:rPr>
          <w:rFonts w:hint="eastAsia" w:asciiTheme="minorEastAsia" w:hAnsiTheme="minorEastAsia" w:eastAsiaTheme="minorEastAsia" w:cstheme="minorEastAsia"/>
          <w:position w:val="0"/>
          <w:sz w:val="24"/>
          <w:szCs w:val="24"/>
          <w:lang w:val="en-US" w:eastAsia="zh-CN"/>
        </w:rPr>
        <w:t>双</w:t>
      </w:r>
      <w:r>
        <w:rPr>
          <w:rFonts w:hint="eastAsia" w:asciiTheme="minorEastAsia" w:hAnsiTheme="minorEastAsia" w:eastAsiaTheme="minorEastAsia" w:cstheme="minorEastAsia"/>
          <w:position w:val="0"/>
          <w:sz w:val="24"/>
          <w:szCs w:val="24"/>
        </w:rPr>
        <w:t>方各执</w:t>
      </w:r>
      <w:r>
        <w:rPr>
          <w:rFonts w:hint="eastAsia" w:asciiTheme="minorEastAsia" w:hAnsiTheme="minorEastAsia" w:eastAsiaTheme="minorEastAsia" w:cstheme="minorEastAsia"/>
          <w:position w:val="0"/>
          <w:sz w:val="24"/>
          <w:szCs w:val="24"/>
          <w:lang w:val="en-US" w:eastAsia="zh-CN"/>
        </w:rPr>
        <w:t>壹</w:t>
      </w:r>
      <w:r>
        <w:rPr>
          <w:rFonts w:hint="eastAsia" w:asciiTheme="minorEastAsia" w:hAnsiTheme="minorEastAsia" w:eastAsiaTheme="minorEastAsia" w:cstheme="minorEastAsia"/>
          <w:position w:val="0"/>
          <w:sz w:val="24"/>
          <w:szCs w:val="24"/>
        </w:rPr>
        <w:t>份</w:t>
      </w:r>
      <w:r>
        <w:rPr>
          <w:rFonts w:hint="eastAsia" w:asciiTheme="minorEastAsia" w:hAnsiTheme="minorEastAsia" w:eastAsiaTheme="minorEastAsia" w:cstheme="minorEastAsia"/>
          <w:kern w:val="0"/>
          <w:position w:val="0"/>
          <w:sz w:val="24"/>
          <w:szCs w:val="24"/>
        </w:rPr>
        <w:t>。</w:t>
      </w:r>
    </w:p>
    <w:p w14:paraId="7632C503">
      <w:pPr>
        <w:keepNext w:val="0"/>
        <w:keepLines w:val="0"/>
        <w:pageBreakBefore w:val="0"/>
        <w:widowControl w:val="0"/>
        <w:tabs>
          <w:tab w:val="left" w:pos="5220"/>
          <w:tab w:val="left" w:pos="5400"/>
          <w:tab w:val="left" w:pos="5580"/>
        </w:tabs>
        <w:kinsoku/>
        <w:wordWrap/>
        <w:overflowPunct/>
        <w:topLinePunct w:val="0"/>
        <w:bidi w:val="0"/>
        <w:snapToGrid w:val="0"/>
        <w:spacing w:line="360" w:lineRule="auto"/>
        <w:textAlignment w:val="auto"/>
        <w:rPr>
          <w:rFonts w:hint="eastAsia" w:asciiTheme="minorEastAsia" w:hAnsiTheme="minorEastAsia" w:eastAsiaTheme="minorEastAsia" w:cstheme="minorEastAsia"/>
          <w:position w:val="0"/>
          <w:sz w:val="24"/>
          <w:szCs w:val="24"/>
        </w:rPr>
      </w:pPr>
    </w:p>
    <w:p w14:paraId="59E5906F">
      <w:pPr>
        <w:keepNext w:val="0"/>
        <w:keepLines w:val="0"/>
        <w:pageBreakBefore w:val="0"/>
        <w:widowControl w:val="0"/>
        <w:tabs>
          <w:tab w:val="left" w:pos="5220"/>
          <w:tab w:val="left" w:pos="5400"/>
          <w:tab w:val="left" w:pos="5580"/>
        </w:tabs>
        <w:kinsoku/>
        <w:wordWrap/>
        <w:overflowPunct/>
        <w:topLinePunct w:val="0"/>
        <w:bidi w:val="0"/>
        <w:snapToGrid w:val="0"/>
        <w:spacing w:line="360" w:lineRule="auto"/>
        <w:textAlignment w:val="auto"/>
        <w:rPr>
          <w:rFonts w:hint="eastAsia" w:asciiTheme="minorEastAsia" w:hAnsiTheme="minorEastAsia" w:eastAsiaTheme="minorEastAsia" w:cstheme="minorEastAsia"/>
          <w:position w:val="0"/>
          <w:sz w:val="24"/>
          <w:szCs w:val="24"/>
        </w:rPr>
      </w:pPr>
    </w:p>
    <w:p w14:paraId="3E5F69D6">
      <w:pPr>
        <w:keepNext w:val="0"/>
        <w:keepLines w:val="0"/>
        <w:pageBreakBefore w:val="0"/>
        <w:widowControl w:val="0"/>
        <w:tabs>
          <w:tab w:val="left" w:pos="5220"/>
          <w:tab w:val="left" w:pos="5400"/>
          <w:tab w:val="left" w:pos="5580"/>
        </w:tabs>
        <w:kinsoku/>
        <w:wordWrap/>
        <w:overflowPunct/>
        <w:topLinePunct w:val="0"/>
        <w:bidi w:val="0"/>
        <w:snapToGrid w:val="0"/>
        <w:spacing w:line="360" w:lineRule="auto"/>
        <w:textAlignment w:val="auto"/>
        <w:rPr>
          <w:rFonts w:hint="eastAsia" w:asciiTheme="minorEastAsia" w:hAnsiTheme="minorEastAsia" w:eastAsiaTheme="minorEastAsia" w:cstheme="minorEastAsia"/>
          <w:position w:val="0"/>
          <w:sz w:val="24"/>
          <w:szCs w:val="24"/>
        </w:rPr>
      </w:pPr>
    </w:p>
    <w:p w14:paraId="17A8C03D">
      <w:pPr>
        <w:keepNext w:val="0"/>
        <w:keepLines w:val="0"/>
        <w:pageBreakBefore w:val="0"/>
        <w:widowControl w:val="0"/>
        <w:tabs>
          <w:tab w:val="left" w:pos="5220"/>
          <w:tab w:val="left" w:pos="5400"/>
          <w:tab w:val="left" w:pos="5580"/>
        </w:tabs>
        <w:kinsoku/>
        <w:wordWrap/>
        <w:overflowPunct/>
        <w:topLinePunct w:val="0"/>
        <w:bidi w:val="0"/>
        <w:snapToGrid w:val="0"/>
        <w:spacing w:line="360" w:lineRule="auto"/>
        <w:textAlignment w:val="auto"/>
        <w:rPr>
          <w:rFonts w:hint="eastAsia" w:asciiTheme="minorEastAsia" w:hAnsiTheme="minorEastAsia" w:eastAsiaTheme="minorEastAsia" w:cstheme="minorEastAsia"/>
          <w:position w:val="0"/>
          <w:sz w:val="24"/>
          <w:szCs w:val="24"/>
        </w:rPr>
      </w:pPr>
      <w:r>
        <w:rPr>
          <w:rFonts w:hint="eastAsia" w:asciiTheme="minorEastAsia" w:hAnsiTheme="minorEastAsia" w:eastAsiaTheme="minorEastAsia" w:cstheme="minorEastAsia"/>
          <w:position w:val="0"/>
          <w:sz w:val="24"/>
          <w:szCs w:val="24"/>
          <w:lang w:val="en-US" w:eastAsia="zh-CN"/>
        </w:rPr>
        <w:t>委托人</w:t>
      </w:r>
      <w:r>
        <w:rPr>
          <w:rFonts w:hint="eastAsia" w:asciiTheme="minorEastAsia" w:hAnsiTheme="minorEastAsia" w:eastAsiaTheme="minorEastAsia" w:cstheme="minorEastAsia"/>
          <w:position w:val="0"/>
          <w:sz w:val="24"/>
          <w:szCs w:val="24"/>
        </w:rPr>
        <w:t>：</w:t>
      </w:r>
      <w:r>
        <w:rPr>
          <w:rFonts w:hint="eastAsia" w:asciiTheme="minorEastAsia" w:hAnsiTheme="minorEastAsia" w:eastAsiaTheme="minorEastAsia" w:cstheme="minorEastAsia"/>
          <w:position w:val="0"/>
          <w:sz w:val="24"/>
          <w:szCs w:val="24"/>
          <w:lang w:val="en-US" w:eastAsia="zh-CN"/>
        </w:rPr>
        <w:t>河口滇越货场物流有限责任公司</w:t>
      </w:r>
      <w:r>
        <w:rPr>
          <w:rFonts w:hint="eastAsia" w:asciiTheme="minorEastAsia" w:hAnsiTheme="minorEastAsia" w:eastAsiaTheme="minorEastAsia" w:cstheme="minorEastAsia"/>
          <w:position w:val="0"/>
          <w:sz w:val="24"/>
          <w:szCs w:val="24"/>
        </w:rPr>
        <w:t xml:space="preserve">（盖章）                       </w:t>
      </w:r>
    </w:p>
    <w:p w14:paraId="17A76DBC">
      <w:pPr>
        <w:keepNext w:val="0"/>
        <w:keepLines w:val="0"/>
        <w:pageBreakBefore w:val="0"/>
        <w:widowControl w:val="0"/>
        <w:tabs>
          <w:tab w:val="left" w:pos="5220"/>
          <w:tab w:val="left" w:pos="5400"/>
          <w:tab w:val="left" w:pos="5580"/>
        </w:tabs>
        <w:kinsoku/>
        <w:wordWrap/>
        <w:overflowPunct/>
        <w:topLinePunct w:val="0"/>
        <w:bidi w:val="0"/>
        <w:snapToGrid w:val="0"/>
        <w:spacing w:line="360" w:lineRule="auto"/>
        <w:textAlignment w:val="auto"/>
        <w:rPr>
          <w:rFonts w:hint="eastAsia" w:asciiTheme="minorEastAsia" w:hAnsiTheme="minorEastAsia" w:eastAsiaTheme="minorEastAsia" w:cstheme="minorEastAsia"/>
          <w:position w:val="0"/>
          <w:sz w:val="24"/>
          <w:szCs w:val="24"/>
        </w:rPr>
      </w:pPr>
      <w:r>
        <w:rPr>
          <w:rFonts w:hint="eastAsia" w:asciiTheme="minorEastAsia" w:hAnsiTheme="minorEastAsia" w:eastAsiaTheme="minorEastAsia" w:cstheme="minorEastAsia"/>
          <w:position w:val="0"/>
          <w:sz w:val="24"/>
          <w:szCs w:val="24"/>
        </w:rPr>
        <w:t>法定代表人/</w:t>
      </w:r>
      <w:r>
        <w:rPr>
          <w:rFonts w:hint="eastAsia" w:asciiTheme="minorEastAsia" w:hAnsiTheme="minorEastAsia" w:eastAsiaTheme="minorEastAsia" w:cstheme="minorEastAsia"/>
          <w:position w:val="0"/>
          <w:sz w:val="24"/>
          <w:szCs w:val="24"/>
          <w:lang w:val="en-US" w:eastAsia="zh-CN"/>
        </w:rPr>
        <w:t>授权代表</w:t>
      </w:r>
      <w:r>
        <w:rPr>
          <w:rFonts w:hint="eastAsia" w:asciiTheme="minorEastAsia" w:hAnsiTheme="minorEastAsia" w:eastAsiaTheme="minorEastAsia" w:cstheme="minorEastAsia"/>
          <w:position w:val="0"/>
          <w:sz w:val="24"/>
          <w:szCs w:val="24"/>
        </w:rPr>
        <w:t>：</w:t>
      </w:r>
    </w:p>
    <w:p w14:paraId="67C9B81A">
      <w:pPr>
        <w:keepNext w:val="0"/>
        <w:keepLines w:val="0"/>
        <w:pageBreakBefore w:val="0"/>
        <w:widowControl w:val="0"/>
        <w:tabs>
          <w:tab w:val="left" w:pos="5220"/>
          <w:tab w:val="left" w:pos="5400"/>
          <w:tab w:val="left" w:pos="5580"/>
        </w:tabs>
        <w:kinsoku/>
        <w:wordWrap/>
        <w:overflowPunct/>
        <w:topLinePunct w:val="0"/>
        <w:bidi w:val="0"/>
        <w:snapToGrid w:val="0"/>
        <w:spacing w:line="360" w:lineRule="auto"/>
        <w:textAlignment w:val="auto"/>
        <w:rPr>
          <w:rFonts w:hint="eastAsia" w:asciiTheme="minorEastAsia" w:hAnsiTheme="minorEastAsia" w:eastAsiaTheme="minorEastAsia" w:cstheme="minorEastAsia"/>
          <w:position w:val="0"/>
          <w:sz w:val="24"/>
          <w:szCs w:val="24"/>
        </w:rPr>
      </w:pPr>
      <w:r>
        <w:rPr>
          <w:rFonts w:hint="eastAsia" w:asciiTheme="minorEastAsia" w:hAnsiTheme="minorEastAsia" w:eastAsiaTheme="minorEastAsia" w:cstheme="minorEastAsia"/>
          <w:position w:val="0"/>
          <w:sz w:val="24"/>
          <w:szCs w:val="24"/>
          <w:lang w:val="en-US" w:eastAsia="zh-CN"/>
        </w:rPr>
        <w:t>日期：</w:t>
      </w:r>
      <w:r>
        <w:rPr>
          <w:rFonts w:hint="eastAsia" w:asciiTheme="minorEastAsia" w:hAnsiTheme="minorEastAsia" w:eastAsiaTheme="minorEastAsia" w:cstheme="minorEastAsia"/>
          <w:position w:val="0"/>
          <w:sz w:val="24"/>
          <w:szCs w:val="24"/>
        </w:rPr>
        <w:t xml:space="preserve">                  </w:t>
      </w:r>
    </w:p>
    <w:p w14:paraId="4B21E601">
      <w:pPr>
        <w:keepNext w:val="0"/>
        <w:keepLines w:val="0"/>
        <w:pageBreakBefore w:val="0"/>
        <w:widowControl w:val="0"/>
        <w:kinsoku/>
        <w:wordWrap/>
        <w:overflowPunct/>
        <w:topLinePunct w:val="0"/>
        <w:bidi w:val="0"/>
        <w:spacing w:line="360" w:lineRule="auto"/>
        <w:textAlignment w:val="auto"/>
        <w:rPr>
          <w:rFonts w:hint="eastAsia" w:asciiTheme="minorEastAsia" w:hAnsiTheme="minorEastAsia" w:eastAsiaTheme="minorEastAsia" w:cstheme="minorEastAsia"/>
          <w:position w:val="0"/>
          <w:sz w:val="24"/>
          <w:szCs w:val="24"/>
        </w:rPr>
      </w:pPr>
    </w:p>
    <w:p w14:paraId="7954095A">
      <w:pPr>
        <w:keepNext w:val="0"/>
        <w:keepLines w:val="0"/>
        <w:pageBreakBefore w:val="0"/>
        <w:widowControl w:val="0"/>
        <w:kinsoku/>
        <w:wordWrap/>
        <w:overflowPunct/>
        <w:topLinePunct w:val="0"/>
        <w:bidi w:val="0"/>
        <w:spacing w:line="360" w:lineRule="auto"/>
        <w:textAlignment w:val="auto"/>
        <w:rPr>
          <w:rFonts w:hint="eastAsia" w:asciiTheme="minorEastAsia" w:hAnsiTheme="minorEastAsia" w:eastAsiaTheme="minorEastAsia" w:cstheme="minorEastAsia"/>
          <w:position w:val="0"/>
          <w:sz w:val="24"/>
          <w:szCs w:val="24"/>
        </w:rPr>
      </w:pPr>
    </w:p>
    <w:p w14:paraId="762C274D">
      <w:pPr>
        <w:keepNext w:val="0"/>
        <w:keepLines w:val="0"/>
        <w:pageBreakBefore w:val="0"/>
        <w:widowControl w:val="0"/>
        <w:kinsoku/>
        <w:wordWrap/>
        <w:overflowPunct/>
        <w:topLinePunct w:val="0"/>
        <w:bidi w:val="0"/>
        <w:spacing w:line="360" w:lineRule="auto"/>
        <w:textAlignment w:val="auto"/>
        <w:rPr>
          <w:rFonts w:hint="eastAsia" w:asciiTheme="minorEastAsia" w:hAnsiTheme="minorEastAsia" w:eastAsiaTheme="minorEastAsia" w:cstheme="minorEastAsia"/>
          <w:position w:val="0"/>
          <w:sz w:val="24"/>
          <w:szCs w:val="24"/>
        </w:rPr>
      </w:pPr>
    </w:p>
    <w:p w14:paraId="25863B18">
      <w:pPr>
        <w:keepNext w:val="0"/>
        <w:keepLines w:val="0"/>
        <w:pageBreakBefore w:val="0"/>
        <w:widowControl w:val="0"/>
        <w:kinsoku/>
        <w:wordWrap/>
        <w:overflowPunct/>
        <w:topLinePunct w:val="0"/>
        <w:bidi w:val="0"/>
        <w:spacing w:line="360" w:lineRule="auto"/>
        <w:textAlignment w:val="auto"/>
        <w:rPr>
          <w:rFonts w:hint="eastAsia" w:asciiTheme="minorEastAsia" w:hAnsiTheme="minorEastAsia" w:eastAsiaTheme="minorEastAsia" w:cstheme="minorEastAsia"/>
          <w:position w:val="0"/>
          <w:sz w:val="24"/>
          <w:szCs w:val="24"/>
          <w:u w:val="none"/>
          <w:lang w:eastAsia="zh-CN"/>
        </w:rPr>
      </w:pPr>
      <w:r>
        <w:rPr>
          <w:rFonts w:hint="eastAsia" w:asciiTheme="minorEastAsia" w:hAnsiTheme="minorEastAsia" w:eastAsiaTheme="minorEastAsia" w:cstheme="minorEastAsia"/>
          <w:position w:val="0"/>
          <w:sz w:val="24"/>
          <w:szCs w:val="24"/>
          <w:lang w:eastAsia="zh-CN"/>
        </w:rPr>
        <w:t>中标单位</w:t>
      </w:r>
      <w:r>
        <w:rPr>
          <w:rFonts w:hint="eastAsia" w:asciiTheme="minorEastAsia" w:hAnsiTheme="minorEastAsia" w:eastAsiaTheme="minorEastAsia" w:cstheme="minorEastAsia"/>
          <w:position w:val="0"/>
          <w:sz w:val="24"/>
          <w:szCs w:val="24"/>
        </w:rPr>
        <w:t>：</w:t>
      </w:r>
      <w:r>
        <w:rPr>
          <w:rFonts w:hint="eastAsia" w:asciiTheme="minorEastAsia" w:hAnsiTheme="minorEastAsia" w:eastAsiaTheme="minorEastAsia" w:cstheme="minorEastAsia"/>
          <w:position w:val="0"/>
          <w:sz w:val="24"/>
          <w:szCs w:val="24"/>
          <w:u w:val="single"/>
        </w:rPr>
        <w:t xml:space="preserve">                    </w:t>
      </w:r>
      <w:r>
        <w:rPr>
          <w:rFonts w:hint="eastAsia" w:asciiTheme="minorEastAsia" w:hAnsiTheme="minorEastAsia" w:eastAsiaTheme="minorEastAsia" w:cstheme="minorEastAsia"/>
          <w:position w:val="0"/>
          <w:sz w:val="24"/>
          <w:szCs w:val="24"/>
          <w:u w:val="none"/>
          <w:lang w:eastAsia="zh-CN"/>
        </w:rPr>
        <w:t>（</w:t>
      </w:r>
      <w:r>
        <w:rPr>
          <w:rFonts w:hint="eastAsia" w:asciiTheme="minorEastAsia" w:hAnsiTheme="minorEastAsia" w:eastAsiaTheme="minorEastAsia" w:cstheme="minorEastAsia"/>
          <w:position w:val="0"/>
          <w:sz w:val="24"/>
          <w:szCs w:val="24"/>
          <w:u w:val="none"/>
          <w:lang w:val="en-US" w:eastAsia="zh-CN"/>
        </w:rPr>
        <w:t>盖章</w:t>
      </w:r>
      <w:r>
        <w:rPr>
          <w:rFonts w:hint="eastAsia" w:asciiTheme="minorEastAsia" w:hAnsiTheme="minorEastAsia" w:eastAsiaTheme="minorEastAsia" w:cstheme="minorEastAsia"/>
          <w:position w:val="0"/>
          <w:sz w:val="24"/>
          <w:szCs w:val="24"/>
          <w:u w:val="none"/>
          <w:lang w:eastAsia="zh-CN"/>
        </w:rPr>
        <w:t>）</w:t>
      </w:r>
    </w:p>
    <w:p w14:paraId="0C936412">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jc w:val="left"/>
        <w:textAlignment w:val="auto"/>
        <w:rPr>
          <w:rFonts w:hint="eastAsia" w:asciiTheme="minorEastAsia" w:hAnsiTheme="minorEastAsia" w:eastAsiaTheme="minorEastAsia" w:cstheme="minorEastAsia"/>
          <w:position w:val="0"/>
          <w:sz w:val="24"/>
          <w:szCs w:val="24"/>
        </w:rPr>
      </w:pPr>
      <w:r>
        <w:rPr>
          <w:rFonts w:hint="eastAsia" w:asciiTheme="minorEastAsia" w:hAnsiTheme="minorEastAsia" w:eastAsiaTheme="minorEastAsia" w:cstheme="minorEastAsia"/>
          <w:position w:val="0"/>
          <w:sz w:val="24"/>
          <w:szCs w:val="24"/>
        </w:rPr>
        <w:t>法定代表人/</w:t>
      </w:r>
      <w:r>
        <w:rPr>
          <w:rFonts w:hint="eastAsia" w:asciiTheme="minorEastAsia" w:hAnsiTheme="minorEastAsia" w:eastAsiaTheme="minorEastAsia" w:cstheme="minorEastAsia"/>
          <w:position w:val="0"/>
          <w:sz w:val="24"/>
          <w:szCs w:val="24"/>
          <w:lang w:val="en-US" w:eastAsia="zh-CN"/>
        </w:rPr>
        <w:t>授权代表</w:t>
      </w:r>
      <w:r>
        <w:rPr>
          <w:rFonts w:hint="eastAsia" w:asciiTheme="minorEastAsia" w:hAnsiTheme="minorEastAsia" w:eastAsiaTheme="minorEastAsia" w:cstheme="minorEastAsia"/>
          <w:position w:val="0"/>
          <w:sz w:val="24"/>
          <w:szCs w:val="24"/>
        </w:rPr>
        <w:t>：</w:t>
      </w:r>
    </w:p>
    <w:p w14:paraId="4214AC67">
      <w:pPr>
        <w:keepNext w:val="0"/>
        <w:keepLines w:val="0"/>
        <w:pageBreakBefore w:val="0"/>
        <w:widowControl w:val="0"/>
        <w:tabs>
          <w:tab w:val="left" w:pos="5220"/>
          <w:tab w:val="left" w:pos="5400"/>
          <w:tab w:val="left" w:pos="5580"/>
        </w:tabs>
        <w:kinsoku/>
        <w:wordWrap/>
        <w:overflowPunct/>
        <w:topLinePunct w:val="0"/>
        <w:autoSpaceDE w:val="0"/>
        <w:autoSpaceDN w:val="0"/>
        <w:bidi w:val="0"/>
        <w:adjustRightInd w:val="0"/>
        <w:spacing w:line="360" w:lineRule="auto"/>
        <w:jc w:val="left"/>
        <w:textAlignment w:val="auto"/>
        <w:rPr>
          <w:rFonts w:hint="eastAsia" w:asciiTheme="minorEastAsia" w:hAnsiTheme="minorEastAsia" w:eastAsiaTheme="minorEastAsia" w:cstheme="minorEastAsia"/>
          <w:position w:val="0"/>
          <w:sz w:val="24"/>
          <w:szCs w:val="24"/>
          <w:lang w:val="en-US" w:eastAsia="zh-CN"/>
        </w:rPr>
      </w:pPr>
      <w:r>
        <w:rPr>
          <w:rFonts w:hint="eastAsia" w:asciiTheme="minorEastAsia" w:hAnsiTheme="minorEastAsia" w:eastAsiaTheme="minorEastAsia" w:cstheme="minorEastAsia"/>
          <w:position w:val="0"/>
          <w:sz w:val="24"/>
          <w:szCs w:val="24"/>
          <w:lang w:val="en-US" w:eastAsia="zh-CN"/>
        </w:rPr>
        <w:t>日期：</w:t>
      </w:r>
    </w:p>
    <w:p w14:paraId="4D92274F">
      <w:pPr>
        <w:keepNext w:val="0"/>
        <w:keepLines w:val="0"/>
        <w:pageBreakBefore w:val="0"/>
        <w:widowControl w:val="0"/>
        <w:kinsoku/>
        <w:wordWrap/>
        <w:overflowPunct/>
        <w:topLinePunct w:val="0"/>
        <w:bidi w:val="0"/>
        <w:spacing w:line="360" w:lineRule="auto"/>
        <w:textAlignment w:val="auto"/>
        <w:rPr>
          <w:rFonts w:hint="eastAsia" w:asciiTheme="minorEastAsia" w:hAnsiTheme="minorEastAsia" w:eastAsiaTheme="minorEastAsia" w:cstheme="minorEastAsia"/>
          <w:sz w:val="24"/>
          <w:szCs w:val="24"/>
        </w:rPr>
      </w:pPr>
    </w:p>
    <w:p w14:paraId="1360797F">
      <w:pPr>
        <w:rPr>
          <w:rFonts w:hint="eastAsia"/>
          <w:b/>
          <w:sz w:val="44"/>
          <w:szCs w:val="44"/>
        </w:rPr>
      </w:pPr>
      <w:r>
        <w:rPr>
          <w:rFonts w:hint="eastAsia"/>
          <w:b/>
          <w:sz w:val="44"/>
          <w:szCs w:val="44"/>
        </w:rPr>
        <w:br w:type="page"/>
      </w:r>
    </w:p>
    <w:p w14:paraId="5DA5CDAF">
      <w:pPr>
        <w:spacing w:line="360" w:lineRule="auto"/>
        <w:jc w:val="center"/>
        <w:outlineLvl w:val="0"/>
        <w:rPr>
          <w:rFonts w:ascii="宋体" w:hAnsi="宋体"/>
          <w:sz w:val="24"/>
        </w:rPr>
      </w:pPr>
      <w:bookmarkStart w:id="322" w:name="_Toc6658"/>
      <w:r>
        <w:rPr>
          <w:rFonts w:hint="eastAsia"/>
          <w:b/>
          <w:sz w:val="44"/>
          <w:szCs w:val="44"/>
        </w:rPr>
        <w:t>第四章</w:t>
      </w:r>
      <w:r>
        <w:rPr>
          <w:b/>
          <w:sz w:val="44"/>
          <w:szCs w:val="44"/>
        </w:rPr>
        <w:t xml:space="preserve"> </w:t>
      </w:r>
      <w:r>
        <w:rPr>
          <w:rFonts w:hint="eastAsia"/>
          <w:b/>
          <w:sz w:val="44"/>
          <w:szCs w:val="44"/>
        </w:rPr>
        <w:t>技术要求</w:t>
      </w:r>
      <w:bookmarkEnd w:id="313"/>
      <w:bookmarkEnd w:id="314"/>
      <w:bookmarkEnd w:id="315"/>
      <w:bookmarkEnd w:id="316"/>
      <w:bookmarkEnd w:id="317"/>
      <w:bookmarkEnd w:id="318"/>
      <w:bookmarkEnd w:id="319"/>
      <w:bookmarkEnd w:id="322"/>
    </w:p>
    <w:p w14:paraId="3CD09FE5">
      <w:pPr>
        <w:numPr>
          <w:ilvl w:val="0"/>
          <w:numId w:val="16"/>
        </w:numPr>
        <w:spacing w:line="360" w:lineRule="auto"/>
        <w:rPr>
          <w:rFonts w:ascii="宋体" w:hAnsi="宋体" w:cs="宋体"/>
          <w:b/>
          <w:sz w:val="24"/>
        </w:rPr>
      </w:pPr>
      <w:r>
        <w:rPr>
          <w:rFonts w:hint="eastAsia" w:ascii="宋体" w:hAnsi="宋体" w:cs="宋体"/>
          <w:b/>
          <w:sz w:val="24"/>
        </w:rPr>
        <w:t>项目概况</w:t>
      </w:r>
    </w:p>
    <w:p w14:paraId="6471D79E">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ajorEastAsia" w:hAnsiTheme="majorEastAsia" w:eastAsiaTheme="majorEastAsia" w:cstheme="majorEastAsia"/>
          <w:sz w:val="24"/>
          <w:szCs w:val="24"/>
          <w:lang w:val="zh-CN"/>
        </w:rPr>
      </w:pPr>
      <w:r>
        <w:rPr>
          <w:rFonts w:hint="eastAsia" w:asciiTheme="majorEastAsia" w:hAnsiTheme="majorEastAsia" w:eastAsiaTheme="majorEastAsia" w:cstheme="majorEastAsia"/>
          <w:sz w:val="24"/>
          <w:szCs w:val="24"/>
          <w:lang w:val="zh-CN"/>
        </w:rPr>
        <w:t>根据</w:t>
      </w:r>
      <w:r>
        <w:rPr>
          <w:rFonts w:hint="eastAsia" w:asciiTheme="majorEastAsia" w:hAnsiTheme="majorEastAsia" w:eastAsiaTheme="majorEastAsia" w:cstheme="majorEastAsia"/>
          <w:sz w:val="24"/>
          <w:szCs w:val="24"/>
          <w:lang w:val="en-US" w:eastAsia="zh-CN"/>
        </w:rPr>
        <w:t>云南能源</w:t>
      </w:r>
      <w:r>
        <w:rPr>
          <w:rFonts w:hint="eastAsia" w:asciiTheme="majorEastAsia" w:hAnsiTheme="majorEastAsia" w:eastAsiaTheme="majorEastAsia" w:cstheme="majorEastAsia"/>
          <w:sz w:val="24"/>
          <w:szCs w:val="24"/>
          <w:lang w:val="zh-CN"/>
        </w:rPr>
        <w:t>集团党委部署及《关于集团企业形象标识标牌优化工作组近期工作安排的通知》精神，集团已完成对所属公司标识现状的摸排与评估，并重新优化了设计图样。</w:t>
      </w:r>
      <w:r>
        <w:rPr>
          <w:rFonts w:hint="eastAsia" w:asciiTheme="majorEastAsia" w:hAnsiTheme="majorEastAsia" w:eastAsiaTheme="majorEastAsia" w:cstheme="majorEastAsia"/>
          <w:sz w:val="24"/>
          <w:szCs w:val="24"/>
          <w:lang w:val="en-US" w:eastAsia="zh-CN"/>
        </w:rPr>
        <w:t>河口滇越货场物流有限责任公司</w:t>
      </w:r>
      <w:r>
        <w:rPr>
          <w:rFonts w:hint="eastAsia" w:asciiTheme="majorEastAsia" w:hAnsiTheme="majorEastAsia" w:eastAsiaTheme="majorEastAsia" w:cstheme="majorEastAsia"/>
          <w:sz w:val="24"/>
          <w:szCs w:val="24"/>
          <w:lang w:val="zh-CN"/>
        </w:rPr>
        <w:t>作为集团口岸物流的重要节点，必须严格对标集团最新视觉识别系统（VI）规范，及时更新企业形象，杜绝新旧名称混用，以崭新的“云南能源”形象展现集团整合新面貌，</w:t>
      </w:r>
      <w:r>
        <w:rPr>
          <w:rFonts w:hint="eastAsia" w:asciiTheme="majorEastAsia" w:hAnsiTheme="majorEastAsia" w:eastAsiaTheme="majorEastAsia" w:cstheme="majorEastAsia"/>
          <w:sz w:val="24"/>
          <w:szCs w:val="24"/>
          <w:lang w:val="en-US" w:eastAsia="zh-CN"/>
        </w:rPr>
        <w:t>现进行企业标识牌采购项目</w:t>
      </w:r>
      <w:r>
        <w:rPr>
          <w:rFonts w:hint="eastAsia" w:asciiTheme="majorEastAsia" w:hAnsiTheme="majorEastAsia" w:eastAsiaTheme="majorEastAsia" w:cstheme="majorEastAsia"/>
          <w:sz w:val="24"/>
          <w:szCs w:val="24"/>
          <w:lang w:val="zh-CN"/>
        </w:rPr>
        <w:t>。</w:t>
      </w:r>
    </w:p>
    <w:p w14:paraId="3373BED0">
      <w:pPr>
        <w:numPr>
          <w:ilvl w:val="0"/>
          <w:numId w:val="16"/>
        </w:numPr>
        <w:spacing w:line="360" w:lineRule="auto"/>
      </w:pPr>
      <w:r>
        <w:rPr>
          <w:rFonts w:hint="eastAsia" w:ascii="宋体" w:hAnsi="宋体" w:cs="宋体"/>
          <w:b/>
          <w:sz w:val="24"/>
        </w:rPr>
        <w:t>采购内容</w:t>
      </w:r>
    </w:p>
    <w:p w14:paraId="5E393841">
      <w:pPr>
        <w:pStyle w:val="9"/>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rPr>
          <w:rFonts w:hint="eastAsia" w:asciiTheme="majorEastAsia" w:hAnsiTheme="majorEastAsia" w:eastAsiaTheme="majorEastAsia" w:cstheme="majorEastAsia"/>
          <w:kern w:val="2"/>
          <w:sz w:val="24"/>
          <w:szCs w:val="24"/>
          <w:lang w:val="zh-CN" w:eastAsia="zh-CN" w:bidi="ar-SA"/>
        </w:rPr>
      </w:pPr>
      <w:r>
        <w:rPr>
          <w:rFonts w:hint="eastAsia" w:asciiTheme="majorEastAsia" w:hAnsiTheme="majorEastAsia" w:eastAsiaTheme="majorEastAsia" w:cstheme="majorEastAsia"/>
          <w:kern w:val="2"/>
          <w:sz w:val="24"/>
          <w:szCs w:val="24"/>
          <w:lang w:val="zh-CN" w:eastAsia="zh-CN" w:bidi="ar-SA"/>
        </w:rPr>
        <w:t>本次采购严格按照集团审定的效果图及规范执行，工作内容</w:t>
      </w:r>
      <w:r>
        <w:rPr>
          <w:rFonts w:hint="eastAsia" w:asciiTheme="majorEastAsia" w:hAnsiTheme="majorEastAsia" w:eastAsiaTheme="majorEastAsia" w:cstheme="majorEastAsia"/>
          <w:kern w:val="2"/>
          <w:sz w:val="24"/>
          <w:szCs w:val="24"/>
          <w:lang w:val="en-US" w:eastAsia="zh-CN" w:bidi="ar-SA"/>
        </w:rPr>
        <w:t>为</w:t>
      </w:r>
      <w:r>
        <w:rPr>
          <w:rFonts w:hint="eastAsia" w:asciiTheme="majorEastAsia" w:hAnsiTheme="majorEastAsia" w:eastAsiaTheme="majorEastAsia" w:cstheme="majorEastAsia"/>
          <w:kern w:val="2"/>
          <w:sz w:val="24"/>
          <w:szCs w:val="24"/>
          <w:lang w:val="zh-CN" w:eastAsia="zh-CN" w:bidi="ar-SA"/>
        </w:rPr>
        <w:t>旧标识牌安全拆除及清运处置、新标识牌制作、高空吊装作业、安装及土建恢复。主要涉及货场内四个核心区域的标识拆除与更换，</w:t>
      </w:r>
      <w:r>
        <w:rPr>
          <w:rFonts w:hint="eastAsia" w:asciiTheme="majorEastAsia" w:hAnsiTheme="majorEastAsia" w:eastAsiaTheme="majorEastAsia" w:cstheme="majorEastAsia"/>
          <w:kern w:val="2"/>
          <w:sz w:val="24"/>
          <w:szCs w:val="24"/>
          <w:lang w:val="en-US" w:eastAsia="zh-CN" w:bidi="ar-SA"/>
        </w:rPr>
        <w:t>及对标识标牌现有钢架进行除锈养护处理</w:t>
      </w:r>
      <w:r>
        <w:rPr>
          <w:rFonts w:hint="eastAsia" w:asciiTheme="majorEastAsia" w:hAnsiTheme="majorEastAsia" w:eastAsiaTheme="majorEastAsia" w:cstheme="majorEastAsia"/>
          <w:kern w:val="2"/>
          <w:sz w:val="24"/>
          <w:szCs w:val="24"/>
          <w:lang w:val="zh-CN" w:eastAsia="zh-CN" w:bidi="ar-SA"/>
        </w:rPr>
        <w:t>，具体点位如下：</w:t>
      </w:r>
    </w:p>
    <w:tbl>
      <w:tblPr>
        <w:tblStyle w:val="26"/>
        <w:tblW w:w="95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1"/>
        <w:gridCol w:w="832"/>
        <w:gridCol w:w="1980"/>
        <w:gridCol w:w="960"/>
        <w:gridCol w:w="960"/>
        <w:gridCol w:w="690"/>
        <w:gridCol w:w="1065"/>
        <w:gridCol w:w="2488"/>
      </w:tblGrid>
      <w:tr w14:paraId="19A09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54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9DDF6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832" w:type="dxa"/>
            <w:tcBorders>
              <w:top w:val="single" w:color="000000" w:sz="8" w:space="0"/>
              <w:left w:val="nil"/>
              <w:bottom w:val="single" w:color="000000" w:sz="8" w:space="0"/>
              <w:right w:val="single" w:color="000000" w:sz="8" w:space="0"/>
            </w:tcBorders>
            <w:shd w:val="clear" w:color="auto" w:fill="FFFFFF"/>
            <w:vAlign w:val="center"/>
          </w:tcPr>
          <w:p w14:paraId="765C02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位置</w:t>
            </w:r>
          </w:p>
        </w:tc>
        <w:tc>
          <w:tcPr>
            <w:tcW w:w="1980" w:type="dxa"/>
            <w:tcBorders>
              <w:top w:val="single" w:color="000000" w:sz="8" w:space="0"/>
              <w:left w:val="nil"/>
              <w:bottom w:val="single" w:color="000000" w:sz="8" w:space="0"/>
              <w:right w:val="single" w:color="000000" w:sz="8" w:space="0"/>
            </w:tcBorders>
            <w:shd w:val="clear" w:color="auto" w:fill="FFFFFF"/>
            <w:vAlign w:val="center"/>
          </w:tcPr>
          <w:p w14:paraId="469F47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需求内容</w:t>
            </w:r>
          </w:p>
        </w:tc>
        <w:tc>
          <w:tcPr>
            <w:tcW w:w="960" w:type="dxa"/>
            <w:tcBorders>
              <w:top w:val="single" w:color="000000" w:sz="8" w:space="0"/>
              <w:left w:val="nil"/>
              <w:bottom w:val="single" w:color="000000" w:sz="8" w:space="0"/>
              <w:right w:val="single" w:color="000000" w:sz="8" w:space="0"/>
            </w:tcBorders>
            <w:shd w:val="clear" w:color="auto" w:fill="FFFFFF"/>
            <w:vAlign w:val="center"/>
          </w:tcPr>
          <w:p w14:paraId="7754CF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规格</w:t>
            </w:r>
          </w:p>
        </w:tc>
        <w:tc>
          <w:tcPr>
            <w:tcW w:w="960" w:type="dxa"/>
            <w:tcBorders>
              <w:top w:val="single" w:color="000000" w:sz="8" w:space="0"/>
              <w:left w:val="nil"/>
              <w:bottom w:val="single" w:color="000000" w:sz="8" w:space="0"/>
              <w:right w:val="single" w:color="000000" w:sz="8" w:space="0"/>
            </w:tcBorders>
            <w:shd w:val="clear" w:color="auto" w:fill="FFFFFF"/>
            <w:vAlign w:val="center"/>
          </w:tcPr>
          <w:p w14:paraId="00ED59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690" w:type="dxa"/>
            <w:tcBorders>
              <w:top w:val="single" w:color="000000" w:sz="8" w:space="0"/>
              <w:left w:val="nil"/>
              <w:bottom w:val="single" w:color="000000" w:sz="8" w:space="0"/>
              <w:right w:val="single" w:color="000000" w:sz="8" w:space="0"/>
            </w:tcBorders>
            <w:shd w:val="clear" w:color="auto" w:fill="FFFFFF"/>
            <w:vAlign w:val="center"/>
          </w:tcPr>
          <w:p w14:paraId="51D0EA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1065" w:type="dxa"/>
            <w:tcBorders>
              <w:top w:val="single" w:color="000000" w:sz="8" w:space="0"/>
              <w:left w:val="nil"/>
              <w:bottom w:val="single" w:color="000000" w:sz="8" w:space="0"/>
              <w:right w:val="single" w:color="000000" w:sz="8" w:space="0"/>
            </w:tcBorders>
            <w:shd w:val="clear" w:color="auto" w:fill="FFFFFF"/>
            <w:vAlign w:val="center"/>
          </w:tcPr>
          <w:p w14:paraId="34A636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面积（㎡）</w:t>
            </w:r>
          </w:p>
        </w:tc>
        <w:tc>
          <w:tcPr>
            <w:tcW w:w="2488" w:type="dxa"/>
            <w:tcBorders>
              <w:top w:val="single" w:color="000000" w:sz="8" w:space="0"/>
              <w:left w:val="nil"/>
              <w:bottom w:val="nil"/>
              <w:right w:val="single" w:color="000000" w:sz="8" w:space="0"/>
            </w:tcBorders>
            <w:shd w:val="clear" w:color="auto" w:fill="FFFFFF"/>
            <w:vAlign w:val="center"/>
          </w:tcPr>
          <w:p w14:paraId="216375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实景图</w:t>
            </w:r>
          </w:p>
        </w:tc>
      </w:tr>
      <w:tr w14:paraId="4E399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541" w:type="dxa"/>
            <w:vMerge w:val="restart"/>
            <w:tcBorders>
              <w:top w:val="nil"/>
              <w:left w:val="single" w:color="000000" w:sz="8" w:space="0"/>
              <w:bottom w:val="single" w:color="000000" w:sz="8" w:space="0"/>
              <w:right w:val="single" w:color="000000" w:sz="8" w:space="0"/>
            </w:tcBorders>
            <w:shd w:val="clear" w:color="auto" w:fill="FFFFFF"/>
            <w:vAlign w:val="center"/>
          </w:tcPr>
          <w:p w14:paraId="50E804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832" w:type="dxa"/>
            <w:vMerge w:val="restart"/>
            <w:tcBorders>
              <w:top w:val="nil"/>
              <w:left w:val="nil"/>
              <w:bottom w:val="single" w:color="000000" w:sz="8" w:space="0"/>
              <w:right w:val="single" w:color="000000" w:sz="8" w:space="0"/>
            </w:tcBorders>
            <w:shd w:val="clear" w:color="auto" w:fill="FFFFFF"/>
            <w:vAlign w:val="center"/>
          </w:tcPr>
          <w:p w14:paraId="57EDA3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河口县北山国际货场北卡口</w:t>
            </w:r>
          </w:p>
        </w:tc>
        <w:tc>
          <w:tcPr>
            <w:tcW w:w="1980" w:type="dxa"/>
            <w:tcBorders>
              <w:top w:val="nil"/>
              <w:left w:val="nil"/>
              <w:bottom w:val="single" w:color="000000" w:sz="8" w:space="0"/>
              <w:right w:val="single" w:color="000000" w:sz="8" w:space="0"/>
            </w:tcBorders>
            <w:shd w:val="clear" w:color="auto" w:fill="FFFFFF"/>
            <w:vAlign w:val="center"/>
          </w:tcPr>
          <w:p w14:paraId="35BB57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更换logo标志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（外露led发光字）</w:t>
            </w:r>
          </w:p>
        </w:tc>
        <w:tc>
          <w:tcPr>
            <w:tcW w:w="960" w:type="dxa"/>
            <w:tcBorders>
              <w:top w:val="nil"/>
              <w:left w:val="nil"/>
              <w:bottom w:val="single" w:color="000000" w:sz="8" w:space="0"/>
              <w:right w:val="single" w:color="000000" w:sz="8" w:space="0"/>
            </w:tcBorders>
            <w:shd w:val="clear" w:color="auto" w:fill="FFFFFF"/>
            <w:vAlign w:val="center"/>
          </w:tcPr>
          <w:p w14:paraId="15D9B5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3.8 * 2.1</w:t>
            </w:r>
          </w:p>
        </w:tc>
        <w:tc>
          <w:tcPr>
            <w:tcW w:w="960" w:type="dxa"/>
            <w:tcBorders>
              <w:top w:val="nil"/>
              <w:left w:val="nil"/>
              <w:bottom w:val="single" w:color="000000" w:sz="8" w:space="0"/>
              <w:right w:val="single" w:color="000000" w:sz="8" w:space="0"/>
            </w:tcBorders>
            <w:shd w:val="clear" w:color="auto" w:fill="FFFFFF"/>
            <w:vAlign w:val="center"/>
          </w:tcPr>
          <w:p w14:paraId="287A91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690" w:type="dxa"/>
            <w:tcBorders>
              <w:top w:val="nil"/>
              <w:left w:val="nil"/>
              <w:bottom w:val="single" w:color="000000" w:sz="8" w:space="0"/>
              <w:right w:val="single" w:color="000000" w:sz="8" w:space="0"/>
            </w:tcBorders>
            <w:shd w:val="clear" w:color="auto" w:fill="FFFFFF"/>
            <w:vAlign w:val="center"/>
          </w:tcPr>
          <w:p w14:paraId="1CCE7E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4782D5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7.98</w:t>
            </w:r>
          </w:p>
        </w:tc>
        <w:tc>
          <w:tcPr>
            <w:tcW w:w="2488" w:type="dxa"/>
            <w:vMerge w:val="restart"/>
            <w:tcBorders>
              <w:top w:val="single" w:color="000000" w:sz="8" w:space="0"/>
              <w:left w:val="single" w:color="000000" w:sz="8" w:space="0"/>
              <w:bottom w:val="nil"/>
              <w:right w:val="single" w:color="000000" w:sz="8" w:space="0"/>
            </w:tcBorders>
            <w:shd w:val="clear" w:color="auto" w:fill="auto"/>
            <w:noWrap/>
            <w:vAlign w:val="center"/>
          </w:tcPr>
          <w:p w14:paraId="668A313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drawing>
                <wp:inline distT="0" distB="0" distL="114300" distR="114300">
                  <wp:extent cx="2095500" cy="1171575"/>
                  <wp:effectExtent l="0" t="0" r="0" b="9525"/>
                  <wp:docPr id="20"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IMG_256"/>
                          <pic:cNvPicPr>
                            <a:picLocks noChangeAspect="1"/>
                          </pic:cNvPicPr>
                        </pic:nvPicPr>
                        <pic:blipFill>
                          <a:blip r:embed="rId9"/>
                          <a:stretch>
                            <a:fillRect/>
                          </a:stretch>
                        </pic:blipFill>
                        <pic:spPr>
                          <a:xfrm>
                            <a:off x="0" y="0"/>
                            <a:ext cx="2095500" cy="1171575"/>
                          </a:xfrm>
                          <a:prstGeom prst="rect">
                            <a:avLst/>
                          </a:prstGeom>
                          <a:noFill/>
                          <a:ln w="9525">
                            <a:noFill/>
                          </a:ln>
                        </pic:spPr>
                      </pic:pic>
                    </a:graphicData>
                  </a:graphic>
                </wp:inline>
              </w:drawing>
            </w:r>
          </w:p>
        </w:tc>
      </w:tr>
      <w:tr w14:paraId="5734E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338DA4C6">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155899BE">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695A97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更换中文（外露led发光字）</w:t>
            </w:r>
          </w:p>
        </w:tc>
        <w:tc>
          <w:tcPr>
            <w:tcW w:w="960" w:type="dxa"/>
            <w:tcBorders>
              <w:top w:val="nil"/>
              <w:left w:val="nil"/>
              <w:bottom w:val="single" w:color="000000" w:sz="8" w:space="0"/>
              <w:right w:val="single" w:color="000000" w:sz="8" w:space="0"/>
            </w:tcBorders>
            <w:shd w:val="clear" w:color="auto" w:fill="FFFFFF"/>
            <w:vAlign w:val="center"/>
          </w:tcPr>
          <w:p w14:paraId="3668D8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1.1 * 1</w:t>
            </w:r>
          </w:p>
        </w:tc>
        <w:tc>
          <w:tcPr>
            <w:tcW w:w="960" w:type="dxa"/>
            <w:tcBorders>
              <w:top w:val="nil"/>
              <w:left w:val="nil"/>
              <w:bottom w:val="single" w:color="000000" w:sz="8" w:space="0"/>
              <w:right w:val="single" w:color="000000" w:sz="8" w:space="0"/>
            </w:tcBorders>
            <w:shd w:val="clear" w:color="auto" w:fill="FFFFFF"/>
            <w:vAlign w:val="center"/>
          </w:tcPr>
          <w:p w14:paraId="14FBF3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690" w:type="dxa"/>
            <w:tcBorders>
              <w:top w:val="nil"/>
              <w:left w:val="nil"/>
              <w:bottom w:val="single" w:color="000000" w:sz="8" w:space="0"/>
              <w:right w:val="single" w:color="000000" w:sz="8" w:space="0"/>
            </w:tcBorders>
            <w:shd w:val="clear" w:color="auto" w:fill="FFFFFF"/>
            <w:vAlign w:val="center"/>
          </w:tcPr>
          <w:p w14:paraId="5A1BA7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74D226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1.1</w:t>
            </w:r>
          </w:p>
        </w:tc>
        <w:tc>
          <w:tcPr>
            <w:tcW w:w="2488" w:type="dxa"/>
            <w:vMerge w:val="continue"/>
            <w:tcBorders>
              <w:top w:val="single" w:color="000000" w:sz="8" w:space="0"/>
              <w:left w:val="single" w:color="000000" w:sz="8" w:space="0"/>
              <w:bottom w:val="nil"/>
              <w:right w:val="single" w:color="000000" w:sz="8" w:space="0"/>
            </w:tcBorders>
            <w:shd w:val="clear" w:color="auto" w:fill="auto"/>
            <w:noWrap/>
            <w:vAlign w:val="center"/>
          </w:tcPr>
          <w:p w14:paraId="7CAF2A0B">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2EECE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1110CC00">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10D4A669">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389DF5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更换英文（外露led发光字）</w:t>
            </w:r>
          </w:p>
        </w:tc>
        <w:tc>
          <w:tcPr>
            <w:tcW w:w="960" w:type="dxa"/>
            <w:tcBorders>
              <w:top w:val="nil"/>
              <w:left w:val="nil"/>
              <w:bottom w:val="single" w:color="000000" w:sz="8" w:space="0"/>
              <w:right w:val="single" w:color="000000" w:sz="8" w:space="0"/>
            </w:tcBorders>
            <w:shd w:val="clear" w:color="auto" w:fill="FFFFFF"/>
            <w:vAlign w:val="center"/>
          </w:tcPr>
          <w:p w14:paraId="1E0F7A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0.37 * 0.37</w:t>
            </w:r>
          </w:p>
        </w:tc>
        <w:tc>
          <w:tcPr>
            <w:tcW w:w="960" w:type="dxa"/>
            <w:tcBorders>
              <w:top w:val="nil"/>
              <w:left w:val="nil"/>
              <w:bottom w:val="single" w:color="000000" w:sz="8" w:space="0"/>
              <w:right w:val="single" w:color="000000" w:sz="8" w:space="0"/>
            </w:tcBorders>
            <w:shd w:val="clear" w:color="auto" w:fill="FFFFFF"/>
            <w:vAlign w:val="center"/>
          </w:tcPr>
          <w:p w14:paraId="4096F2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米</w:t>
            </w:r>
          </w:p>
        </w:tc>
        <w:tc>
          <w:tcPr>
            <w:tcW w:w="690" w:type="dxa"/>
            <w:tcBorders>
              <w:top w:val="nil"/>
              <w:left w:val="nil"/>
              <w:bottom w:val="single" w:color="000000" w:sz="8" w:space="0"/>
              <w:right w:val="single" w:color="000000" w:sz="8" w:space="0"/>
            </w:tcBorders>
            <w:shd w:val="clear" w:color="auto" w:fill="FFFFFF"/>
            <w:vAlign w:val="center"/>
          </w:tcPr>
          <w:p w14:paraId="4A9134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065" w:type="dxa"/>
            <w:tcBorders>
              <w:top w:val="nil"/>
              <w:left w:val="nil"/>
              <w:bottom w:val="single" w:color="000000" w:sz="8" w:space="0"/>
              <w:right w:val="nil"/>
            </w:tcBorders>
            <w:shd w:val="clear" w:color="auto" w:fill="FFFFFF"/>
            <w:vAlign w:val="center"/>
          </w:tcPr>
          <w:p w14:paraId="65E61B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4.44</w:t>
            </w:r>
          </w:p>
        </w:tc>
        <w:tc>
          <w:tcPr>
            <w:tcW w:w="2488" w:type="dxa"/>
            <w:vMerge w:val="continue"/>
            <w:tcBorders>
              <w:top w:val="single" w:color="000000" w:sz="8" w:space="0"/>
              <w:left w:val="single" w:color="000000" w:sz="8" w:space="0"/>
              <w:bottom w:val="nil"/>
              <w:right w:val="single" w:color="000000" w:sz="8" w:space="0"/>
            </w:tcBorders>
            <w:shd w:val="clear" w:color="auto" w:fill="auto"/>
            <w:noWrap/>
            <w:vAlign w:val="center"/>
          </w:tcPr>
          <w:p w14:paraId="22D30834">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29765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9"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2C8C9A60">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00EBCC80">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3B7BC2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发光字钢架部分除锈养护（30mm*50mm镀锌方管，1.2mm厚）</w:t>
            </w:r>
          </w:p>
        </w:tc>
        <w:tc>
          <w:tcPr>
            <w:tcW w:w="960" w:type="dxa"/>
            <w:tcBorders>
              <w:top w:val="nil"/>
              <w:left w:val="nil"/>
              <w:bottom w:val="single" w:color="000000" w:sz="8" w:space="0"/>
              <w:right w:val="single" w:color="000000" w:sz="8" w:space="0"/>
            </w:tcBorders>
            <w:shd w:val="clear" w:color="auto" w:fill="FFFFFF"/>
            <w:vAlign w:val="center"/>
          </w:tcPr>
          <w:p w14:paraId="33B34F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4.5mx38m</w:t>
            </w:r>
          </w:p>
        </w:tc>
        <w:tc>
          <w:tcPr>
            <w:tcW w:w="960" w:type="dxa"/>
            <w:tcBorders>
              <w:top w:val="nil"/>
              <w:left w:val="nil"/>
              <w:bottom w:val="single" w:color="000000" w:sz="8" w:space="0"/>
              <w:right w:val="single" w:color="000000" w:sz="8" w:space="0"/>
            </w:tcBorders>
            <w:shd w:val="clear" w:color="auto" w:fill="FFFFFF"/>
            <w:vAlign w:val="center"/>
          </w:tcPr>
          <w:p w14:paraId="2EE372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690" w:type="dxa"/>
            <w:tcBorders>
              <w:top w:val="nil"/>
              <w:left w:val="nil"/>
              <w:bottom w:val="single" w:color="000000" w:sz="8" w:space="0"/>
              <w:right w:val="single" w:color="000000" w:sz="8" w:space="0"/>
            </w:tcBorders>
            <w:shd w:val="clear" w:color="auto" w:fill="FFFFFF"/>
            <w:vAlign w:val="center"/>
          </w:tcPr>
          <w:p w14:paraId="2BFB2B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45881F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171</w:t>
            </w:r>
          </w:p>
        </w:tc>
        <w:tc>
          <w:tcPr>
            <w:tcW w:w="2488" w:type="dxa"/>
            <w:vMerge w:val="continue"/>
            <w:tcBorders>
              <w:top w:val="single" w:color="000000" w:sz="8" w:space="0"/>
              <w:left w:val="single" w:color="000000" w:sz="8" w:space="0"/>
              <w:bottom w:val="nil"/>
              <w:right w:val="single" w:color="000000" w:sz="8" w:space="0"/>
            </w:tcBorders>
            <w:shd w:val="clear" w:color="auto" w:fill="auto"/>
            <w:noWrap/>
            <w:vAlign w:val="center"/>
          </w:tcPr>
          <w:p w14:paraId="0E2875DF">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153A5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541" w:type="dxa"/>
            <w:vMerge w:val="restart"/>
            <w:tcBorders>
              <w:top w:val="nil"/>
              <w:left w:val="single" w:color="000000" w:sz="8" w:space="0"/>
              <w:bottom w:val="single" w:color="000000" w:sz="8" w:space="0"/>
              <w:right w:val="single" w:color="000000" w:sz="8" w:space="0"/>
            </w:tcBorders>
            <w:shd w:val="clear" w:color="auto" w:fill="FFFFFF"/>
            <w:vAlign w:val="center"/>
          </w:tcPr>
          <w:p w14:paraId="23E775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832" w:type="dxa"/>
            <w:vMerge w:val="restart"/>
            <w:tcBorders>
              <w:top w:val="nil"/>
              <w:left w:val="nil"/>
              <w:bottom w:val="single" w:color="000000" w:sz="8" w:space="0"/>
              <w:right w:val="single" w:color="000000" w:sz="8" w:space="0"/>
            </w:tcBorders>
            <w:shd w:val="clear" w:color="auto" w:fill="FFFFFF"/>
            <w:vAlign w:val="center"/>
          </w:tcPr>
          <w:p w14:paraId="4D3C9B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河口县北山国际货场信息大楼顶楼</w:t>
            </w:r>
          </w:p>
        </w:tc>
        <w:tc>
          <w:tcPr>
            <w:tcW w:w="1980" w:type="dxa"/>
            <w:tcBorders>
              <w:top w:val="nil"/>
              <w:left w:val="nil"/>
              <w:bottom w:val="single" w:color="000000" w:sz="8" w:space="0"/>
              <w:right w:val="single" w:color="000000" w:sz="8" w:space="0"/>
            </w:tcBorders>
            <w:shd w:val="clear" w:color="auto" w:fill="FFFFFF"/>
            <w:vAlign w:val="center"/>
          </w:tcPr>
          <w:p w14:paraId="023727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更换logo标志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（外露led发光字）</w:t>
            </w:r>
          </w:p>
        </w:tc>
        <w:tc>
          <w:tcPr>
            <w:tcW w:w="960" w:type="dxa"/>
            <w:tcBorders>
              <w:top w:val="nil"/>
              <w:left w:val="nil"/>
              <w:bottom w:val="single" w:color="000000" w:sz="8" w:space="0"/>
              <w:right w:val="single" w:color="000000" w:sz="8" w:space="0"/>
            </w:tcBorders>
            <w:shd w:val="clear" w:color="auto" w:fill="FFFFFF"/>
            <w:vAlign w:val="center"/>
          </w:tcPr>
          <w:p w14:paraId="4CA76C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6.4 * 3.56</w:t>
            </w:r>
          </w:p>
        </w:tc>
        <w:tc>
          <w:tcPr>
            <w:tcW w:w="960" w:type="dxa"/>
            <w:tcBorders>
              <w:top w:val="nil"/>
              <w:left w:val="nil"/>
              <w:bottom w:val="single" w:color="000000" w:sz="8" w:space="0"/>
              <w:right w:val="single" w:color="000000" w:sz="8" w:space="0"/>
            </w:tcBorders>
            <w:shd w:val="clear" w:color="auto" w:fill="FFFFFF"/>
            <w:vAlign w:val="center"/>
          </w:tcPr>
          <w:p w14:paraId="50377D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690" w:type="dxa"/>
            <w:tcBorders>
              <w:top w:val="nil"/>
              <w:left w:val="nil"/>
              <w:bottom w:val="single" w:color="000000" w:sz="8" w:space="0"/>
              <w:right w:val="single" w:color="000000" w:sz="8" w:space="0"/>
            </w:tcBorders>
            <w:shd w:val="clear" w:color="auto" w:fill="FFFFFF"/>
            <w:vAlign w:val="center"/>
          </w:tcPr>
          <w:p w14:paraId="645D4F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051A0C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22.784</w:t>
            </w:r>
          </w:p>
        </w:tc>
        <w:tc>
          <w:tcPr>
            <w:tcW w:w="2488" w:type="dxa"/>
            <w:vMerge w:val="restart"/>
            <w:tcBorders>
              <w:top w:val="single" w:color="000000" w:sz="8" w:space="0"/>
              <w:left w:val="single" w:color="000000" w:sz="8" w:space="0"/>
              <w:bottom w:val="nil"/>
              <w:right w:val="single" w:color="000000" w:sz="8" w:space="0"/>
            </w:tcBorders>
            <w:shd w:val="clear" w:color="auto" w:fill="auto"/>
            <w:noWrap/>
            <w:vAlign w:val="center"/>
          </w:tcPr>
          <w:p w14:paraId="2DCCB6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drawing>
                <wp:inline distT="0" distB="0" distL="114300" distR="114300">
                  <wp:extent cx="2095500" cy="1571625"/>
                  <wp:effectExtent l="0" t="0" r="0" b="9525"/>
                  <wp:docPr id="21" name="图片 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8" descr="IMG_257"/>
                          <pic:cNvPicPr>
                            <a:picLocks noChangeAspect="1"/>
                          </pic:cNvPicPr>
                        </pic:nvPicPr>
                        <pic:blipFill>
                          <a:blip r:embed="rId10"/>
                          <a:stretch>
                            <a:fillRect/>
                          </a:stretch>
                        </pic:blipFill>
                        <pic:spPr>
                          <a:xfrm>
                            <a:off x="0" y="0"/>
                            <a:ext cx="2095500" cy="1571625"/>
                          </a:xfrm>
                          <a:prstGeom prst="rect">
                            <a:avLst/>
                          </a:prstGeom>
                          <a:noFill/>
                          <a:ln w="9525">
                            <a:noFill/>
                          </a:ln>
                        </pic:spPr>
                      </pic:pic>
                    </a:graphicData>
                  </a:graphic>
                </wp:inline>
              </w:drawing>
            </w:r>
          </w:p>
        </w:tc>
      </w:tr>
      <w:tr w14:paraId="78641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7D6EC240">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5566227A">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0232B4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更换中文（外露led发光字）</w:t>
            </w:r>
          </w:p>
        </w:tc>
        <w:tc>
          <w:tcPr>
            <w:tcW w:w="960" w:type="dxa"/>
            <w:tcBorders>
              <w:top w:val="nil"/>
              <w:left w:val="nil"/>
              <w:bottom w:val="single" w:color="000000" w:sz="8" w:space="0"/>
              <w:right w:val="single" w:color="000000" w:sz="8" w:space="0"/>
            </w:tcBorders>
            <w:shd w:val="clear" w:color="auto" w:fill="FFFFFF"/>
            <w:vAlign w:val="center"/>
          </w:tcPr>
          <w:p w14:paraId="043A6A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2.4 * 2.4</w:t>
            </w:r>
          </w:p>
        </w:tc>
        <w:tc>
          <w:tcPr>
            <w:tcW w:w="960" w:type="dxa"/>
            <w:tcBorders>
              <w:top w:val="nil"/>
              <w:left w:val="nil"/>
              <w:bottom w:val="single" w:color="000000" w:sz="8" w:space="0"/>
              <w:right w:val="single" w:color="000000" w:sz="8" w:space="0"/>
            </w:tcBorders>
            <w:shd w:val="clear" w:color="auto" w:fill="FFFFFF"/>
            <w:vAlign w:val="center"/>
          </w:tcPr>
          <w:p w14:paraId="1E0299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690" w:type="dxa"/>
            <w:tcBorders>
              <w:top w:val="nil"/>
              <w:left w:val="nil"/>
              <w:bottom w:val="single" w:color="000000" w:sz="8" w:space="0"/>
              <w:right w:val="single" w:color="000000" w:sz="8" w:space="0"/>
            </w:tcBorders>
            <w:shd w:val="clear" w:color="auto" w:fill="FFFFFF"/>
            <w:vAlign w:val="center"/>
          </w:tcPr>
          <w:p w14:paraId="5D7241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077C39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5.76</w:t>
            </w:r>
          </w:p>
        </w:tc>
        <w:tc>
          <w:tcPr>
            <w:tcW w:w="2488" w:type="dxa"/>
            <w:vMerge w:val="continue"/>
            <w:tcBorders>
              <w:top w:val="single" w:color="000000" w:sz="8" w:space="0"/>
              <w:left w:val="single" w:color="000000" w:sz="8" w:space="0"/>
              <w:bottom w:val="nil"/>
              <w:right w:val="single" w:color="000000" w:sz="8" w:space="0"/>
            </w:tcBorders>
            <w:shd w:val="clear" w:color="auto" w:fill="auto"/>
            <w:noWrap/>
            <w:vAlign w:val="center"/>
          </w:tcPr>
          <w:p w14:paraId="292C9EE7">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70CE4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509E339A">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1305956B">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003645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更换英文（外露led发光字）</w:t>
            </w:r>
          </w:p>
        </w:tc>
        <w:tc>
          <w:tcPr>
            <w:tcW w:w="960" w:type="dxa"/>
            <w:tcBorders>
              <w:top w:val="nil"/>
              <w:left w:val="nil"/>
              <w:bottom w:val="single" w:color="000000" w:sz="8" w:space="0"/>
              <w:right w:val="single" w:color="000000" w:sz="8" w:space="0"/>
            </w:tcBorders>
            <w:shd w:val="clear" w:color="auto" w:fill="FFFFFF"/>
            <w:vAlign w:val="center"/>
          </w:tcPr>
          <w:p w14:paraId="5E651E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 * 1</w:t>
            </w:r>
          </w:p>
        </w:tc>
        <w:tc>
          <w:tcPr>
            <w:tcW w:w="960" w:type="dxa"/>
            <w:tcBorders>
              <w:top w:val="nil"/>
              <w:left w:val="nil"/>
              <w:bottom w:val="single" w:color="000000" w:sz="8" w:space="0"/>
              <w:right w:val="single" w:color="000000" w:sz="8" w:space="0"/>
            </w:tcBorders>
            <w:shd w:val="clear" w:color="auto" w:fill="FFFFFF"/>
            <w:vAlign w:val="center"/>
          </w:tcPr>
          <w:p w14:paraId="633C5B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690" w:type="dxa"/>
            <w:tcBorders>
              <w:top w:val="nil"/>
              <w:left w:val="nil"/>
              <w:bottom w:val="single" w:color="000000" w:sz="8" w:space="0"/>
              <w:right w:val="single" w:color="000000" w:sz="8" w:space="0"/>
            </w:tcBorders>
            <w:shd w:val="clear" w:color="auto" w:fill="FFFFFF"/>
            <w:vAlign w:val="center"/>
          </w:tcPr>
          <w:p w14:paraId="04A02C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065" w:type="dxa"/>
            <w:tcBorders>
              <w:top w:val="nil"/>
              <w:left w:val="nil"/>
              <w:bottom w:val="single" w:color="000000" w:sz="8" w:space="0"/>
              <w:right w:val="nil"/>
            </w:tcBorders>
            <w:shd w:val="clear" w:color="auto" w:fill="FFFFFF"/>
            <w:vAlign w:val="center"/>
          </w:tcPr>
          <w:p w14:paraId="35E255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2488" w:type="dxa"/>
            <w:vMerge w:val="continue"/>
            <w:tcBorders>
              <w:top w:val="single" w:color="000000" w:sz="8" w:space="0"/>
              <w:left w:val="single" w:color="000000" w:sz="8" w:space="0"/>
              <w:bottom w:val="nil"/>
              <w:right w:val="single" w:color="000000" w:sz="8" w:space="0"/>
            </w:tcBorders>
            <w:shd w:val="clear" w:color="auto" w:fill="auto"/>
            <w:noWrap/>
            <w:vAlign w:val="center"/>
          </w:tcPr>
          <w:p w14:paraId="26D56E2A">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3D5D9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720FC608">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164E476A">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4793B0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发光字钢架部分除锈养护（3*5镀锌方管焊接）</w:t>
            </w:r>
          </w:p>
        </w:tc>
        <w:tc>
          <w:tcPr>
            <w:tcW w:w="960" w:type="dxa"/>
            <w:tcBorders>
              <w:top w:val="nil"/>
              <w:left w:val="nil"/>
              <w:bottom w:val="single" w:color="000000" w:sz="8" w:space="0"/>
              <w:right w:val="single" w:color="000000" w:sz="8" w:space="0"/>
            </w:tcBorders>
            <w:shd w:val="clear" w:color="auto" w:fill="FFFFFF"/>
            <w:vAlign w:val="center"/>
          </w:tcPr>
          <w:p w14:paraId="5152DC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25 * 6</w:t>
            </w:r>
          </w:p>
        </w:tc>
        <w:tc>
          <w:tcPr>
            <w:tcW w:w="960" w:type="dxa"/>
            <w:tcBorders>
              <w:top w:val="nil"/>
              <w:left w:val="nil"/>
              <w:bottom w:val="single" w:color="000000" w:sz="8" w:space="0"/>
              <w:right w:val="single" w:color="000000" w:sz="8" w:space="0"/>
            </w:tcBorders>
            <w:shd w:val="clear" w:color="auto" w:fill="FFFFFF"/>
            <w:vAlign w:val="center"/>
          </w:tcPr>
          <w:p w14:paraId="4617B9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690" w:type="dxa"/>
            <w:tcBorders>
              <w:top w:val="nil"/>
              <w:left w:val="nil"/>
              <w:bottom w:val="single" w:color="000000" w:sz="8" w:space="0"/>
              <w:right w:val="single" w:color="000000" w:sz="8" w:space="0"/>
            </w:tcBorders>
            <w:shd w:val="clear" w:color="auto" w:fill="FFFFFF"/>
            <w:vAlign w:val="center"/>
          </w:tcPr>
          <w:p w14:paraId="7F6613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564C00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150</w:t>
            </w:r>
          </w:p>
        </w:tc>
        <w:tc>
          <w:tcPr>
            <w:tcW w:w="2488" w:type="dxa"/>
            <w:vMerge w:val="continue"/>
            <w:tcBorders>
              <w:top w:val="single" w:color="000000" w:sz="8" w:space="0"/>
              <w:left w:val="single" w:color="000000" w:sz="8" w:space="0"/>
              <w:bottom w:val="nil"/>
              <w:right w:val="single" w:color="000000" w:sz="8" w:space="0"/>
            </w:tcBorders>
            <w:shd w:val="clear" w:color="auto" w:fill="auto"/>
            <w:noWrap/>
            <w:vAlign w:val="center"/>
          </w:tcPr>
          <w:p w14:paraId="5FD01A4A">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10477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541" w:type="dxa"/>
            <w:vMerge w:val="restart"/>
            <w:tcBorders>
              <w:top w:val="nil"/>
              <w:left w:val="single" w:color="000000" w:sz="8" w:space="0"/>
              <w:bottom w:val="single" w:color="000000" w:sz="8" w:space="0"/>
              <w:right w:val="single" w:color="000000" w:sz="8" w:space="0"/>
            </w:tcBorders>
            <w:shd w:val="clear" w:color="auto" w:fill="FFFFFF"/>
            <w:vAlign w:val="center"/>
          </w:tcPr>
          <w:p w14:paraId="2C6A23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3</w:t>
            </w:r>
          </w:p>
        </w:tc>
        <w:tc>
          <w:tcPr>
            <w:tcW w:w="832" w:type="dxa"/>
            <w:vMerge w:val="restart"/>
            <w:tcBorders>
              <w:top w:val="nil"/>
              <w:left w:val="nil"/>
              <w:bottom w:val="single" w:color="000000" w:sz="8" w:space="0"/>
              <w:right w:val="single" w:color="000000" w:sz="8" w:space="0"/>
            </w:tcBorders>
            <w:shd w:val="clear" w:color="auto" w:fill="FFFFFF"/>
            <w:vAlign w:val="center"/>
          </w:tcPr>
          <w:p w14:paraId="7E85FF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河口县北山国际货场联检楼顶楼</w:t>
            </w:r>
          </w:p>
        </w:tc>
        <w:tc>
          <w:tcPr>
            <w:tcW w:w="1980" w:type="dxa"/>
            <w:tcBorders>
              <w:top w:val="nil"/>
              <w:left w:val="nil"/>
              <w:bottom w:val="single" w:color="000000" w:sz="8" w:space="0"/>
              <w:right w:val="single" w:color="000000" w:sz="8" w:space="0"/>
            </w:tcBorders>
            <w:shd w:val="clear" w:color="auto" w:fill="FFFFFF"/>
            <w:vAlign w:val="center"/>
          </w:tcPr>
          <w:p w14:paraId="133D4A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更换logo标志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（外露led发光字）</w:t>
            </w:r>
          </w:p>
        </w:tc>
        <w:tc>
          <w:tcPr>
            <w:tcW w:w="960" w:type="dxa"/>
            <w:tcBorders>
              <w:top w:val="nil"/>
              <w:left w:val="nil"/>
              <w:bottom w:val="single" w:color="000000" w:sz="8" w:space="0"/>
              <w:right w:val="single" w:color="000000" w:sz="8" w:space="0"/>
            </w:tcBorders>
            <w:shd w:val="clear" w:color="auto" w:fill="FFFFFF"/>
            <w:vAlign w:val="center"/>
          </w:tcPr>
          <w:p w14:paraId="5614E0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 * 2.8</w:t>
            </w:r>
          </w:p>
        </w:tc>
        <w:tc>
          <w:tcPr>
            <w:tcW w:w="960" w:type="dxa"/>
            <w:tcBorders>
              <w:top w:val="nil"/>
              <w:left w:val="nil"/>
              <w:bottom w:val="single" w:color="000000" w:sz="8" w:space="0"/>
              <w:right w:val="single" w:color="000000" w:sz="8" w:space="0"/>
            </w:tcBorders>
            <w:shd w:val="clear" w:color="auto" w:fill="FFFFFF"/>
            <w:vAlign w:val="center"/>
          </w:tcPr>
          <w:p w14:paraId="14C9F8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690" w:type="dxa"/>
            <w:tcBorders>
              <w:top w:val="nil"/>
              <w:left w:val="nil"/>
              <w:bottom w:val="single" w:color="000000" w:sz="8" w:space="0"/>
              <w:right w:val="single" w:color="000000" w:sz="8" w:space="0"/>
            </w:tcBorders>
            <w:shd w:val="clear" w:color="auto" w:fill="FFFFFF"/>
            <w:vAlign w:val="center"/>
          </w:tcPr>
          <w:p w14:paraId="7DE518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7E6501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2488" w:type="dxa"/>
            <w:vMerge w:val="restart"/>
            <w:tcBorders>
              <w:top w:val="single" w:color="000000" w:sz="8" w:space="0"/>
              <w:left w:val="single" w:color="000000" w:sz="8" w:space="0"/>
              <w:bottom w:val="nil"/>
              <w:right w:val="single" w:color="000000" w:sz="8" w:space="0"/>
            </w:tcBorders>
            <w:shd w:val="clear" w:color="auto" w:fill="auto"/>
            <w:noWrap/>
            <w:vAlign w:val="center"/>
          </w:tcPr>
          <w:p w14:paraId="063585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drawing>
                <wp:inline distT="0" distB="0" distL="114300" distR="114300">
                  <wp:extent cx="2095500" cy="1571625"/>
                  <wp:effectExtent l="0" t="0" r="0" b="9525"/>
                  <wp:docPr id="22" name="图片 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descr="IMG_258"/>
                          <pic:cNvPicPr>
                            <a:picLocks noChangeAspect="1"/>
                          </pic:cNvPicPr>
                        </pic:nvPicPr>
                        <pic:blipFill>
                          <a:blip r:embed="rId11"/>
                          <a:stretch>
                            <a:fillRect/>
                          </a:stretch>
                        </pic:blipFill>
                        <pic:spPr>
                          <a:xfrm>
                            <a:off x="0" y="0"/>
                            <a:ext cx="2095500" cy="1571625"/>
                          </a:xfrm>
                          <a:prstGeom prst="rect">
                            <a:avLst/>
                          </a:prstGeom>
                          <a:noFill/>
                          <a:ln w="9525">
                            <a:noFill/>
                          </a:ln>
                        </pic:spPr>
                      </pic:pic>
                    </a:graphicData>
                  </a:graphic>
                </wp:inline>
              </w:drawing>
            </w:r>
          </w:p>
        </w:tc>
      </w:tr>
      <w:tr w14:paraId="06617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3C04DB07">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7D368089">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6B9D4A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更换中文（外露led发光字）</w:t>
            </w:r>
          </w:p>
        </w:tc>
        <w:tc>
          <w:tcPr>
            <w:tcW w:w="960" w:type="dxa"/>
            <w:tcBorders>
              <w:top w:val="nil"/>
              <w:left w:val="nil"/>
              <w:bottom w:val="single" w:color="000000" w:sz="8" w:space="0"/>
              <w:right w:val="single" w:color="000000" w:sz="8" w:space="0"/>
            </w:tcBorders>
            <w:shd w:val="clear" w:color="auto" w:fill="FFFFFF"/>
            <w:vAlign w:val="center"/>
          </w:tcPr>
          <w:p w14:paraId="06FD04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 * 2</w:t>
            </w:r>
          </w:p>
        </w:tc>
        <w:tc>
          <w:tcPr>
            <w:tcW w:w="960" w:type="dxa"/>
            <w:tcBorders>
              <w:top w:val="nil"/>
              <w:left w:val="nil"/>
              <w:bottom w:val="single" w:color="000000" w:sz="8" w:space="0"/>
              <w:right w:val="single" w:color="000000" w:sz="8" w:space="0"/>
            </w:tcBorders>
            <w:shd w:val="clear" w:color="auto" w:fill="FFFFFF"/>
            <w:vAlign w:val="center"/>
          </w:tcPr>
          <w:p w14:paraId="2E1E42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平方米</w:t>
            </w:r>
          </w:p>
        </w:tc>
        <w:tc>
          <w:tcPr>
            <w:tcW w:w="690" w:type="dxa"/>
            <w:tcBorders>
              <w:top w:val="nil"/>
              <w:left w:val="nil"/>
              <w:bottom w:val="single" w:color="000000" w:sz="8" w:space="0"/>
              <w:right w:val="single" w:color="000000" w:sz="8" w:space="0"/>
            </w:tcBorders>
            <w:shd w:val="clear" w:color="auto" w:fill="FFFFFF"/>
            <w:vAlign w:val="center"/>
          </w:tcPr>
          <w:p w14:paraId="77A7DB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5AA675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2488" w:type="dxa"/>
            <w:vMerge w:val="continue"/>
            <w:tcBorders>
              <w:top w:val="single" w:color="000000" w:sz="8" w:space="0"/>
              <w:left w:val="single" w:color="000000" w:sz="8" w:space="0"/>
              <w:bottom w:val="nil"/>
              <w:right w:val="single" w:color="000000" w:sz="8" w:space="0"/>
            </w:tcBorders>
            <w:shd w:val="clear" w:color="auto" w:fill="auto"/>
            <w:noWrap/>
            <w:vAlign w:val="center"/>
          </w:tcPr>
          <w:p w14:paraId="39C1D3BA">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0E232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2A027F96">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2450EEA6">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78284C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更换英文（外露led发光字）</w:t>
            </w:r>
          </w:p>
        </w:tc>
        <w:tc>
          <w:tcPr>
            <w:tcW w:w="960" w:type="dxa"/>
            <w:tcBorders>
              <w:top w:val="nil"/>
              <w:left w:val="nil"/>
              <w:bottom w:val="single" w:color="000000" w:sz="8" w:space="0"/>
              <w:right w:val="single" w:color="000000" w:sz="8" w:space="0"/>
            </w:tcBorders>
            <w:shd w:val="clear" w:color="auto" w:fill="FFFFFF"/>
            <w:vAlign w:val="center"/>
          </w:tcPr>
          <w:p w14:paraId="756B5C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0.5 * 0.5</w:t>
            </w:r>
          </w:p>
        </w:tc>
        <w:tc>
          <w:tcPr>
            <w:tcW w:w="960" w:type="dxa"/>
            <w:tcBorders>
              <w:top w:val="nil"/>
              <w:left w:val="nil"/>
              <w:bottom w:val="single" w:color="000000" w:sz="8" w:space="0"/>
              <w:right w:val="single" w:color="000000" w:sz="8" w:space="0"/>
            </w:tcBorders>
            <w:shd w:val="clear" w:color="auto" w:fill="FFFFFF"/>
            <w:vAlign w:val="center"/>
          </w:tcPr>
          <w:p w14:paraId="0393DF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米</w:t>
            </w:r>
          </w:p>
        </w:tc>
        <w:tc>
          <w:tcPr>
            <w:tcW w:w="690" w:type="dxa"/>
            <w:tcBorders>
              <w:top w:val="nil"/>
              <w:left w:val="nil"/>
              <w:bottom w:val="single" w:color="000000" w:sz="8" w:space="0"/>
              <w:right w:val="single" w:color="000000" w:sz="8" w:space="0"/>
            </w:tcBorders>
            <w:shd w:val="clear" w:color="auto" w:fill="FFFFFF"/>
            <w:vAlign w:val="center"/>
          </w:tcPr>
          <w:p w14:paraId="2E71A5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065" w:type="dxa"/>
            <w:tcBorders>
              <w:top w:val="nil"/>
              <w:left w:val="nil"/>
              <w:bottom w:val="single" w:color="000000" w:sz="8" w:space="0"/>
              <w:right w:val="nil"/>
            </w:tcBorders>
            <w:shd w:val="clear" w:color="auto" w:fill="FFFFFF"/>
            <w:vAlign w:val="center"/>
          </w:tcPr>
          <w:p w14:paraId="282DF0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2488" w:type="dxa"/>
            <w:vMerge w:val="continue"/>
            <w:tcBorders>
              <w:top w:val="single" w:color="000000" w:sz="8" w:space="0"/>
              <w:left w:val="single" w:color="000000" w:sz="8" w:space="0"/>
              <w:bottom w:val="nil"/>
              <w:right w:val="single" w:color="000000" w:sz="8" w:space="0"/>
            </w:tcBorders>
            <w:shd w:val="clear" w:color="auto" w:fill="auto"/>
            <w:noWrap/>
            <w:vAlign w:val="center"/>
          </w:tcPr>
          <w:p w14:paraId="5799B2B5">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08563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51D897E1">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289424F9">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65D404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发光字钢架部分除锈养护</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（镀锌方管焊接）</w:t>
            </w:r>
          </w:p>
        </w:tc>
        <w:tc>
          <w:tcPr>
            <w:tcW w:w="960" w:type="dxa"/>
            <w:tcBorders>
              <w:top w:val="nil"/>
              <w:left w:val="nil"/>
              <w:bottom w:val="single" w:color="000000" w:sz="8" w:space="0"/>
              <w:right w:val="single" w:color="000000" w:sz="8" w:space="0"/>
            </w:tcBorders>
            <w:shd w:val="clear" w:color="auto" w:fill="FFFFFF"/>
            <w:vAlign w:val="center"/>
          </w:tcPr>
          <w:p w14:paraId="27EE3A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20*4</w:t>
            </w:r>
          </w:p>
        </w:tc>
        <w:tc>
          <w:tcPr>
            <w:tcW w:w="960" w:type="dxa"/>
            <w:tcBorders>
              <w:top w:val="nil"/>
              <w:left w:val="nil"/>
              <w:bottom w:val="single" w:color="000000" w:sz="8" w:space="0"/>
              <w:right w:val="single" w:color="000000" w:sz="8" w:space="0"/>
            </w:tcBorders>
            <w:shd w:val="clear" w:color="auto" w:fill="FFFFFF"/>
            <w:vAlign w:val="center"/>
          </w:tcPr>
          <w:p w14:paraId="207719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米</w:t>
            </w:r>
          </w:p>
        </w:tc>
        <w:tc>
          <w:tcPr>
            <w:tcW w:w="690" w:type="dxa"/>
            <w:tcBorders>
              <w:top w:val="nil"/>
              <w:left w:val="nil"/>
              <w:bottom w:val="single" w:color="000000" w:sz="8" w:space="0"/>
              <w:right w:val="single" w:color="000000" w:sz="8" w:space="0"/>
            </w:tcBorders>
            <w:shd w:val="clear" w:color="auto" w:fill="FFFFFF"/>
            <w:vAlign w:val="center"/>
          </w:tcPr>
          <w:p w14:paraId="1A6E2A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45D210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80</w:t>
            </w:r>
          </w:p>
        </w:tc>
        <w:tc>
          <w:tcPr>
            <w:tcW w:w="2488" w:type="dxa"/>
            <w:vMerge w:val="continue"/>
            <w:tcBorders>
              <w:top w:val="single" w:color="000000" w:sz="8" w:space="0"/>
              <w:left w:val="single" w:color="000000" w:sz="8" w:space="0"/>
              <w:bottom w:val="nil"/>
              <w:right w:val="single" w:color="000000" w:sz="8" w:space="0"/>
            </w:tcBorders>
            <w:shd w:val="clear" w:color="auto" w:fill="auto"/>
            <w:noWrap/>
            <w:vAlign w:val="center"/>
          </w:tcPr>
          <w:p w14:paraId="0F1C14EF">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7F9C4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6" w:hRule="atLeast"/>
        </w:trPr>
        <w:tc>
          <w:tcPr>
            <w:tcW w:w="541" w:type="dxa"/>
            <w:vMerge w:val="restart"/>
            <w:tcBorders>
              <w:top w:val="nil"/>
              <w:left w:val="single" w:color="000000" w:sz="8" w:space="0"/>
              <w:bottom w:val="single" w:color="000000" w:sz="8" w:space="0"/>
              <w:right w:val="single" w:color="000000" w:sz="8" w:space="0"/>
            </w:tcBorders>
            <w:shd w:val="clear" w:color="auto" w:fill="FFFFFF"/>
            <w:vAlign w:val="center"/>
          </w:tcPr>
          <w:p w14:paraId="418214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4</w:t>
            </w:r>
          </w:p>
        </w:tc>
        <w:tc>
          <w:tcPr>
            <w:tcW w:w="832" w:type="dxa"/>
            <w:vMerge w:val="restart"/>
            <w:tcBorders>
              <w:top w:val="nil"/>
              <w:left w:val="nil"/>
              <w:bottom w:val="single" w:color="000000" w:sz="8" w:space="0"/>
              <w:right w:val="single" w:color="000000" w:sz="8" w:space="0"/>
            </w:tcBorders>
            <w:shd w:val="clear" w:color="auto" w:fill="FFFFFF"/>
            <w:vAlign w:val="center"/>
          </w:tcPr>
          <w:p w14:paraId="784492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河口县北山国际货场信息大楼入口</w:t>
            </w:r>
          </w:p>
        </w:tc>
        <w:tc>
          <w:tcPr>
            <w:tcW w:w="1980" w:type="dxa"/>
            <w:tcBorders>
              <w:top w:val="nil"/>
              <w:left w:val="nil"/>
              <w:bottom w:val="single" w:color="000000" w:sz="8" w:space="0"/>
              <w:right w:val="single" w:color="000000" w:sz="8" w:space="0"/>
            </w:tcBorders>
            <w:shd w:val="clear" w:color="auto" w:fill="FFFFFF"/>
            <w:vAlign w:val="center"/>
          </w:tcPr>
          <w:p w14:paraId="1C3880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更换logo标志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（铁艺烤漆字）</w:t>
            </w:r>
          </w:p>
        </w:tc>
        <w:tc>
          <w:tcPr>
            <w:tcW w:w="960" w:type="dxa"/>
            <w:tcBorders>
              <w:top w:val="nil"/>
              <w:left w:val="nil"/>
              <w:bottom w:val="single" w:color="000000" w:sz="8" w:space="0"/>
              <w:right w:val="single" w:color="000000" w:sz="8" w:space="0"/>
            </w:tcBorders>
            <w:shd w:val="clear" w:color="auto" w:fill="FFFFFF"/>
            <w:vAlign w:val="center"/>
          </w:tcPr>
          <w:p w14:paraId="45298D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1.4 * 0.7</w:t>
            </w:r>
          </w:p>
        </w:tc>
        <w:tc>
          <w:tcPr>
            <w:tcW w:w="960" w:type="dxa"/>
            <w:tcBorders>
              <w:top w:val="nil"/>
              <w:left w:val="nil"/>
              <w:bottom w:val="single" w:color="000000" w:sz="8" w:space="0"/>
              <w:right w:val="single" w:color="000000" w:sz="8" w:space="0"/>
            </w:tcBorders>
            <w:shd w:val="clear" w:color="auto" w:fill="FFFFFF"/>
            <w:vAlign w:val="center"/>
          </w:tcPr>
          <w:p w14:paraId="45053F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米</w:t>
            </w:r>
          </w:p>
        </w:tc>
        <w:tc>
          <w:tcPr>
            <w:tcW w:w="690" w:type="dxa"/>
            <w:tcBorders>
              <w:top w:val="nil"/>
              <w:left w:val="nil"/>
              <w:bottom w:val="single" w:color="000000" w:sz="8" w:space="0"/>
              <w:right w:val="single" w:color="000000" w:sz="8" w:space="0"/>
            </w:tcBorders>
            <w:shd w:val="clear" w:color="auto" w:fill="FFFFFF"/>
            <w:vAlign w:val="center"/>
          </w:tcPr>
          <w:p w14:paraId="232169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5B7333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1.4</w:t>
            </w:r>
          </w:p>
        </w:tc>
        <w:tc>
          <w:tcPr>
            <w:tcW w:w="2488" w:type="dxa"/>
            <w:vMerge w:val="restart"/>
            <w:tcBorders>
              <w:top w:val="single" w:color="000000" w:sz="8" w:space="0"/>
              <w:left w:val="single" w:color="000000" w:sz="8" w:space="0"/>
              <w:bottom w:val="single" w:color="000000" w:sz="8" w:space="0"/>
              <w:right w:val="single" w:color="000000" w:sz="8" w:space="0"/>
            </w:tcBorders>
            <w:shd w:val="clear" w:color="auto" w:fill="auto"/>
            <w:noWrap/>
            <w:vAlign w:val="center"/>
          </w:tcPr>
          <w:p w14:paraId="76AE5D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drawing>
                <wp:inline distT="0" distB="0" distL="114300" distR="114300">
                  <wp:extent cx="1285875" cy="1714500"/>
                  <wp:effectExtent l="0" t="0" r="9525" b="0"/>
                  <wp:docPr id="23" name="图片 23"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IMG_259"/>
                          <pic:cNvPicPr>
                            <a:picLocks noChangeAspect="1"/>
                          </pic:cNvPicPr>
                        </pic:nvPicPr>
                        <pic:blipFill>
                          <a:blip r:embed="rId12"/>
                          <a:stretch>
                            <a:fillRect/>
                          </a:stretch>
                        </pic:blipFill>
                        <pic:spPr>
                          <a:xfrm>
                            <a:off x="0" y="0"/>
                            <a:ext cx="1285875" cy="1714500"/>
                          </a:xfrm>
                          <a:prstGeom prst="rect">
                            <a:avLst/>
                          </a:prstGeom>
                          <a:noFill/>
                          <a:ln w="9525">
                            <a:noFill/>
                          </a:ln>
                        </pic:spPr>
                      </pic:pic>
                    </a:graphicData>
                  </a:graphic>
                </wp:inline>
              </w:drawing>
            </w:r>
          </w:p>
        </w:tc>
      </w:tr>
      <w:tr w14:paraId="3064C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5"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12E0B048">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4DBA4C0A">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180E0B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更换中文（铁艺烤漆字）</w:t>
            </w:r>
          </w:p>
        </w:tc>
        <w:tc>
          <w:tcPr>
            <w:tcW w:w="960" w:type="dxa"/>
            <w:tcBorders>
              <w:top w:val="nil"/>
              <w:left w:val="nil"/>
              <w:bottom w:val="single" w:color="000000" w:sz="8" w:space="0"/>
              <w:right w:val="single" w:color="000000" w:sz="8" w:space="0"/>
            </w:tcBorders>
            <w:shd w:val="clear" w:color="auto" w:fill="FFFFFF"/>
            <w:vAlign w:val="center"/>
          </w:tcPr>
          <w:p w14:paraId="7E8FD1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0.4 * 0.4</w:t>
            </w:r>
          </w:p>
        </w:tc>
        <w:tc>
          <w:tcPr>
            <w:tcW w:w="960" w:type="dxa"/>
            <w:tcBorders>
              <w:top w:val="nil"/>
              <w:left w:val="nil"/>
              <w:bottom w:val="single" w:color="000000" w:sz="8" w:space="0"/>
              <w:right w:val="single" w:color="000000" w:sz="8" w:space="0"/>
            </w:tcBorders>
            <w:shd w:val="clear" w:color="auto" w:fill="FFFFFF"/>
            <w:vAlign w:val="center"/>
          </w:tcPr>
          <w:p w14:paraId="299FE7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米</w:t>
            </w:r>
          </w:p>
        </w:tc>
        <w:tc>
          <w:tcPr>
            <w:tcW w:w="690" w:type="dxa"/>
            <w:tcBorders>
              <w:top w:val="nil"/>
              <w:left w:val="nil"/>
              <w:bottom w:val="single" w:color="000000" w:sz="8" w:space="0"/>
              <w:right w:val="single" w:color="000000" w:sz="8" w:space="0"/>
            </w:tcBorders>
            <w:shd w:val="clear" w:color="auto" w:fill="FFFFFF"/>
            <w:vAlign w:val="center"/>
          </w:tcPr>
          <w:p w14:paraId="36024D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nil"/>
              <w:left w:val="nil"/>
              <w:bottom w:val="single" w:color="000000" w:sz="8" w:space="0"/>
              <w:right w:val="nil"/>
            </w:tcBorders>
            <w:shd w:val="clear" w:color="auto" w:fill="FFFFFF"/>
            <w:vAlign w:val="center"/>
          </w:tcPr>
          <w:p w14:paraId="277C301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0.4</w:t>
            </w:r>
          </w:p>
        </w:tc>
        <w:tc>
          <w:tcPr>
            <w:tcW w:w="2488"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14BC8C0C">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76227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4" w:hRule="atLeast"/>
        </w:trPr>
        <w:tc>
          <w:tcPr>
            <w:tcW w:w="541" w:type="dxa"/>
            <w:vMerge w:val="continue"/>
            <w:tcBorders>
              <w:top w:val="nil"/>
              <w:left w:val="single" w:color="000000" w:sz="8" w:space="0"/>
              <w:bottom w:val="single" w:color="000000" w:sz="8" w:space="0"/>
              <w:right w:val="single" w:color="000000" w:sz="8" w:space="0"/>
            </w:tcBorders>
            <w:shd w:val="clear" w:color="auto" w:fill="FFFFFF"/>
            <w:vAlign w:val="center"/>
          </w:tcPr>
          <w:p w14:paraId="4E5FA762">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832" w:type="dxa"/>
            <w:vMerge w:val="continue"/>
            <w:tcBorders>
              <w:top w:val="nil"/>
              <w:left w:val="nil"/>
              <w:bottom w:val="single" w:color="000000" w:sz="8" w:space="0"/>
              <w:right w:val="single" w:color="000000" w:sz="8" w:space="0"/>
            </w:tcBorders>
            <w:shd w:val="clear" w:color="auto" w:fill="FFFFFF"/>
            <w:vAlign w:val="center"/>
          </w:tcPr>
          <w:p w14:paraId="6360CA18">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c>
          <w:tcPr>
            <w:tcW w:w="1980" w:type="dxa"/>
            <w:tcBorders>
              <w:top w:val="nil"/>
              <w:left w:val="nil"/>
              <w:bottom w:val="single" w:color="000000" w:sz="8" w:space="0"/>
              <w:right w:val="single" w:color="000000" w:sz="8" w:space="0"/>
            </w:tcBorders>
            <w:shd w:val="clear" w:color="auto" w:fill="FFFFFF"/>
            <w:vAlign w:val="center"/>
          </w:tcPr>
          <w:p w14:paraId="26B2AE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更换英文（铁艺烤漆字）</w:t>
            </w:r>
          </w:p>
        </w:tc>
        <w:tc>
          <w:tcPr>
            <w:tcW w:w="960" w:type="dxa"/>
            <w:tcBorders>
              <w:top w:val="nil"/>
              <w:left w:val="nil"/>
              <w:bottom w:val="single" w:color="000000" w:sz="8" w:space="0"/>
              <w:right w:val="single" w:color="000000" w:sz="8" w:space="0"/>
            </w:tcBorders>
            <w:shd w:val="clear" w:color="auto" w:fill="FFFFFF"/>
            <w:vAlign w:val="center"/>
          </w:tcPr>
          <w:p w14:paraId="09559F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0.12 * 0.12</w:t>
            </w:r>
          </w:p>
        </w:tc>
        <w:tc>
          <w:tcPr>
            <w:tcW w:w="960" w:type="dxa"/>
            <w:tcBorders>
              <w:top w:val="nil"/>
              <w:left w:val="nil"/>
              <w:bottom w:val="single" w:color="000000" w:sz="8" w:space="0"/>
              <w:right w:val="single" w:color="000000" w:sz="8" w:space="0"/>
            </w:tcBorders>
            <w:shd w:val="clear" w:color="auto" w:fill="FFFFFF"/>
            <w:vAlign w:val="center"/>
          </w:tcPr>
          <w:p w14:paraId="656F1F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米</w:t>
            </w:r>
          </w:p>
        </w:tc>
        <w:tc>
          <w:tcPr>
            <w:tcW w:w="690" w:type="dxa"/>
            <w:tcBorders>
              <w:top w:val="nil"/>
              <w:left w:val="nil"/>
              <w:bottom w:val="single" w:color="000000" w:sz="8" w:space="0"/>
              <w:right w:val="single" w:color="000000" w:sz="8" w:space="0"/>
            </w:tcBorders>
            <w:shd w:val="clear" w:color="auto" w:fill="FFFFFF"/>
            <w:vAlign w:val="center"/>
          </w:tcPr>
          <w:p w14:paraId="351C5C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12</w:t>
            </w:r>
          </w:p>
        </w:tc>
        <w:tc>
          <w:tcPr>
            <w:tcW w:w="1065" w:type="dxa"/>
            <w:tcBorders>
              <w:top w:val="nil"/>
              <w:left w:val="nil"/>
              <w:bottom w:val="single" w:color="000000" w:sz="8" w:space="0"/>
              <w:right w:val="nil"/>
            </w:tcBorders>
            <w:shd w:val="clear" w:color="auto" w:fill="FFFFFF"/>
            <w:vAlign w:val="center"/>
          </w:tcPr>
          <w:p w14:paraId="3E3529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1.44</w:t>
            </w:r>
          </w:p>
        </w:tc>
        <w:tc>
          <w:tcPr>
            <w:tcW w:w="2488" w:type="dxa"/>
            <w:vMerge w:val="continue"/>
            <w:tcBorders>
              <w:top w:val="single" w:color="000000" w:sz="8" w:space="0"/>
              <w:left w:val="single" w:color="000000" w:sz="8" w:space="0"/>
              <w:bottom w:val="single" w:color="000000" w:sz="8" w:space="0"/>
              <w:right w:val="single" w:color="000000" w:sz="8" w:space="0"/>
            </w:tcBorders>
            <w:shd w:val="clear" w:color="auto" w:fill="auto"/>
            <w:noWrap/>
            <w:vAlign w:val="center"/>
          </w:tcPr>
          <w:p w14:paraId="5FBB3E73">
            <w:pPr>
              <w:keepNext w:val="0"/>
              <w:keepLines w:val="0"/>
              <w:pageBreakBefore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sz w:val="24"/>
                <w:szCs w:val="24"/>
                <w:u w:val="none"/>
              </w:rPr>
            </w:pPr>
          </w:p>
        </w:tc>
      </w:tr>
      <w:tr w14:paraId="6AD0C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2" w:hRule="atLeast"/>
        </w:trPr>
        <w:tc>
          <w:tcPr>
            <w:tcW w:w="541" w:type="dxa"/>
            <w:tcBorders>
              <w:top w:val="nil"/>
              <w:left w:val="single" w:color="000000" w:sz="8" w:space="0"/>
              <w:bottom w:val="single" w:color="000000" w:sz="8" w:space="0"/>
              <w:right w:val="single" w:color="000000" w:sz="8" w:space="0"/>
            </w:tcBorders>
            <w:shd w:val="clear" w:color="auto" w:fill="FFFFFF"/>
            <w:vAlign w:val="center"/>
          </w:tcPr>
          <w:p w14:paraId="0B8215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5</w:t>
            </w:r>
          </w:p>
        </w:tc>
        <w:tc>
          <w:tcPr>
            <w:tcW w:w="832" w:type="dxa"/>
            <w:tcBorders>
              <w:top w:val="nil"/>
              <w:left w:val="nil"/>
              <w:bottom w:val="single" w:color="000000" w:sz="8" w:space="0"/>
              <w:right w:val="single" w:color="000000" w:sz="8" w:space="0"/>
            </w:tcBorders>
            <w:shd w:val="clear" w:color="auto" w:fill="FFFFFF"/>
            <w:vAlign w:val="center"/>
          </w:tcPr>
          <w:p w14:paraId="4EA255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河口县北山国际货场信息大楼门头</w:t>
            </w:r>
          </w:p>
        </w:tc>
        <w:tc>
          <w:tcPr>
            <w:tcW w:w="1980" w:type="dxa"/>
            <w:tcBorders>
              <w:top w:val="nil"/>
              <w:left w:val="nil"/>
              <w:bottom w:val="single" w:color="000000" w:sz="8" w:space="0"/>
              <w:right w:val="single" w:color="000000" w:sz="8" w:space="0"/>
            </w:tcBorders>
            <w:shd w:val="clear" w:color="auto" w:fill="FFFFFF"/>
            <w:vAlign w:val="center"/>
          </w:tcPr>
          <w:p w14:paraId="3EC75E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更换logo标志</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（镀锌板烤漆字）</w:t>
            </w:r>
          </w:p>
        </w:tc>
        <w:tc>
          <w:tcPr>
            <w:tcW w:w="96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162954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1.6*1.6</w:t>
            </w:r>
          </w:p>
        </w:tc>
        <w:tc>
          <w:tcPr>
            <w:tcW w:w="96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4AABA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米</w:t>
            </w:r>
          </w:p>
        </w:tc>
        <w:tc>
          <w:tcPr>
            <w:tcW w:w="69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24EA54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1065" w:type="dxa"/>
            <w:tcBorders>
              <w:top w:val="single" w:color="000000" w:sz="8" w:space="0"/>
              <w:left w:val="nil"/>
              <w:bottom w:val="single" w:color="000000" w:sz="8" w:space="0"/>
              <w:right w:val="single" w:color="000000" w:sz="8" w:space="0"/>
            </w:tcBorders>
            <w:shd w:val="clear" w:color="auto" w:fill="FFFFFF"/>
            <w:vAlign w:val="center"/>
          </w:tcPr>
          <w:p w14:paraId="23CA0E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2.56</w:t>
            </w:r>
          </w:p>
        </w:tc>
        <w:tc>
          <w:tcPr>
            <w:tcW w:w="248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2667C8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drawing>
                <wp:inline distT="0" distB="0" distL="114300" distR="114300">
                  <wp:extent cx="2095500" cy="952500"/>
                  <wp:effectExtent l="0" t="0" r="0" b="0"/>
                  <wp:docPr id="24" name="图片 24"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IMG_260"/>
                          <pic:cNvPicPr>
                            <a:picLocks noChangeAspect="1"/>
                          </pic:cNvPicPr>
                        </pic:nvPicPr>
                        <pic:blipFill>
                          <a:blip r:embed="rId13"/>
                          <a:stretch>
                            <a:fillRect/>
                          </a:stretch>
                        </pic:blipFill>
                        <pic:spPr>
                          <a:xfrm>
                            <a:off x="0" y="0"/>
                            <a:ext cx="2095500" cy="952500"/>
                          </a:xfrm>
                          <a:prstGeom prst="rect">
                            <a:avLst/>
                          </a:prstGeom>
                          <a:noFill/>
                          <a:ln w="9525">
                            <a:noFill/>
                          </a:ln>
                        </pic:spPr>
                      </pic:pic>
                    </a:graphicData>
                  </a:graphic>
                </wp:inline>
              </w:drawing>
            </w:r>
          </w:p>
        </w:tc>
      </w:tr>
      <w:tr w14:paraId="09CBC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76" w:hRule="atLeast"/>
        </w:trPr>
        <w:tc>
          <w:tcPr>
            <w:tcW w:w="54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68AC17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832"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65295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河口县北山国际货场联检楼侧面</w:t>
            </w:r>
          </w:p>
        </w:tc>
        <w:tc>
          <w:tcPr>
            <w:tcW w:w="1980" w:type="dxa"/>
            <w:tcBorders>
              <w:top w:val="nil"/>
              <w:left w:val="nil"/>
              <w:bottom w:val="single" w:color="000000" w:sz="8" w:space="0"/>
              <w:right w:val="single" w:color="000000" w:sz="8" w:space="0"/>
            </w:tcBorders>
            <w:shd w:val="clear" w:color="auto" w:fill="FFFFFF"/>
            <w:vAlign w:val="center"/>
          </w:tcPr>
          <w:p w14:paraId="71113C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拆除logo标志、英文、中文</w:t>
            </w:r>
            <w:r>
              <w:rPr>
                <w:rFonts w:hint="eastAsia" w:asciiTheme="minorEastAsia" w:hAnsiTheme="minorEastAsia" w:eastAsiaTheme="minorEastAsia" w:cstheme="minorEastAsia"/>
                <w:i w:val="0"/>
                <w:iCs w:val="0"/>
                <w:color w:val="000000"/>
                <w:kern w:val="0"/>
                <w:sz w:val="24"/>
                <w:szCs w:val="24"/>
                <w:u w:val="none"/>
                <w:lang w:val="en-US" w:eastAsia="zh-CN" w:bidi="ar"/>
              </w:rPr>
              <w:br w:type="textWrapping"/>
            </w:r>
            <w:r>
              <w:rPr>
                <w:rFonts w:hint="eastAsia" w:asciiTheme="minorEastAsia" w:hAnsiTheme="minorEastAsia" w:eastAsiaTheme="minorEastAsia" w:cstheme="minorEastAsia"/>
                <w:i w:val="0"/>
                <w:iCs w:val="0"/>
                <w:color w:val="000000"/>
                <w:kern w:val="0"/>
                <w:sz w:val="24"/>
                <w:szCs w:val="24"/>
                <w:u w:val="none"/>
                <w:lang w:val="en-US" w:eastAsia="zh-CN" w:bidi="ar"/>
              </w:rPr>
              <w:t>（亚克力字贴面字）</w:t>
            </w:r>
          </w:p>
        </w:tc>
        <w:tc>
          <w:tcPr>
            <w:tcW w:w="3675" w:type="dxa"/>
            <w:gridSpan w:val="4"/>
            <w:tcBorders>
              <w:top w:val="nil"/>
              <w:left w:val="nil"/>
              <w:bottom w:val="single" w:color="000000" w:sz="8" w:space="0"/>
              <w:right w:val="nil"/>
            </w:tcBorders>
            <w:shd w:val="clear" w:color="auto" w:fill="FFFFFF"/>
            <w:vAlign w:val="center"/>
          </w:tcPr>
          <w:p w14:paraId="7E69B3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w:t>
            </w:r>
          </w:p>
        </w:tc>
        <w:tc>
          <w:tcPr>
            <w:tcW w:w="248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52F8E6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drawing>
                <wp:inline distT="0" distB="0" distL="114300" distR="114300">
                  <wp:extent cx="1314450" cy="1752600"/>
                  <wp:effectExtent l="0" t="0" r="0" b="0"/>
                  <wp:docPr id="25" name="图片 25"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MG_261"/>
                          <pic:cNvPicPr>
                            <a:picLocks noChangeAspect="1"/>
                          </pic:cNvPicPr>
                        </pic:nvPicPr>
                        <pic:blipFill>
                          <a:blip r:embed="rId14"/>
                          <a:stretch>
                            <a:fillRect/>
                          </a:stretch>
                        </pic:blipFill>
                        <pic:spPr>
                          <a:xfrm>
                            <a:off x="0" y="0"/>
                            <a:ext cx="1314450" cy="1752600"/>
                          </a:xfrm>
                          <a:prstGeom prst="rect">
                            <a:avLst/>
                          </a:prstGeom>
                          <a:noFill/>
                          <a:ln w="9525">
                            <a:noFill/>
                          </a:ln>
                        </pic:spPr>
                      </pic:pic>
                    </a:graphicData>
                  </a:graphic>
                </wp:inline>
              </w:drawing>
            </w:r>
          </w:p>
        </w:tc>
      </w:tr>
    </w:tbl>
    <w:p w14:paraId="09546FBC">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*工程量为预估，以实际工程量为准，但不影响最终合同价款。</w:t>
      </w:r>
    </w:p>
    <w:p w14:paraId="4DB11291">
      <w:pPr>
        <w:pStyle w:val="9"/>
        <w:keepNext w:val="0"/>
        <w:keepLines w:val="0"/>
        <w:pageBreakBefore w:val="0"/>
        <w:kinsoku/>
        <w:wordWrap/>
        <w:overflowPunct/>
        <w:topLinePunct w:val="0"/>
        <w:autoSpaceDE/>
        <w:autoSpaceDN/>
        <w:bidi w:val="0"/>
        <w:adjustRightInd/>
        <w:snapToGrid/>
        <w:spacing w:line="360" w:lineRule="auto"/>
        <w:ind w:firstLine="480" w:firstLineChars="200"/>
        <w:rPr>
          <w:rFonts w:hint="eastAsia"/>
          <w:lang w:val="zh-CN" w:eastAsia="zh-CN"/>
        </w:rPr>
      </w:pPr>
      <w:r>
        <w:rPr>
          <w:rFonts w:hint="eastAsia" w:asciiTheme="majorEastAsia" w:hAnsiTheme="majorEastAsia" w:eastAsiaTheme="majorEastAsia" w:cstheme="majorEastAsia"/>
          <w:sz w:val="24"/>
          <w:szCs w:val="24"/>
          <w:lang w:val="en-US" w:eastAsia="zh-CN"/>
        </w:rPr>
        <w:t>*新作标识牌样式参考详见附件。</w:t>
      </w:r>
    </w:p>
    <w:p w14:paraId="4202C47C">
      <w:pPr>
        <w:numPr>
          <w:ilvl w:val="0"/>
          <w:numId w:val="16"/>
        </w:numPr>
        <w:snapToGrid/>
        <w:spacing w:before="0" w:beforeAutospacing="0" w:after="0" w:afterAutospacing="0" w:line="360" w:lineRule="auto"/>
        <w:jc w:val="left"/>
        <w:textAlignment w:val="auto"/>
        <w:rPr>
          <w:rStyle w:val="28"/>
          <w:rFonts w:hint="eastAsia" w:ascii="宋体" w:hAnsi="宋体" w:eastAsia="宋体" w:cs="宋体"/>
          <w:b/>
          <w:i w:val="0"/>
          <w:caps w:val="0"/>
          <w:spacing w:val="0"/>
          <w:w w:val="100"/>
          <w:kern w:val="2"/>
          <w:sz w:val="24"/>
          <w:szCs w:val="24"/>
          <w:lang w:val="en-US" w:eastAsia="zh-CN" w:bidi="ar-SA"/>
        </w:rPr>
      </w:pPr>
      <w:r>
        <w:rPr>
          <w:rStyle w:val="28"/>
          <w:rFonts w:hint="eastAsia" w:ascii="宋体" w:hAnsi="宋体" w:eastAsia="宋体" w:cs="宋体"/>
          <w:b/>
          <w:i w:val="0"/>
          <w:caps w:val="0"/>
          <w:spacing w:val="0"/>
          <w:w w:val="100"/>
          <w:kern w:val="2"/>
          <w:sz w:val="24"/>
          <w:szCs w:val="24"/>
          <w:lang w:val="en-US" w:eastAsia="zh-CN" w:bidi="ar-SA"/>
        </w:rPr>
        <w:t>技术要求</w:t>
      </w:r>
    </w:p>
    <w:p w14:paraId="262BAF83">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（一）总体要求</w:t>
      </w:r>
    </w:p>
    <w:p w14:paraId="593F0B08">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标识牌制作与安装须符合《城市户外广告和招牌设施技术标准》（CJJ/T1492021）、《公共建筑标识系统技术规范》（GB/T512232017）及国家现行相关标准的规定。</w:t>
      </w:r>
    </w:p>
    <w:p w14:paraId="735BE2D0">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标识牌样式、色彩、字体须严格按</w:t>
      </w:r>
      <w:r>
        <w:rPr>
          <w:rFonts w:hint="eastAsia" w:asciiTheme="majorEastAsia" w:hAnsiTheme="majorEastAsia" w:eastAsiaTheme="majorEastAsia" w:cstheme="majorEastAsia"/>
          <w:sz w:val="24"/>
          <w:szCs w:val="24"/>
          <w:lang w:val="en-US" w:eastAsia="zh-CN"/>
        </w:rPr>
        <w:t>能源</w:t>
      </w:r>
      <w:r>
        <w:rPr>
          <w:rFonts w:hint="eastAsia" w:asciiTheme="majorEastAsia" w:hAnsiTheme="majorEastAsia" w:eastAsiaTheme="majorEastAsia" w:cstheme="majorEastAsia"/>
          <w:sz w:val="24"/>
          <w:szCs w:val="24"/>
        </w:rPr>
        <w:t>集团审定的设计图样及VI规范执行，不得擅自变更。</w:t>
      </w:r>
    </w:p>
    <w:p w14:paraId="66C9B8D8">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标识牌须具备良好的耐候性、耐腐蚀性和抗老化性能，能够适应河口县高温高湿的室外气候环境。</w:t>
      </w:r>
    </w:p>
    <w:p w14:paraId="60A1309A">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（二）货物的功能要求</w:t>
      </w:r>
    </w:p>
    <w:p w14:paraId="336D418D">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设计合理满足正常使用功能，效果明显。</w:t>
      </w:r>
    </w:p>
    <w:p w14:paraId="2ECB343A">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（三）质量要求</w:t>
      </w:r>
    </w:p>
    <w:p w14:paraId="588C48ED">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‌材质选择‌：标识牌材质须符合设计要求，选用耐用、耐候性强、抗腐蚀、抗氧化的环保材料，并满足以下特定要求：</w:t>
      </w:r>
    </w:p>
    <w:p w14:paraId="3524C03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LED 灯珠、驱动电源、控制器</w:t>
      </w:r>
    </w:p>
    <w:p w14:paraId="7997130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ajorEastAsia" w:hAnsiTheme="majorEastAsia" w:eastAsiaTheme="majorEastAsia" w:cstheme="majorEastAsia"/>
          <w:b w:val="0"/>
          <w:bCs w:val="0"/>
          <w:sz w:val="24"/>
          <w:szCs w:val="24"/>
        </w:rPr>
      </w:pPr>
      <w:r>
        <w:rPr>
          <w:rFonts w:hint="eastAsia" w:asciiTheme="majorEastAsia" w:hAnsiTheme="majorEastAsia" w:eastAsiaTheme="majorEastAsia" w:cstheme="majorEastAsia"/>
          <w:b w:val="0"/>
          <w:bCs w:val="0"/>
          <w:kern w:val="2"/>
          <w:sz w:val="24"/>
          <w:szCs w:val="24"/>
          <w:lang w:val="en-US" w:eastAsia="zh-CN" w:bidi="ar-SA"/>
        </w:rPr>
        <w:t>1.</w:t>
      </w:r>
      <w:r>
        <w:rPr>
          <w:rFonts w:hint="eastAsia" w:asciiTheme="majorEastAsia" w:hAnsiTheme="majorEastAsia" w:eastAsiaTheme="majorEastAsia" w:cstheme="majorEastAsia"/>
          <w:b w:val="0"/>
          <w:bCs w:val="0"/>
          <w:sz w:val="24"/>
          <w:szCs w:val="24"/>
        </w:rPr>
        <w:t>LED 灯珠：明确国内一线户外专用品牌，提供原厂质保函；色温统一，整牌色温偏差</w:t>
      </w:r>
      <w:r>
        <w:rPr>
          <w:rFonts w:hint="eastAsia" w:asciiTheme="majorEastAsia" w:hAnsiTheme="majorEastAsia" w:eastAsiaTheme="majorEastAsia" w:cstheme="majorEastAsia"/>
          <w:b w:val="0"/>
          <w:bCs w:val="0"/>
          <w:sz w:val="24"/>
          <w:szCs w:val="24"/>
          <w:lang w:eastAsia="zh-CN"/>
        </w:rPr>
        <w:t>。</w:t>
      </w:r>
    </w:p>
    <w:p w14:paraId="3A2E10F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ajorEastAsia" w:hAnsiTheme="majorEastAsia" w:eastAsiaTheme="majorEastAsia" w:cstheme="majorEastAsia"/>
          <w:b w:val="0"/>
          <w:bCs w:val="0"/>
          <w:sz w:val="24"/>
          <w:szCs w:val="24"/>
        </w:rPr>
      </w:pPr>
      <w:r>
        <w:rPr>
          <w:rFonts w:hint="eastAsia" w:asciiTheme="majorEastAsia" w:hAnsiTheme="majorEastAsia" w:eastAsiaTheme="majorEastAsia" w:cstheme="majorEastAsia"/>
          <w:b w:val="0"/>
          <w:bCs w:val="0"/>
          <w:kern w:val="2"/>
          <w:sz w:val="24"/>
          <w:szCs w:val="24"/>
          <w:lang w:val="en-US" w:eastAsia="zh-CN" w:bidi="ar-SA"/>
        </w:rPr>
        <w:t>2.</w:t>
      </w:r>
      <w:r>
        <w:rPr>
          <w:rFonts w:hint="eastAsia" w:asciiTheme="majorEastAsia" w:hAnsiTheme="majorEastAsia" w:eastAsiaTheme="majorEastAsia" w:cstheme="majorEastAsia"/>
          <w:b w:val="0"/>
          <w:bCs w:val="0"/>
          <w:sz w:val="24"/>
          <w:szCs w:val="24"/>
        </w:rPr>
        <w:t>驱动电源、主控控制器</w:t>
      </w:r>
      <w:r>
        <w:rPr>
          <w:rFonts w:hint="eastAsia" w:asciiTheme="majorEastAsia" w:hAnsiTheme="majorEastAsia" w:eastAsiaTheme="majorEastAsia" w:cstheme="majorEastAsia"/>
          <w:b w:val="0"/>
          <w:bCs w:val="0"/>
          <w:sz w:val="24"/>
          <w:szCs w:val="24"/>
          <w:lang w:eastAsia="zh-CN"/>
        </w:rPr>
        <w:t>：</w:t>
      </w:r>
      <w:r>
        <w:rPr>
          <w:rFonts w:hint="eastAsia" w:asciiTheme="majorEastAsia" w:hAnsiTheme="majorEastAsia" w:eastAsiaTheme="majorEastAsia" w:cstheme="majorEastAsia"/>
          <w:b w:val="0"/>
          <w:bCs w:val="0"/>
          <w:sz w:val="24"/>
          <w:szCs w:val="24"/>
        </w:rPr>
        <w:t>整体防护等级不低</w:t>
      </w:r>
      <w:r>
        <w:rPr>
          <w:rFonts w:hint="eastAsia" w:asciiTheme="majorEastAsia" w:hAnsiTheme="majorEastAsia" w:eastAsiaTheme="majorEastAsia" w:cstheme="majorEastAsia"/>
          <w:b w:val="0"/>
          <w:bCs w:val="0"/>
          <w:sz w:val="24"/>
          <w:szCs w:val="24"/>
          <w:lang w:val="en-US" w:eastAsia="zh-CN"/>
        </w:rPr>
        <w:t>于</w:t>
      </w:r>
      <w:r>
        <w:rPr>
          <w:rFonts w:hint="eastAsia" w:asciiTheme="majorEastAsia" w:hAnsiTheme="majorEastAsia" w:eastAsiaTheme="majorEastAsia" w:cstheme="majorEastAsia"/>
          <w:b w:val="0"/>
          <w:bCs w:val="0"/>
          <w:sz w:val="24"/>
          <w:szCs w:val="24"/>
        </w:rPr>
        <w:t>IP66，不得仅灯珠IP65；电源必须带过压、过流、短路、浪涌保护</w:t>
      </w:r>
      <w:r>
        <w:rPr>
          <w:rFonts w:hint="eastAsia" w:asciiTheme="majorEastAsia" w:hAnsiTheme="majorEastAsia" w:eastAsiaTheme="majorEastAsia" w:cstheme="majorEastAsia"/>
          <w:b w:val="0"/>
          <w:bCs w:val="0"/>
          <w:sz w:val="24"/>
          <w:szCs w:val="24"/>
          <w:lang w:eastAsia="zh-CN"/>
        </w:rPr>
        <w:t>。</w:t>
      </w:r>
    </w:p>
    <w:p w14:paraId="7D4A20C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ajorEastAsia" w:hAnsiTheme="majorEastAsia" w:eastAsiaTheme="majorEastAsia" w:cstheme="majorEastAsia"/>
          <w:b w:val="0"/>
          <w:bCs w:val="0"/>
          <w:sz w:val="24"/>
          <w:szCs w:val="24"/>
        </w:rPr>
      </w:pPr>
      <w:r>
        <w:rPr>
          <w:rFonts w:hint="eastAsia" w:asciiTheme="majorEastAsia" w:hAnsiTheme="majorEastAsia" w:eastAsiaTheme="majorEastAsia" w:cstheme="majorEastAsia"/>
          <w:b w:val="0"/>
          <w:bCs w:val="0"/>
          <w:kern w:val="2"/>
          <w:sz w:val="24"/>
          <w:szCs w:val="24"/>
          <w:lang w:val="en-US" w:eastAsia="zh-CN" w:bidi="ar-SA"/>
        </w:rPr>
        <w:t>3.</w:t>
      </w:r>
      <w:r>
        <w:rPr>
          <w:rFonts w:hint="eastAsia" w:asciiTheme="majorEastAsia" w:hAnsiTheme="majorEastAsia" w:eastAsiaTheme="majorEastAsia" w:cstheme="majorEastAsia"/>
          <w:b w:val="0"/>
          <w:bCs w:val="0"/>
          <w:sz w:val="24"/>
          <w:szCs w:val="24"/>
        </w:rPr>
        <w:t>LED电路板必须做三防（防潮、防霉、防盐雾）喷涂处理，满足湿热环境环境试验要求，防止凝露氧化失效。</w:t>
      </w:r>
    </w:p>
    <w:p w14:paraId="4665F19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ajorEastAsia" w:hAnsiTheme="majorEastAsia" w:eastAsiaTheme="majorEastAsia" w:cstheme="majorEastAsia"/>
          <w:b w:val="0"/>
          <w:bCs w:val="0"/>
          <w:sz w:val="24"/>
          <w:szCs w:val="24"/>
        </w:rPr>
      </w:pPr>
      <w:r>
        <w:rPr>
          <w:rFonts w:hint="eastAsia" w:asciiTheme="majorEastAsia" w:hAnsiTheme="majorEastAsia" w:eastAsiaTheme="majorEastAsia" w:cstheme="majorEastAsia"/>
          <w:b w:val="0"/>
          <w:bCs w:val="0"/>
          <w:kern w:val="2"/>
          <w:sz w:val="24"/>
          <w:szCs w:val="24"/>
          <w:lang w:val="en-US" w:eastAsia="zh-CN" w:bidi="ar-SA"/>
        </w:rPr>
        <w:t>4.</w:t>
      </w:r>
      <w:r>
        <w:rPr>
          <w:rFonts w:hint="eastAsia" w:asciiTheme="majorEastAsia" w:hAnsiTheme="majorEastAsia" w:eastAsiaTheme="majorEastAsia" w:cstheme="majorEastAsia"/>
          <w:b w:val="0"/>
          <w:bCs w:val="0"/>
          <w:sz w:val="24"/>
          <w:szCs w:val="24"/>
        </w:rPr>
        <w:t>LED箱体设置排水孔</w:t>
      </w:r>
      <w:r>
        <w:rPr>
          <w:rFonts w:hint="eastAsia" w:asciiTheme="majorEastAsia" w:hAnsiTheme="majorEastAsia" w:eastAsiaTheme="majorEastAsia" w:cstheme="majorEastAsia"/>
          <w:b w:val="0"/>
          <w:bCs w:val="0"/>
          <w:sz w:val="24"/>
          <w:szCs w:val="24"/>
          <w:lang w:val="en-US" w:eastAsia="zh-CN"/>
        </w:rPr>
        <w:t>+</w:t>
      </w:r>
      <w:r>
        <w:rPr>
          <w:rFonts w:hint="eastAsia" w:asciiTheme="majorEastAsia" w:hAnsiTheme="majorEastAsia" w:eastAsiaTheme="majorEastAsia" w:cstheme="majorEastAsia"/>
          <w:b w:val="0"/>
          <w:bCs w:val="0"/>
          <w:sz w:val="24"/>
          <w:szCs w:val="24"/>
        </w:rPr>
        <w:t>防水透气阀，解决箱体内外温差凝露积水。</w:t>
      </w:r>
    </w:p>
    <w:p w14:paraId="04D766E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亚克力发光面板</w:t>
      </w:r>
    </w:p>
    <w:p w14:paraId="2AB2642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ajorEastAsia" w:hAnsiTheme="majorEastAsia" w:eastAsiaTheme="majorEastAsia" w:cstheme="majorEastAsia"/>
          <w:b w:val="0"/>
          <w:bCs w:val="0"/>
          <w:sz w:val="24"/>
          <w:szCs w:val="24"/>
        </w:rPr>
      </w:pPr>
      <w:r>
        <w:rPr>
          <w:rFonts w:hint="eastAsia" w:asciiTheme="majorEastAsia" w:hAnsiTheme="majorEastAsia" w:eastAsiaTheme="majorEastAsia" w:cstheme="majorEastAsia"/>
          <w:b w:val="0"/>
          <w:bCs w:val="0"/>
          <w:kern w:val="2"/>
          <w:sz w:val="24"/>
          <w:szCs w:val="24"/>
          <w:lang w:val="en-US" w:eastAsia="zh-CN" w:bidi="ar-SA"/>
        </w:rPr>
        <w:t>1.</w:t>
      </w:r>
      <w:r>
        <w:rPr>
          <w:rFonts w:hint="eastAsia" w:asciiTheme="majorEastAsia" w:hAnsiTheme="majorEastAsia" w:eastAsiaTheme="majorEastAsia" w:cstheme="majorEastAsia"/>
          <w:b w:val="0"/>
          <w:bCs w:val="0"/>
          <w:sz w:val="24"/>
          <w:szCs w:val="24"/>
        </w:rPr>
        <w:t>采用抗紫外线户外级亚克力板，透光率≥92%；承诺户外使用5年无明显发黄，提供板材耐候检测报告；禁止使用普通室内亚克力。</w:t>
      </w:r>
    </w:p>
    <w:p w14:paraId="543C6EC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kern w:val="2"/>
          <w:sz w:val="24"/>
          <w:szCs w:val="24"/>
          <w:lang w:val="en-US" w:eastAsia="zh-CN" w:bidi="ar-SA"/>
        </w:rPr>
        <w:t>2.</w:t>
      </w:r>
      <w:r>
        <w:rPr>
          <w:rFonts w:hint="eastAsia" w:asciiTheme="majorEastAsia" w:hAnsiTheme="majorEastAsia" w:eastAsiaTheme="majorEastAsia" w:cstheme="majorEastAsia"/>
          <w:b w:val="0"/>
          <w:bCs w:val="0"/>
          <w:sz w:val="24"/>
          <w:szCs w:val="24"/>
        </w:rPr>
        <w:t>板材厚度在</w:t>
      </w:r>
      <w:r>
        <w:rPr>
          <w:rFonts w:hint="eastAsia" w:asciiTheme="majorEastAsia" w:hAnsiTheme="majorEastAsia" w:eastAsiaTheme="majorEastAsia" w:cstheme="majorEastAsia"/>
          <w:b w:val="0"/>
          <w:bCs w:val="0"/>
          <w:sz w:val="24"/>
          <w:szCs w:val="24"/>
          <w:lang w:val="en-US" w:eastAsia="zh-CN"/>
        </w:rPr>
        <w:t>需各供应商在</w:t>
      </w:r>
      <w:r>
        <w:rPr>
          <w:rFonts w:hint="eastAsia" w:asciiTheme="majorEastAsia" w:hAnsiTheme="majorEastAsia" w:eastAsiaTheme="majorEastAsia" w:cstheme="majorEastAsia"/>
          <w:b w:val="0"/>
          <w:bCs w:val="0"/>
          <w:sz w:val="24"/>
          <w:szCs w:val="24"/>
        </w:rPr>
        <w:t>清单中明确，不允许偷薄。</w:t>
      </w:r>
    </w:p>
    <w:p w14:paraId="41D0FCB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钢结构骨架、连接件（防腐重点）</w:t>
      </w:r>
    </w:p>
    <w:p w14:paraId="1C3231F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firstLine="480" w:firstLineChars="200"/>
        <w:textAlignment w:val="auto"/>
        <w:rPr>
          <w:rFonts w:hint="eastAsia" w:asciiTheme="majorEastAsia" w:hAnsiTheme="majorEastAsia" w:eastAsiaTheme="majorEastAsia" w:cstheme="majorEastAsia"/>
          <w:b w:val="0"/>
          <w:bCs w:val="0"/>
          <w:sz w:val="24"/>
          <w:szCs w:val="24"/>
        </w:rPr>
      </w:pPr>
      <w:r>
        <w:rPr>
          <w:rFonts w:hint="eastAsia" w:asciiTheme="majorEastAsia" w:hAnsiTheme="majorEastAsia" w:eastAsiaTheme="majorEastAsia" w:cstheme="majorEastAsia"/>
          <w:b w:val="0"/>
          <w:bCs w:val="0"/>
          <w:sz w:val="24"/>
          <w:szCs w:val="24"/>
        </w:rPr>
        <w:t>国标Q235B钢材，热镀锌层平均厚度≥85μm；焊接部位必须打磨后喷涂环氧富锌底漆</w:t>
      </w:r>
      <w:r>
        <w:rPr>
          <w:rFonts w:hint="eastAsia" w:asciiTheme="majorEastAsia" w:hAnsiTheme="majorEastAsia" w:eastAsiaTheme="majorEastAsia" w:cstheme="majorEastAsia"/>
          <w:b w:val="0"/>
          <w:bCs w:val="0"/>
          <w:sz w:val="24"/>
          <w:szCs w:val="24"/>
          <w:lang w:val="en-US" w:eastAsia="zh-CN"/>
        </w:rPr>
        <w:t>+</w:t>
      </w:r>
      <w:r>
        <w:rPr>
          <w:rFonts w:hint="eastAsia" w:asciiTheme="majorEastAsia" w:hAnsiTheme="majorEastAsia" w:eastAsiaTheme="majorEastAsia" w:cstheme="majorEastAsia"/>
          <w:b w:val="0"/>
          <w:bCs w:val="0"/>
          <w:sz w:val="24"/>
          <w:szCs w:val="24"/>
        </w:rPr>
        <w:t>中间漆</w:t>
      </w:r>
      <w:r>
        <w:rPr>
          <w:rFonts w:hint="eastAsia" w:asciiTheme="majorEastAsia" w:hAnsiTheme="majorEastAsia" w:eastAsiaTheme="majorEastAsia" w:cstheme="majorEastAsia"/>
          <w:b w:val="0"/>
          <w:bCs w:val="0"/>
          <w:sz w:val="24"/>
          <w:szCs w:val="24"/>
          <w:lang w:val="en-US" w:eastAsia="zh-CN"/>
        </w:rPr>
        <w:t>+</w:t>
      </w:r>
      <w:r>
        <w:rPr>
          <w:rFonts w:hint="eastAsia" w:asciiTheme="majorEastAsia" w:hAnsiTheme="majorEastAsia" w:eastAsiaTheme="majorEastAsia" w:cstheme="majorEastAsia"/>
          <w:b w:val="0"/>
          <w:bCs w:val="0"/>
          <w:sz w:val="24"/>
          <w:szCs w:val="24"/>
        </w:rPr>
        <w:t>户外耐候面漆；所有螺栓、垫片全部热镀锌/304不锈钢。</w:t>
      </w:r>
    </w:p>
    <w:p w14:paraId="7DA766B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电气、防雷接地（雷雨环境）</w:t>
      </w:r>
    </w:p>
    <w:p w14:paraId="376217A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ajorEastAsia" w:hAnsiTheme="majorEastAsia" w:eastAsiaTheme="majorEastAsia" w:cstheme="majorEastAsia"/>
          <w:b w:val="0"/>
          <w:bCs w:val="0"/>
          <w:sz w:val="24"/>
          <w:szCs w:val="24"/>
        </w:rPr>
      </w:pPr>
      <w:r>
        <w:rPr>
          <w:rFonts w:hint="eastAsia" w:asciiTheme="majorEastAsia" w:hAnsiTheme="majorEastAsia" w:eastAsiaTheme="majorEastAsia" w:cstheme="majorEastAsia"/>
          <w:b w:val="0"/>
          <w:bCs w:val="0"/>
          <w:sz w:val="24"/>
          <w:szCs w:val="24"/>
          <w:lang w:val="en-US" w:eastAsia="zh-CN"/>
        </w:rPr>
        <w:t>1.</w:t>
      </w:r>
      <w:r>
        <w:rPr>
          <w:rFonts w:hint="eastAsia" w:asciiTheme="majorEastAsia" w:hAnsiTheme="majorEastAsia" w:eastAsiaTheme="majorEastAsia" w:cstheme="majorEastAsia"/>
          <w:b w:val="0"/>
          <w:bCs w:val="0"/>
          <w:sz w:val="24"/>
          <w:szCs w:val="24"/>
        </w:rPr>
        <w:t>所有外部线缆采用耐候户外铜芯电缆，穿热镀锌金属护管敷设；</w:t>
      </w:r>
    </w:p>
    <w:p w14:paraId="732460C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ajorEastAsia" w:hAnsiTheme="majorEastAsia" w:eastAsiaTheme="majorEastAsia" w:cstheme="majorEastAsia"/>
          <w:b w:val="0"/>
          <w:bCs w:val="0"/>
          <w:sz w:val="24"/>
          <w:szCs w:val="24"/>
        </w:rPr>
      </w:pPr>
      <w:r>
        <w:rPr>
          <w:rFonts w:hint="eastAsia" w:asciiTheme="majorEastAsia" w:hAnsiTheme="majorEastAsia" w:eastAsiaTheme="majorEastAsia" w:cstheme="majorEastAsia"/>
          <w:b w:val="0"/>
          <w:bCs w:val="0"/>
          <w:sz w:val="24"/>
          <w:szCs w:val="24"/>
          <w:lang w:val="en-US" w:eastAsia="zh-CN"/>
        </w:rPr>
        <w:t>2.</w:t>
      </w:r>
      <w:r>
        <w:rPr>
          <w:rFonts w:hint="eastAsia" w:asciiTheme="majorEastAsia" w:hAnsiTheme="majorEastAsia" w:eastAsiaTheme="majorEastAsia" w:cstheme="majorEastAsia"/>
          <w:b w:val="0"/>
          <w:bCs w:val="0"/>
          <w:sz w:val="24"/>
          <w:szCs w:val="24"/>
        </w:rPr>
        <w:t>所有金属箱体、钢骨架必须做等电位防雷接地，接地电阻≤4Ω；LED输入端加装电源防雷浪涌保护器SPD。</w:t>
      </w:r>
    </w:p>
    <w:p w14:paraId="6BF82E0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ajorEastAsia" w:hAnsiTheme="majorEastAsia" w:eastAsiaTheme="majorEastAsia" w:cstheme="majorEastAsia"/>
          <w:b w:val="0"/>
          <w:bCs w:val="0"/>
          <w:sz w:val="24"/>
          <w:szCs w:val="24"/>
        </w:rPr>
      </w:pPr>
      <w:r>
        <w:rPr>
          <w:rFonts w:hint="eastAsia" w:asciiTheme="majorEastAsia" w:hAnsiTheme="majorEastAsia" w:eastAsiaTheme="majorEastAsia" w:cstheme="majorEastAsia"/>
          <w:b w:val="0"/>
          <w:bCs w:val="0"/>
          <w:sz w:val="24"/>
          <w:szCs w:val="24"/>
          <w:lang w:val="en-US" w:eastAsia="zh-CN"/>
        </w:rPr>
        <w:t>3.</w:t>
      </w:r>
      <w:r>
        <w:rPr>
          <w:rFonts w:hint="eastAsia" w:asciiTheme="majorEastAsia" w:hAnsiTheme="majorEastAsia" w:eastAsiaTheme="majorEastAsia" w:cstheme="majorEastAsia"/>
          <w:b w:val="0"/>
          <w:bCs w:val="0"/>
          <w:sz w:val="24"/>
          <w:szCs w:val="24"/>
        </w:rPr>
        <w:t>验收增加通电老化要求 现场安装完成后，必须连续通电72小时无故障老化测试，无死灯、无闪烁、无局部暗区，方可进入试用期。</w:t>
      </w:r>
    </w:p>
    <w:p w14:paraId="5FAFCD3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普通非发光货场标识标牌</w:t>
      </w:r>
    </w:p>
    <w:p w14:paraId="1791172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ajorEastAsia" w:hAnsiTheme="majorEastAsia" w:eastAsiaTheme="majorEastAsia" w:cstheme="majorEastAsia"/>
          <w:b w:val="0"/>
          <w:bCs w:val="0"/>
          <w:sz w:val="24"/>
          <w:szCs w:val="24"/>
        </w:rPr>
      </w:pPr>
      <w:r>
        <w:rPr>
          <w:rFonts w:hint="eastAsia" w:asciiTheme="majorEastAsia" w:hAnsiTheme="majorEastAsia" w:eastAsiaTheme="majorEastAsia" w:cstheme="majorEastAsia"/>
          <w:b w:val="0"/>
          <w:bCs w:val="0"/>
          <w:sz w:val="24"/>
          <w:szCs w:val="24"/>
          <w:lang w:val="en-US" w:eastAsia="zh-CN"/>
        </w:rPr>
        <w:t>1.</w:t>
      </w:r>
      <w:r>
        <w:rPr>
          <w:rFonts w:hint="eastAsia" w:asciiTheme="majorEastAsia" w:hAnsiTheme="majorEastAsia" w:eastAsiaTheme="majorEastAsia" w:cstheme="majorEastAsia"/>
          <w:b w:val="0"/>
          <w:bCs w:val="0"/>
          <w:sz w:val="24"/>
          <w:szCs w:val="24"/>
        </w:rPr>
        <w:t>底板采</w:t>
      </w:r>
      <w:r>
        <w:rPr>
          <w:rFonts w:hint="eastAsia" w:asciiTheme="majorEastAsia" w:hAnsiTheme="majorEastAsia" w:eastAsiaTheme="majorEastAsia" w:cstheme="majorEastAsia"/>
          <w:b w:val="0"/>
          <w:bCs w:val="0"/>
          <w:sz w:val="24"/>
          <w:szCs w:val="24"/>
          <w:lang w:val="en-US" w:eastAsia="zh-CN"/>
        </w:rPr>
        <w:t>用铝镁合金</w:t>
      </w:r>
      <w:r>
        <w:rPr>
          <w:rFonts w:hint="eastAsia" w:asciiTheme="majorEastAsia" w:hAnsiTheme="majorEastAsia" w:eastAsiaTheme="majorEastAsia" w:cstheme="majorEastAsia"/>
          <w:b w:val="0"/>
          <w:bCs w:val="0"/>
          <w:sz w:val="24"/>
          <w:szCs w:val="24"/>
        </w:rPr>
        <w:t>/</w:t>
      </w:r>
      <w:r>
        <w:rPr>
          <w:rFonts w:hint="eastAsia" w:asciiTheme="majorEastAsia" w:hAnsiTheme="majorEastAsia" w:eastAsiaTheme="majorEastAsia" w:cstheme="majorEastAsia"/>
          <w:b w:val="0"/>
          <w:bCs w:val="0"/>
          <w:sz w:val="24"/>
          <w:szCs w:val="24"/>
          <w:lang w:val="en-US" w:eastAsia="zh-CN"/>
        </w:rPr>
        <w:t>铝锰合金</w:t>
      </w:r>
      <w:r>
        <w:rPr>
          <w:rFonts w:hint="eastAsia" w:asciiTheme="majorEastAsia" w:hAnsiTheme="majorEastAsia" w:eastAsiaTheme="majorEastAsia" w:cstheme="majorEastAsia"/>
          <w:b w:val="0"/>
          <w:bCs w:val="0"/>
          <w:sz w:val="24"/>
          <w:szCs w:val="24"/>
        </w:rPr>
        <w:t>铝合金板；</w:t>
      </w:r>
    </w:p>
    <w:p w14:paraId="357A27E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val="0"/>
          <w:bCs w:val="0"/>
          <w:sz w:val="24"/>
          <w:szCs w:val="24"/>
          <w:lang w:val="en-US" w:eastAsia="zh-CN"/>
        </w:rPr>
        <w:t>2.</w:t>
      </w:r>
      <w:r>
        <w:rPr>
          <w:rFonts w:hint="eastAsia" w:asciiTheme="majorEastAsia" w:hAnsiTheme="majorEastAsia" w:eastAsiaTheme="majorEastAsia" w:cstheme="majorEastAsia"/>
          <w:b w:val="0"/>
          <w:bCs w:val="0"/>
          <w:sz w:val="24"/>
          <w:szCs w:val="24"/>
        </w:rPr>
        <w:t>反光膜采用Ⅳ类及以上微棱镜反光膜；文字图案采用模切反光膜，禁止油漆、丝印；耐盐雾、耐紫外线满足国标。</w:t>
      </w:r>
    </w:p>
    <w:p w14:paraId="6B36796D">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‌文字规范‌：标识牌上的文字应清晰、简洁、易于阅读，符合国家文字使用规范。文字的大小和颜色应与背景形成鲜明对比，以提高识别度。文字排版应整齐、美观，符合视觉规律‌。</w:t>
      </w:r>
    </w:p>
    <w:p w14:paraId="44CDF72E">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‌色彩搭配‌：标识牌的颜色应符合设计要求，与周围环境协调一致。色彩搭配应简洁、明快、易于记忆，提高标识牌的识别度。</w:t>
      </w:r>
    </w:p>
    <w:p w14:paraId="31B51089">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制作工艺‌：标识牌的制作工艺应精细，表面光滑、整洁，无瑕疵。制作工艺应符合行业标准和设计要求，以达到美观和实用的效果‌</w:t>
      </w:r>
    </w:p>
    <w:p w14:paraId="25F7F409">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‌结构牢固‌：标识牌的结构应牢固，能够承受自然环境和人为因素的作用。安装方式应合理、安全，不产生安全隐患</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rPr>
        <w:t>‌</w:t>
      </w:r>
    </w:p>
    <w:p w14:paraId="6138A3BD">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‌安装规范‌：标识牌的安装位置应符合设计要求，能够满足指示、引导等作用。安装过程应符合安全规范，不损坏标识牌和周边环境‌。</w:t>
      </w:r>
    </w:p>
    <w:p w14:paraId="5F15A5E4">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‌安全性‌：标识牌的设计和制作应符合国家安全标准，不含有对人体和环境有害的物质。使用和安装应保证安全，不产生安全隐患‌。</w:t>
      </w:r>
    </w:p>
    <w:p w14:paraId="570864DB">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‌性能要求‌：涂层附着力、颜色的耐晒牢度、耐盐雾性能、耐湿热性能、耐霉菌性能等均需符合相关规定‌。</w:t>
      </w:r>
    </w:p>
    <w:p w14:paraId="0D1E330C">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‌检验标准‌：标识牌需经制造单位检验部门检验合格后方能出厂，安全标识牌供应商应提供产品合格证、检测报告等相关资料。保障广告牌质量。</w:t>
      </w:r>
    </w:p>
    <w:p w14:paraId="604AEEB8">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b/>
          <w:bCs/>
          <w:sz w:val="24"/>
          <w:szCs w:val="24"/>
        </w:rPr>
      </w:pPr>
      <w:r>
        <w:rPr>
          <w:rStyle w:val="28"/>
          <w:rFonts w:hint="eastAsia" w:ascii="宋体" w:hAnsi="宋体" w:eastAsia="宋体" w:cs="宋体"/>
          <w:b/>
          <w:i w:val="0"/>
          <w:caps w:val="0"/>
          <w:spacing w:val="0"/>
          <w:w w:val="100"/>
          <w:kern w:val="2"/>
          <w:sz w:val="24"/>
          <w:szCs w:val="24"/>
          <w:lang w:val="en-US" w:eastAsia="zh-CN" w:bidi="ar-SA"/>
        </w:rPr>
        <w:t>四、服务要求</w:t>
      </w:r>
    </w:p>
    <w:p w14:paraId="4FA7017A">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（一）安全管理要求</w:t>
      </w:r>
    </w:p>
    <w:p w14:paraId="44EF2E7F">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持证上岗：凡涉及高空作业（坠落高度基准面2米及以上）的施工人员，必须持有有效的“高处安装、维护、拆除作业”特种作业操作证；电气作业人员须持有效电工特种作业操作证。所有证书须在开工前报甲方备案。</w:t>
      </w:r>
    </w:p>
    <w:p w14:paraId="4AF99BE3">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安全防护：高空作业必须符合《建筑施工高处作业安全技术规范》（JGJ 80）的规定。施工前须对作业人员进行安全培训和技术交底，配备合格的安全防护用品（安全帽、安全带（双钩）、安全绳、防滑鞋等）。</w:t>
      </w:r>
    </w:p>
    <w:p w14:paraId="30A12F28">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安全围护：安装施工时，应设置安全围护设施，划定安全作业区域，摆放安全提示牌。</w:t>
      </w:r>
    </w:p>
    <w:p w14:paraId="18F348BC">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恶劣天气：遇大风（风力≥6级）、暴雨、雷电等恶劣天气，必须停止高空作业并撤离现场。</w:t>
      </w:r>
    </w:p>
    <w:p w14:paraId="23F847F0">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动火作业：涉及动火作业（如焊接）须办理动火许可证，配备灭火器材并安排专人监护。</w:t>
      </w:r>
    </w:p>
    <w:p w14:paraId="46D81E4A">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安全责任：供应商对施工全过程的安全负全部责任，包括施工人员人身安全、第三方人身及财产安全、货场设施及建筑物安全。</w:t>
      </w:r>
    </w:p>
    <w:p w14:paraId="6D8DA5DA">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保险要求：供应商必须为所有施工人员购买人身意外伤害保险，并向甲方提供保险单复印件。</w:t>
      </w:r>
    </w:p>
    <w:p w14:paraId="5D209B24">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（二）质量保证要求</w:t>
      </w:r>
    </w:p>
    <w:p w14:paraId="1F3D81A5">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质保期限</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完成验收起2年内。</w:t>
      </w:r>
    </w:p>
    <w:p w14:paraId="029AD08B">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质保范围：质保期内因产品本身质量缺陷或安装质量问题导致的任何故障（含LED灯珠不亮、色温偏差、字体脱落、结构松动、线路故障、漏水等），供应商须免费维修或更换。</w:t>
      </w:r>
    </w:p>
    <w:p w14:paraId="39E65EB2">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响应时效：质保期内，标识牌出现质量问题，供应商应在接到甲方通知后2小时内响应，24小时内到场维修。紧急故障（如标识牌脱落、线路漏电、大面积LED失效等），须在48小时内修复。</w:t>
      </w:r>
    </w:p>
    <w:p w14:paraId="42C3C140">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备品备件：供应商应保证质保期内备品备件的供应，确保故障时能及时更换。</w:t>
      </w:r>
    </w:p>
    <w:p w14:paraId="4EBAECBE">
      <w:pPr>
        <w:pStyle w:val="33"/>
        <w:keepNext w:val="0"/>
        <w:keepLines w:val="0"/>
        <w:pageBreakBefore w:val="0"/>
        <w:kinsoku/>
        <w:wordWrap/>
        <w:overflowPunct/>
        <w:topLinePunct w:val="0"/>
        <w:autoSpaceDE/>
        <w:autoSpaceDN/>
        <w:bidi w:val="0"/>
        <w:adjustRightInd/>
        <w:snapToGrid/>
        <w:spacing w:line="360" w:lineRule="auto"/>
        <w:ind w:firstLine="640"/>
        <w:jc w:val="left"/>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（三）验收方式</w:t>
      </w:r>
    </w:p>
    <w:p w14:paraId="532875DE">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采购</w:t>
      </w:r>
      <w:r>
        <w:rPr>
          <w:rFonts w:hint="eastAsia" w:asciiTheme="majorEastAsia" w:hAnsiTheme="majorEastAsia" w:eastAsiaTheme="majorEastAsia" w:cstheme="majorEastAsia"/>
          <w:sz w:val="24"/>
          <w:szCs w:val="24"/>
          <w:lang w:val="en-US" w:eastAsia="zh-CN"/>
        </w:rPr>
        <w:t>的企业</w:t>
      </w:r>
      <w:r>
        <w:rPr>
          <w:rFonts w:hint="eastAsia" w:asciiTheme="majorEastAsia" w:hAnsiTheme="majorEastAsia" w:eastAsiaTheme="majorEastAsia" w:cstheme="majorEastAsia"/>
          <w:sz w:val="24"/>
          <w:szCs w:val="24"/>
        </w:rPr>
        <w:t>标识牌</w:t>
      </w:r>
      <w:r>
        <w:rPr>
          <w:rFonts w:hint="eastAsia" w:asciiTheme="majorEastAsia" w:hAnsiTheme="majorEastAsia" w:eastAsiaTheme="majorEastAsia" w:cstheme="majorEastAsia"/>
          <w:sz w:val="24"/>
          <w:szCs w:val="24"/>
          <w:lang w:val="en-US" w:eastAsia="zh-CN"/>
        </w:rPr>
        <w:t>制作、安装、调试等</w:t>
      </w:r>
      <w:r>
        <w:rPr>
          <w:rFonts w:hint="eastAsia" w:asciiTheme="majorEastAsia" w:hAnsiTheme="majorEastAsia" w:eastAsiaTheme="majorEastAsia" w:cstheme="majorEastAsia"/>
          <w:sz w:val="24"/>
          <w:szCs w:val="24"/>
        </w:rPr>
        <w:t>施工完成后组织验收，达到使用标准，</w:t>
      </w:r>
      <w:r>
        <w:rPr>
          <w:rFonts w:hint="eastAsia" w:asciiTheme="majorEastAsia" w:hAnsiTheme="majorEastAsia" w:eastAsiaTheme="majorEastAsia" w:cstheme="majorEastAsia"/>
          <w:sz w:val="24"/>
          <w:szCs w:val="24"/>
          <w:lang w:val="en-US" w:eastAsia="zh-CN"/>
        </w:rPr>
        <w:t>可稳定</w:t>
      </w:r>
      <w:r>
        <w:rPr>
          <w:rFonts w:hint="eastAsia" w:asciiTheme="majorEastAsia" w:hAnsiTheme="majorEastAsia" w:eastAsiaTheme="majorEastAsia" w:cstheme="majorEastAsia"/>
          <w:sz w:val="24"/>
          <w:szCs w:val="24"/>
        </w:rPr>
        <w:t>正常使用后验收。</w:t>
      </w:r>
      <w:r>
        <w:rPr>
          <w:rFonts w:hint="eastAsia" w:asciiTheme="majorEastAsia" w:hAnsiTheme="majorEastAsia" w:eastAsiaTheme="majorEastAsia" w:cstheme="majorEastAsia"/>
          <w:sz w:val="24"/>
          <w:szCs w:val="24"/>
          <w:lang w:val="en-US" w:eastAsia="zh-CN"/>
        </w:rPr>
        <w:t>验收后，双方负责人应在验收单上签字确认。</w:t>
      </w:r>
    </w:p>
    <w:p w14:paraId="34B0B9D5">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附件：新作标识牌样式如下：</w:t>
      </w:r>
    </w:p>
    <w:p w14:paraId="5DB6F6F7">
      <w:pPr>
        <w:keepNext w:val="0"/>
        <w:keepLines w:val="0"/>
        <w:pageBreakBefore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drawing>
          <wp:inline distT="0" distB="0" distL="114300" distR="114300">
            <wp:extent cx="5611495" cy="1477010"/>
            <wp:effectExtent l="0" t="0" r="0" b="0"/>
            <wp:docPr id="14" name="图片 14" descr="2026年公司最新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2026年公司最新logo"/>
                    <pic:cNvPicPr>
                      <a:picLocks noChangeAspect="1"/>
                    </pic:cNvPicPr>
                  </pic:nvPicPr>
                  <pic:blipFill>
                    <a:blip r:embed="rId15"/>
                    <a:stretch>
                      <a:fillRect/>
                    </a:stretch>
                  </pic:blipFill>
                  <pic:spPr>
                    <a:xfrm>
                      <a:off x="0" y="0"/>
                      <a:ext cx="5611495" cy="1477010"/>
                    </a:xfrm>
                    <a:prstGeom prst="rect">
                      <a:avLst/>
                    </a:prstGeom>
                  </pic:spPr>
                </pic:pic>
              </a:graphicData>
            </a:graphic>
          </wp:inline>
        </w:drawing>
      </w:r>
    </w:p>
    <w:p w14:paraId="45F71859">
      <w:pPr>
        <w:numPr>
          <w:ilvl w:val="0"/>
          <w:numId w:val="1"/>
        </w:numPr>
        <w:bidi w:val="0"/>
        <w:jc w:val="both"/>
      </w:pPr>
      <w:bookmarkStart w:id="323" w:name="_Toc26780"/>
      <w:bookmarkStart w:id="324" w:name="_Toc7051"/>
      <w:bookmarkStart w:id="325" w:name="_Toc22345"/>
      <w:bookmarkStart w:id="326" w:name="_Toc18154"/>
      <w:bookmarkStart w:id="327" w:name="_Toc26514"/>
      <w:bookmarkStart w:id="328" w:name="_Toc6216"/>
      <w:bookmarkStart w:id="329" w:name="_Toc27041607"/>
      <w:r>
        <w:rPr>
          <w:rFonts w:hint="eastAsia" w:asciiTheme="majorEastAsia" w:hAnsiTheme="majorEastAsia" w:eastAsiaTheme="majorEastAsia" w:cstheme="majorEastAsia"/>
          <w:sz w:val="24"/>
          <w:szCs w:val="24"/>
        </w:rPr>
        <w:drawing>
          <wp:anchor distT="0" distB="0" distL="114300" distR="114300" simplePos="0" relativeHeight="251660288" behindDoc="0" locked="0" layoutInCell="1" allowOverlap="1">
            <wp:simplePos x="0" y="0"/>
            <wp:positionH relativeFrom="column">
              <wp:posOffset>811530</wp:posOffset>
            </wp:positionH>
            <wp:positionV relativeFrom="paragraph">
              <wp:posOffset>285750</wp:posOffset>
            </wp:positionV>
            <wp:extent cx="4087495" cy="3945890"/>
            <wp:effectExtent l="0" t="0" r="8255" b="16510"/>
            <wp:wrapSquare wrapText="bothSides"/>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16"/>
                    <a:stretch>
                      <a:fillRect/>
                    </a:stretch>
                  </pic:blipFill>
                  <pic:spPr>
                    <a:xfrm>
                      <a:off x="0" y="0"/>
                      <a:ext cx="4087495" cy="3945890"/>
                    </a:xfrm>
                    <a:prstGeom prst="rect">
                      <a:avLst/>
                    </a:prstGeom>
                  </pic:spPr>
                </pic:pic>
              </a:graphicData>
            </a:graphic>
          </wp:anchor>
        </w:drawing>
      </w:r>
      <w:r>
        <w:rPr>
          <w:rFonts w:hint="eastAsia"/>
        </w:rPr>
        <w:br w:type="page"/>
      </w:r>
    </w:p>
    <w:p w14:paraId="336DF9EE">
      <w:pPr>
        <w:jc w:val="center"/>
        <w:outlineLvl w:val="0"/>
        <w:rPr>
          <w:b/>
          <w:sz w:val="44"/>
          <w:szCs w:val="44"/>
        </w:rPr>
      </w:pPr>
      <w:bookmarkStart w:id="330" w:name="_Toc1632"/>
      <w:r>
        <w:rPr>
          <w:rFonts w:hint="eastAsia"/>
          <w:b/>
          <w:sz w:val="44"/>
          <w:szCs w:val="44"/>
        </w:rPr>
        <w:t>第五章</w:t>
      </w:r>
      <w:r>
        <w:rPr>
          <w:b/>
          <w:sz w:val="44"/>
          <w:szCs w:val="44"/>
        </w:rPr>
        <w:t xml:space="preserve"> </w:t>
      </w:r>
      <w:r>
        <w:rPr>
          <w:rFonts w:hint="eastAsia"/>
          <w:b/>
          <w:sz w:val="44"/>
          <w:szCs w:val="44"/>
        </w:rPr>
        <w:t>响应文件格式</w:t>
      </w:r>
      <w:bookmarkEnd w:id="323"/>
      <w:bookmarkEnd w:id="324"/>
      <w:bookmarkEnd w:id="325"/>
      <w:bookmarkEnd w:id="326"/>
      <w:bookmarkEnd w:id="327"/>
      <w:bookmarkEnd w:id="328"/>
      <w:bookmarkEnd w:id="329"/>
      <w:bookmarkEnd w:id="330"/>
    </w:p>
    <w:p w14:paraId="1D19F302">
      <w:pPr>
        <w:spacing w:before="468" w:beforeLines="150"/>
        <w:outlineLvl w:val="1"/>
        <w:rPr>
          <w:b/>
          <w:sz w:val="36"/>
          <w:szCs w:val="36"/>
        </w:rPr>
      </w:pPr>
      <w:bookmarkStart w:id="331" w:name="_Toc31909"/>
      <w:bookmarkStart w:id="332" w:name="_Toc29323"/>
      <w:bookmarkStart w:id="333" w:name="_Toc483320815"/>
      <w:bookmarkStart w:id="334" w:name="_Toc3474"/>
      <w:bookmarkStart w:id="335" w:name="_Toc12367"/>
      <w:bookmarkStart w:id="336" w:name="_Toc328940813"/>
      <w:bookmarkStart w:id="337" w:name="_Toc463798090"/>
      <w:bookmarkStart w:id="338" w:name="_Toc16799"/>
      <w:bookmarkStart w:id="339" w:name="_Toc27916"/>
      <w:bookmarkStart w:id="340" w:name="_Toc3810"/>
      <w:bookmarkStart w:id="341" w:name="_Toc46993782"/>
      <w:bookmarkStart w:id="342" w:name="_Toc336273606"/>
      <w:bookmarkStart w:id="343" w:name="_Toc122530397"/>
      <w:r>
        <w:rPr>
          <w:rFonts w:hint="eastAsia"/>
          <w:b/>
          <w:sz w:val="36"/>
          <w:szCs w:val="36"/>
        </w:rPr>
        <w:t>商务部分主要格式</w:t>
      </w:r>
      <w:bookmarkEnd w:id="331"/>
      <w:bookmarkEnd w:id="332"/>
      <w:bookmarkEnd w:id="333"/>
      <w:bookmarkEnd w:id="334"/>
      <w:bookmarkEnd w:id="335"/>
      <w:bookmarkEnd w:id="336"/>
      <w:bookmarkEnd w:id="337"/>
      <w:bookmarkEnd w:id="338"/>
      <w:bookmarkEnd w:id="339"/>
      <w:bookmarkEnd w:id="340"/>
      <w:bookmarkEnd w:id="341"/>
      <w:bookmarkEnd w:id="342"/>
    </w:p>
    <w:p w14:paraId="078C5B83">
      <w:pPr>
        <w:jc w:val="right"/>
        <w:rPr>
          <w:b/>
          <w:sz w:val="32"/>
          <w:szCs w:val="32"/>
        </w:rPr>
      </w:pPr>
      <w:bookmarkStart w:id="344" w:name="_Toc333418626"/>
      <w:bookmarkStart w:id="345" w:name="_Toc328941041"/>
      <w:bookmarkStart w:id="346" w:name="_Toc328404929"/>
      <w:bookmarkStart w:id="347" w:name="_Toc317063542"/>
      <w:bookmarkStart w:id="348" w:name="_Toc334781388"/>
      <w:bookmarkStart w:id="349" w:name="_Toc434590763"/>
      <w:bookmarkStart w:id="350" w:name="_Toc434565302"/>
      <w:bookmarkStart w:id="351" w:name="_Toc328940814"/>
      <w:bookmarkStart w:id="352" w:name="_Toc333413961"/>
      <w:bookmarkStart w:id="353" w:name="_Toc336273607"/>
      <w:bookmarkStart w:id="354" w:name="_Toc434595436"/>
      <w:bookmarkStart w:id="355" w:name="_Toc333502011"/>
      <w:r>
        <w:rPr>
          <w:rFonts w:hint="eastAsia"/>
          <w:b/>
          <w:sz w:val="32"/>
          <w:szCs w:val="32"/>
        </w:rPr>
        <w:t>（</w:t>
      </w:r>
      <w:r>
        <w:rPr>
          <w:b/>
          <w:sz w:val="32"/>
          <w:szCs w:val="32"/>
          <w:u w:val="single"/>
        </w:rPr>
        <w:t xml:space="preserve">   </w:t>
      </w:r>
      <w:r>
        <w:rPr>
          <w:rFonts w:hint="eastAsia"/>
          <w:b/>
          <w:sz w:val="32"/>
          <w:szCs w:val="32"/>
        </w:rPr>
        <w:t>本）</w:t>
      </w:r>
      <w:bookmarkEnd w:id="344"/>
      <w:bookmarkEnd w:id="345"/>
      <w:bookmarkEnd w:id="346"/>
      <w:bookmarkEnd w:id="347"/>
      <w:bookmarkEnd w:id="348"/>
      <w:bookmarkEnd w:id="349"/>
      <w:bookmarkEnd w:id="350"/>
      <w:bookmarkEnd w:id="351"/>
      <w:bookmarkEnd w:id="352"/>
      <w:bookmarkEnd w:id="353"/>
      <w:bookmarkEnd w:id="354"/>
      <w:bookmarkEnd w:id="355"/>
    </w:p>
    <w:p w14:paraId="2E9F6484">
      <w:pPr>
        <w:jc w:val="right"/>
        <w:rPr>
          <w:b/>
          <w:sz w:val="32"/>
          <w:szCs w:val="32"/>
        </w:rPr>
      </w:pPr>
    </w:p>
    <w:p w14:paraId="33DFF113">
      <w:pPr>
        <w:spacing w:line="288" w:lineRule="auto"/>
        <w:jc w:val="center"/>
        <w:rPr>
          <w:rFonts w:hint="eastAsia" w:ascii="宋体" w:hAnsi="宋体" w:eastAsia="宋体"/>
          <w:b/>
          <w:spacing w:val="20"/>
          <w:sz w:val="28"/>
          <w:szCs w:val="28"/>
          <w:lang w:eastAsia="zh-CN"/>
        </w:rPr>
      </w:pPr>
      <w:r>
        <w:rPr>
          <w:rFonts w:hint="eastAsia" w:ascii="宋体" w:hAnsi="宋体"/>
          <w:b/>
          <w:kern w:val="28"/>
          <w:sz w:val="46"/>
          <w:szCs w:val="52"/>
          <w:lang w:eastAsia="zh-CN"/>
        </w:rPr>
        <w:t>北山国际货场企业标识牌采购项目</w:t>
      </w:r>
    </w:p>
    <w:p w14:paraId="31302691">
      <w:pPr>
        <w:spacing w:line="288" w:lineRule="auto"/>
        <w:jc w:val="center"/>
        <w:rPr>
          <w:rFonts w:ascii="宋体" w:hAnsi="宋体"/>
          <w:b/>
          <w:kern w:val="28"/>
          <w:sz w:val="84"/>
          <w:szCs w:val="84"/>
        </w:rPr>
      </w:pPr>
    </w:p>
    <w:p w14:paraId="1F445927">
      <w:pPr>
        <w:spacing w:line="288" w:lineRule="auto"/>
        <w:jc w:val="center"/>
        <w:rPr>
          <w:rFonts w:ascii="宋体" w:hAnsi="宋体"/>
          <w:b/>
          <w:kern w:val="28"/>
          <w:sz w:val="84"/>
          <w:szCs w:val="84"/>
        </w:rPr>
      </w:pPr>
      <w:r>
        <w:rPr>
          <w:rFonts w:hint="eastAsia" w:ascii="宋体" w:hAnsi="宋体"/>
          <w:b/>
          <w:kern w:val="28"/>
          <w:sz w:val="84"/>
          <w:szCs w:val="84"/>
        </w:rPr>
        <w:t>响应文件</w:t>
      </w:r>
    </w:p>
    <w:p w14:paraId="1C1CE3CB">
      <w:pPr>
        <w:spacing w:line="288" w:lineRule="auto"/>
        <w:jc w:val="center"/>
        <w:rPr>
          <w:rFonts w:ascii="宋体" w:hAnsi="宋体"/>
          <w:b/>
          <w:kern w:val="28"/>
          <w:sz w:val="46"/>
          <w:szCs w:val="52"/>
        </w:rPr>
      </w:pPr>
      <w:r>
        <w:rPr>
          <w:rFonts w:hint="eastAsia" w:ascii="宋体" w:hAnsi="宋体"/>
          <w:b/>
          <w:kern w:val="28"/>
          <w:sz w:val="46"/>
          <w:szCs w:val="52"/>
        </w:rPr>
        <w:t>（商务部分）</w:t>
      </w:r>
    </w:p>
    <w:p w14:paraId="1B5BA62F">
      <w:pPr>
        <w:spacing w:before="468" w:beforeLines="150" w:after="468" w:afterLines="150" w:line="700" w:lineRule="exact"/>
        <w:jc w:val="center"/>
        <w:rPr>
          <w:rFonts w:ascii="宋体" w:hAnsi="宋体"/>
          <w:b/>
          <w:bCs/>
          <w:spacing w:val="66"/>
          <w:sz w:val="72"/>
        </w:rPr>
      </w:pPr>
    </w:p>
    <w:p w14:paraId="26031ED6">
      <w:pPr>
        <w:spacing w:line="820" w:lineRule="exact"/>
        <w:ind w:left="1470" w:leftChars="700"/>
        <w:rPr>
          <w:rFonts w:ascii="宋体" w:hAnsi="宋体"/>
          <w:bCs/>
          <w:sz w:val="28"/>
          <w:u w:val="single"/>
        </w:rPr>
      </w:pPr>
      <w:r>
        <w:rPr>
          <w:rFonts w:hint="eastAsia" w:ascii="宋体" w:hAnsi="宋体"/>
          <w:bCs/>
          <w:sz w:val="28"/>
        </w:rPr>
        <w:t>供应商全</w:t>
      </w:r>
      <w:r>
        <w:rPr>
          <w:rFonts w:ascii="宋体" w:hAnsi="宋体"/>
          <w:bCs/>
          <w:sz w:val="28"/>
        </w:rPr>
        <w:t>称</w:t>
      </w:r>
      <w:r>
        <w:rPr>
          <w:rFonts w:hint="eastAsia" w:ascii="宋体" w:hAnsi="宋体"/>
          <w:bCs/>
          <w:sz w:val="28"/>
        </w:rPr>
        <w:t>（加</w:t>
      </w:r>
      <w:r>
        <w:rPr>
          <w:rFonts w:ascii="宋体" w:hAnsi="宋体"/>
          <w:bCs/>
          <w:sz w:val="28"/>
        </w:rPr>
        <w:t>盖</w:t>
      </w:r>
      <w:r>
        <w:rPr>
          <w:rFonts w:hint="eastAsia" w:ascii="宋体" w:hAnsi="宋体"/>
          <w:bCs/>
          <w:sz w:val="28"/>
        </w:rPr>
        <w:t>公章）：</w:t>
      </w:r>
      <w:r>
        <w:rPr>
          <w:rFonts w:ascii="宋体" w:hAnsi="宋体"/>
          <w:bCs/>
          <w:sz w:val="28"/>
          <w:u w:val="single"/>
        </w:rPr>
        <w:t xml:space="preserve">                        </w:t>
      </w:r>
    </w:p>
    <w:p w14:paraId="60C2AF56">
      <w:pPr>
        <w:spacing w:line="820" w:lineRule="exact"/>
        <w:ind w:left="1470" w:leftChars="700"/>
        <w:rPr>
          <w:rFonts w:ascii="宋体" w:hAnsi="宋体"/>
          <w:bCs/>
          <w:sz w:val="28"/>
          <w:u w:val="single"/>
        </w:rPr>
      </w:pPr>
      <w:r>
        <w:rPr>
          <w:rFonts w:hint="eastAsia" w:ascii="宋体" w:hAnsi="宋体"/>
          <w:bCs/>
          <w:sz w:val="28"/>
        </w:rPr>
        <w:t>法定代表人或委托代理人（签字）：</w:t>
      </w:r>
      <w:r>
        <w:rPr>
          <w:rFonts w:ascii="宋体" w:hAnsi="宋体"/>
          <w:bCs/>
          <w:sz w:val="28"/>
          <w:u w:val="single"/>
        </w:rPr>
        <w:t xml:space="preserve">                </w:t>
      </w:r>
    </w:p>
    <w:p w14:paraId="27CD6DE8">
      <w:pPr>
        <w:spacing w:line="820" w:lineRule="exact"/>
        <w:ind w:left="1470" w:leftChars="700"/>
        <w:rPr>
          <w:rFonts w:ascii="宋体" w:hAnsi="宋体"/>
          <w:bCs/>
          <w:sz w:val="28"/>
          <w:u w:val="single"/>
        </w:rPr>
      </w:pPr>
      <w:r>
        <w:rPr>
          <w:rFonts w:hint="eastAsia" w:ascii="宋体" w:hAnsi="宋体"/>
          <w:bCs/>
          <w:sz w:val="28"/>
        </w:rPr>
        <w:t>联系电话：</w:t>
      </w:r>
      <w:r>
        <w:rPr>
          <w:rFonts w:ascii="宋体" w:hAnsi="宋体"/>
          <w:bCs/>
          <w:sz w:val="28"/>
          <w:u w:val="single"/>
        </w:rPr>
        <w:t xml:space="preserve">                    </w:t>
      </w:r>
    </w:p>
    <w:p w14:paraId="0EFE13D5">
      <w:pPr>
        <w:spacing w:line="820" w:lineRule="exact"/>
        <w:ind w:left="1470" w:leftChars="700"/>
        <w:rPr>
          <w:rFonts w:ascii="宋体" w:hAnsi="宋体"/>
          <w:bCs/>
          <w:sz w:val="28"/>
          <w:u w:val="single"/>
        </w:rPr>
      </w:pPr>
      <w:r>
        <w:rPr>
          <w:rFonts w:hint="eastAsia" w:ascii="宋体" w:hAnsi="宋体"/>
          <w:bCs/>
          <w:sz w:val="28"/>
        </w:rPr>
        <w:t>日</w:t>
      </w:r>
      <w:r>
        <w:rPr>
          <w:rFonts w:ascii="宋体" w:hAnsi="宋体"/>
          <w:bCs/>
          <w:sz w:val="28"/>
        </w:rPr>
        <w:t xml:space="preserve">    期： </w:t>
      </w:r>
      <w:r>
        <w:rPr>
          <w:rFonts w:ascii="宋体" w:hAnsi="宋体"/>
          <w:bCs/>
          <w:sz w:val="28"/>
          <w:u w:val="single"/>
        </w:rPr>
        <w:t xml:space="preserve">      年    月    日</w:t>
      </w:r>
    </w:p>
    <w:bookmarkEnd w:id="320"/>
    <w:bookmarkEnd w:id="343"/>
    <w:p w14:paraId="444B8ED9">
      <w:pPr>
        <w:rPr>
          <w:b/>
          <w:sz w:val="36"/>
          <w:szCs w:val="36"/>
        </w:rPr>
      </w:pPr>
      <w:bookmarkStart w:id="356" w:name="_Toc483320816"/>
      <w:bookmarkStart w:id="357" w:name="_Toc22745"/>
      <w:bookmarkStart w:id="358" w:name="_Toc3371"/>
      <w:bookmarkStart w:id="359" w:name="_Toc7049"/>
      <w:bookmarkStart w:id="360" w:name="_Toc27041609"/>
      <w:bookmarkStart w:id="361" w:name="_Toc336273608"/>
      <w:bookmarkStart w:id="362" w:name="_Toc463798091"/>
      <w:bookmarkStart w:id="363" w:name="_Toc844"/>
      <w:bookmarkStart w:id="364" w:name="_Toc23837"/>
      <w:r>
        <w:rPr>
          <w:b/>
          <w:sz w:val="36"/>
          <w:szCs w:val="36"/>
        </w:rPr>
        <w:br w:type="page"/>
      </w:r>
    </w:p>
    <w:p w14:paraId="21B3E4B7">
      <w:pPr>
        <w:spacing w:before="468" w:beforeLines="150"/>
        <w:jc w:val="center"/>
        <w:outlineLvl w:val="1"/>
        <w:rPr>
          <w:b/>
          <w:sz w:val="36"/>
          <w:szCs w:val="36"/>
        </w:rPr>
      </w:pPr>
      <w:bookmarkStart w:id="365" w:name="_Toc4133"/>
      <w:bookmarkStart w:id="366" w:name="_Toc13819"/>
      <w:r>
        <w:rPr>
          <w:rFonts w:hint="eastAsia"/>
          <w:b/>
          <w:sz w:val="36"/>
          <w:szCs w:val="36"/>
        </w:rPr>
        <w:t>附件一：报价函</w:t>
      </w:r>
      <w:bookmarkEnd w:id="356"/>
      <w:bookmarkEnd w:id="357"/>
      <w:bookmarkEnd w:id="358"/>
      <w:bookmarkEnd w:id="359"/>
      <w:bookmarkEnd w:id="360"/>
      <w:bookmarkEnd w:id="361"/>
      <w:bookmarkEnd w:id="362"/>
      <w:bookmarkEnd w:id="363"/>
      <w:bookmarkEnd w:id="364"/>
      <w:bookmarkEnd w:id="365"/>
      <w:bookmarkEnd w:id="366"/>
    </w:p>
    <w:p w14:paraId="0D59F7B5">
      <w:pPr>
        <w:spacing w:line="360" w:lineRule="auto"/>
        <w:rPr>
          <w:rFonts w:ascii="宋体" w:hAnsi="宋体"/>
          <w:b/>
          <w:sz w:val="24"/>
        </w:rPr>
      </w:pPr>
      <w:r>
        <w:rPr>
          <w:rFonts w:hint="eastAsia" w:ascii="宋体" w:hAnsi="宋体"/>
          <w:b/>
          <w:sz w:val="24"/>
        </w:rPr>
        <w:t>致</w:t>
      </w:r>
      <w:r>
        <w:rPr>
          <w:rFonts w:hint="eastAsia" w:ascii="宋体" w:hAnsi="宋体"/>
          <w:b/>
          <w:sz w:val="24"/>
          <w:lang w:eastAsia="zh-CN"/>
        </w:rPr>
        <w:t>河口滇越货场物流有限责任公司</w:t>
      </w:r>
      <w:r>
        <w:rPr>
          <w:rFonts w:hint="eastAsia" w:ascii="宋体" w:hAnsi="宋体"/>
          <w:b/>
          <w:sz w:val="24"/>
        </w:rPr>
        <w:t>：</w:t>
      </w:r>
    </w:p>
    <w:p w14:paraId="4F808935">
      <w:pPr>
        <w:spacing w:line="360" w:lineRule="auto"/>
        <w:ind w:firstLine="480" w:firstLineChars="200"/>
        <w:rPr>
          <w:rFonts w:ascii="宋体" w:hAnsi="宋体"/>
          <w:sz w:val="24"/>
        </w:rPr>
      </w:pPr>
      <w:r>
        <w:rPr>
          <w:rFonts w:hint="eastAsia" w:ascii="宋体" w:hAnsi="宋体"/>
          <w:sz w:val="24"/>
        </w:rPr>
        <w:t>我</w:t>
      </w:r>
      <w:r>
        <w:rPr>
          <w:rFonts w:ascii="宋体" w:hAnsi="宋体"/>
          <w:sz w:val="24"/>
        </w:rPr>
        <w:t>单</w:t>
      </w:r>
      <w:r>
        <w:rPr>
          <w:rFonts w:hint="eastAsia" w:ascii="宋体" w:hAnsi="宋体"/>
          <w:sz w:val="24"/>
        </w:rPr>
        <w:t>位（</w:t>
      </w:r>
      <w:r>
        <w:rPr>
          <w:rFonts w:ascii="宋体" w:hAnsi="宋体"/>
          <w:sz w:val="24"/>
          <w:u w:val="single"/>
        </w:rPr>
        <w:t xml:space="preserve">          </w:t>
      </w:r>
      <w:r>
        <w:rPr>
          <w:rFonts w:hint="eastAsia" w:ascii="宋体" w:hAnsi="宋体"/>
          <w:sz w:val="24"/>
        </w:rPr>
        <w:t>公司）</w:t>
      </w:r>
      <w:r>
        <w:rPr>
          <w:rFonts w:ascii="宋体" w:hAnsi="宋体"/>
          <w:sz w:val="24"/>
        </w:rPr>
        <w:t>决定参</w:t>
      </w:r>
      <w:r>
        <w:rPr>
          <w:rFonts w:hint="eastAsia" w:ascii="宋体" w:hAnsi="宋体"/>
          <w:sz w:val="24"/>
        </w:rPr>
        <w:t>加</w:t>
      </w:r>
      <w:r>
        <w:rPr>
          <w:rFonts w:ascii="宋体" w:hAnsi="宋体"/>
          <w:sz w:val="24"/>
        </w:rPr>
        <w:t>贵</w:t>
      </w:r>
      <w:r>
        <w:rPr>
          <w:rFonts w:hint="eastAsia" w:ascii="宋体" w:hAnsi="宋体"/>
          <w:sz w:val="24"/>
        </w:rPr>
        <w:t>方组织的</w:t>
      </w:r>
      <w:r>
        <w:rPr>
          <w:rFonts w:hint="eastAsia" w:ascii="宋体" w:hAnsi="宋体"/>
          <w:sz w:val="24"/>
          <w:u w:val="single"/>
          <w:lang w:eastAsia="zh-CN"/>
        </w:rPr>
        <w:t>北山国际货场企业标识牌采购项目</w:t>
      </w:r>
      <w:r>
        <w:rPr>
          <w:rFonts w:hint="eastAsia" w:ascii="宋体" w:hAnsi="宋体"/>
          <w:sz w:val="24"/>
        </w:rPr>
        <w:t>的</w:t>
      </w:r>
      <w:r>
        <w:rPr>
          <w:rFonts w:ascii="宋体" w:hAnsi="宋体"/>
          <w:sz w:val="24"/>
        </w:rPr>
        <w:t>竞争性谈判</w:t>
      </w:r>
      <w:r>
        <w:rPr>
          <w:rFonts w:hint="eastAsia" w:ascii="宋体" w:hAnsi="宋体"/>
          <w:sz w:val="24"/>
        </w:rPr>
        <w:t>活</w:t>
      </w:r>
      <w:r>
        <w:rPr>
          <w:rFonts w:ascii="宋体" w:hAnsi="宋体"/>
          <w:sz w:val="24"/>
        </w:rPr>
        <w:t>动</w:t>
      </w:r>
      <w:r>
        <w:rPr>
          <w:rFonts w:hint="eastAsia" w:ascii="宋体" w:hAnsi="宋体"/>
          <w:sz w:val="24"/>
        </w:rPr>
        <w:t>，并同</w:t>
      </w:r>
      <w:r>
        <w:rPr>
          <w:rFonts w:ascii="宋体" w:hAnsi="宋体"/>
          <w:sz w:val="24"/>
        </w:rPr>
        <w:t>时</w:t>
      </w:r>
      <w:r>
        <w:rPr>
          <w:rFonts w:hint="eastAsia" w:ascii="宋体" w:hAnsi="宋体"/>
          <w:sz w:val="24"/>
        </w:rPr>
        <w:t>由法定代表人</w:t>
      </w:r>
      <w:r>
        <w:rPr>
          <w:rFonts w:ascii="宋体" w:hAnsi="宋体"/>
          <w:sz w:val="24"/>
        </w:rPr>
        <w:t>_________</w:t>
      </w:r>
      <w:r>
        <w:rPr>
          <w:rFonts w:hint="eastAsia" w:ascii="宋体" w:hAnsi="宋体"/>
          <w:sz w:val="24"/>
        </w:rPr>
        <w:t>（或法定代表人正式授</w:t>
      </w:r>
      <w:r>
        <w:rPr>
          <w:rFonts w:ascii="宋体" w:hAnsi="宋体"/>
          <w:sz w:val="24"/>
        </w:rPr>
        <w:t>权</w:t>
      </w:r>
      <w:r>
        <w:rPr>
          <w:rFonts w:hint="eastAsia" w:ascii="宋体" w:hAnsi="宋体"/>
          <w:sz w:val="24"/>
        </w:rPr>
        <w:t>的委托代理人</w:t>
      </w:r>
      <w:r>
        <w:rPr>
          <w:rFonts w:ascii="宋体" w:hAnsi="宋体"/>
          <w:sz w:val="24"/>
        </w:rPr>
        <w:t>_________</w:t>
      </w:r>
      <w:r>
        <w:rPr>
          <w:rFonts w:hint="eastAsia" w:ascii="宋体" w:hAnsi="宋体"/>
          <w:sz w:val="24"/>
        </w:rPr>
        <w:t>）提交响应</w:t>
      </w:r>
      <w:r>
        <w:rPr>
          <w:rFonts w:ascii="宋体" w:hAnsi="宋体"/>
          <w:sz w:val="24"/>
        </w:rPr>
        <w:t>文件</w:t>
      </w:r>
      <w:r>
        <w:rPr>
          <w:rFonts w:ascii="宋体" w:hAnsi="宋体"/>
          <w:sz w:val="24"/>
          <w:u w:val="single"/>
        </w:rPr>
        <w:t xml:space="preserve"> 三  </w:t>
      </w:r>
      <w:r>
        <w:rPr>
          <w:rFonts w:hint="eastAsia" w:ascii="宋体" w:hAnsi="宋体"/>
          <w:sz w:val="24"/>
        </w:rPr>
        <w:t>份（</w:t>
      </w:r>
      <w:r>
        <w:rPr>
          <w:rFonts w:ascii="宋体" w:hAnsi="宋体"/>
          <w:sz w:val="24"/>
          <w:u w:val="single"/>
        </w:rPr>
        <w:t xml:space="preserve">  一 </w:t>
      </w:r>
      <w:r>
        <w:rPr>
          <w:rFonts w:hint="eastAsia" w:ascii="宋体" w:hAnsi="宋体"/>
          <w:sz w:val="24"/>
        </w:rPr>
        <w:t>正</w:t>
      </w:r>
      <w:r>
        <w:rPr>
          <w:rFonts w:ascii="宋体" w:hAnsi="宋体"/>
          <w:sz w:val="24"/>
          <w:u w:val="single"/>
        </w:rPr>
        <w:t xml:space="preserve"> 一  </w:t>
      </w:r>
      <w:r>
        <w:rPr>
          <w:rFonts w:hint="eastAsia" w:ascii="宋体" w:hAnsi="宋体"/>
          <w:sz w:val="24"/>
        </w:rPr>
        <w:t>副），电子文档</w:t>
      </w:r>
      <w:r>
        <w:rPr>
          <w:rFonts w:ascii="宋体" w:hAnsi="宋体"/>
          <w:sz w:val="24"/>
          <w:u w:val="single"/>
        </w:rPr>
        <w:t xml:space="preserve">  一 </w:t>
      </w:r>
      <w:r>
        <w:rPr>
          <w:rFonts w:hint="eastAsia" w:ascii="宋体" w:hAnsi="宋体"/>
          <w:sz w:val="24"/>
        </w:rPr>
        <w:t>份。</w:t>
      </w:r>
    </w:p>
    <w:p w14:paraId="111CA7C6">
      <w:pPr>
        <w:spacing w:line="360" w:lineRule="auto"/>
        <w:ind w:firstLine="480" w:firstLineChars="200"/>
        <w:rPr>
          <w:sz w:val="24"/>
        </w:rPr>
      </w:pPr>
      <w:bookmarkStart w:id="367" w:name="_Toc14144"/>
      <w:r>
        <w:rPr>
          <w:rFonts w:hint="eastAsia"/>
          <w:sz w:val="24"/>
        </w:rPr>
        <w:t>一、响应文件包括以下内容：</w:t>
      </w:r>
      <w:bookmarkEnd w:id="367"/>
    </w:p>
    <w:p w14:paraId="135D1187">
      <w:pPr>
        <w:adjustRightInd w:val="0"/>
        <w:snapToGrid w:val="0"/>
        <w:spacing w:line="360" w:lineRule="auto"/>
        <w:ind w:firstLine="480" w:firstLineChars="200"/>
        <w:rPr>
          <w:rFonts w:ascii="宋体" w:hAnsi="宋体"/>
          <w:sz w:val="24"/>
        </w:rPr>
      </w:pPr>
      <w:r>
        <w:rPr>
          <w:rFonts w:ascii="宋体" w:hAnsi="宋体"/>
          <w:bCs/>
          <w:sz w:val="24"/>
        </w:rPr>
        <w:t>1.</w:t>
      </w:r>
      <w:r>
        <w:rPr>
          <w:rFonts w:hint="eastAsia" w:ascii="宋体" w:hAnsi="宋体"/>
          <w:sz w:val="24"/>
        </w:rPr>
        <w:t>谈判文件中第五章所要求的资料；</w:t>
      </w:r>
    </w:p>
    <w:p w14:paraId="74761D2A">
      <w:pPr>
        <w:adjustRightInd w:val="0"/>
        <w:snapToGrid w:val="0"/>
        <w:spacing w:line="360" w:lineRule="auto"/>
        <w:ind w:firstLine="480" w:firstLineChars="200"/>
        <w:rPr>
          <w:rFonts w:ascii="宋体" w:hAnsi="宋体"/>
          <w:bCs/>
          <w:sz w:val="24"/>
        </w:rPr>
      </w:pPr>
      <w:r>
        <w:rPr>
          <w:rFonts w:ascii="宋体" w:hAnsi="宋体"/>
          <w:bCs/>
          <w:sz w:val="24"/>
        </w:rPr>
        <w:t>2.我单位资格证明文件；</w:t>
      </w:r>
    </w:p>
    <w:p w14:paraId="7249CC24">
      <w:pPr>
        <w:adjustRightInd w:val="0"/>
        <w:snapToGrid w:val="0"/>
        <w:spacing w:line="360" w:lineRule="auto"/>
        <w:ind w:firstLine="480" w:firstLineChars="200"/>
        <w:rPr>
          <w:rFonts w:ascii="宋体" w:hAnsi="宋体"/>
          <w:sz w:val="24"/>
        </w:rPr>
      </w:pPr>
      <w:r>
        <w:rPr>
          <w:rFonts w:ascii="宋体" w:hAnsi="宋体"/>
          <w:bCs/>
          <w:sz w:val="24"/>
        </w:rPr>
        <w:t>3.</w:t>
      </w:r>
      <w:r>
        <w:rPr>
          <w:rFonts w:hint="eastAsia" w:ascii="宋体" w:hAnsi="宋体"/>
          <w:sz w:val="24"/>
        </w:rPr>
        <w:t>谈判文件中要求提供及供应商认为需要提供的其它数据。</w:t>
      </w:r>
    </w:p>
    <w:p w14:paraId="142972E6">
      <w:pPr>
        <w:spacing w:line="360" w:lineRule="auto"/>
        <w:ind w:firstLine="480" w:firstLineChars="200"/>
        <w:rPr>
          <w:sz w:val="24"/>
        </w:rPr>
      </w:pPr>
      <w:bookmarkStart w:id="368" w:name="_Toc4380"/>
      <w:r>
        <w:rPr>
          <w:rFonts w:hint="eastAsia"/>
          <w:sz w:val="24"/>
        </w:rPr>
        <w:t>二、我单位（或公司）同意以下事项：</w:t>
      </w:r>
      <w:bookmarkEnd w:id="368"/>
    </w:p>
    <w:p w14:paraId="152991BD">
      <w:pPr>
        <w:spacing w:line="360" w:lineRule="auto"/>
        <w:ind w:firstLine="510"/>
        <w:rPr>
          <w:rFonts w:ascii="宋体" w:hAnsi="宋体"/>
          <w:sz w:val="24"/>
        </w:rPr>
      </w:pPr>
      <w:r>
        <w:rPr>
          <w:rFonts w:ascii="宋体" w:hAnsi="宋体"/>
          <w:sz w:val="24"/>
        </w:rPr>
        <w:t>1.本次谈判一次含税总报价为：</w:t>
      </w:r>
      <w:r>
        <w:rPr>
          <w:rFonts w:ascii="宋体" w:hAnsi="宋体"/>
          <w:sz w:val="24"/>
          <w:u w:val="single"/>
        </w:rPr>
        <w:t xml:space="preserve">              </w:t>
      </w:r>
      <w:r>
        <w:rPr>
          <w:rFonts w:hint="eastAsia" w:ascii="宋体" w:hAnsi="宋体"/>
          <w:sz w:val="24"/>
        </w:rPr>
        <w:t>（人民币·元）</w:t>
      </w:r>
    </w:p>
    <w:p w14:paraId="76C8AB44">
      <w:pPr>
        <w:spacing w:line="360" w:lineRule="auto"/>
        <w:ind w:firstLine="510"/>
        <w:rPr>
          <w:rFonts w:ascii="宋体" w:hAnsi="宋体"/>
          <w:sz w:val="24"/>
        </w:rPr>
      </w:pPr>
      <w:r>
        <w:rPr>
          <w:rFonts w:ascii="宋体" w:hAnsi="宋体"/>
          <w:sz w:val="24"/>
        </w:rPr>
        <w:t>2.遵守谈判文件的各项条</w:t>
      </w:r>
      <w:r>
        <w:rPr>
          <w:rFonts w:hint="eastAsia" w:ascii="宋体" w:hAnsi="宋体"/>
          <w:sz w:val="24"/>
        </w:rPr>
        <w:t>款及一切有</w:t>
      </w:r>
      <w:r>
        <w:rPr>
          <w:rFonts w:ascii="宋体" w:hAnsi="宋体"/>
          <w:sz w:val="24"/>
        </w:rPr>
        <w:t>关规</w:t>
      </w:r>
      <w:r>
        <w:rPr>
          <w:rFonts w:hint="eastAsia" w:ascii="宋体" w:hAnsi="宋体"/>
          <w:sz w:val="24"/>
        </w:rPr>
        <w:t>定；</w:t>
      </w:r>
    </w:p>
    <w:p w14:paraId="0B5F44F8">
      <w:pPr>
        <w:spacing w:line="360" w:lineRule="auto"/>
        <w:ind w:firstLine="510"/>
        <w:rPr>
          <w:rFonts w:ascii="宋体" w:hAnsi="宋体"/>
          <w:sz w:val="24"/>
        </w:rPr>
      </w:pPr>
      <w:r>
        <w:rPr>
          <w:rFonts w:ascii="宋体" w:hAnsi="宋体"/>
          <w:sz w:val="24"/>
        </w:rPr>
        <w:t>3.向贵</w:t>
      </w:r>
      <w:r>
        <w:rPr>
          <w:rFonts w:hint="eastAsia" w:ascii="宋体" w:hAnsi="宋体"/>
          <w:sz w:val="24"/>
        </w:rPr>
        <w:t>方提供所有与本</w:t>
      </w:r>
      <w:r>
        <w:rPr>
          <w:rFonts w:ascii="宋体" w:hAnsi="宋体"/>
          <w:sz w:val="24"/>
        </w:rPr>
        <w:t>项目</w:t>
      </w:r>
      <w:r>
        <w:rPr>
          <w:rFonts w:hint="eastAsia" w:ascii="宋体" w:hAnsi="宋体"/>
          <w:sz w:val="24"/>
        </w:rPr>
        <w:t>有</w:t>
      </w:r>
      <w:r>
        <w:rPr>
          <w:rFonts w:ascii="宋体" w:hAnsi="宋体"/>
          <w:sz w:val="24"/>
        </w:rPr>
        <w:t>关的</w:t>
      </w:r>
      <w:r>
        <w:rPr>
          <w:rFonts w:hint="eastAsia" w:ascii="宋体" w:hAnsi="宋体"/>
          <w:sz w:val="24"/>
        </w:rPr>
        <w:t>真</w:t>
      </w:r>
      <w:r>
        <w:rPr>
          <w:rFonts w:ascii="宋体" w:hAnsi="宋体"/>
          <w:sz w:val="24"/>
        </w:rPr>
        <w:t>实</w:t>
      </w:r>
      <w:r>
        <w:rPr>
          <w:rFonts w:hint="eastAsia" w:ascii="宋体" w:hAnsi="宋体"/>
          <w:sz w:val="24"/>
        </w:rPr>
        <w:t>有效的</w:t>
      </w:r>
      <w:r>
        <w:rPr>
          <w:rFonts w:ascii="宋体" w:hAnsi="宋体"/>
          <w:sz w:val="24"/>
        </w:rPr>
        <w:t>数</w:t>
      </w:r>
      <w:r>
        <w:rPr>
          <w:rFonts w:hint="eastAsia" w:ascii="宋体" w:hAnsi="宋体"/>
          <w:sz w:val="24"/>
        </w:rPr>
        <w:t>据、情</w:t>
      </w:r>
      <w:r>
        <w:rPr>
          <w:rFonts w:ascii="宋体" w:hAnsi="宋体"/>
          <w:sz w:val="24"/>
        </w:rPr>
        <w:t>况</w:t>
      </w:r>
      <w:r>
        <w:rPr>
          <w:rFonts w:hint="eastAsia" w:ascii="宋体" w:hAnsi="宋体"/>
          <w:sz w:val="24"/>
        </w:rPr>
        <w:t>和技</w:t>
      </w:r>
      <w:r>
        <w:rPr>
          <w:rFonts w:ascii="宋体" w:hAnsi="宋体"/>
          <w:sz w:val="24"/>
        </w:rPr>
        <w:t>术数</w:t>
      </w:r>
      <w:r>
        <w:rPr>
          <w:rFonts w:hint="eastAsia" w:ascii="宋体" w:hAnsi="宋体"/>
          <w:sz w:val="24"/>
        </w:rPr>
        <w:t>据；</w:t>
      </w:r>
    </w:p>
    <w:p w14:paraId="60E59BE8">
      <w:pPr>
        <w:spacing w:line="360" w:lineRule="auto"/>
        <w:ind w:firstLine="510"/>
        <w:rPr>
          <w:rFonts w:ascii="宋体" w:hAnsi="宋体"/>
          <w:sz w:val="24"/>
        </w:rPr>
      </w:pPr>
      <w:r>
        <w:rPr>
          <w:rFonts w:ascii="宋体" w:hAnsi="宋体"/>
          <w:sz w:val="24"/>
        </w:rPr>
        <w:t>4.本响应文件</w:t>
      </w:r>
      <w:r>
        <w:rPr>
          <w:rFonts w:hint="eastAsia" w:ascii="宋体" w:hAnsi="宋体"/>
          <w:sz w:val="24"/>
        </w:rPr>
        <w:t>有效期至</w:t>
      </w:r>
      <w:r>
        <w:rPr>
          <w:rFonts w:ascii="宋体" w:hAnsi="宋体"/>
          <w:sz w:val="24"/>
        </w:rPr>
        <w:t>递</w:t>
      </w:r>
      <w:r>
        <w:rPr>
          <w:rFonts w:hint="eastAsia" w:ascii="宋体" w:hAnsi="宋体"/>
          <w:sz w:val="24"/>
        </w:rPr>
        <w:t>交</w:t>
      </w:r>
      <w:r>
        <w:rPr>
          <w:rFonts w:ascii="宋体" w:hAnsi="宋体"/>
          <w:sz w:val="24"/>
        </w:rPr>
        <w:t>截止时间</w:t>
      </w:r>
      <w:r>
        <w:rPr>
          <w:rFonts w:hint="eastAsia" w:ascii="宋体" w:hAnsi="宋体"/>
          <w:sz w:val="24"/>
        </w:rPr>
        <w:t>后</w:t>
      </w:r>
      <w:r>
        <w:rPr>
          <w:rFonts w:ascii="宋体" w:hAnsi="宋体"/>
          <w:sz w:val="24"/>
          <w:u w:val="single"/>
        </w:rPr>
        <w:t xml:space="preserve">  90  </w:t>
      </w:r>
      <w:r>
        <w:rPr>
          <w:rFonts w:hint="eastAsia" w:ascii="宋体" w:hAnsi="宋体"/>
          <w:sz w:val="24"/>
        </w:rPr>
        <w:t>日，在此期</w:t>
      </w:r>
      <w:r>
        <w:rPr>
          <w:rFonts w:ascii="宋体" w:hAnsi="宋体"/>
          <w:sz w:val="24"/>
        </w:rPr>
        <w:t>间</w:t>
      </w:r>
      <w:r>
        <w:rPr>
          <w:rFonts w:hint="eastAsia" w:ascii="宋体" w:hAnsi="宋体"/>
          <w:sz w:val="24"/>
        </w:rPr>
        <w:t>本响应</w:t>
      </w:r>
      <w:r>
        <w:rPr>
          <w:rFonts w:ascii="宋体" w:hAnsi="宋体"/>
          <w:sz w:val="24"/>
        </w:rPr>
        <w:t>文件</w:t>
      </w:r>
      <w:r>
        <w:rPr>
          <w:rFonts w:hint="eastAsia" w:ascii="宋体" w:hAnsi="宋体"/>
          <w:sz w:val="24"/>
        </w:rPr>
        <w:t>之</w:t>
      </w:r>
      <w:r>
        <w:rPr>
          <w:rFonts w:ascii="宋体" w:hAnsi="宋体"/>
          <w:sz w:val="24"/>
        </w:rPr>
        <w:t>规</w:t>
      </w:r>
      <w:r>
        <w:rPr>
          <w:rFonts w:hint="eastAsia" w:ascii="宋体" w:hAnsi="宋体"/>
          <w:sz w:val="24"/>
        </w:rPr>
        <w:t>定</w:t>
      </w:r>
      <w:r>
        <w:rPr>
          <w:rFonts w:ascii="宋体" w:hAnsi="宋体"/>
          <w:sz w:val="24"/>
        </w:rPr>
        <w:t>对</w:t>
      </w:r>
      <w:r>
        <w:rPr>
          <w:rFonts w:hint="eastAsia" w:ascii="宋体" w:hAnsi="宋体"/>
          <w:sz w:val="24"/>
        </w:rPr>
        <w:t>我方具有</w:t>
      </w:r>
      <w:r>
        <w:rPr>
          <w:rFonts w:ascii="宋体" w:hAnsi="宋体"/>
          <w:sz w:val="24"/>
        </w:rPr>
        <w:t>约</w:t>
      </w:r>
      <w:r>
        <w:rPr>
          <w:rFonts w:hint="eastAsia" w:ascii="宋体" w:hAnsi="宋体"/>
          <w:sz w:val="24"/>
        </w:rPr>
        <w:t>束力；</w:t>
      </w:r>
    </w:p>
    <w:p w14:paraId="639B0DDD">
      <w:pPr>
        <w:spacing w:line="360" w:lineRule="auto"/>
        <w:ind w:firstLine="510"/>
        <w:rPr>
          <w:rFonts w:ascii="宋体" w:hAnsi="宋体"/>
          <w:sz w:val="24"/>
        </w:rPr>
      </w:pPr>
      <w:r>
        <w:rPr>
          <w:rFonts w:ascii="宋体" w:hAnsi="宋体"/>
          <w:sz w:val="24"/>
        </w:rPr>
        <w:t>5.如果我方报价</w:t>
      </w:r>
      <w:r>
        <w:rPr>
          <w:rFonts w:hint="eastAsia" w:ascii="宋体" w:hAnsi="宋体"/>
          <w:sz w:val="24"/>
        </w:rPr>
        <w:t>被接受，</w:t>
      </w:r>
      <w:r>
        <w:rPr>
          <w:rFonts w:ascii="宋体" w:hAnsi="宋体"/>
          <w:sz w:val="24"/>
        </w:rPr>
        <w:t>则</w:t>
      </w:r>
      <w:r>
        <w:rPr>
          <w:rFonts w:hint="eastAsia" w:ascii="宋体" w:hAnsi="宋体"/>
          <w:sz w:val="24"/>
        </w:rPr>
        <w:t>至合同履行完成和</w:t>
      </w:r>
      <w:r>
        <w:rPr>
          <w:rFonts w:ascii="宋体" w:hAnsi="宋体"/>
          <w:sz w:val="24"/>
        </w:rPr>
        <w:t>质</w:t>
      </w:r>
      <w:r>
        <w:rPr>
          <w:rFonts w:hint="eastAsia" w:ascii="宋体" w:hAnsi="宋体"/>
          <w:sz w:val="24"/>
        </w:rPr>
        <w:t>量保</w:t>
      </w:r>
      <w:r>
        <w:rPr>
          <w:rFonts w:ascii="宋体" w:hAnsi="宋体"/>
          <w:sz w:val="24"/>
        </w:rPr>
        <w:t>证期满为止</w:t>
      </w:r>
      <w:r>
        <w:rPr>
          <w:rFonts w:hint="eastAsia" w:ascii="宋体" w:hAnsi="宋体"/>
          <w:sz w:val="24"/>
        </w:rPr>
        <w:t>，本响应</w:t>
      </w:r>
      <w:r>
        <w:rPr>
          <w:rFonts w:ascii="宋体" w:hAnsi="宋体"/>
          <w:sz w:val="24"/>
        </w:rPr>
        <w:t>文件</w:t>
      </w:r>
      <w:r>
        <w:rPr>
          <w:rFonts w:hint="eastAsia" w:ascii="宋体" w:hAnsi="宋体"/>
          <w:sz w:val="24"/>
        </w:rPr>
        <w:t>保持有效。</w:t>
      </w:r>
    </w:p>
    <w:p w14:paraId="4E6FB76B">
      <w:pPr>
        <w:spacing w:line="480" w:lineRule="exact"/>
        <w:ind w:firstLine="510"/>
        <w:rPr>
          <w:rFonts w:ascii="宋体" w:hAnsi="宋体"/>
          <w:sz w:val="24"/>
        </w:rPr>
      </w:pPr>
    </w:p>
    <w:p w14:paraId="2EDC5F6F">
      <w:pPr>
        <w:spacing w:line="420" w:lineRule="exact"/>
        <w:ind w:firstLine="3600" w:firstLineChars="1500"/>
        <w:rPr>
          <w:rFonts w:ascii="宋体" w:hAnsi="宋体"/>
          <w:sz w:val="24"/>
          <w:u w:val="single"/>
        </w:rPr>
      </w:pPr>
      <w:r>
        <w:rPr>
          <w:rFonts w:hint="eastAsia" w:ascii="宋体" w:hAnsi="宋体"/>
          <w:sz w:val="24"/>
        </w:rPr>
        <w:t>供应商全</w:t>
      </w:r>
      <w:r>
        <w:rPr>
          <w:rFonts w:ascii="宋体" w:hAnsi="宋体"/>
          <w:sz w:val="24"/>
        </w:rPr>
        <w:t>称</w:t>
      </w:r>
      <w:r>
        <w:rPr>
          <w:rFonts w:hint="eastAsia" w:ascii="宋体" w:hAnsi="宋体"/>
          <w:sz w:val="24"/>
        </w:rPr>
        <w:t>（加</w:t>
      </w:r>
      <w:r>
        <w:rPr>
          <w:rFonts w:ascii="宋体" w:hAnsi="宋体"/>
          <w:sz w:val="24"/>
        </w:rPr>
        <w:t>盖</w:t>
      </w:r>
      <w:r>
        <w:rPr>
          <w:rFonts w:hint="eastAsia" w:ascii="宋体" w:hAnsi="宋体"/>
          <w:sz w:val="24"/>
        </w:rPr>
        <w:t>公章）：</w:t>
      </w:r>
      <w:r>
        <w:rPr>
          <w:rFonts w:ascii="宋体" w:hAnsi="宋体"/>
          <w:sz w:val="24"/>
          <w:u w:val="single"/>
        </w:rPr>
        <w:t xml:space="preserve">                    </w:t>
      </w:r>
    </w:p>
    <w:p w14:paraId="5745FDD0">
      <w:pPr>
        <w:spacing w:line="420" w:lineRule="exact"/>
        <w:ind w:firstLine="510"/>
        <w:rPr>
          <w:rFonts w:ascii="宋体" w:hAnsi="宋体"/>
          <w:sz w:val="24"/>
        </w:rPr>
      </w:pPr>
    </w:p>
    <w:p w14:paraId="33270242">
      <w:pPr>
        <w:spacing w:line="420" w:lineRule="exact"/>
        <w:ind w:firstLine="3600" w:firstLineChars="1500"/>
        <w:rPr>
          <w:rFonts w:ascii="宋体" w:hAnsi="宋体"/>
          <w:sz w:val="24"/>
          <w:u w:val="single"/>
        </w:rPr>
      </w:pPr>
      <w:r>
        <w:rPr>
          <w:rFonts w:hint="eastAsia" w:ascii="宋体" w:hAnsi="宋体"/>
          <w:sz w:val="24"/>
        </w:rPr>
        <w:t>法定代表人或委托代理人（</w:t>
      </w:r>
      <w:r>
        <w:rPr>
          <w:rFonts w:ascii="宋体" w:hAnsi="宋体"/>
          <w:sz w:val="24"/>
        </w:rPr>
        <w:t>签</w:t>
      </w:r>
      <w:r>
        <w:rPr>
          <w:rFonts w:hint="eastAsia" w:ascii="宋体" w:hAnsi="宋体"/>
          <w:sz w:val="24"/>
        </w:rPr>
        <w:t>字）：</w:t>
      </w:r>
      <w:r>
        <w:rPr>
          <w:rFonts w:ascii="宋体" w:hAnsi="宋体"/>
          <w:sz w:val="24"/>
          <w:u w:val="single"/>
        </w:rPr>
        <w:t xml:space="preserve">             </w:t>
      </w:r>
    </w:p>
    <w:p w14:paraId="7A8E74D1">
      <w:pPr>
        <w:spacing w:line="420" w:lineRule="exact"/>
        <w:ind w:firstLine="510"/>
        <w:rPr>
          <w:rFonts w:ascii="宋体" w:hAnsi="宋体"/>
          <w:sz w:val="24"/>
        </w:rPr>
      </w:pPr>
    </w:p>
    <w:p w14:paraId="462463C5">
      <w:pPr>
        <w:spacing w:line="420" w:lineRule="exact"/>
        <w:ind w:firstLine="510"/>
        <w:rPr>
          <w:rFonts w:ascii="宋体" w:hAnsi="宋体"/>
          <w:sz w:val="24"/>
        </w:rPr>
      </w:pPr>
      <w:r>
        <w:rPr>
          <w:rFonts w:hint="eastAsia" w:ascii="宋体" w:hAnsi="宋体"/>
          <w:sz w:val="24"/>
        </w:rPr>
        <w:t>地</w:t>
      </w:r>
      <w:r>
        <w:rPr>
          <w:rFonts w:ascii="宋体" w:hAnsi="宋体"/>
          <w:sz w:val="24"/>
        </w:rPr>
        <w:t xml:space="preserve">  </w:t>
      </w:r>
      <w:r>
        <w:rPr>
          <w:rFonts w:hint="eastAsia" w:ascii="宋体" w:hAnsi="宋体"/>
          <w:sz w:val="24"/>
        </w:rPr>
        <w:t>址：</w:t>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 xml:space="preserve">        电  话</w:t>
      </w:r>
      <w:r>
        <w:rPr>
          <w:rFonts w:hint="eastAsia" w:ascii="宋体" w:hAnsi="宋体"/>
          <w:sz w:val="24"/>
        </w:rPr>
        <w:t>：</w:t>
      </w:r>
    </w:p>
    <w:p w14:paraId="7D14617E">
      <w:pPr>
        <w:spacing w:line="420" w:lineRule="exact"/>
        <w:ind w:firstLine="510"/>
        <w:rPr>
          <w:rFonts w:ascii="宋体" w:hAnsi="宋体"/>
          <w:sz w:val="24"/>
        </w:rPr>
      </w:pPr>
    </w:p>
    <w:p w14:paraId="11ED1251">
      <w:pPr>
        <w:spacing w:line="420" w:lineRule="exact"/>
        <w:ind w:firstLine="510"/>
        <w:rPr>
          <w:rFonts w:ascii="宋体" w:hAnsi="宋体"/>
          <w:sz w:val="24"/>
        </w:rPr>
      </w:pPr>
      <w:r>
        <w:rPr>
          <w:rFonts w:ascii="宋体" w:hAnsi="宋体"/>
          <w:sz w:val="24"/>
        </w:rPr>
        <w:t>邮  编</w:t>
      </w:r>
      <w:r>
        <w:rPr>
          <w:rFonts w:hint="eastAsia" w:ascii="宋体" w:hAnsi="宋体"/>
          <w:sz w:val="24"/>
        </w:rPr>
        <w:t>：</w:t>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 xml:space="preserve">    传  </w:t>
      </w:r>
      <w:r>
        <w:rPr>
          <w:rFonts w:hint="eastAsia" w:ascii="宋体" w:hAnsi="宋体"/>
          <w:sz w:val="24"/>
        </w:rPr>
        <w:t>真：</w:t>
      </w:r>
    </w:p>
    <w:p w14:paraId="4EE4647F">
      <w:pPr>
        <w:spacing w:line="420" w:lineRule="exact"/>
        <w:ind w:firstLine="510"/>
        <w:rPr>
          <w:rFonts w:ascii="宋体" w:hAnsi="宋体"/>
          <w:sz w:val="24"/>
        </w:rPr>
      </w:pPr>
    </w:p>
    <w:p w14:paraId="2AF04962">
      <w:pPr>
        <w:spacing w:line="420" w:lineRule="exact"/>
        <w:ind w:firstLine="510"/>
        <w:rPr>
          <w:rFonts w:ascii="宋体" w:hAnsi="宋体"/>
          <w:sz w:val="24"/>
        </w:rPr>
      </w:pPr>
      <w:r>
        <w:rPr>
          <w:rFonts w:hint="eastAsia" w:ascii="宋体" w:hAnsi="宋体"/>
          <w:sz w:val="24"/>
        </w:rPr>
        <w:t>日</w:t>
      </w:r>
      <w:r>
        <w:rPr>
          <w:rFonts w:ascii="宋体" w:hAnsi="宋体"/>
          <w:sz w:val="24"/>
        </w:rPr>
        <w:t xml:space="preserve">  </w:t>
      </w:r>
      <w:r>
        <w:rPr>
          <w:rFonts w:hint="eastAsia" w:ascii="宋体" w:hAnsi="宋体"/>
          <w:sz w:val="24"/>
        </w:rPr>
        <w:t>期：</w:t>
      </w:r>
    </w:p>
    <w:p w14:paraId="5F3C07FF">
      <w:pPr>
        <w:spacing w:before="468" w:beforeLines="150"/>
        <w:jc w:val="center"/>
        <w:outlineLvl w:val="1"/>
        <w:rPr>
          <w:b/>
          <w:sz w:val="36"/>
          <w:szCs w:val="36"/>
        </w:rPr>
      </w:pPr>
      <w:r>
        <w:br w:type="page"/>
      </w:r>
      <w:bookmarkStart w:id="369" w:name="_Toc483320817"/>
      <w:bookmarkStart w:id="370" w:name="_Toc17070"/>
      <w:bookmarkStart w:id="371" w:name="_Toc21717"/>
      <w:bookmarkStart w:id="372" w:name="_Toc19734"/>
      <w:bookmarkStart w:id="373" w:name="_Toc27041610"/>
      <w:bookmarkStart w:id="374" w:name="_Toc4226"/>
      <w:bookmarkStart w:id="375" w:name="_Toc15373"/>
      <w:bookmarkStart w:id="376" w:name="_Toc21066"/>
      <w:bookmarkStart w:id="377" w:name="_Toc463798092"/>
      <w:bookmarkStart w:id="378" w:name="_Toc29955"/>
      <w:bookmarkStart w:id="379" w:name="_Toc17032"/>
      <w:bookmarkStart w:id="380" w:name="_Toc336273609"/>
      <w:r>
        <w:rPr>
          <w:rFonts w:hint="eastAsia"/>
          <w:b/>
          <w:sz w:val="36"/>
          <w:szCs w:val="36"/>
        </w:rPr>
        <w:t>附件二：法定代表人身份证明书</w:t>
      </w:r>
      <w:bookmarkEnd w:id="369"/>
      <w:bookmarkEnd w:id="370"/>
      <w:bookmarkEnd w:id="371"/>
      <w:bookmarkEnd w:id="372"/>
      <w:bookmarkEnd w:id="373"/>
      <w:bookmarkEnd w:id="374"/>
      <w:bookmarkEnd w:id="375"/>
      <w:bookmarkEnd w:id="376"/>
      <w:bookmarkEnd w:id="377"/>
      <w:bookmarkEnd w:id="378"/>
      <w:bookmarkEnd w:id="379"/>
    </w:p>
    <w:p w14:paraId="1D0BA1D9">
      <w:pPr>
        <w:spacing w:line="480" w:lineRule="exact"/>
        <w:ind w:firstLine="480" w:firstLineChars="200"/>
        <w:rPr>
          <w:rFonts w:ascii="宋体" w:hAnsi="宋体"/>
          <w:sz w:val="24"/>
        </w:rPr>
      </w:pPr>
    </w:p>
    <w:p w14:paraId="624CBDFF">
      <w:pPr>
        <w:spacing w:line="600" w:lineRule="exact"/>
        <w:ind w:firstLine="960" w:firstLineChars="400"/>
        <w:rPr>
          <w:rFonts w:ascii="宋体" w:hAnsi="宋体"/>
          <w:sz w:val="24"/>
        </w:rPr>
      </w:pPr>
      <w:r>
        <w:rPr>
          <w:rFonts w:hint="eastAsia" w:ascii="宋体" w:hAnsi="宋体"/>
          <w:sz w:val="24"/>
        </w:rPr>
        <w:t>单位名称：</w:t>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p>
    <w:p w14:paraId="3521DA5F">
      <w:pPr>
        <w:spacing w:line="600" w:lineRule="exact"/>
        <w:ind w:firstLine="960" w:firstLineChars="400"/>
        <w:rPr>
          <w:rFonts w:ascii="宋体" w:hAnsi="宋体"/>
          <w:sz w:val="24"/>
        </w:rPr>
      </w:pPr>
      <w:r>
        <w:rPr>
          <w:rFonts w:hint="eastAsia" w:ascii="宋体" w:hAnsi="宋体"/>
          <w:sz w:val="24"/>
        </w:rPr>
        <w:t>单位性质：</w:t>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 xml:space="preserve"> 地    址：</w:t>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p>
    <w:p w14:paraId="6EC33637">
      <w:pPr>
        <w:spacing w:line="600" w:lineRule="exact"/>
        <w:ind w:firstLine="960" w:firstLineChars="400"/>
        <w:rPr>
          <w:rFonts w:ascii="宋体" w:hAnsi="宋体"/>
          <w:sz w:val="24"/>
        </w:rPr>
      </w:pPr>
      <w:r>
        <w:rPr>
          <w:rFonts w:hint="eastAsia" w:ascii="宋体" w:hAnsi="宋体"/>
          <w:sz w:val="24"/>
        </w:rPr>
        <w:t>成立时间：</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5203D5AA">
      <w:pPr>
        <w:spacing w:line="600" w:lineRule="exact"/>
        <w:ind w:firstLine="960" w:firstLineChars="400"/>
        <w:rPr>
          <w:rFonts w:ascii="宋体" w:hAnsi="宋体"/>
          <w:sz w:val="24"/>
        </w:rPr>
      </w:pPr>
      <w:r>
        <w:rPr>
          <w:rFonts w:hint="eastAsia" w:ascii="宋体" w:hAnsi="宋体"/>
          <w:sz w:val="24"/>
        </w:rPr>
        <w:t>经营期限：</w:t>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r>
        <w:rPr>
          <w:rFonts w:ascii="宋体" w:hAnsi="宋体"/>
          <w:sz w:val="24"/>
          <w:u w:val="single"/>
        </w:rPr>
        <w:tab/>
      </w:r>
    </w:p>
    <w:p w14:paraId="7828B3FF">
      <w:pPr>
        <w:spacing w:line="600" w:lineRule="exact"/>
        <w:ind w:firstLine="960" w:firstLineChars="400"/>
        <w:rPr>
          <w:rFonts w:ascii="宋体" w:hAnsi="宋体"/>
          <w:sz w:val="24"/>
        </w:rPr>
      </w:pPr>
      <w:r>
        <w:rPr>
          <w:rFonts w:hint="eastAsia" w:ascii="宋体" w:hAnsi="宋体"/>
          <w:sz w:val="24"/>
        </w:rPr>
        <w:t>姓</w:t>
      </w:r>
      <w:r>
        <w:rPr>
          <w:rFonts w:ascii="宋体" w:hAnsi="宋体"/>
          <w:sz w:val="24"/>
        </w:rPr>
        <w:t xml:space="preserve">    名：</w:t>
      </w:r>
      <w:r>
        <w:rPr>
          <w:rFonts w:ascii="宋体" w:hAnsi="宋体"/>
          <w:sz w:val="24"/>
          <w:u w:val="single"/>
        </w:rPr>
        <w:t xml:space="preserve">         </w:t>
      </w:r>
      <w:r>
        <w:rPr>
          <w:rFonts w:ascii="宋体" w:hAnsi="宋体"/>
          <w:sz w:val="24"/>
        </w:rPr>
        <w:t>性别：</w:t>
      </w:r>
      <w:r>
        <w:rPr>
          <w:rFonts w:ascii="宋体" w:hAnsi="宋体"/>
          <w:sz w:val="24"/>
          <w:u w:val="single"/>
        </w:rPr>
        <w:t xml:space="preserve">         </w:t>
      </w:r>
      <w:r>
        <w:rPr>
          <w:rFonts w:ascii="宋体" w:hAnsi="宋体"/>
          <w:sz w:val="24"/>
        </w:rPr>
        <w:t>年龄：</w:t>
      </w:r>
      <w:r>
        <w:rPr>
          <w:rFonts w:ascii="宋体" w:hAnsi="宋体"/>
          <w:sz w:val="24"/>
          <w:u w:val="single"/>
        </w:rPr>
        <w:t xml:space="preserve">         </w:t>
      </w:r>
      <w:r>
        <w:rPr>
          <w:rFonts w:ascii="宋体" w:hAnsi="宋体"/>
          <w:sz w:val="24"/>
        </w:rPr>
        <w:t>职务：</w:t>
      </w:r>
      <w:r>
        <w:rPr>
          <w:rFonts w:ascii="宋体" w:hAnsi="宋体"/>
          <w:sz w:val="24"/>
          <w:u w:val="single"/>
        </w:rPr>
        <w:t xml:space="preserve">         </w:t>
      </w:r>
    </w:p>
    <w:p w14:paraId="4C8E244A">
      <w:pPr>
        <w:spacing w:line="600" w:lineRule="exact"/>
        <w:ind w:firstLine="960" w:firstLineChars="400"/>
        <w:rPr>
          <w:rFonts w:ascii="宋体" w:hAnsi="宋体"/>
          <w:sz w:val="24"/>
        </w:rPr>
      </w:pPr>
      <w:r>
        <w:rPr>
          <w:rFonts w:hint="eastAsia" w:ascii="宋体" w:hAnsi="宋体"/>
          <w:sz w:val="24"/>
        </w:rPr>
        <w:t>系</w:t>
      </w:r>
      <w:r>
        <w:rPr>
          <w:rFonts w:ascii="宋体" w:hAnsi="宋体"/>
          <w:sz w:val="24"/>
          <w:u w:val="single"/>
        </w:rPr>
        <w:t xml:space="preserve">     （</w:t>
      </w:r>
      <w:r>
        <w:rPr>
          <w:rFonts w:hint="eastAsia" w:ascii="宋体" w:hAnsi="宋体"/>
          <w:sz w:val="24"/>
          <w:u w:val="single"/>
        </w:rPr>
        <w:t>供应商</w:t>
      </w:r>
      <w:r>
        <w:rPr>
          <w:rFonts w:ascii="宋体" w:hAnsi="宋体"/>
          <w:sz w:val="24"/>
          <w:u w:val="single"/>
        </w:rPr>
        <w:t xml:space="preserve">单位名称）    </w:t>
      </w:r>
      <w:r>
        <w:rPr>
          <w:rFonts w:hint="eastAsia" w:ascii="宋体" w:hAnsi="宋体"/>
          <w:sz w:val="24"/>
        </w:rPr>
        <w:t>的法定代表人。</w:t>
      </w:r>
    </w:p>
    <w:p w14:paraId="0412FF08">
      <w:pPr>
        <w:spacing w:line="600" w:lineRule="exact"/>
        <w:ind w:firstLine="960" w:firstLineChars="400"/>
        <w:rPr>
          <w:rFonts w:ascii="宋体" w:hAnsi="宋体"/>
          <w:sz w:val="24"/>
        </w:rPr>
      </w:pPr>
      <w:r>
        <w:rPr>
          <w:rFonts w:hint="eastAsia" w:ascii="宋体" w:hAnsi="宋体"/>
          <w:sz w:val="24"/>
        </w:rPr>
        <w:t>特此证明。</w:t>
      </w:r>
    </w:p>
    <w:p w14:paraId="67CE88B5">
      <w:pPr>
        <w:spacing w:line="480" w:lineRule="exact"/>
        <w:ind w:firstLine="480" w:firstLineChars="200"/>
        <w:rPr>
          <w:rFonts w:ascii="宋体" w:hAnsi="宋体"/>
          <w:sz w:val="24"/>
        </w:rPr>
      </w:pPr>
    </w:p>
    <w:p w14:paraId="795F676F">
      <w:pPr>
        <w:spacing w:line="480" w:lineRule="exact"/>
        <w:ind w:firstLine="480" w:firstLineChars="200"/>
        <w:rPr>
          <w:rFonts w:ascii="宋体" w:hAnsi="宋体"/>
          <w:sz w:val="24"/>
        </w:rPr>
      </w:pPr>
    </w:p>
    <w:tbl>
      <w:tblPr>
        <w:tblStyle w:val="26"/>
        <w:tblW w:w="0" w:type="auto"/>
        <w:tblInd w:w="554" w:type="dxa"/>
        <w:tblBorders>
          <w:top w:val="single" w:color="auto" w:sz="2" w:space="0"/>
          <w:left w:val="single" w:color="auto" w:sz="2" w:space="0"/>
          <w:bottom w:val="single" w:color="auto" w:sz="2" w:space="0"/>
          <w:right w:val="single" w:color="auto" w:sz="2" w:space="0"/>
          <w:insideH w:val="none" w:color="auto" w:sz="0" w:space="0"/>
          <w:insideV w:val="single" w:color="auto" w:sz="2" w:space="0"/>
        </w:tblBorders>
        <w:tblLayout w:type="fixed"/>
        <w:tblCellMar>
          <w:top w:w="0" w:type="dxa"/>
          <w:left w:w="108" w:type="dxa"/>
          <w:bottom w:w="0" w:type="dxa"/>
          <w:right w:w="108" w:type="dxa"/>
        </w:tblCellMar>
      </w:tblPr>
      <w:tblGrid>
        <w:gridCol w:w="3915"/>
        <w:gridCol w:w="615"/>
        <w:gridCol w:w="3885"/>
      </w:tblGrid>
      <w:tr w14:paraId="307438F8">
        <w:tblPrEx>
          <w:tblBorders>
            <w:top w:val="single" w:color="auto" w:sz="2" w:space="0"/>
            <w:left w:val="single" w:color="auto" w:sz="2" w:space="0"/>
            <w:bottom w:val="single" w:color="auto" w:sz="2" w:space="0"/>
            <w:right w:val="single" w:color="auto" w:sz="2" w:space="0"/>
            <w:insideH w:val="none" w:color="auto" w:sz="0" w:space="0"/>
            <w:insideV w:val="single" w:color="auto" w:sz="2" w:space="0"/>
          </w:tblBorders>
          <w:tblCellMar>
            <w:top w:w="0" w:type="dxa"/>
            <w:left w:w="108" w:type="dxa"/>
            <w:bottom w:w="0" w:type="dxa"/>
            <w:right w:w="108" w:type="dxa"/>
          </w:tblCellMar>
        </w:tblPrEx>
        <w:trPr>
          <w:trHeight w:val="3046" w:hRule="atLeast"/>
        </w:trPr>
        <w:tc>
          <w:tcPr>
            <w:tcW w:w="3915" w:type="dxa"/>
            <w:tcBorders>
              <w:tl2br w:val="nil"/>
              <w:tr2bl w:val="nil"/>
            </w:tcBorders>
          </w:tcPr>
          <w:p w14:paraId="5C100BCD">
            <w:pPr>
              <w:spacing w:line="460" w:lineRule="exact"/>
              <w:ind w:left="315"/>
              <w:rPr>
                <w:rFonts w:ascii="宋体" w:hAnsi="宋体"/>
                <w:sz w:val="24"/>
              </w:rPr>
            </w:pPr>
          </w:p>
          <w:p w14:paraId="6EA1A8B0">
            <w:pPr>
              <w:spacing w:line="460" w:lineRule="exact"/>
              <w:ind w:left="315" w:firstLine="480" w:firstLineChars="200"/>
              <w:rPr>
                <w:rFonts w:ascii="宋体" w:hAnsi="宋体"/>
                <w:sz w:val="24"/>
              </w:rPr>
            </w:pPr>
          </w:p>
          <w:p w14:paraId="4AD15362">
            <w:pPr>
              <w:spacing w:line="460" w:lineRule="exact"/>
              <w:ind w:firstLine="1200" w:firstLineChars="500"/>
              <w:rPr>
                <w:rFonts w:ascii="宋体" w:hAnsi="宋体"/>
                <w:sz w:val="24"/>
              </w:rPr>
            </w:pPr>
          </w:p>
          <w:p w14:paraId="5B78C2B9">
            <w:pPr>
              <w:spacing w:line="460" w:lineRule="exact"/>
              <w:jc w:val="center"/>
              <w:rPr>
                <w:rFonts w:ascii="宋体" w:hAnsi="宋体"/>
                <w:sz w:val="24"/>
              </w:rPr>
            </w:pPr>
            <w:r>
              <w:rPr>
                <w:rFonts w:hint="eastAsia" w:ascii="宋体" w:hAnsi="宋体"/>
                <w:sz w:val="24"/>
              </w:rPr>
              <w:t>附法定代表人身份证正面复印件</w:t>
            </w:r>
          </w:p>
        </w:tc>
        <w:tc>
          <w:tcPr>
            <w:tcW w:w="615" w:type="dxa"/>
            <w:tcBorders>
              <w:tl2br w:val="nil"/>
              <w:tr2bl w:val="nil"/>
            </w:tcBorders>
          </w:tcPr>
          <w:p w14:paraId="42D3112B">
            <w:pPr>
              <w:spacing w:line="460" w:lineRule="exact"/>
              <w:rPr>
                <w:rFonts w:ascii="宋体" w:hAnsi="宋体"/>
                <w:sz w:val="24"/>
              </w:rPr>
            </w:pPr>
          </w:p>
        </w:tc>
        <w:tc>
          <w:tcPr>
            <w:tcW w:w="3885" w:type="dxa"/>
            <w:tcBorders>
              <w:tl2br w:val="nil"/>
              <w:tr2bl w:val="nil"/>
            </w:tcBorders>
          </w:tcPr>
          <w:p w14:paraId="36466FEB">
            <w:pPr>
              <w:widowControl/>
              <w:spacing w:line="460" w:lineRule="exact"/>
              <w:jc w:val="left"/>
              <w:rPr>
                <w:rFonts w:ascii="宋体" w:hAnsi="宋体"/>
                <w:sz w:val="24"/>
              </w:rPr>
            </w:pPr>
          </w:p>
          <w:p w14:paraId="47406748">
            <w:pPr>
              <w:spacing w:line="460" w:lineRule="exact"/>
              <w:ind w:left="1631"/>
              <w:rPr>
                <w:rFonts w:ascii="宋体" w:hAnsi="宋体"/>
                <w:sz w:val="24"/>
              </w:rPr>
            </w:pPr>
          </w:p>
          <w:p w14:paraId="0CC717FD">
            <w:pPr>
              <w:spacing w:line="460" w:lineRule="exact"/>
              <w:rPr>
                <w:rFonts w:ascii="宋体" w:hAnsi="宋体"/>
                <w:sz w:val="24"/>
              </w:rPr>
            </w:pPr>
          </w:p>
          <w:p w14:paraId="4CF00ECA">
            <w:pPr>
              <w:spacing w:line="460" w:lineRule="exact"/>
              <w:jc w:val="center"/>
              <w:rPr>
                <w:rFonts w:ascii="宋体" w:hAnsi="宋体"/>
                <w:sz w:val="24"/>
              </w:rPr>
            </w:pPr>
            <w:r>
              <w:rPr>
                <w:rFonts w:hint="eastAsia" w:ascii="宋体" w:hAnsi="宋体"/>
                <w:sz w:val="24"/>
              </w:rPr>
              <w:t>附法定代表人身份证反面复印件</w:t>
            </w:r>
          </w:p>
        </w:tc>
      </w:tr>
    </w:tbl>
    <w:p w14:paraId="75BA56E9">
      <w:pPr>
        <w:spacing w:line="480" w:lineRule="exact"/>
        <w:ind w:firstLine="480" w:firstLineChars="200"/>
        <w:rPr>
          <w:rFonts w:ascii="宋体" w:hAnsi="宋体"/>
          <w:sz w:val="24"/>
        </w:rPr>
      </w:pPr>
    </w:p>
    <w:p w14:paraId="08A51A2A">
      <w:pPr>
        <w:spacing w:line="480" w:lineRule="exact"/>
        <w:ind w:firstLine="480" w:firstLineChars="200"/>
        <w:rPr>
          <w:rFonts w:ascii="宋体" w:hAnsi="宋体"/>
          <w:sz w:val="24"/>
        </w:rPr>
      </w:pPr>
    </w:p>
    <w:p w14:paraId="40E977ED">
      <w:pPr>
        <w:spacing w:line="480" w:lineRule="exact"/>
        <w:ind w:firstLine="3960" w:firstLineChars="1650"/>
        <w:rPr>
          <w:rFonts w:ascii="宋体" w:hAnsi="宋体"/>
          <w:sz w:val="24"/>
        </w:rPr>
      </w:pPr>
      <w:r>
        <w:rPr>
          <w:rFonts w:hint="eastAsia" w:ascii="宋体" w:hAnsi="宋体"/>
          <w:sz w:val="24"/>
        </w:rPr>
        <w:t>供应商全称（加盖公章）：</w:t>
      </w:r>
      <w:r>
        <w:rPr>
          <w:rFonts w:ascii="宋体" w:hAnsi="宋体"/>
          <w:sz w:val="24"/>
          <w:u w:val="single"/>
        </w:rPr>
        <w:t xml:space="preserve">                </w:t>
      </w:r>
    </w:p>
    <w:p w14:paraId="57AAA18D">
      <w:pPr>
        <w:spacing w:line="480" w:lineRule="exact"/>
        <w:ind w:firstLine="480" w:firstLineChars="200"/>
        <w:rPr>
          <w:rFonts w:ascii="宋体" w:hAnsi="宋体"/>
          <w:sz w:val="24"/>
        </w:rPr>
      </w:pPr>
      <w:r>
        <w:rPr>
          <w:rFonts w:ascii="宋体" w:hAnsi="宋体"/>
          <w:sz w:val="24"/>
        </w:rPr>
        <w:t xml:space="preserve">  </w:t>
      </w:r>
    </w:p>
    <w:p w14:paraId="480491FD">
      <w:pPr>
        <w:spacing w:line="480" w:lineRule="exact"/>
        <w:ind w:firstLine="3960" w:firstLineChars="1650"/>
        <w:rPr>
          <w:rFonts w:ascii="宋体" w:hAnsi="宋体"/>
          <w:sz w:val="24"/>
        </w:rPr>
      </w:pPr>
      <w:r>
        <w:rPr>
          <w:rFonts w:hint="eastAsia" w:ascii="宋体" w:hAnsi="宋体"/>
          <w:sz w:val="24"/>
        </w:rPr>
        <w:t>日</w:t>
      </w:r>
      <w:r>
        <w:rPr>
          <w:rFonts w:ascii="宋体" w:hAnsi="宋体"/>
          <w:sz w:val="24"/>
        </w:rPr>
        <w:t xml:space="preserve">      期：</w:t>
      </w:r>
      <w:r>
        <w:rPr>
          <w:rFonts w:ascii="宋体" w:hAnsi="宋体"/>
          <w:sz w:val="24"/>
          <w:u w:val="single"/>
        </w:rPr>
        <w:t xml:space="preserve">          </w:t>
      </w:r>
      <w:r>
        <w:rPr>
          <w:rFonts w:ascii="宋体" w:hAnsi="宋体"/>
          <w:sz w:val="24"/>
        </w:rPr>
        <w:t>年</w:t>
      </w:r>
      <w:r>
        <w:rPr>
          <w:rFonts w:ascii="宋体" w:hAnsi="宋体"/>
          <w:sz w:val="24"/>
          <w:u w:val="single"/>
        </w:rPr>
        <w:t xml:space="preserve">     </w:t>
      </w:r>
      <w:r>
        <w:rPr>
          <w:rFonts w:ascii="宋体" w:hAnsi="宋体"/>
          <w:sz w:val="24"/>
        </w:rPr>
        <w:t>月</w:t>
      </w:r>
      <w:r>
        <w:rPr>
          <w:rFonts w:ascii="宋体" w:hAnsi="宋体"/>
          <w:sz w:val="24"/>
          <w:u w:val="single"/>
        </w:rPr>
        <w:t xml:space="preserve">     </w:t>
      </w:r>
      <w:r>
        <w:rPr>
          <w:rFonts w:ascii="宋体" w:hAnsi="宋体"/>
          <w:sz w:val="24"/>
        </w:rPr>
        <w:t>日</w:t>
      </w:r>
    </w:p>
    <w:p w14:paraId="726162BC">
      <w:pPr>
        <w:spacing w:before="468" w:beforeLines="150"/>
        <w:jc w:val="center"/>
        <w:outlineLvl w:val="1"/>
        <w:rPr>
          <w:b/>
          <w:sz w:val="36"/>
          <w:szCs w:val="36"/>
        </w:rPr>
      </w:pPr>
      <w:r>
        <w:br w:type="page"/>
      </w:r>
      <w:bookmarkStart w:id="381" w:name="_Toc483320818"/>
      <w:bookmarkStart w:id="382" w:name="_Toc14237"/>
      <w:bookmarkStart w:id="383" w:name="_Toc463798093"/>
      <w:bookmarkStart w:id="384" w:name="_Toc13302"/>
      <w:bookmarkStart w:id="385" w:name="_Toc27041611"/>
      <w:bookmarkStart w:id="386" w:name="_Toc25243"/>
      <w:bookmarkStart w:id="387" w:name="_Toc26656"/>
      <w:bookmarkStart w:id="388" w:name="_Toc9210"/>
      <w:bookmarkStart w:id="389" w:name="_Toc20536"/>
      <w:bookmarkStart w:id="390" w:name="_Toc28670"/>
      <w:bookmarkStart w:id="391" w:name="_Toc3144"/>
      <w:r>
        <w:rPr>
          <w:rFonts w:hint="eastAsia"/>
          <w:b/>
          <w:sz w:val="36"/>
          <w:szCs w:val="36"/>
        </w:rPr>
        <w:t>附件三：法定代表人授权委托书</w:t>
      </w:r>
      <w:bookmarkEnd w:id="380"/>
      <w:bookmarkEnd w:id="381"/>
      <w:bookmarkEnd w:id="382"/>
      <w:bookmarkEnd w:id="383"/>
      <w:bookmarkEnd w:id="384"/>
      <w:bookmarkEnd w:id="385"/>
      <w:bookmarkEnd w:id="386"/>
      <w:bookmarkEnd w:id="387"/>
      <w:bookmarkEnd w:id="388"/>
      <w:bookmarkEnd w:id="389"/>
      <w:bookmarkEnd w:id="390"/>
      <w:bookmarkEnd w:id="391"/>
    </w:p>
    <w:p w14:paraId="1D15BF9C">
      <w:pPr>
        <w:spacing w:line="500" w:lineRule="exact"/>
        <w:rPr>
          <w:rFonts w:ascii="宋体" w:hAnsi="宋体"/>
          <w:sz w:val="24"/>
        </w:rPr>
      </w:pPr>
    </w:p>
    <w:p w14:paraId="66647A25">
      <w:pPr>
        <w:spacing w:line="480" w:lineRule="exact"/>
        <w:ind w:firstLine="480" w:firstLineChars="200"/>
        <w:rPr>
          <w:rFonts w:ascii="宋体" w:hAnsi="宋体"/>
          <w:sz w:val="24"/>
        </w:rPr>
      </w:pPr>
      <w:r>
        <w:rPr>
          <w:rFonts w:hint="eastAsia" w:ascii="宋体" w:hAnsi="宋体"/>
          <w:sz w:val="24"/>
        </w:rPr>
        <w:t>本授</w:t>
      </w:r>
      <w:r>
        <w:rPr>
          <w:rFonts w:ascii="宋体" w:hAnsi="宋体"/>
          <w:sz w:val="24"/>
        </w:rPr>
        <w:t>权</w:t>
      </w:r>
      <w:r>
        <w:rPr>
          <w:rFonts w:hint="eastAsia" w:ascii="宋体" w:hAnsi="宋体"/>
          <w:sz w:val="24"/>
        </w:rPr>
        <w:t>委托</w:t>
      </w:r>
      <w:r>
        <w:rPr>
          <w:rFonts w:ascii="宋体" w:hAnsi="宋体"/>
          <w:sz w:val="24"/>
        </w:rPr>
        <w:t>书声</w:t>
      </w:r>
      <w:r>
        <w:rPr>
          <w:rFonts w:hint="eastAsia" w:ascii="宋体" w:hAnsi="宋体"/>
          <w:sz w:val="24"/>
        </w:rPr>
        <w:t>明：我</w:t>
      </w:r>
      <w:r>
        <w:rPr>
          <w:rFonts w:ascii="宋体" w:hAnsi="宋体"/>
          <w:sz w:val="24"/>
          <w:u w:val="single"/>
        </w:rPr>
        <w:t xml:space="preserve">        </w:t>
      </w:r>
      <w:r>
        <w:rPr>
          <w:rFonts w:hint="eastAsia" w:ascii="宋体" w:hAnsi="宋体"/>
          <w:sz w:val="24"/>
        </w:rPr>
        <w:t>（姓名）系</w:t>
      </w:r>
      <w:r>
        <w:rPr>
          <w:rFonts w:ascii="宋体" w:hAnsi="宋体"/>
          <w:sz w:val="24"/>
          <w:u w:val="single"/>
        </w:rPr>
        <w:t xml:space="preserve">                    </w:t>
      </w:r>
      <w:r>
        <w:rPr>
          <w:rFonts w:hint="eastAsia" w:ascii="宋体" w:hAnsi="宋体"/>
          <w:sz w:val="24"/>
        </w:rPr>
        <w:t>（供应商名</w:t>
      </w:r>
      <w:r>
        <w:rPr>
          <w:rFonts w:ascii="宋体" w:hAnsi="宋体"/>
          <w:sz w:val="24"/>
        </w:rPr>
        <w:t>称）</w:t>
      </w:r>
      <w:r>
        <w:rPr>
          <w:rFonts w:hint="eastAsia" w:ascii="宋体" w:hAnsi="宋体"/>
          <w:sz w:val="24"/>
        </w:rPr>
        <w:t>的法定代表人，</w:t>
      </w:r>
      <w:r>
        <w:rPr>
          <w:rFonts w:ascii="宋体" w:hAnsi="宋体"/>
          <w:sz w:val="24"/>
        </w:rPr>
        <w:t>现</w:t>
      </w:r>
      <w:r>
        <w:rPr>
          <w:rFonts w:hint="eastAsia" w:ascii="宋体" w:hAnsi="宋体"/>
          <w:sz w:val="24"/>
        </w:rPr>
        <w:t>授</w:t>
      </w:r>
      <w:r>
        <w:rPr>
          <w:rFonts w:ascii="宋体" w:hAnsi="宋体"/>
          <w:sz w:val="24"/>
        </w:rPr>
        <w:t>权</w:t>
      </w:r>
      <w:r>
        <w:rPr>
          <w:rFonts w:hint="eastAsia" w:ascii="宋体" w:hAnsi="宋体"/>
          <w:sz w:val="24"/>
        </w:rPr>
        <w:t>委托</w:t>
      </w:r>
      <w:r>
        <w:rPr>
          <w:rFonts w:ascii="宋体" w:hAnsi="宋体"/>
          <w:sz w:val="24"/>
          <w:u w:val="single"/>
        </w:rPr>
        <w:t xml:space="preserve">            </w:t>
      </w:r>
      <w:r>
        <w:rPr>
          <w:rFonts w:hint="eastAsia" w:ascii="宋体" w:hAnsi="宋体"/>
          <w:sz w:val="24"/>
        </w:rPr>
        <w:t>（姓名）</w:t>
      </w:r>
      <w:r>
        <w:rPr>
          <w:rFonts w:ascii="宋体" w:hAnsi="宋体"/>
          <w:sz w:val="24"/>
        </w:rPr>
        <w:t>为</w:t>
      </w:r>
      <w:r>
        <w:rPr>
          <w:rFonts w:hint="eastAsia" w:ascii="宋体" w:hAnsi="宋体"/>
          <w:sz w:val="24"/>
        </w:rPr>
        <w:t>我公司代理人，以公司名</w:t>
      </w:r>
      <w:r>
        <w:rPr>
          <w:rFonts w:ascii="宋体" w:hAnsi="宋体"/>
          <w:sz w:val="24"/>
        </w:rPr>
        <w:t>义参</w:t>
      </w:r>
      <w:r>
        <w:rPr>
          <w:rFonts w:hint="eastAsia" w:ascii="宋体" w:hAnsi="宋体"/>
          <w:sz w:val="24"/>
        </w:rPr>
        <w:t>加</w:t>
      </w:r>
      <w:r>
        <w:rPr>
          <w:rFonts w:hint="eastAsia" w:ascii="宋体" w:hAnsi="宋体"/>
          <w:sz w:val="24"/>
          <w:lang w:eastAsia="zh-CN"/>
        </w:rPr>
        <w:t>河口滇越货场物流有限责任公司</w:t>
      </w:r>
      <w:r>
        <w:rPr>
          <w:rFonts w:ascii="宋体" w:hAnsi="宋体"/>
          <w:sz w:val="24"/>
        </w:rPr>
        <w:t>组织的</w:t>
      </w:r>
      <w:r>
        <w:rPr>
          <w:rFonts w:hint="eastAsia" w:ascii="宋体" w:hAnsi="宋体"/>
          <w:sz w:val="24"/>
          <w:u w:val="single"/>
          <w:lang w:eastAsia="zh-CN"/>
        </w:rPr>
        <w:t>北山国际货场企业标识牌采购项目</w:t>
      </w:r>
      <w:r>
        <w:rPr>
          <w:rFonts w:hint="eastAsia" w:ascii="宋体" w:hAnsi="宋体"/>
          <w:sz w:val="24"/>
        </w:rPr>
        <w:t>的竞争性谈判活</w:t>
      </w:r>
      <w:r>
        <w:rPr>
          <w:rFonts w:ascii="宋体" w:hAnsi="宋体"/>
          <w:sz w:val="24"/>
        </w:rPr>
        <w:t>动</w:t>
      </w:r>
      <w:r>
        <w:rPr>
          <w:rFonts w:hint="eastAsia" w:ascii="宋体" w:hAnsi="宋体"/>
          <w:sz w:val="24"/>
        </w:rPr>
        <w:t>。</w:t>
      </w:r>
    </w:p>
    <w:p w14:paraId="37AEB94E">
      <w:pPr>
        <w:spacing w:line="480" w:lineRule="exact"/>
        <w:ind w:firstLine="420"/>
        <w:rPr>
          <w:rFonts w:ascii="宋体" w:hAnsi="宋体"/>
          <w:sz w:val="24"/>
        </w:rPr>
      </w:pPr>
      <w:r>
        <w:rPr>
          <w:rFonts w:hint="eastAsia" w:ascii="宋体" w:hAnsi="宋体"/>
          <w:sz w:val="24"/>
        </w:rPr>
        <w:t>代理人在</w:t>
      </w:r>
      <w:r>
        <w:rPr>
          <w:rFonts w:ascii="宋体" w:hAnsi="宋体"/>
          <w:sz w:val="24"/>
        </w:rPr>
        <w:t>参</w:t>
      </w:r>
      <w:r>
        <w:rPr>
          <w:rFonts w:hint="eastAsia" w:ascii="宋体" w:hAnsi="宋体"/>
          <w:sz w:val="24"/>
        </w:rPr>
        <w:t>加本</w:t>
      </w:r>
      <w:r>
        <w:rPr>
          <w:rFonts w:ascii="宋体" w:hAnsi="宋体"/>
          <w:sz w:val="24"/>
        </w:rPr>
        <w:t>项目过</w:t>
      </w:r>
      <w:r>
        <w:rPr>
          <w:rFonts w:hint="eastAsia" w:ascii="宋体" w:hAnsi="宋体"/>
          <w:sz w:val="24"/>
        </w:rPr>
        <w:t>程中所</w:t>
      </w:r>
      <w:r>
        <w:rPr>
          <w:rFonts w:ascii="宋体" w:hAnsi="宋体"/>
          <w:sz w:val="24"/>
        </w:rPr>
        <w:t>签</w:t>
      </w:r>
      <w:r>
        <w:rPr>
          <w:rFonts w:hint="eastAsia" w:ascii="宋体" w:hAnsi="宋体"/>
          <w:sz w:val="24"/>
        </w:rPr>
        <w:t>署的一切文件和</w:t>
      </w:r>
      <w:r>
        <w:rPr>
          <w:rFonts w:ascii="宋体" w:hAnsi="宋体"/>
          <w:sz w:val="24"/>
        </w:rPr>
        <w:t>处</w:t>
      </w:r>
      <w:r>
        <w:rPr>
          <w:rFonts w:hint="eastAsia" w:ascii="宋体" w:hAnsi="宋体"/>
          <w:sz w:val="24"/>
        </w:rPr>
        <w:t>理与之有</w:t>
      </w:r>
      <w:r>
        <w:rPr>
          <w:rFonts w:ascii="宋体" w:hAnsi="宋体"/>
          <w:sz w:val="24"/>
        </w:rPr>
        <w:t>关的</w:t>
      </w:r>
      <w:r>
        <w:rPr>
          <w:rFonts w:hint="eastAsia" w:ascii="宋体" w:hAnsi="宋体"/>
          <w:sz w:val="24"/>
        </w:rPr>
        <w:t>一切事</w:t>
      </w:r>
      <w:r>
        <w:rPr>
          <w:rFonts w:ascii="宋体" w:hAnsi="宋体"/>
          <w:sz w:val="24"/>
        </w:rPr>
        <w:t>务</w:t>
      </w:r>
      <w:r>
        <w:rPr>
          <w:rFonts w:hint="eastAsia" w:ascii="宋体" w:hAnsi="宋体"/>
          <w:sz w:val="24"/>
        </w:rPr>
        <w:t>，我均予以承</w:t>
      </w:r>
      <w:r>
        <w:rPr>
          <w:rFonts w:ascii="宋体" w:hAnsi="宋体"/>
          <w:sz w:val="24"/>
        </w:rPr>
        <w:t>认</w:t>
      </w:r>
      <w:r>
        <w:rPr>
          <w:rFonts w:hint="eastAsia" w:ascii="宋体" w:hAnsi="宋体"/>
          <w:sz w:val="24"/>
        </w:rPr>
        <w:t>。</w:t>
      </w:r>
    </w:p>
    <w:p w14:paraId="4507B356">
      <w:pPr>
        <w:spacing w:before="156" w:beforeLines="50" w:line="500" w:lineRule="exact"/>
        <w:ind w:firstLine="480" w:firstLineChars="200"/>
        <w:rPr>
          <w:rFonts w:ascii="宋体" w:hAnsi="宋体"/>
          <w:sz w:val="24"/>
        </w:rPr>
      </w:pPr>
      <w:r>
        <w:rPr>
          <w:rFonts w:hint="eastAsia" w:ascii="宋体" w:hAnsi="宋体"/>
          <w:sz w:val="24"/>
        </w:rPr>
        <w:t>代理人</w:t>
      </w:r>
      <w:r>
        <w:rPr>
          <w:rFonts w:ascii="宋体" w:hAnsi="宋体"/>
          <w:sz w:val="24"/>
        </w:rPr>
        <w:t>无转</w:t>
      </w:r>
      <w:r>
        <w:rPr>
          <w:rFonts w:hint="eastAsia" w:ascii="宋体" w:hAnsi="宋体"/>
          <w:sz w:val="24"/>
        </w:rPr>
        <w:t>委</w:t>
      </w:r>
      <w:r>
        <w:rPr>
          <w:rFonts w:ascii="宋体" w:hAnsi="宋体"/>
          <w:sz w:val="24"/>
        </w:rPr>
        <w:t>权。</w:t>
      </w:r>
      <w:r>
        <w:rPr>
          <w:rFonts w:hint="eastAsia" w:ascii="宋体" w:hAnsi="宋体"/>
          <w:sz w:val="24"/>
        </w:rPr>
        <w:t>特此委托。</w:t>
      </w:r>
    </w:p>
    <w:p w14:paraId="5377C774">
      <w:pPr>
        <w:spacing w:line="500" w:lineRule="exact"/>
        <w:ind w:firstLine="420"/>
        <w:rPr>
          <w:rFonts w:ascii="宋体" w:hAnsi="宋体"/>
          <w:sz w:val="24"/>
        </w:rPr>
      </w:pPr>
    </w:p>
    <w:p w14:paraId="352B857B">
      <w:pPr>
        <w:spacing w:before="156" w:beforeLines="50" w:line="500" w:lineRule="exact"/>
        <w:ind w:firstLine="480" w:firstLineChars="200"/>
        <w:rPr>
          <w:rFonts w:ascii="宋体" w:hAnsi="宋体"/>
          <w:sz w:val="24"/>
        </w:rPr>
      </w:pPr>
      <w:r>
        <w:rPr>
          <w:rFonts w:hint="eastAsia" w:ascii="宋体" w:hAnsi="宋体"/>
          <w:sz w:val="24"/>
        </w:rPr>
        <w:t>委托代理人：</w:t>
      </w:r>
      <w:r>
        <w:rPr>
          <w:rFonts w:ascii="宋体" w:hAnsi="宋体"/>
          <w:sz w:val="24"/>
        </w:rPr>
        <w:t xml:space="preserve">                  </w:t>
      </w:r>
      <w:r>
        <w:rPr>
          <w:rFonts w:hint="eastAsia" w:ascii="宋体" w:hAnsi="宋体"/>
          <w:sz w:val="24"/>
        </w:rPr>
        <w:t>性</w:t>
      </w:r>
      <w:r>
        <w:rPr>
          <w:rFonts w:ascii="宋体" w:hAnsi="宋体"/>
          <w:sz w:val="24"/>
        </w:rPr>
        <w:t>别</w:t>
      </w:r>
      <w:r>
        <w:rPr>
          <w:rFonts w:hint="eastAsia" w:ascii="宋体" w:hAnsi="宋体"/>
          <w:sz w:val="24"/>
        </w:rPr>
        <w:t>：</w:t>
      </w:r>
      <w:r>
        <w:rPr>
          <w:rFonts w:ascii="宋体" w:hAnsi="宋体"/>
          <w:sz w:val="24"/>
        </w:rPr>
        <w:t xml:space="preserve">                   </w:t>
      </w:r>
      <w:r>
        <w:rPr>
          <w:rFonts w:hint="eastAsia" w:ascii="宋体" w:hAnsi="宋体"/>
          <w:sz w:val="24"/>
        </w:rPr>
        <w:t>年</w:t>
      </w:r>
      <w:r>
        <w:rPr>
          <w:rFonts w:ascii="宋体" w:hAnsi="宋体"/>
          <w:sz w:val="24"/>
        </w:rPr>
        <w:t>龄</w:t>
      </w:r>
      <w:r>
        <w:rPr>
          <w:rFonts w:hint="eastAsia" w:ascii="宋体" w:hAnsi="宋体"/>
          <w:sz w:val="24"/>
        </w:rPr>
        <w:t>：</w:t>
      </w:r>
    </w:p>
    <w:p w14:paraId="61AC9F71">
      <w:pPr>
        <w:spacing w:before="156" w:beforeLines="50" w:line="500" w:lineRule="exact"/>
        <w:ind w:firstLine="480" w:firstLineChars="200"/>
        <w:rPr>
          <w:rFonts w:ascii="宋体" w:hAnsi="宋体"/>
          <w:sz w:val="24"/>
        </w:rPr>
      </w:pPr>
      <w:r>
        <w:rPr>
          <w:rFonts w:hint="eastAsia" w:ascii="宋体" w:hAnsi="宋体"/>
          <w:sz w:val="24"/>
        </w:rPr>
        <w:t>部</w:t>
      </w:r>
      <w:r>
        <w:rPr>
          <w:rFonts w:ascii="宋体" w:hAnsi="宋体"/>
          <w:sz w:val="24"/>
        </w:rPr>
        <w:t xml:space="preserve">      门</w:t>
      </w:r>
      <w:r>
        <w:rPr>
          <w:rFonts w:hint="eastAsia" w:ascii="宋体" w:hAnsi="宋体"/>
          <w:sz w:val="24"/>
        </w:rPr>
        <w:t>：</w:t>
      </w:r>
      <w:r>
        <w:rPr>
          <w:rFonts w:ascii="宋体" w:hAnsi="宋体"/>
          <w:sz w:val="24"/>
        </w:rPr>
        <w:t xml:space="preserve">                  职务</w:t>
      </w:r>
      <w:r>
        <w:rPr>
          <w:rFonts w:hint="eastAsia" w:ascii="宋体" w:hAnsi="宋体"/>
          <w:sz w:val="24"/>
        </w:rPr>
        <w:t>：</w:t>
      </w:r>
    </w:p>
    <w:p w14:paraId="366D9123">
      <w:pPr>
        <w:spacing w:before="156" w:beforeLines="50" w:line="500" w:lineRule="exact"/>
        <w:rPr>
          <w:rFonts w:ascii="宋体" w:hAnsi="宋体"/>
          <w:sz w:val="24"/>
        </w:rPr>
      </w:pPr>
    </w:p>
    <w:p w14:paraId="2465B273">
      <w:pPr>
        <w:spacing w:before="156" w:beforeLines="50" w:line="500" w:lineRule="exact"/>
        <w:ind w:firstLine="3840" w:firstLineChars="1600"/>
        <w:rPr>
          <w:rFonts w:ascii="宋体" w:hAnsi="宋体"/>
          <w:sz w:val="24"/>
          <w:u w:val="single"/>
        </w:rPr>
      </w:pPr>
      <w:r>
        <w:rPr>
          <w:rFonts w:hint="eastAsia" w:ascii="宋体" w:hAnsi="宋体"/>
          <w:sz w:val="24"/>
        </w:rPr>
        <w:t>供应商全称（加</w:t>
      </w:r>
      <w:r>
        <w:rPr>
          <w:rFonts w:ascii="宋体" w:hAnsi="宋体"/>
          <w:sz w:val="24"/>
        </w:rPr>
        <w:t>盖</w:t>
      </w:r>
      <w:r>
        <w:rPr>
          <w:rFonts w:hint="eastAsia" w:ascii="宋体" w:hAnsi="宋体"/>
          <w:sz w:val="24"/>
        </w:rPr>
        <w:t>公章）：</w:t>
      </w:r>
      <w:r>
        <w:rPr>
          <w:rFonts w:ascii="宋体" w:hAnsi="宋体"/>
          <w:sz w:val="24"/>
        </w:rPr>
        <w:t xml:space="preserve"> </w:t>
      </w:r>
      <w:r>
        <w:rPr>
          <w:rFonts w:ascii="宋体" w:hAnsi="宋体"/>
          <w:sz w:val="24"/>
          <w:u w:val="single"/>
        </w:rPr>
        <w:t xml:space="preserve">                         </w:t>
      </w:r>
    </w:p>
    <w:p w14:paraId="6C7BAB3C">
      <w:pPr>
        <w:spacing w:before="156" w:beforeLines="50" w:line="500" w:lineRule="exact"/>
        <w:ind w:firstLine="3840" w:firstLineChars="1600"/>
        <w:rPr>
          <w:rFonts w:ascii="宋体" w:hAnsi="宋体"/>
          <w:sz w:val="24"/>
          <w:u w:val="single"/>
        </w:rPr>
      </w:pPr>
      <w:r>
        <w:rPr>
          <w:rFonts w:hint="eastAsia" w:ascii="宋体" w:hAnsi="宋体"/>
          <w:sz w:val="24"/>
        </w:rPr>
        <w:t>法定代表人（</w:t>
      </w:r>
      <w:r>
        <w:rPr>
          <w:rFonts w:ascii="宋体" w:hAnsi="宋体"/>
          <w:sz w:val="24"/>
        </w:rPr>
        <w:t>签</w:t>
      </w:r>
      <w:r>
        <w:rPr>
          <w:rFonts w:hint="eastAsia" w:ascii="宋体" w:hAnsi="宋体"/>
          <w:sz w:val="24"/>
        </w:rPr>
        <w:t>字或</w:t>
      </w:r>
      <w:r>
        <w:rPr>
          <w:rFonts w:ascii="宋体" w:hAnsi="宋体"/>
          <w:sz w:val="24"/>
        </w:rPr>
        <w:t>盖</w:t>
      </w:r>
      <w:r>
        <w:rPr>
          <w:rFonts w:hint="eastAsia" w:ascii="宋体" w:hAnsi="宋体"/>
          <w:sz w:val="24"/>
        </w:rPr>
        <w:t>章）：</w:t>
      </w:r>
      <w:r>
        <w:rPr>
          <w:rFonts w:ascii="宋体" w:hAnsi="宋体"/>
          <w:sz w:val="24"/>
        </w:rPr>
        <w:t xml:space="preserve"> </w:t>
      </w:r>
      <w:r>
        <w:rPr>
          <w:rFonts w:ascii="宋体" w:hAnsi="宋体"/>
          <w:sz w:val="24"/>
          <w:u w:val="single"/>
        </w:rPr>
        <w:t xml:space="preserve">                         </w:t>
      </w:r>
    </w:p>
    <w:p w14:paraId="5F65053F">
      <w:pPr>
        <w:spacing w:before="156" w:beforeLines="50" w:line="500" w:lineRule="exact"/>
        <w:ind w:firstLine="3840" w:firstLineChars="1600"/>
        <w:rPr>
          <w:rFonts w:ascii="宋体" w:hAnsi="宋体"/>
          <w:sz w:val="24"/>
          <w:u w:val="single"/>
        </w:rPr>
      </w:pPr>
      <w:r>
        <w:rPr>
          <w:rFonts w:hint="eastAsia" w:ascii="宋体" w:hAnsi="宋体"/>
          <w:sz w:val="24"/>
        </w:rPr>
        <w:t>委托代理人（</w:t>
      </w:r>
      <w:r>
        <w:rPr>
          <w:rFonts w:ascii="宋体" w:hAnsi="宋体"/>
          <w:sz w:val="24"/>
        </w:rPr>
        <w:t>签</w:t>
      </w:r>
      <w:r>
        <w:rPr>
          <w:rFonts w:hint="eastAsia" w:ascii="宋体" w:hAnsi="宋体"/>
          <w:sz w:val="24"/>
        </w:rPr>
        <w:t>字）：</w:t>
      </w:r>
      <w:r>
        <w:rPr>
          <w:rFonts w:ascii="宋体" w:hAnsi="宋体"/>
          <w:sz w:val="24"/>
        </w:rPr>
        <w:t xml:space="preserve"> </w:t>
      </w:r>
      <w:r>
        <w:rPr>
          <w:rFonts w:ascii="宋体" w:hAnsi="宋体"/>
          <w:sz w:val="24"/>
          <w:u w:val="single"/>
        </w:rPr>
        <w:t xml:space="preserve">                         </w:t>
      </w:r>
    </w:p>
    <w:p w14:paraId="418723D1">
      <w:pPr>
        <w:spacing w:before="156" w:beforeLines="50" w:line="500" w:lineRule="exact"/>
        <w:ind w:firstLine="3840" w:firstLineChars="1600"/>
        <w:rPr>
          <w:rFonts w:ascii="宋体" w:hAnsi="宋体"/>
          <w:sz w:val="24"/>
        </w:rPr>
      </w:pPr>
      <w:r>
        <w:rPr>
          <w:rFonts w:hint="eastAsia" w:ascii="宋体" w:hAnsi="宋体"/>
          <w:sz w:val="24"/>
        </w:rPr>
        <w:t>日期：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7875F246">
      <w:pPr>
        <w:pStyle w:val="9"/>
      </w:pPr>
    </w:p>
    <w:tbl>
      <w:tblPr>
        <w:tblStyle w:val="26"/>
        <w:tblW w:w="0" w:type="auto"/>
        <w:tblInd w:w="554" w:type="dxa"/>
        <w:tblBorders>
          <w:top w:val="single" w:color="auto" w:sz="2" w:space="0"/>
          <w:left w:val="single" w:color="auto" w:sz="2" w:space="0"/>
          <w:bottom w:val="single" w:color="auto" w:sz="2" w:space="0"/>
          <w:right w:val="single" w:color="auto" w:sz="2" w:space="0"/>
          <w:insideH w:val="none" w:color="auto" w:sz="0" w:space="0"/>
          <w:insideV w:val="single" w:color="auto" w:sz="2" w:space="0"/>
        </w:tblBorders>
        <w:tblLayout w:type="fixed"/>
        <w:tblCellMar>
          <w:top w:w="0" w:type="dxa"/>
          <w:left w:w="108" w:type="dxa"/>
          <w:bottom w:w="0" w:type="dxa"/>
          <w:right w:w="108" w:type="dxa"/>
        </w:tblCellMar>
      </w:tblPr>
      <w:tblGrid>
        <w:gridCol w:w="3915"/>
        <w:gridCol w:w="615"/>
        <w:gridCol w:w="3885"/>
      </w:tblGrid>
      <w:tr w14:paraId="367F374C">
        <w:tblPrEx>
          <w:tblBorders>
            <w:top w:val="single" w:color="auto" w:sz="2" w:space="0"/>
            <w:left w:val="single" w:color="auto" w:sz="2" w:space="0"/>
            <w:bottom w:val="single" w:color="auto" w:sz="2" w:space="0"/>
            <w:right w:val="single" w:color="auto" w:sz="2" w:space="0"/>
            <w:insideH w:val="none" w:color="auto" w:sz="0" w:space="0"/>
            <w:insideV w:val="single" w:color="auto" w:sz="2" w:space="0"/>
          </w:tblBorders>
        </w:tblPrEx>
        <w:trPr>
          <w:trHeight w:val="2986" w:hRule="atLeast"/>
        </w:trPr>
        <w:tc>
          <w:tcPr>
            <w:tcW w:w="3915" w:type="dxa"/>
            <w:tcBorders>
              <w:tl2br w:val="nil"/>
              <w:tr2bl w:val="nil"/>
            </w:tcBorders>
          </w:tcPr>
          <w:p w14:paraId="5FDC501A">
            <w:pPr>
              <w:spacing w:line="460" w:lineRule="exact"/>
              <w:ind w:left="315"/>
              <w:rPr>
                <w:rFonts w:ascii="宋体" w:hAnsi="宋体"/>
                <w:sz w:val="24"/>
              </w:rPr>
            </w:pPr>
            <w:bookmarkStart w:id="392" w:name="_Toc78603132"/>
            <w:bookmarkStart w:id="393" w:name="_Toc31603096"/>
            <w:bookmarkStart w:id="394" w:name="_Toc38173195"/>
          </w:p>
          <w:p w14:paraId="21F9EC35">
            <w:pPr>
              <w:spacing w:line="460" w:lineRule="exact"/>
              <w:ind w:left="315" w:firstLine="480" w:firstLineChars="200"/>
              <w:rPr>
                <w:rFonts w:ascii="宋体" w:hAnsi="宋体"/>
                <w:sz w:val="24"/>
              </w:rPr>
            </w:pPr>
          </w:p>
          <w:p w14:paraId="0BE78346">
            <w:pPr>
              <w:spacing w:line="460" w:lineRule="exact"/>
              <w:ind w:firstLine="1200" w:firstLineChars="500"/>
              <w:rPr>
                <w:rFonts w:ascii="宋体" w:hAnsi="宋体"/>
                <w:sz w:val="24"/>
              </w:rPr>
            </w:pPr>
          </w:p>
          <w:p w14:paraId="4BA3DBFC">
            <w:pPr>
              <w:spacing w:line="460" w:lineRule="exact"/>
              <w:jc w:val="center"/>
              <w:rPr>
                <w:rFonts w:ascii="宋体" w:hAnsi="宋体"/>
                <w:sz w:val="24"/>
              </w:rPr>
            </w:pPr>
            <w:r>
              <w:rPr>
                <w:rFonts w:hint="eastAsia" w:ascii="宋体" w:hAnsi="宋体"/>
                <w:sz w:val="24"/>
              </w:rPr>
              <w:t>附授权委托人身份证正面复印件</w:t>
            </w:r>
          </w:p>
        </w:tc>
        <w:tc>
          <w:tcPr>
            <w:tcW w:w="615" w:type="dxa"/>
            <w:tcBorders>
              <w:tl2br w:val="nil"/>
              <w:tr2bl w:val="nil"/>
            </w:tcBorders>
          </w:tcPr>
          <w:p w14:paraId="683B3E4B">
            <w:pPr>
              <w:spacing w:line="460" w:lineRule="exact"/>
              <w:rPr>
                <w:rFonts w:ascii="宋体" w:hAnsi="宋体"/>
                <w:sz w:val="24"/>
              </w:rPr>
            </w:pPr>
          </w:p>
        </w:tc>
        <w:tc>
          <w:tcPr>
            <w:tcW w:w="3885" w:type="dxa"/>
            <w:tcBorders>
              <w:tl2br w:val="nil"/>
              <w:tr2bl w:val="nil"/>
            </w:tcBorders>
          </w:tcPr>
          <w:p w14:paraId="43D1A4BA">
            <w:pPr>
              <w:widowControl/>
              <w:spacing w:line="460" w:lineRule="exact"/>
              <w:jc w:val="left"/>
              <w:rPr>
                <w:rFonts w:ascii="宋体" w:hAnsi="宋体"/>
                <w:sz w:val="24"/>
              </w:rPr>
            </w:pPr>
          </w:p>
          <w:p w14:paraId="5CA95979">
            <w:pPr>
              <w:spacing w:line="460" w:lineRule="exact"/>
              <w:ind w:left="1631"/>
              <w:rPr>
                <w:rFonts w:ascii="宋体" w:hAnsi="宋体"/>
                <w:sz w:val="24"/>
              </w:rPr>
            </w:pPr>
          </w:p>
          <w:p w14:paraId="67DA51FE">
            <w:pPr>
              <w:spacing w:line="460" w:lineRule="exact"/>
              <w:rPr>
                <w:rFonts w:ascii="宋体" w:hAnsi="宋体"/>
                <w:sz w:val="24"/>
              </w:rPr>
            </w:pPr>
          </w:p>
          <w:p w14:paraId="3D8871B6">
            <w:pPr>
              <w:spacing w:line="460" w:lineRule="exact"/>
              <w:jc w:val="center"/>
              <w:rPr>
                <w:rFonts w:ascii="宋体" w:hAnsi="宋体"/>
                <w:sz w:val="24"/>
              </w:rPr>
            </w:pPr>
            <w:r>
              <w:rPr>
                <w:rFonts w:hint="eastAsia" w:ascii="宋体" w:hAnsi="宋体"/>
                <w:sz w:val="24"/>
              </w:rPr>
              <w:t>附授权委托人身份证背面复印件</w:t>
            </w:r>
          </w:p>
        </w:tc>
      </w:tr>
    </w:tbl>
    <w:p w14:paraId="497932D4"/>
    <w:p w14:paraId="499FCF26">
      <w:pPr>
        <w:spacing w:before="468" w:beforeLines="150"/>
        <w:jc w:val="center"/>
        <w:outlineLvl w:val="1"/>
        <w:rPr>
          <w:b/>
          <w:sz w:val="36"/>
          <w:szCs w:val="36"/>
        </w:rPr>
      </w:pPr>
      <w:bookmarkStart w:id="395" w:name="_Toc136674753"/>
      <w:bookmarkStart w:id="396" w:name="_Toc136082482"/>
      <w:r>
        <w:br w:type="page"/>
      </w:r>
      <w:bookmarkEnd w:id="395"/>
      <w:bookmarkEnd w:id="396"/>
      <w:bookmarkStart w:id="397" w:name="_Toc463798094"/>
      <w:bookmarkStart w:id="398" w:name="_Toc483320819"/>
      <w:bookmarkStart w:id="399" w:name="_Toc336273610"/>
      <w:bookmarkStart w:id="400" w:name="_Toc11632"/>
      <w:bookmarkStart w:id="401" w:name="_Toc6624"/>
      <w:bookmarkStart w:id="402" w:name="_Toc11068"/>
      <w:bookmarkStart w:id="403" w:name="_Toc32354"/>
      <w:bookmarkStart w:id="404" w:name="_Toc23943"/>
      <w:bookmarkStart w:id="405" w:name="_Toc305"/>
      <w:bookmarkStart w:id="406" w:name="_Toc16899"/>
      <w:bookmarkStart w:id="407" w:name="_Toc17150"/>
      <w:bookmarkStart w:id="408" w:name="_Toc27041612"/>
      <w:r>
        <w:rPr>
          <w:rFonts w:hint="eastAsia"/>
          <w:b/>
          <w:sz w:val="36"/>
          <w:szCs w:val="36"/>
        </w:rPr>
        <w:t>附件四：</w:t>
      </w:r>
      <w:bookmarkEnd w:id="392"/>
      <w:bookmarkEnd w:id="393"/>
      <w:bookmarkEnd w:id="394"/>
      <w:bookmarkEnd w:id="397"/>
      <w:bookmarkEnd w:id="398"/>
      <w:bookmarkEnd w:id="399"/>
      <w:bookmarkStart w:id="409" w:name="_Toc483320820"/>
      <w:bookmarkStart w:id="410" w:name="_Toc463798095"/>
      <w:bookmarkStart w:id="411" w:name="_Toc336273611"/>
      <w:r>
        <w:rPr>
          <w:rFonts w:hint="eastAsia"/>
          <w:b/>
          <w:sz w:val="36"/>
          <w:szCs w:val="36"/>
        </w:rPr>
        <w:t>报价一览表</w:t>
      </w:r>
      <w:bookmarkEnd w:id="400"/>
      <w:bookmarkEnd w:id="401"/>
      <w:bookmarkEnd w:id="402"/>
      <w:bookmarkEnd w:id="403"/>
      <w:bookmarkEnd w:id="404"/>
      <w:bookmarkEnd w:id="405"/>
      <w:bookmarkEnd w:id="406"/>
      <w:bookmarkEnd w:id="407"/>
      <w:bookmarkEnd w:id="408"/>
      <w:bookmarkEnd w:id="409"/>
      <w:bookmarkEnd w:id="410"/>
      <w:bookmarkEnd w:id="411"/>
    </w:p>
    <w:p w14:paraId="12DAC05F">
      <w:pPr>
        <w:pStyle w:val="9"/>
      </w:pPr>
    </w:p>
    <w:tbl>
      <w:tblPr>
        <w:tblStyle w:val="26"/>
        <w:tblW w:w="9442" w:type="dxa"/>
        <w:tblInd w:w="0" w:type="dxa"/>
        <w:shd w:val="clear" w:color="auto" w:fill="FFFF00"/>
        <w:tblLayout w:type="fixed"/>
        <w:tblCellMar>
          <w:top w:w="0" w:type="dxa"/>
          <w:left w:w="0" w:type="dxa"/>
          <w:bottom w:w="0" w:type="dxa"/>
          <w:right w:w="0" w:type="dxa"/>
        </w:tblCellMar>
      </w:tblPr>
      <w:tblGrid>
        <w:gridCol w:w="3799"/>
        <w:gridCol w:w="1825"/>
        <w:gridCol w:w="960"/>
        <w:gridCol w:w="2858"/>
      </w:tblGrid>
      <w:tr w14:paraId="7035AE11">
        <w:tblPrEx>
          <w:tblCellMar>
            <w:top w:w="0" w:type="dxa"/>
            <w:left w:w="0" w:type="dxa"/>
            <w:bottom w:w="0" w:type="dxa"/>
            <w:right w:w="0" w:type="dxa"/>
          </w:tblCellMar>
        </w:tblPrEx>
        <w:trPr>
          <w:trHeight w:val="582" w:hRule="atLeast"/>
        </w:trPr>
        <w:tc>
          <w:tcPr>
            <w:tcW w:w="37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12AEA3">
            <w:pPr>
              <w:widowControl/>
              <w:jc w:val="center"/>
              <w:textAlignment w:val="center"/>
              <w:rPr>
                <w:rFonts w:ascii="宋体" w:hAnsi="宋体" w:cs="宋体"/>
                <w:b/>
                <w:bCs/>
                <w:sz w:val="24"/>
              </w:rPr>
            </w:pPr>
            <w:r>
              <w:rPr>
                <w:rFonts w:hint="eastAsia" w:ascii="宋体" w:hAnsi="宋体" w:cs="宋体"/>
                <w:b/>
                <w:bCs/>
                <w:kern w:val="0"/>
                <w:sz w:val="24"/>
                <w:lang w:bidi="ar"/>
              </w:rPr>
              <w:t>项目名称</w:t>
            </w:r>
          </w:p>
        </w:tc>
        <w:tc>
          <w:tcPr>
            <w:tcW w:w="1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C290EA">
            <w:pPr>
              <w:widowControl/>
              <w:jc w:val="center"/>
              <w:textAlignment w:val="center"/>
              <w:rPr>
                <w:rFonts w:ascii="宋体" w:hAnsi="宋体" w:cs="宋体"/>
                <w:b/>
                <w:bCs/>
                <w:sz w:val="24"/>
              </w:rPr>
            </w:pPr>
            <w:r>
              <w:rPr>
                <w:rFonts w:hint="eastAsia" w:ascii="宋体" w:hAnsi="宋体" w:cs="宋体"/>
                <w:b/>
                <w:bCs/>
                <w:kern w:val="0"/>
                <w:sz w:val="24"/>
                <w:lang w:bidi="ar"/>
              </w:rPr>
              <w:t>不含税价（元）</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3E117D">
            <w:pPr>
              <w:widowControl/>
              <w:jc w:val="center"/>
              <w:textAlignment w:val="center"/>
              <w:rPr>
                <w:rFonts w:ascii="宋体" w:hAnsi="宋体" w:cs="宋体"/>
                <w:b/>
                <w:bCs/>
                <w:sz w:val="24"/>
              </w:rPr>
            </w:pPr>
            <w:r>
              <w:rPr>
                <w:rFonts w:hint="eastAsia" w:ascii="宋体" w:hAnsi="宋体" w:cs="宋体"/>
                <w:b/>
                <w:bCs/>
                <w:kern w:val="0"/>
                <w:sz w:val="24"/>
                <w:lang w:bidi="ar"/>
              </w:rPr>
              <w:t>税率</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31AFE5">
            <w:pPr>
              <w:widowControl/>
              <w:jc w:val="center"/>
              <w:textAlignment w:val="center"/>
              <w:rPr>
                <w:rFonts w:ascii="宋体" w:hAnsi="宋体" w:cs="宋体"/>
                <w:b/>
                <w:bCs/>
                <w:sz w:val="24"/>
              </w:rPr>
            </w:pPr>
            <w:r>
              <w:rPr>
                <w:rFonts w:hint="eastAsia" w:ascii="宋体" w:hAnsi="宋体" w:cs="宋体"/>
                <w:b/>
                <w:bCs/>
                <w:kern w:val="0"/>
                <w:sz w:val="24"/>
                <w:lang w:bidi="ar"/>
              </w:rPr>
              <w:t>含税总价（元）</w:t>
            </w:r>
          </w:p>
        </w:tc>
      </w:tr>
      <w:tr w14:paraId="2E51678B">
        <w:tblPrEx>
          <w:tblCellMar>
            <w:top w:w="0" w:type="dxa"/>
            <w:left w:w="0" w:type="dxa"/>
            <w:bottom w:w="0" w:type="dxa"/>
            <w:right w:w="0" w:type="dxa"/>
          </w:tblCellMar>
        </w:tblPrEx>
        <w:trPr>
          <w:trHeight w:val="1036" w:hRule="atLeast"/>
        </w:trPr>
        <w:tc>
          <w:tcPr>
            <w:tcW w:w="37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63C620">
            <w:pPr>
              <w:widowControl/>
              <w:jc w:val="left"/>
              <w:textAlignment w:val="center"/>
              <w:rPr>
                <w:rFonts w:hint="eastAsia" w:ascii="宋体" w:hAnsi="宋体" w:eastAsia="宋体" w:cs="宋体"/>
                <w:sz w:val="24"/>
                <w:lang w:eastAsia="zh-CN"/>
              </w:rPr>
            </w:pPr>
            <w:r>
              <w:rPr>
                <w:rFonts w:hint="eastAsia" w:ascii="宋体" w:hAnsi="宋体" w:cs="宋体"/>
                <w:b/>
                <w:bCs/>
                <w:kern w:val="0"/>
                <w:sz w:val="24"/>
                <w:lang w:eastAsia="zh-CN" w:bidi="ar"/>
              </w:rPr>
              <w:t>北山国际货场企业标识牌采购项目</w:t>
            </w:r>
          </w:p>
        </w:tc>
        <w:tc>
          <w:tcPr>
            <w:tcW w:w="1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B48E85">
            <w:pPr>
              <w:jc w:val="center"/>
              <w:rPr>
                <w:rFonts w:ascii="宋体" w:hAnsi="宋体" w:cs="宋体"/>
                <w:sz w:val="24"/>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5CC5670">
            <w:pPr>
              <w:jc w:val="center"/>
              <w:rPr>
                <w:rFonts w:ascii="宋体" w:hAnsi="宋体" w:cs="宋体"/>
                <w:sz w:val="24"/>
              </w:rPr>
            </w:pPr>
          </w:p>
        </w:tc>
        <w:tc>
          <w:tcPr>
            <w:tcW w:w="28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1CE386">
            <w:pPr>
              <w:jc w:val="center"/>
              <w:rPr>
                <w:rFonts w:ascii="宋体" w:hAnsi="宋体" w:cs="宋体"/>
                <w:sz w:val="24"/>
              </w:rPr>
            </w:pPr>
          </w:p>
        </w:tc>
      </w:tr>
      <w:tr w14:paraId="16BF94AD">
        <w:tblPrEx>
          <w:shd w:val="clear" w:color="auto" w:fill="FFFF00"/>
          <w:tblCellMar>
            <w:top w:w="0" w:type="dxa"/>
            <w:left w:w="0" w:type="dxa"/>
            <w:bottom w:w="0" w:type="dxa"/>
            <w:right w:w="0" w:type="dxa"/>
          </w:tblCellMar>
        </w:tblPrEx>
        <w:trPr>
          <w:trHeight w:val="402" w:hRule="atLeast"/>
        </w:trPr>
        <w:tc>
          <w:tcPr>
            <w:tcW w:w="37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FE0D80">
            <w:pPr>
              <w:widowControl/>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交付时间</w:t>
            </w:r>
          </w:p>
        </w:tc>
        <w:tc>
          <w:tcPr>
            <w:tcW w:w="564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589E59">
            <w:pPr>
              <w:widowControl/>
              <w:jc w:val="left"/>
              <w:textAlignment w:val="center"/>
              <w:rPr>
                <w:rFonts w:ascii="宋体" w:hAnsi="宋体" w:cs="宋体"/>
                <w:sz w:val="24"/>
              </w:rPr>
            </w:pPr>
          </w:p>
        </w:tc>
      </w:tr>
      <w:tr w14:paraId="098B4668">
        <w:tblPrEx>
          <w:tblCellMar>
            <w:top w:w="0" w:type="dxa"/>
            <w:left w:w="0" w:type="dxa"/>
            <w:bottom w:w="0" w:type="dxa"/>
            <w:right w:w="0" w:type="dxa"/>
          </w:tblCellMar>
        </w:tblPrEx>
        <w:trPr>
          <w:trHeight w:val="402" w:hRule="atLeast"/>
        </w:trPr>
        <w:tc>
          <w:tcPr>
            <w:tcW w:w="37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EB76A3E">
            <w:pPr>
              <w:widowControl/>
              <w:jc w:val="center"/>
              <w:textAlignment w:val="center"/>
              <w:rPr>
                <w:rFonts w:ascii="宋体" w:hAnsi="宋体" w:cs="宋体"/>
                <w:kern w:val="0"/>
                <w:sz w:val="24"/>
                <w:lang w:bidi="ar"/>
              </w:rPr>
            </w:pPr>
            <w:r>
              <w:rPr>
                <w:rFonts w:hint="eastAsia" w:ascii="宋体" w:hAnsi="宋体" w:cs="宋体"/>
                <w:kern w:val="0"/>
                <w:sz w:val="24"/>
                <w:lang w:bidi="ar"/>
              </w:rPr>
              <w:t>报价有效期</w:t>
            </w:r>
          </w:p>
        </w:tc>
        <w:tc>
          <w:tcPr>
            <w:tcW w:w="564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D73AB9B">
            <w:pPr>
              <w:widowControl/>
              <w:jc w:val="left"/>
              <w:textAlignment w:val="center"/>
              <w:rPr>
                <w:rFonts w:ascii="宋体" w:hAnsi="宋体" w:cs="宋体"/>
                <w:kern w:val="0"/>
                <w:sz w:val="24"/>
                <w:lang w:bidi="ar"/>
              </w:rPr>
            </w:pPr>
            <w:r>
              <w:rPr>
                <w:rFonts w:hint="eastAsia" w:ascii="宋体" w:hAnsi="宋体" w:cs="宋体"/>
                <w:kern w:val="0"/>
                <w:sz w:val="24"/>
                <w:lang w:bidi="ar"/>
              </w:rPr>
              <w:t>有效期至递交截止时间后</w:t>
            </w:r>
            <w:r>
              <w:rPr>
                <w:rFonts w:ascii="宋体" w:hAnsi="宋体" w:cs="宋体"/>
                <w:kern w:val="0"/>
                <w:sz w:val="24"/>
                <w:u w:val="single"/>
                <w:lang w:bidi="ar"/>
              </w:rPr>
              <w:t xml:space="preserve">  </w:t>
            </w:r>
            <w:r>
              <w:rPr>
                <w:rFonts w:hint="eastAsia" w:ascii="宋体" w:hAnsi="宋体" w:cs="宋体"/>
                <w:kern w:val="0"/>
                <w:sz w:val="24"/>
                <w:u w:val="single"/>
                <w:lang w:val="en-US" w:eastAsia="zh-CN" w:bidi="ar"/>
              </w:rPr>
              <w:t>90</w:t>
            </w:r>
            <w:r>
              <w:rPr>
                <w:rFonts w:ascii="宋体" w:hAnsi="宋体" w:cs="宋体"/>
                <w:kern w:val="0"/>
                <w:sz w:val="24"/>
                <w:u w:val="single"/>
                <w:lang w:bidi="ar"/>
              </w:rPr>
              <w:t xml:space="preserve">  </w:t>
            </w:r>
            <w:r>
              <w:rPr>
                <w:rFonts w:hint="eastAsia" w:ascii="宋体" w:hAnsi="宋体" w:cs="宋体"/>
                <w:kern w:val="0"/>
                <w:sz w:val="24"/>
                <w:lang w:bidi="ar"/>
              </w:rPr>
              <w:t>日</w:t>
            </w:r>
          </w:p>
        </w:tc>
      </w:tr>
      <w:tr w14:paraId="05C96F75">
        <w:tblPrEx>
          <w:tblCellMar>
            <w:top w:w="0" w:type="dxa"/>
            <w:left w:w="0" w:type="dxa"/>
            <w:bottom w:w="0" w:type="dxa"/>
            <w:right w:w="0" w:type="dxa"/>
          </w:tblCellMar>
        </w:tblPrEx>
        <w:trPr>
          <w:trHeight w:val="860" w:hRule="atLeast"/>
        </w:trPr>
        <w:tc>
          <w:tcPr>
            <w:tcW w:w="379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F18C93D">
            <w:pPr>
              <w:widowControl/>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质量承诺</w:t>
            </w:r>
          </w:p>
        </w:tc>
        <w:tc>
          <w:tcPr>
            <w:tcW w:w="5643"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4ED119C">
            <w:pPr>
              <w:jc w:val="left"/>
              <w:rPr>
                <w:rFonts w:ascii="宋体" w:hAnsi="宋体" w:cs="宋体"/>
                <w:sz w:val="24"/>
              </w:rPr>
            </w:pPr>
          </w:p>
        </w:tc>
      </w:tr>
      <w:tr w14:paraId="3936B15E">
        <w:tblPrEx>
          <w:tblCellMar>
            <w:top w:w="0" w:type="dxa"/>
            <w:left w:w="0" w:type="dxa"/>
            <w:bottom w:w="0" w:type="dxa"/>
            <w:right w:w="0" w:type="dxa"/>
          </w:tblCellMar>
        </w:tblPrEx>
        <w:trPr>
          <w:trHeight w:val="1395" w:hRule="atLeast"/>
        </w:trPr>
        <w:tc>
          <w:tcPr>
            <w:tcW w:w="9442"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C5908E">
            <w:pPr>
              <w:widowControl/>
              <w:spacing w:line="360" w:lineRule="auto"/>
              <w:jc w:val="left"/>
              <w:textAlignment w:val="center"/>
              <w:rPr>
                <w:rFonts w:ascii="宋体" w:hAnsi="宋体" w:cs="宋体"/>
                <w:kern w:val="0"/>
                <w:sz w:val="24"/>
                <w:lang w:bidi="ar"/>
              </w:rPr>
            </w:pPr>
            <w:r>
              <w:rPr>
                <w:rFonts w:hint="eastAsia" w:ascii="宋体" w:hAnsi="宋体" w:cs="宋体"/>
                <w:kern w:val="0"/>
                <w:sz w:val="24"/>
                <w:lang w:bidi="ar"/>
              </w:rPr>
              <w:t>含税总价（大写）：</w:t>
            </w:r>
          </w:p>
          <w:p w14:paraId="05476225">
            <w:pPr>
              <w:widowControl/>
              <w:spacing w:line="360" w:lineRule="auto"/>
              <w:jc w:val="left"/>
              <w:textAlignment w:val="center"/>
              <w:rPr>
                <w:rFonts w:ascii="宋体" w:hAnsi="宋体" w:cs="宋体"/>
                <w:kern w:val="0"/>
                <w:sz w:val="24"/>
                <w:lang w:bidi="ar"/>
              </w:rPr>
            </w:pPr>
            <w:r>
              <w:rPr>
                <w:rFonts w:hint="eastAsia" w:ascii="宋体" w:hAnsi="宋体" w:cs="宋体"/>
                <w:kern w:val="0"/>
                <w:sz w:val="24"/>
                <w:lang w:bidi="ar"/>
              </w:rPr>
              <w:t>供应商全称（加盖公章）：</w:t>
            </w:r>
          </w:p>
          <w:p w14:paraId="1E8CCEA8">
            <w:pPr>
              <w:widowControl/>
              <w:spacing w:line="360" w:lineRule="auto"/>
              <w:jc w:val="left"/>
              <w:textAlignment w:val="center"/>
              <w:rPr>
                <w:rFonts w:ascii="宋体" w:hAnsi="宋体" w:cs="宋体"/>
                <w:kern w:val="0"/>
                <w:sz w:val="24"/>
                <w:lang w:bidi="ar"/>
              </w:rPr>
            </w:pPr>
            <w:r>
              <w:rPr>
                <w:rFonts w:hint="eastAsia" w:ascii="宋体" w:hAnsi="宋体" w:cs="宋体"/>
                <w:kern w:val="0"/>
                <w:sz w:val="24"/>
                <w:lang w:bidi="ar"/>
              </w:rPr>
              <w:t>法定代表人或委托代理人（签字）：</w:t>
            </w:r>
          </w:p>
          <w:p w14:paraId="1AE0B2C3">
            <w:pPr>
              <w:widowControl/>
              <w:spacing w:line="360" w:lineRule="auto"/>
              <w:jc w:val="left"/>
              <w:textAlignment w:val="center"/>
              <w:rPr>
                <w:rFonts w:ascii="宋体" w:hAnsi="宋体" w:cs="宋体"/>
                <w:kern w:val="0"/>
                <w:sz w:val="24"/>
                <w:lang w:bidi="ar"/>
              </w:rPr>
            </w:pPr>
            <w:r>
              <w:rPr>
                <w:rFonts w:hint="eastAsia" w:ascii="宋体" w:hAnsi="宋体" w:cs="宋体"/>
                <w:kern w:val="0"/>
                <w:sz w:val="24"/>
                <w:lang w:bidi="ar"/>
              </w:rPr>
              <w:t>日期：</w:t>
            </w:r>
            <w:r>
              <w:rPr>
                <w:rFonts w:ascii="宋体" w:hAnsi="宋体" w:cs="宋体"/>
                <w:kern w:val="0"/>
                <w:sz w:val="24"/>
                <w:lang w:bidi="ar"/>
              </w:rPr>
              <w:t xml:space="preserve">       </w:t>
            </w:r>
            <w:r>
              <w:rPr>
                <w:rFonts w:hint="eastAsia" w:ascii="宋体" w:hAnsi="宋体" w:cs="宋体"/>
                <w:kern w:val="0"/>
                <w:sz w:val="24"/>
                <w:lang w:bidi="ar"/>
              </w:rPr>
              <w:t>年</w:t>
            </w:r>
            <w:r>
              <w:rPr>
                <w:rFonts w:ascii="宋体" w:hAnsi="宋体" w:cs="宋体"/>
                <w:kern w:val="0"/>
                <w:sz w:val="24"/>
                <w:lang w:bidi="ar"/>
              </w:rPr>
              <w:t xml:space="preserve">     </w:t>
            </w:r>
            <w:r>
              <w:rPr>
                <w:rFonts w:hint="eastAsia" w:ascii="宋体" w:hAnsi="宋体" w:cs="宋体"/>
                <w:kern w:val="0"/>
                <w:sz w:val="24"/>
                <w:lang w:bidi="ar"/>
              </w:rPr>
              <w:t>月</w:t>
            </w:r>
            <w:r>
              <w:rPr>
                <w:rFonts w:ascii="宋体" w:hAnsi="宋体" w:cs="宋体"/>
                <w:kern w:val="0"/>
                <w:sz w:val="24"/>
                <w:lang w:bidi="ar"/>
              </w:rPr>
              <w:t xml:space="preserve">    </w:t>
            </w:r>
            <w:r>
              <w:rPr>
                <w:rFonts w:hint="eastAsia" w:ascii="宋体" w:hAnsi="宋体" w:cs="宋体"/>
                <w:kern w:val="0"/>
                <w:sz w:val="24"/>
                <w:lang w:bidi="ar"/>
              </w:rPr>
              <w:t>日</w:t>
            </w:r>
          </w:p>
        </w:tc>
      </w:tr>
      <w:tr w14:paraId="4B64B200">
        <w:tblPrEx>
          <w:tblCellMar>
            <w:top w:w="0" w:type="dxa"/>
            <w:left w:w="0" w:type="dxa"/>
            <w:bottom w:w="0" w:type="dxa"/>
            <w:right w:w="0" w:type="dxa"/>
          </w:tblCellMar>
        </w:tblPrEx>
        <w:trPr>
          <w:trHeight w:val="1452" w:hRule="atLeast"/>
        </w:trPr>
        <w:tc>
          <w:tcPr>
            <w:tcW w:w="9442"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023F246A">
            <w:pPr>
              <w:widowControl/>
              <w:jc w:val="left"/>
              <w:textAlignment w:val="center"/>
              <w:rPr>
                <w:rFonts w:ascii="宋体" w:hAnsi="宋体" w:cs="宋体"/>
                <w:kern w:val="0"/>
                <w:sz w:val="24"/>
                <w:lang w:bidi="ar"/>
              </w:rPr>
            </w:pPr>
            <w:r>
              <w:rPr>
                <w:rFonts w:hint="eastAsia" w:ascii="宋体" w:hAnsi="宋体" w:cs="宋体"/>
                <w:kern w:val="0"/>
                <w:szCs w:val="21"/>
                <w:lang w:bidi="ar"/>
              </w:rPr>
              <w:t>注：报价为包干费用（含税），包括但不限于本项目的设备风险金、措施费、税金、人工费、材料费、机械费、管理费、利润、包装费、运输费、检验调试费、样品费、保险费、维修保修费、检测费、人员培训费、水电费、赶工费、其他项目费、规费（包括工程排污、养老保险、失业保险、医疗保险、住房公积金、危险作业意外伤害保险等）、工程特殊费等为履行本合同所需的全部费用。</w:t>
            </w:r>
          </w:p>
        </w:tc>
      </w:tr>
    </w:tbl>
    <w:p w14:paraId="2FCF690A">
      <w:pPr>
        <w:pStyle w:val="6"/>
        <w:spacing w:line="480" w:lineRule="exact"/>
        <w:rPr>
          <w:rFonts w:hint="eastAsia" w:ascii="宋体" w:hAnsi="宋体"/>
          <w:b/>
          <w:bCs/>
          <w:sz w:val="22"/>
          <w:lang w:val="en-US" w:eastAsia="zh-CN"/>
        </w:rPr>
      </w:pPr>
      <w:r>
        <w:rPr>
          <w:rFonts w:hint="eastAsia" w:ascii="宋体" w:hAnsi="宋体"/>
          <w:b/>
          <w:bCs/>
          <w:sz w:val="22"/>
        </w:rPr>
        <w:t>注：</w:t>
      </w:r>
      <w:r>
        <w:rPr>
          <w:rFonts w:ascii="宋体" w:hAnsi="宋体"/>
          <w:b/>
          <w:bCs/>
          <w:sz w:val="22"/>
        </w:rPr>
        <w:t>1、此表应放在《谈判文件》目录后第一页，以方便查找。</w:t>
      </w:r>
      <w:r>
        <w:rPr>
          <w:rFonts w:hint="eastAsia" w:ascii="宋体" w:hAnsi="宋体"/>
          <w:b/>
          <w:bCs/>
          <w:sz w:val="22"/>
          <w:lang w:val="en-US" w:eastAsia="zh-CN"/>
        </w:rPr>
        <w:t xml:space="preserve"> </w:t>
      </w:r>
    </w:p>
    <w:p w14:paraId="58F650B6">
      <w:pPr>
        <w:pStyle w:val="6"/>
        <w:spacing w:line="480" w:lineRule="exact"/>
        <w:ind w:firstLine="880" w:firstLineChars="400"/>
        <w:jc w:val="both"/>
        <w:rPr>
          <w:rFonts w:ascii="宋体" w:hAnsi="宋体"/>
          <w:b/>
          <w:bCs/>
          <w:sz w:val="22"/>
        </w:rPr>
        <w:sectPr>
          <w:headerReference r:id="rId6" w:type="default"/>
          <w:footerReference r:id="rId7" w:type="default"/>
          <w:pgSz w:w="11906" w:h="16838"/>
          <w:pgMar w:top="1304" w:right="1191" w:bottom="1304" w:left="1304" w:header="851" w:footer="992" w:gutter="0"/>
          <w:pgBorders>
            <w:top w:val="none" w:sz="0" w:space="0"/>
            <w:left w:val="none" w:sz="0" w:space="0"/>
            <w:bottom w:val="none" w:sz="0" w:space="0"/>
            <w:right w:val="none" w:sz="0" w:space="0"/>
          </w:pgBorders>
          <w:cols w:space="720" w:num="1"/>
          <w:docGrid w:type="linesAndChars" w:linePitch="312" w:charSpace="0"/>
        </w:sectPr>
      </w:pPr>
      <w:r>
        <w:rPr>
          <w:rFonts w:ascii="宋体" w:hAnsi="宋体"/>
          <w:b/>
          <w:bCs/>
          <w:sz w:val="22"/>
        </w:rPr>
        <w:t>2、</w:t>
      </w:r>
      <w:r>
        <w:rPr>
          <w:rFonts w:hint="eastAsia" w:ascii="宋体" w:hAnsi="宋体"/>
          <w:b/>
          <w:bCs/>
          <w:sz w:val="22"/>
          <w:lang w:val="en-US" w:eastAsia="zh-CN"/>
        </w:rPr>
        <w:t>若有</w:t>
      </w:r>
      <w:r>
        <w:rPr>
          <w:rFonts w:ascii="宋体" w:hAnsi="宋体"/>
          <w:b/>
          <w:bCs/>
          <w:sz w:val="22"/>
        </w:rPr>
        <w:t>分项报价表，分项表汇总的含税总价应与本表含税总价一致。</w:t>
      </w:r>
    </w:p>
    <w:p w14:paraId="757F0A99">
      <w:pPr>
        <w:pStyle w:val="9"/>
        <w:jc w:val="center"/>
        <w:rPr>
          <w:b/>
          <w:sz w:val="30"/>
          <w:szCs w:val="30"/>
          <w:lang w:val="en-US"/>
        </w:rPr>
      </w:pPr>
      <w:r>
        <w:rPr>
          <w:rFonts w:hint="eastAsia"/>
          <w:b/>
          <w:sz w:val="30"/>
          <w:szCs w:val="30"/>
          <w:lang w:val="en-US"/>
        </w:rPr>
        <w:t>分项报价表</w:t>
      </w:r>
    </w:p>
    <w:p w14:paraId="25C68B2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val="0"/>
          <w:bCs w:val="0"/>
          <w:sz w:val="24"/>
          <w:lang w:eastAsia="zh-CN"/>
        </w:rPr>
      </w:pPr>
      <w:r>
        <w:rPr>
          <w:rFonts w:hint="eastAsia"/>
          <w:b w:val="0"/>
          <w:bCs w:val="0"/>
          <w:sz w:val="24"/>
          <w:lang w:val="en-US" w:eastAsia="zh-CN"/>
        </w:rPr>
        <w:t>1、项目名称：</w:t>
      </w:r>
      <w:r>
        <w:rPr>
          <w:rFonts w:hint="eastAsia"/>
          <w:b w:val="0"/>
          <w:bCs w:val="0"/>
          <w:sz w:val="24"/>
          <w:lang w:eastAsia="zh-CN"/>
        </w:rPr>
        <w:t>北山国际货场企业标识牌采购项目</w:t>
      </w:r>
    </w:p>
    <w:p w14:paraId="7A0860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val="0"/>
          <w:bCs w:val="0"/>
          <w:sz w:val="24"/>
        </w:rPr>
      </w:pPr>
      <w:r>
        <w:rPr>
          <w:rFonts w:hint="eastAsia"/>
          <w:b w:val="0"/>
          <w:bCs w:val="0"/>
          <w:sz w:val="24"/>
          <w:lang w:val="en-US" w:eastAsia="zh-CN"/>
        </w:rPr>
        <w:t>2、分项报价如有请附于此</w:t>
      </w:r>
      <w:r>
        <w:rPr>
          <w:rFonts w:hint="eastAsia"/>
          <w:b w:val="0"/>
          <w:bCs w:val="0"/>
          <w:sz w:val="24"/>
        </w:rPr>
        <w:t>，格式自拟。</w:t>
      </w:r>
    </w:p>
    <w:tbl>
      <w:tblPr>
        <w:tblStyle w:val="26"/>
        <w:tblW w:w="1386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2"/>
        <w:gridCol w:w="1830"/>
        <w:gridCol w:w="2520"/>
        <w:gridCol w:w="1575"/>
        <w:gridCol w:w="990"/>
        <w:gridCol w:w="585"/>
        <w:gridCol w:w="780"/>
        <w:gridCol w:w="795"/>
        <w:gridCol w:w="4155"/>
      </w:tblGrid>
      <w:tr w14:paraId="3C6BF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BB4C2">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序号</w:t>
            </w:r>
          </w:p>
        </w:tc>
        <w:tc>
          <w:tcPr>
            <w:tcW w:w="1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C6F1F">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位置</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22CD4">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制作内容</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46229">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规格</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C0DC1">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单位</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59880">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数量</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40820">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面积</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89E2E7">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单价</w:t>
            </w:r>
          </w:p>
        </w:tc>
        <w:tc>
          <w:tcPr>
            <w:tcW w:w="4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B4A9D3">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最终效果图（仅供参考）</w:t>
            </w:r>
          </w:p>
        </w:tc>
      </w:tr>
      <w:tr w14:paraId="103CD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632" w:type="dxa"/>
            <w:vMerge w:val="restart"/>
            <w:tcBorders>
              <w:top w:val="single" w:color="000000" w:sz="4" w:space="0"/>
              <w:left w:val="single" w:color="000000" w:sz="4" w:space="0"/>
              <w:bottom w:val="nil"/>
              <w:right w:val="single" w:color="000000" w:sz="4" w:space="0"/>
            </w:tcBorders>
            <w:shd w:val="clear" w:color="auto" w:fill="FFFFFF"/>
            <w:vAlign w:val="center"/>
          </w:tcPr>
          <w:p w14:paraId="3687C415">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1830" w:type="dxa"/>
            <w:vMerge w:val="restart"/>
            <w:tcBorders>
              <w:top w:val="single" w:color="000000" w:sz="4" w:space="0"/>
              <w:left w:val="single" w:color="000000" w:sz="4" w:space="0"/>
              <w:bottom w:val="nil"/>
              <w:right w:val="single" w:color="000000" w:sz="4" w:space="0"/>
            </w:tcBorders>
            <w:shd w:val="clear" w:color="auto" w:fill="FFFFFF"/>
            <w:vAlign w:val="center"/>
          </w:tcPr>
          <w:p w14:paraId="38AB4603">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云南省红河州河口县北山国际货场北卡口</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55F25">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更换标志（外露led发光字）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33DCA">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3.8 * 2.1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D3AED">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CE5A3">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5CCBB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7.98</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97F17">
            <w:pPr>
              <w:bidi w:val="0"/>
              <w:rPr>
                <w:rFonts w:hint="eastAsia" w:asciiTheme="minorEastAsia" w:hAnsiTheme="minorEastAsia" w:eastAsiaTheme="minorEastAsia" w:cstheme="minorEastAsia"/>
                <w:sz w:val="24"/>
                <w:szCs w:val="24"/>
              </w:rPr>
            </w:pPr>
          </w:p>
        </w:tc>
        <w:tc>
          <w:tcPr>
            <w:tcW w:w="4155" w:type="dxa"/>
            <w:vMerge w:val="restart"/>
            <w:tcBorders>
              <w:top w:val="single" w:color="000000" w:sz="4" w:space="0"/>
              <w:left w:val="single" w:color="000000" w:sz="4" w:space="0"/>
              <w:bottom w:val="nil"/>
              <w:right w:val="single" w:color="000000" w:sz="4" w:space="0"/>
            </w:tcBorders>
            <w:shd w:val="clear" w:color="auto" w:fill="FFFFFF"/>
            <w:vAlign w:val="center"/>
          </w:tcPr>
          <w:p w14:paraId="049B62C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drawing>
                <wp:inline distT="0" distB="0" distL="114300" distR="114300">
                  <wp:extent cx="2514600" cy="1701165"/>
                  <wp:effectExtent l="0" t="0" r="0" b="13335"/>
                  <wp:docPr id="47"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9" descr="IMG_256"/>
                          <pic:cNvPicPr>
                            <a:picLocks noChangeAspect="1"/>
                          </pic:cNvPicPr>
                        </pic:nvPicPr>
                        <pic:blipFill>
                          <a:blip r:embed="rId17"/>
                          <a:stretch>
                            <a:fillRect/>
                          </a:stretch>
                        </pic:blipFill>
                        <pic:spPr>
                          <a:xfrm>
                            <a:off x="0" y="0"/>
                            <a:ext cx="2514600" cy="1701165"/>
                          </a:xfrm>
                          <a:prstGeom prst="rect">
                            <a:avLst/>
                          </a:prstGeom>
                          <a:noFill/>
                          <a:ln w="9525">
                            <a:noFill/>
                          </a:ln>
                        </pic:spPr>
                      </pic:pic>
                    </a:graphicData>
                  </a:graphic>
                </wp:inline>
              </w:drawing>
            </w:r>
          </w:p>
        </w:tc>
      </w:tr>
      <w:tr w14:paraId="075B1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nil"/>
              <w:right w:val="single" w:color="000000" w:sz="4" w:space="0"/>
            </w:tcBorders>
            <w:shd w:val="clear" w:color="auto" w:fill="FFFFFF"/>
            <w:vAlign w:val="center"/>
          </w:tcPr>
          <w:p w14:paraId="1FBD5762">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nil"/>
              <w:right w:val="single" w:color="000000" w:sz="4" w:space="0"/>
            </w:tcBorders>
            <w:shd w:val="clear" w:color="auto" w:fill="FFFFFF"/>
            <w:vAlign w:val="center"/>
          </w:tcPr>
          <w:p w14:paraId="716332C1">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B8BA73">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更换中文（外露led发光字）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6AAE6F">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1.1 * 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34430">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033A2">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D4F48">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1.1</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6EEAB">
            <w:pPr>
              <w:bidi w:val="0"/>
              <w:rPr>
                <w:rFonts w:hint="eastAsia" w:asciiTheme="minorEastAsia" w:hAnsiTheme="minorEastAsia" w:eastAsiaTheme="minorEastAsia" w:cstheme="minorEastAsia"/>
                <w:sz w:val="24"/>
                <w:szCs w:val="24"/>
              </w:rPr>
            </w:pPr>
          </w:p>
        </w:tc>
        <w:tc>
          <w:tcPr>
            <w:tcW w:w="4155" w:type="dxa"/>
            <w:vMerge w:val="continue"/>
            <w:tcBorders>
              <w:top w:val="single" w:color="000000" w:sz="4" w:space="0"/>
              <w:left w:val="single" w:color="000000" w:sz="4" w:space="0"/>
              <w:bottom w:val="nil"/>
              <w:right w:val="single" w:color="000000" w:sz="4" w:space="0"/>
            </w:tcBorders>
            <w:shd w:val="clear" w:color="auto" w:fill="FFFFFF"/>
            <w:vAlign w:val="center"/>
          </w:tcPr>
          <w:p w14:paraId="2D8508D5">
            <w:pPr>
              <w:bidi w:val="0"/>
              <w:rPr>
                <w:rFonts w:hint="eastAsia" w:asciiTheme="minorEastAsia" w:hAnsiTheme="minorEastAsia" w:eastAsiaTheme="minorEastAsia" w:cstheme="minorEastAsia"/>
                <w:sz w:val="24"/>
                <w:szCs w:val="24"/>
              </w:rPr>
            </w:pPr>
          </w:p>
        </w:tc>
      </w:tr>
      <w:tr w14:paraId="50C5F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nil"/>
              <w:right w:val="single" w:color="000000" w:sz="4" w:space="0"/>
            </w:tcBorders>
            <w:shd w:val="clear" w:color="auto" w:fill="FFFFFF"/>
            <w:vAlign w:val="center"/>
          </w:tcPr>
          <w:p w14:paraId="082AC375">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nil"/>
              <w:right w:val="single" w:color="000000" w:sz="4" w:space="0"/>
            </w:tcBorders>
            <w:shd w:val="clear" w:color="auto" w:fill="FFFFFF"/>
            <w:vAlign w:val="center"/>
          </w:tcPr>
          <w:p w14:paraId="3846246A">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1AE10">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更换英文（外露led发光字）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5D600">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0.37 * 0.37</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E5AAA">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FA9910">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88130">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4.44</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648AD">
            <w:pPr>
              <w:bidi w:val="0"/>
              <w:rPr>
                <w:rFonts w:hint="eastAsia" w:asciiTheme="minorEastAsia" w:hAnsiTheme="minorEastAsia" w:eastAsiaTheme="minorEastAsia" w:cstheme="minorEastAsia"/>
                <w:sz w:val="24"/>
                <w:szCs w:val="24"/>
              </w:rPr>
            </w:pPr>
          </w:p>
        </w:tc>
        <w:tc>
          <w:tcPr>
            <w:tcW w:w="4155" w:type="dxa"/>
            <w:vMerge w:val="continue"/>
            <w:tcBorders>
              <w:top w:val="single" w:color="000000" w:sz="4" w:space="0"/>
              <w:left w:val="single" w:color="000000" w:sz="4" w:space="0"/>
              <w:bottom w:val="nil"/>
              <w:right w:val="single" w:color="000000" w:sz="4" w:space="0"/>
            </w:tcBorders>
            <w:shd w:val="clear" w:color="auto" w:fill="FFFFFF"/>
            <w:vAlign w:val="center"/>
          </w:tcPr>
          <w:p w14:paraId="4D0E9274">
            <w:pPr>
              <w:bidi w:val="0"/>
              <w:rPr>
                <w:rFonts w:hint="eastAsia" w:asciiTheme="minorEastAsia" w:hAnsiTheme="minorEastAsia" w:eastAsiaTheme="minorEastAsia" w:cstheme="minorEastAsia"/>
                <w:sz w:val="24"/>
                <w:szCs w:val="24"/>
              </w:rPr>
            </w:pPr>
          </w:p>
        </w:tc>
      </w:tr>
      <w:tr w14:paraId="491AB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nil"/>
              <w:right w:val="single" w:color="000000" w:sz="4" w:space="0"/>
            </w:tcBorders>
            <w:shd w:val="clear" w:color="auto" w:fill="FFFFFF"/>
            <w:vAlign w:val="center"/>
          </w:tcPr>
          <w:p w14:paraId="157976C2">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nil"/>
              <w:right w:val="single" w:color="000000" w:sz="4" w:space="0"/>
            </w:tcBorders>
            <w:shd w:val="clear" w:color="auto" w:fill="FFFFFF"/>
            <w:vAlign w:val="center"/>
          </w:tcPr>
          <w:p w14:paraId="69AE3BC0">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7F889">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发光字钢架部分除锈养护（30mm*50mm镀锌方管，1.2mm厚）</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E32DA">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4.5mx38m</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C9CA98">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BFEE3">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0B9C77">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171</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EAB28">
            <w:pPr>
              <w:bidi w:val="0"/>
              <w:rPr>
                <w:rFonts w:hint="eastAsia" w:asciiTheme="minorEastAsia" w:hAnsiTheme="minorEastAsia" w:eastAsiaTheme="minorEastAsia" w:cstheme="minorEastAsia"/>
                <w:sz w:val="24"/>
                <w:szCs w:val="24"/>
              </w:rPr>
            </w:pPr>
          </w:p>
        </w:tc>
        <w:tc>
          <w:tcPr>
            <w:tcW w:w="4155" w:type="dxa"/>
            <w:vMerge w:val="continue"/>
            <w:tcBorders>
              <w:top w:val="single" w:color="000000" w:sz="4" w:space="0"/>
              <w:left w:val="single" w:color="000000" w:sz="4" w:space="0"/>
              <w:bottom w:val="nil"/>
              <w:right w:val="single" w:color="000000" w:sz="4" w:space="0"/>
            </w:tcBorders>
            <w:shd w:val="clear" w:color="auto" w:fill="FFFFFF"/>
            <w:vAlign w:val="center"/>
          </w:tcPr>
          <w:p w14:paraId="517578CE">
            <w:pPr>
              <w:bidi w:val="0"/>
              <w:rPr>
                <w:rFonts w:hint="eastAsia" w:asciiTheme="minorEastAsia" w:hAnsiTheme="minorEastAsia" w:eastAsiaTheme="minorEastAsia" w:cstheme="minorEastAsia"/>
                <w:sz w:val="24"/>
                <w:szCs w:val="24"/>
              </w:rPr>
            </w:pPr>
          </w:p>
        </w:tc>
      </w:tr>
      <w:tr w14:paraId="3B6AC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restart"/>
            <w:tcBorders>
              <w:top w:val="single" w:color="000000" w:sz="4" w:space="0"/>
              <w:left w:val="single" w:color="000000" w:sz="4" w:space="0"/>
              <w:bottom w:val="nil"/>
              <w:right w:val="single" w:color="000000" w:sz="4" w:space="0"/>
            </w:tcBorders>
            <w:shd w:val="clear" w:color="auto" w:fill="FFFFFF"/>
            <w:vAlign w:val="center"/>
          </w:tcPr>
          <w:p w14:paraId="16E632AA">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p>
        </w:tc>
        <w:tc>
          <w:tcPr>
            <w:tcW w:w="1830" w:type="dxa"/>
            <w:vMerge w:val="restart"/>
            <w:tcBorders>
              <w:top w:val="single" w:color="000000" w:sz="4" w:space="0"/>
              <w:left w:val="single" w:color="000000" w:sz="4" w:space="0"/>
              <w:bottom w:val="nil"/>
              <w:right w:val="single" w:color="000000" w:sz="4" w:space="0"/>
            </w:tcBorders>
            <w:shd w:val="clear" w:color="auto" w:fill="FFFFFF"/>
            <w:vAlign w:val="center"/>
          </w:tcPr>
          <w:p w14:paraId="2FF902C4">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云南省红河州河口县北山国际货场信息大楼顶楼</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155D9">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更换标志（外露led发光字）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CF3F8">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6.4 * 3.56</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49CD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664F1">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E61F6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22.784</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5643C">
            <w:pPr>
              <w:bidi w:val="0"/>
              <w:rPr>
                <w:rFonts w:hint="eastAsia" w:asciiTheme="minorEastAsia" w:hAnsiTheme="minorEastAsia" w:eastAsiaTheme="minorEastAsia" w:cstheme="minorEastAsia"/>
                <w:sz w:val="24"/>
                <w:szCs w:val="24"/>
              </w:rPr>
            </w:pPr>
          </w:p>
        </w:tc>
        <w:tc>
          <w:tcPr>
            <w:tcW w:w="4155" w:type="dxa"/>
            <w:vMerge w:val="restart"/>
            <w:tcBorders>
              <w:top w:val="single" w:color="000000" w:sz="4" w:space="0"/>
              <w:left w:val="single" w:color="000000" w:sz="4" w:space="0"/>
              <w:bottom w:val="nil"/>
              <w:right w:val="single" w:color="000000" w:sz="4" w:space="0"/>
            </w:tcBorders>
            <w:shd w:val="clear" w:color="auto" w:fill="FFFFFF"/>
            <w:vAlign w:val="center"/>
          </w:tcPr>
          <w:p w14:paraId="0542B7C9">
            <w:pPr>
              <w:bidi w:val="0"/>
              <w:rPr>
                <w:rFonts w:hint="eastAsia" w:asciiTheme="minorEastAsia" w:hAnsiTheme="minorEastAsia" w:eastAsiaTheme="minorEastAsia" w:cstheme="minorEastAsia"/>
                <w:sz w:val="24"/>
                <w:szCs w:val="24"/>
              </w:rPr>
            </w:pPr>
          </w:p>
        </w:tc>
      </w:tr>
      <w:tr w14:paraId="3993B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nil"/>
              <w:right w:val="single" w:color="000000" w:sz="4" w:space="0"/>
            </w:tcBorders>
            <w:shd w:val="clear" w:color="auto" w:fill="FFFFFF"/>
            <w:vAlign w:val="center"/>
          </w:tcPr>
          <w:p w14:paraId="7E245DBF">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nil"/>
              <w:right w:val="single" w:color="000000" w:sz="4" w:space="0"/>
            </w:tcBorders>
            <w:shd w:val="clear" w:color="auto" w:fill="FFFFFF"/>
            <w:vAlign w:val="center"/>
          </w:tcPr>
          <w:p w14:paraId="7124A941">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ADB0E">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更换中文（外露led发光字）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BA744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2.4 * 2.4</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10A7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2AA67">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66187">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5.76</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D41E3">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drawing>
                <wp:anchor distT="0" distB="0" distL="114300" distR="114300" simplePos="0" relativeHeight="251660288" behindDoc="0" locked="0" layoutInCell="1" allowOverlap="1">
                  <wp:simplePos x="0" y="0"/>
                  <wp:positionH relativeFrom="column">
                    <wp:posOffset>567690</wp:posOffset>
                  </wp:positionH>
                  <wp:positionV relativeFrom="paragraph">
                    <wp:posOffset>162560</wp:posOffset>
                  </wp:positionV>
                  <wp:extent cx="2464435" cy="1562735"/>
                  <wp:effectExtent l="0" t="0" r="12065" b="18415"/>
                  <wp:wrapNone/>
                  <wp:docPr id="48" name="图片 20"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0" descr="IMG_257"/>
                          <pic:cNvPicPr>
                            <a:picLocks noChangeAspect="1"/>
                          </pic:cNvPicPr>
                        </pic:nvPicPr>
                        <pic:blipFill>
                          <a:blip r:embed="rId18"/>
                          <a:stretch>
                            <a:fillRect/>
                          </a:stretch>
                        </pic:blipFill>
                        <pic:spPr>
                          <a:xfrm>
                            <a:off x="0" y="0"/>
                            <a:ext cx="2464435" cy="1562735"/>
                          </a:xfrm>
                          <a:prstGeom prst="rect">
                            <a:avLst/>
                          </a:prstGeom>
                          <a:noFill/>
                          <a:ln w="9525">
                            <a:noFill/>
                          </a:ln>
                        </pic:spPr>
                      </pic:pic>
                    </a:graphicData>
                  </a:graphic>
                </wp:anchor>
              </w:drawing>
            </w:r>
          </w:p>
        </w:tc>
        <w:tc>
          <w:tcPr>
            <w:tcW w:w="4155" w:type="dxa"/>
            <w:vMerge w:val="continue"/>
            <w:tcBorders>
              <w:top w:val="single" w:color="000000" w:sz="4" w:space="0"/>
              <w:left w:val="single" w:color="000000" w:sz="4" w:space="0"/>
              <w:bottom w:val="nil"/>
              <w:right w:val="single" w:color="000000" w:sz="4" w:space="0"/>
            </w:tcBorders>
            <w:shd w:val="clear" w:color="auto" w:fill="FFFFFF"/>
            <w:vAlign w:val="center"/>
          </w:tcPr>
          <w:p w14:paraId="2A6329C0">
            <w:pPr>
              <w:bidi w:val="0"/>
              <w:rPr>
                <w:rFonts w:hint="eastAsia" w:asciiTheme="minorEastAsia" w:hAnsiTheme="minorEastAsia" w:eastAsiaTheme="minorEastAsia" w:cstheme="minorEastAsia"/>
                <w:sz w:val="24"/>
                <w:szCs w:val="24"/>
              </w:rPr>
            </w:pPr>
          </w:p>
        </w:tc>
      </w:tr>
      <w:tr w14:paraId="0C6F1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nil"/>
              <w:right w:val="single" w:color="000000" w:sz="4" w:space="0"/>
            </w:tcBorders>
            <w:shd w:val="clear" w:color="auto" w:fill="FFFFFF"/>
            <w:vAlign w:val="center"/>
          </w:tcPr>
          <w:p w14:paraId="523C5E5B">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nil"/>
              <w:right w:val="single" w:color="000000" w:sz="4" w:space="0"/>
            </w:tcBorders>
            <w:shd w:val="clear" w:color="auto" w:fill="FFFFFF"/>
            <w:vAlign w:val="center"/>
          </w:tcPr>
          <w:p w14:paraId="616927CC">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A119D">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更换英文（外露led发光字）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BAF18">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 * 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365032">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4DF9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15419">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12</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1C16E">
            <w:pPr>
              <w:bidi w:val="0"/>
              <w:rPr>
                <w:rFonts w:hint="eastAsia" w:asciiTheme="minorEastAsia" w:hAnsiTheme="minorEastAsia" w:eastAsiaTheme="minorEastAsia" w:cstheme="minorEastAsia"/>
                <w:sz w:val="24"/>
                <w:szCs w:val="24"/>
              </w:rPr>
            </w:pPr>
          </w:p>
        </w:tc>
        <w:tc>
          <w:tcPr>
            <w:tcW w:w="4155" w:type="dxa"/>
            <w:vMerge w:val="continue"/>
            <w:tcBorders>
              <w:top w:val="single" w:color="000000" w:sz="4" w:space="0"/>
              <w:left w:val="single" w:color="000000" w:sz="4" w:space="0"/>
              <w:bottom w:val="nil"/>
              <w:right w:val="single" w:color="000000" w:sz="4" w:space="0"/>
            </w:tcBorders>
            <w:shd w:val="clear" w:color="auto" w:fill="FFFFFF"/>
            <w:vAlign w:val="center"/>
          </w:tcPr>
          <w:p w14:paraId="77F14013">
            <w:pPr>
              <w:bidi w:val="0"/>
              <w:rPr>
                <w:rFonts w:hint="eastAsia" w:asciiTheme="minorEastAsia" w:hAnsiTheme="minorEastAsia" w:eastAsiaTheme="minorEastAsia" w:cstheme="minorEastAsia"/>
                <w:sz w:val="24"/>
                <w:szCs w:val="24"/>
              </w:rPr>
            </w:pPr>
          </w:p>
        </w:tc>
      </w:tr>
      <w:tr w14:paraId="6A5F0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nil"/>
              <w:right w:val="single" w:color="000000" w:sz="4" w:space="0"/>
            </w:tcBorders>
            <w:shd w:val="clear" w:color="auto" w:fill="FFFFFF"/>
            <w:vAlign w:val="center"/>
          </w:tcPr>
          <w:p w14:paraId="7B2572B3">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nil"/>
              <w:right w:val="single" w:color="000000" w:sz="4" w:space="0"/>
            </w:tcBorders>
            <w:shd w:val="clear" w:color="auto" w:fill="FFFFFF"/>
            <w:vAlign w:val="center"/>
          </w:tcPr>
          <w:p w14:paraId="2B3542D5">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F9C15">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发光字钢架部分除锈养护（3*5镀锌方管焊接）</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82C41">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25 * 6</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1F475">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8E822">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4405A">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150</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7025C">
            <w:pPr>
              <w:bidi w:val="0"/>
              <w:rPr>
                <w:rFonts w:hint="eastAsia" w:asciiTheme="minorEastAsia" w:hAnsiTheme="minorEastAsia" w:eastAsiaTheme="minorEastAsia" w:cstheme="minorEastAsia"/>
                <w:sz w:val="24"/>
                <w:szCs w:val="24"/>
              </w:rPr>
            </w:pPr>
          </w:p>
        </w:tc>
        <w:tc>
          <w:tcPr>
            <w:tcW w:w="4155" w:type="dxa"/>
            <w:vMerge w:val="continue"/>
            <w:tcBorders>
              <w:top w:val="single" w:color="000000" w:sz="4" w:space="0"/>
              <w:left w:val="single" w:color="000000" w:sz="4" w:space="0"/>
              <w:bottom w:val="nil"/>
              <w:right w:val="single" w:color="000000" w:sz="4" w:space="0"/>
            </w:tcBorders>
            <w:shd w:val="clear" w:color="auto" w:fill="FFFFFF"/>
            <w:vAlign w:val="center"/>
          </w:tcPr>
          <w:p w14:paraId="12CFD129">
            <w:pPr>
              <w:bidi w:val="0"/>
              <w:rPr>
                <w:rFonts w:hint="eastAsia" w:asciiTheme="minorEastAsia" w:hAnsiTheme="minorEastAsia" w:eastAsiaTheme="minorEastAsia" w:cstheme="minorEastAsia"/>
                <w:sz w:val="24"/>
                <w:szCs w:val="24"/>
              </w:rPr>
            </w:pPr>
          </w:p>
        </w:tc>
      </w:tr>
      <w:tr w14:paraId="4A38D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restart"/>
            <w:tcBorders>
              <w:top w:val="single" w:color="000000" w:sz="4" w:space="0"/>
              <w:left w:val="single" w:color="000000" w:sz="4" w:space="0"/>
              <w:bottom w:val="nil"/>
              <w:right w:val="single" w:color="000000" w:sz="4" w:space="0"/>
            </w:tcBorders>
            <w:shd w:val="clear" w:color="auto" w:fill="FFFFFF"/>
            <w:vAlign w:val="center"/>
          </w:tcPr>
          <w:p w14:paraId="5C79F337">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p>
        </w:tc>
        <w:tc>
          <w:tcPr>
            <w:tcW w:w="1830" w:type="dxa"/>
            <w:vMerge w:val="restart"/>
            <w:tcBorders>
              <w:top w:val="single" w:color="000000" w:sz="4" w:space="0"/>
              <w:left w:val="single" w:color="000000" w:sz="4" w:space="0"/>
              <w:bottom w:val="nil"/>
              <w:right w:val="single" w:color="000000" w:sz="4" w:space="0"/>
            </w:tcBorders>
            <w:shd w:val="clear" w:color="auto" w:fill="FFFFFF"/>
            <w:vAlign w:val="center"/>
          </w:tcPr>
          <w:p w14:paraId="49A3A499">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云南省红河州河口县北山国际货场联检楼顶楼</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155F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更换标志（外露led发光字）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44ADE">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 * 2.8</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7D269">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2DF59">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67404">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14</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AB0145">
            <w:pPr>
              <w:bidi w:val="0"/>
              <w:rPr>
                <w:rFonts w:hint="eastAsia" w:asciiTheme="minorEastAsia" w:hAnsiTheme="minorEastAsia" w:eastAsiaTheme="minorEastAsia" w:cstheme="minorEastAsia"/>
                <w:sz w:val="24"/>
                <w:szCs w:val="24"/>
              </w:rPr>
            </w:pPr>
          </w:p>
        </w:tc>
        <w:tc>
          <w:tcPr>
            <w:tcW w:w="4155" w:type="dxa"/>
            <w:vMerge w:val="restart"/>
            <w:tcBorders>
              <w:top w:val="single" w:color="000000" w:sz="4" w:space="0"/>
              <w:left w:val="single" w:color="000000" w:sz="4" w:space="0"/>
              <w:bottom w:val="nil"/>
              <w:right w:val="single" w:color="000000" w:sz="4" w:space="0"/>
            </w:tcBorders>
            <w:shd w:val="clear" w:color="auto" w:fill="FFFFFF"/>
            <w:vAlign w:val="center"/>
          </w:tcPr>
          <w:p w14:paraId="452E08E2">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drawing>
                <wp:inline distT="0" distB="0" distL="114300" distR="114300">
                  <wp:extent cx="2238375" cy="2219325"/>
                  <wp:effectExtent l="0" t="0" r="9525" b="9525"/>
                  <wp:docPr id="45" name="图片 21"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1" descr="IMG_258"/>
                          <pic:cNvPicPr>
                            <a:picLocks noChangeAspect="1"/>
                          </pic:cNvPicPr>
                        </pic:nvPicPr>
                        <pic:blipFill>
                          <a:blip r:embed="rId19"/>
                          <a:stretch>
                            <a:fillRect/>
                          </a:stretch>
                        </pic:blipFill>
                        <pic:spPr>
                          <a:xfrm>
                            <a:off x="0" y="0"/>
                            <a:ext cx="2238375" cy="2219325"/>
                          </a:xfrm>
                          <a:prstGeom prst="rect">
                            <a:avLst/>
                          </a:prstGeom>
                          <a:noFill/>
                          <a:ln w="9525">
                            <a:noFill/>
                          </a:ln>
                        </pic:spPr>
                      </pic:pic>
                    </a:graphicData>
                  </a:graphic>
                </wp:inline>
              </w:drawing>
            </w:r>
            <w:r>
              <w:rPr>
                <w:rFonts w:hint="eastAsia" w:asciiTheme="minorEastAsia" w:hAnsiTheme="minorEastAsia" w:eastAsiaTheme="minorEastAsia" w:cstheme="minorEastAsia"/>
                <w:sz w:val="24"/>
                <w:szCs w:val="24"/>
                <w:lang w:val="en-US"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724535</wp:posOffset>
                  </wp:positionV>
                  <wp:extent cx="0" cy="724535"/>
                  <wp:effectExtent l="0" t="0" r="0" b="0"/>
                  <wp:wrapNone/>
                  <wp:docPr id="1073742865" name="Pictur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5" name="Picture_1"/>
                          <pic:cNvPicPr>
                            <a:picLocks noChangeAspect="1" noChangeArrowheads="1"/>
                          </pic:cNvPicPr>
                        </pic:nvPicPr>
                        <pic:blipFill>
                          <a:blip r:embed="rId20"/>
                          <a:srcRect/>
                          <a:stretch>
                            <a:fillRect l="1000" t="1000" r="1000" b="1000"/>
                          </a:stretch>
                        </pic:blipFill>
                        <pic:spPr>
                          <a:xfrm>
                            <a:off x="6878320" y="7510145"/>
                            <a:ext cx="0" cy="724535"/>
                          </a:xfrm>
                          <a:prstGeom prst="rect">
                            <a:avLst/>
                          </a:prstGeom>
                          <a:noFill/>
                        </pic:spPr>
                      </pic:pic>
                    </a:graphicData>
                  </a:graphic>
                </wp:anchor>
              </w:drawing>
            </w:r>
            <w:r>
              <w:rPr>
                <w:rFonts w:hint="eastAsia" w:asciiTheme="minorEastAsia" w:hAnsiTheme="minorEastAsia" w:eastAsiaTheme="minorEastAsia" w:cstheme="minorEastAsia"/>
                <w:sz w:val="24"/>
                <w:szCs w:val="24"/>
                <w:lang w:val="en-US"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1449070</wp:posOffset>
                  </wp:positionV>
                  <wp:extent cx="0" cy="1449070"/>
                  <wp:effectExtent l="0" t="0" r="0" b="0"/>
                  <wp:wrapNone/>
                  <wp:docPr id="1073742866" name="Picture_1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6" name="Picture_1_SpCnt_1"/>
                          <pic:cNvPicPr>
                            <a:picLocks noChangeAspect="1" noChangeArrowheads="1"/>
                          </pic:cNvPicPr>
                        </pic:nvPicPr>
                        <pic:blipFill>
                          <a:blip r:embed="rId21"/>
                          <a:srcRect/>
                          <a:stretch>
                            <a:fillRect l="1000" t="1000" r="1000" b="1000"/>
                          </a:stretch>
                        </pic:blipFill>
                        <pic:spPr>
                          <a:xfrm>
                            <a:off x="6878320" y="8234680"/>
                            <a:ext cx="0" cy="1449070"/>
                          </a:xfrm>
                          <a:prstGeom prst="rect">
                            <a:avLst/>
                          </a:prstGeom>
                          <a:noFill/>
                        </pic:spPr>
                      </pic:pic>
                    </a:graphicData>
                  </a:graphic>
                </wp:anchor>
              </w:drawing>
            </w:r>
          </w:p>
        </w:tc>
      </w:tr>
      <w:tr w14:paraId="60430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nil"/>
              <w:right w:val="single" w:color="000000" w:sz="4" w:space="0"/>
            </w:tcBorders>
            <w:shd w:val="clear" w:color="auto" w:fill="FFFFFF"/>
            <w:vAlign w:val="center"/>
          </w:tcPr>
          <w:p w14:paraId="6CFA7CD4">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nil"/>
              <w:right w:val="single" w:color="000000" w:sz="4" w:space="0"/>
            </w:tcBorders>
            <w:shd w:val="clear" w:color="auto" w:fill="FFFFFF"/>
            <w:vAlign w:val="center"/>
          </w:tcPr>
          <w:p w14:paraId="36046E34">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E73AD3">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更换中文（外露led发光字）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3BD3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 * 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8B614">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5A87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FA40E">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9CD92">
            <w:pPr>
              <w:bidi w:val="0"/>
              <w:rPr>
                <w:rFonts w:hint="eastAsia" w:asciiTheme="minorEastAsia" w:hAnsiTheme="minorEastAsia" w:eastAsiaTheme="minorEastAsia" w:cstheme="minorEastAsia"/>
                <w:sz w:val="24"/>
                <w:szCs w:val="24"/>
              </w:rPr>
            </w:pPr>
          </w:p>
        </w:tc>
        <w:tc>
          <w:tcPr>
            <w:tcW w:w="4155" w:type="dxa"/>
            <w:vMerge w:val="continue"/>
            <w:tcBorders>
              <w:top w:val="single" w:color="000000" w:sz="4" w:space="0"/>
              <w:left w:val="single" w:color="000000" w:sz="4" w:space="0"/>
              <w:bottom w:val="nil"/>
              <w:right w:val="single" w:color="000000" w:sz="4" w:space="0"/>
            </w:tcBorders>
            <w:shd w:val="clear" w:color="auto" w:fill="FFFFFF"/>
            <w:vAlign w:val="center"/>
          </w:tcPr>
          <w:p w14:paraId="351B8BBB">
            <w:pPr>
              <w:bidi w:val="0"/>
              <w:rPr>
                <w:rFonts w:hint="eastAsia" w:asciiTheme="minorEastAsia" w:hAnsiTheme="minorEastAsia" w:eastAsiaTheme="minorEastAsia" w:cstheme="minorEastAsia"/>
                <w:sz w:val="24"/>
                <w:szCs w:val="24"/>
              </w:rPr>
            </w:pPr>
          </w:p>
        </w:tc>
      </w:tr>
      <w:tr w14:paraId="1B03F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nil"/>
              <w:right w:val="single" w:color="000000" w:sz="4" w:space="0"/>
            </w:tcBorders>
            <w:shd w:val="clear" w:color="auto" w:fill="FFFFFF"/>
            <w:vAlign w:val="center"/>
          </w:tcPr>
          <w:p w14:paraId="7CCF17D5">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nil"/>
              <w:right w:val="single" w:color="000000" w:sz="4" w:space="0"/>
            </w:tcBorders>
            <w:shd w:val="clear" w:color="auto" w:fill="FFFFFF"/>
            <w:vAlign w:val="center"/>
          </w:tcPr>
          <w:p w14:paraId="791DDE1D">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9E8A51">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更换英文（外露led发光字）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58764">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0.5 * 0.5</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4524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AA5C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16811">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BDC0F1">
            <w:pPr>
              <w:bidi w:val="0"/>
              <w:rPr>
                <w:rFonts w:hint="eastAsia" w:asciiTheme="minorEastAsia" w:hAnsiTheme="minorEastAsia" w:eastAsiaTheme="minorEastAsia" w:cstheme="minorEastAsia"/>
                <w:sz w:val="24"/>
                <w:szCs w:val="24"/>
              </w:rPr>
            </w:pPr>
          </w:p>
        </w:tc>
        <w:tc>
          <w:tcPr>
            <w:tcW w:w="4155" w:type="dxa"/>
            <w:vMerge w:val="continue"/>
            <w:tcBorders>
              <w:top w:val="single" w:color="000000" w:sz="4" w:space="0"/>
              <w:left w:val="single" w:color="000000" w:sz="4" w:space="0"/>
              <w:bottom w:val="nil"/>
              <w:right w:val="single" w:color="000000" w:sz="4" w:space="0"/>
            </w:tcBorders>
            <w:shd w:val="clear" w:color="auto" w:fill="FFFFFF"/>
            <w:vAlign w:val="center"/>
          </w:tcPr>
          <w:p w14:paraId="62AFC2EF">
            <w:pPr>
              <w:bidi w:val="0"/>
              <w:rPr>
                <w:rFonts w:hint="eastAsia" w:asciiTheme="minorEastAsia" w:hAnsiTheme="minorEastAsia" w:eastAsiaTheme="minorEastAsia" w:cstheme="minorEastAsia"/>
                <w:sz w:val="24"/>
                <w:szCs w:val="24"/>
              </w:rPr>
            </w:pPr>
          </w:p>
        </w:tc>
      </w:tr>
      <w:tr w14:paraId="165FA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nil"/>
              <w:right w:val="single" w:color="000000" w:sz="4" w:space="0"/>
            </w:tcBorders>
            <w:shd w:val="clear" w:color="auto" w:fill="FFFFFF"/>
            <w:vAlign w:val="center"/>
          </w:tcPr>
          <w:p w14:paraId="66937AEC">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nil"/>
              <w:right w:val="single" w:color="000000" w:sz="4" w:space="0"/>
            </w:tcBorders>
            <w:shd w:val="clear" w:color="auto" w:fill="FFFFFF"/>
            <w:vAlign w:val="center"/>
          </w:tcPr>
          <w:p w14:paraId="72786639">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1EC1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发光字钢架部分除锈养护（3*5镀锌方管焊接）</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45FB2">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25 * 6</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98BE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1C4CD">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62113">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150</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AF3BD">
            <w:pPr>
              <w:bidi w:val="0"/>
              <w:rPr>
                <w:rFonts w:hint="eastAsia" w:asciiTheme="minorEastAsia" w:hAnsiTheme="minorEastAsia" w:eastAsiaTheme="minorEastAsia" w:cstheme="minorEastAsia"/>
                <w:sz w:val="24"/>
                <w:szCs w:val="24"/>
              </w:rPr>
            </w:pPr>
          </w:p>
        </w:tc>
        <w:tc>
          <w:tcPr>
            <w:tcW w:w="4155" w:type="dxa"/>
            <w:vMerge w:val="continue"/>
            <w:tcBorders>
              <w:top w:val="single" w:color="000000" w:sz="4" w:space="0"/>
              <w:left w:val="single" w:color="000000" w:sz="4" w:space="0"/>
              <w:bottom w:val="nil"/>
              <w:right w:val="single" w:color="000000" w:sz="4" w:space="0"/>
            </w:tcBorders>
            <w:shd w:val="clear" w:color="auto" w:fill="FFFFFF"/>
            <w:vAlign w:val="center"/>
          </w:tcPr>
          <w:p w14:paraId="0EC338DB">
            <w:pPr>
              <w:bidi w:val="0"/>
              <w:rPr>
                <w:rFonts w:hint="eastAsia" w:asciiTheme="minorEastAsia" w:hAnsiTheme="minorEastAsia" w:eastAsiaTheme="minorEastAsia" w:cstheme="minorEastAsia"/>
                <w:sz w:val="24"/>
                <w:szCs w:val="24"/>
              </w:rPr>
            </w:pPr>
          </w:p>
        </w:tc>
      </w:tr>
      <w:tr w14:paraId="67787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6B95548">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p>
        </w:tc>
        <w:tc>
          <w:tcPr>
            <w:tcW w:w="18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57772B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云南省红河州河口县北山国际货场信息大楼入口</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1FB0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更换标志（铁艺烤漆字）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3D201">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1.4 * 0.7</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A2043">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0109E">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F3F1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1.4</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DD9F9">
            <w:pPr>
              <w:bidi w:val="0"/>
              <w:rPr>
                <w:rFonts w:hint="eastAsia" w:asciiTheme="minorEastAsia" w:hAnsiTheme="minorEastAsia" w:eastAsiaTheme="minorEastAsia" w:cstheme="minorEastAsia"/>
                <w:sz w:val="24"/>
                <w:szCs w:val="24"/>
              </w:rPr>
            </w:pPr>
          </w:p>
        </w:tc>
        <w:tc>
          <w:tcPr>
            <w:tcW w:w="41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A529D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0" cy="724535"/>
                  <wp:effectExtent l="0" t="0" r="0" b="0"/>
                  <wp:wrapNone/>
                  <wp:docPr id="1073742867" name="Picture_1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7" name="Picture_1_SpCnt_2"/>
                          <pic:cNvPicPr>
                            <a:picLocks noChangeAspect="1" noChangeArrowheads="1"/>
                          </pic:cNvPicPr>
                        </pic:nvPicPr>
                        <pic:blipFill>
                          <a:blip r:embed="rId22"/>
                          <a:srcRect/>
                          <a:stretch>
                            <a:fillRect l="1000" t="1000" r="1000" b="1000"/>
                          </a:stretch>
                        </pic:blipFill>
                        <pic:spPr>
                          <a:xfrm>
                            <a:off x="6878320" y="9683750"/>
                            <a:ext cx="0" cy="724535"/>
                          </a:xfrm>
                          <a:prstGeom prst="rect">
                            <a:avLst/>
                          </a:prstGeom>
                          <a:noFill/>
                        </pic:spPr>
                      </pic:pic>
                    </a:graphicData>
                  </a:graphic>
                </wp:anchor>
              </w:drawing>
            </w:r>
            <w:r>
              <w:rPr>
                <w:rFonts w:hint="eastAsia" w:asciiTheme="minorEastAsia" w:hAnsiTheme="minorEastAsia" w:eastAsiaTheme="minorEastAsia" w:cstheme="minorEastAsia"/>
                <w:sz w:val="24"/>
                <w:szCs w:val="24"/>
                <w:lang w:val="en-US"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724535</wp:posOffset>
                  </wp:positionV>
                  <wp:extent cx="0" cy="724535"/>
                  <wp:effectExtent l="0" t="0" r="0" b="0"/>
                  <wp:wrapNone/>
                  <wp:docPr id="1073742868" name="Picture_1_SpCn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8" name="Picture_1_SpCnt_3"/>
                          <pic:cNvPicPr>
                            <a:picLocks noChangeAspect="1" noChangeArrowheads="1"/>
                          </pic:cNvPicPr>
                        </pic:nvPicPr>
                        <pic:blipFill>
                          <a:blip r:embed="rId20"/>
                          <a:srcRect/>
                          <a:stretch>
                            <a:fillRect l="1000" t="1000" r="1000" b="1000"/>
                          </a:stretch>
                        </pic:blipFill>
                        <pic:spPr>
                          <a:xfrm>
                            <a:off x="6878320" y="10408285"/>
                            <a:ext cx="0" cy="724535"/>
                          </a:xfrm>
                          <a:prstGeom prst="rect">
                            <a:avLst/>
                          </a:prstGeom>
                          <a:noFill/>
                        </pic:spPr>
                      </pic:pic>
                    </a:graphicData>
                  </a:graphic>
                </wp:anchor>
              </w:drawing>
            </w:r>
            <w:r>
              <w:rPr>
                <w:rFonts w:hint="eastAsia" w:asciiTheme="minorEastAsia" w:hAnsiTheme="minorEastAsia" w:eastAsiaTheme="minorEastAsia" w:cstheme="minorEastAsia"/>
                <w:sz w:val="24"/>
                <w:szCs w:val="24"/>
                <w:lang w:val="en-US" w:eastAsia="zh-CN"/>
              </w:rPr>
              <w:drawing>
                <wp:anchor distT="0" distB="0" distL="114300" distR="114300" simplePos="0" relativeHeight="251659264" behindDoc="0" locked="0" layoutInCell="1" allowOverlap="1">
                  <wp:simplePos x="0" y="0"/>
                  <wp:positionH relativeFrom="column">
                    <wp:posOffset>0</wp:posOffset>
                  </wp:positionH>
                  <wp:positionV relativeFrom="paragraph">
                    <wp:posOffset>1449070</wp:posOffset>
                  </wp:positionV>
                  <wp:extent cx="0" cy="2997835"/>
                  <wp:effectExtent l="0" t="0" r="0" b="0"/>
                  <wp:wrapNone/>
                  <wp:docPr id="1073742869" name="Picture_1_SpCnt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2869" name="Picture_1_SpCnt_4"/>
                          <pic:cNvPicPr>
                            <a:picLocks noChangeAspect="1" noChangeArrowheads="1"/>
                          </pic:cNvPicPr>
                        </pic:nvPicPr>
                        <pic:blipFill>
                          <a:blip r:embed="rId23"/>
                          <a:srcRect/>
                          <a:stretch>
                            <a:fillRect l="1000" t="1000" r="1000" b="1000"/>
                          </a:stretch>
                        </pic:blipFill>
                        <pic:spPr>
                          <a:xfrm>
                            <a:off x="6878320" y="11132820"/>
                            <a:ext cx="0" cy="2997835"/>
                          </a:xfrm>
                          <a:prstGeom prst="rect">
                            <a:avLst/>
                          </a:prstGeom>
                          <a:noFill/>
                        </pic:spPr>
                      </pic:pic>
                    </a:graphicData>
                  </a:graphic>
                </wp:anchor>
              </w:drawing>
            </w:r>
          </w:p>
        </w:tc>
      </w:tr>
      <w:tr w14:paraId="24B7B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E2D398">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DCF420">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4B16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更换中文（铁艺烤漆字）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C8F18F">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0.4 * 0.4</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D2A7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E66D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66C41">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0.4</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E5202">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drawing>
                <wp:anchor distT="0" distB="0" distL="114300" distR="114300" simplePos="0" relativeHeight="251661312" behindDoc="0" locked="0" layoutInCell="1" allowOverlap="1">
                  <wp:simplePos x="0" y="0"/>
                  <wp:positionH relativeFrom="column">
                    <wp:posOffset>761365</wp:posOffset>
                  </wp:positionH>
                  <wp:positionV relativeFrom="paragraph">
                    <wp:posOffset>137160</wp:posOffset>
                  </wp:positionV>
                  <wp:extent cx="1743710" cy="1306195"/>
                  <wp:effectExtent l="0" t="0" r="8890" b="8255"/>
                  <wp:wrapNone/>
                  <wp:docPr id="46" name="图片 22"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2" descr="IMG_259"/>
                          <pic:cNvPicPr>
                            <a:picLocks noChangeAspect="1"/>
                          </pic:cNvPicPr>
                        </pic:nvPicPr>
                        <pic:blipFill>
                          <a:blip r:embed="rId24"/>
                          <a:stretch>
                            <a:fillRect/>
                          </a:stretch>
                        </pic:blipFill>
                        <pic:spPr>
                          <a:xfrm>
                            <a:off x="0" y="0"/>
                            <a:ext cx="1743710" cy="1306195"/>
                          </a:xfrm>
                          <a:prstGeom prst="rect">
                            <a:avLst/>
                          </a:prstGeom>
                          <a:noFill/>
                          <a:ln w="9525">
                            <a:noFill/>
                          </a:ln>
                        </pic:spPr>
                      </pic:pic>
                    </a:graphicData>
                  </a:graphic>
                </wp:anchor>
              </w:drawing>
            </w:r>
          </w:p>
        </w:tc>
        <w:tc>
          <w:tcPr>
            <w:tcW w:w="41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FCA1E4">
            <w:pPr>
              <w:bidi w:val="0"/>
              <w:rPr>
                <w:rFonts w:hint="eastAsia" w:asciiTheme="minorEastAsia" w:hAnsiTheme="minorEastAsia" w:eastAsiaTheme="minorEastAsia" w:cstheme="minorEastAsia"/>
                <w:sz w:val="24"/>
                <w:szCs w:val="24"/>
              </w:rPr>
            </w:pPr>
          </w:p>
        </w:tc>
      </w:tr>
      <w:tr w14:paraId="2133D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8F5F55">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25D18A">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96B40">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更换英文（铁艺烤漆字）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33135D">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0.12 * 0.12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791C9">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C9A44">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4F445">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1.44</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9FC89">
            <w:pPr>
              <w:bidi w:val="0"/>
              <w:rPr>
                <w:rFonts w:hint="eastAsia" w:asciiTheme="minorEastAsia" w:hAnsiTheme="minorEastAsia" w:eastAsiaTheme="minorEastAsia" w:cstheme="minorEastAsia"/>
                <w:sz w:val="24"/>
                <w:szCs w:val="24"/>
              </w:rPr>
            </w:pPr>
          </w:p>
        </w:tc>
        <w:tc>
          <w:tcPr>
            <w:tcW w:w="41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25329C">
            <w:pPr>
              <w:bidi w:val="0"/>
              <w:rPr>
                <w:rFonts w:hint="eastAsia" w:asciiTheme="minorEastAsia" w:hAnsiTheme="minorEastAsia" w:eastAsiaTheme="minorEastAsia" w:cstheme="minorEastAsia"/>
                <w:sz w:val="24"/>
                <w:szCs w:val="24"/>
              </w:rPr>
            </w:pPr>
          </w:p>
        </w:tc>
      </w:tr>
      <w:tr w14:paraId="0658B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632" w:type="dxa"/>
            <w:tcBorders>
              <w:top w:val="nil"/>
              <w:left w:val="single" w:color="000000" w:sz="4" w:space="0"/>
              <w:bottom w:val="single" w:color="000000" w:sz="4" w:space="0"/>
              <w:right w:val="nil"/>
            </w:tcBorders>
            <w:shd w:val="clear" w:color="auto" w:fill="FFFFFF"/>
            <w:vAlign w:val="center"/>
          </w:tcPr>
          <w:p w14:paraId="5BCF9304">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w:t>
            </w:r>
          </w:p>
        </w:tc>
        <w:tc>
          <w:tcPr>
            <w:tcW w:w="1830" w:type="dxa"/>
            <w:tcBorders>
              <w:top w:val="nil"/>
              <w:left w:val="single" w:color="000000" w:sz="4" w:space="0"/>
              <w:bottom w:val="single" w:color="000000" w:sz="4" w:space="0"/>
              <w:right w:val="nil"/>
            </w:tcBorders>
            <w:shd w:val="clear" w:color="auto" w:fill="FFFFFF"/>
            <w:vAlign w:val="center"/>
          </w:tcPr>
          <w:p w14:paraId="432AF17E">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云南省红河州河口县北山国际货场信息大楼门头</w:t>
            </w:r>
          </w:p>
        </w:tc>
        <w:tc>
          <w:tcPr>
            <w:tcW w:w="2520" w:type="dxa"/>
            <w:tcBorders>
              <w:top w:val="nil"/>
              <w:left w:val="single" w:color="000000" w:sz="4" w:space="0"/>
              <w:bottom w:val="single" w:color="000000" w:sz="4" w:space="0"/>
              <w:right w:val="nil"/>
            </w:tcBorders>
            <w:shd w:val="clear" w:color="auto" w:fill="FFFFFF"/>
            <w:vAlign w:val="center"/>
          </w:tcPr>
          <w:p w14:paraId="6C4063B9">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更换logo标志</w:t>
            </w:r>
            <w:r>
              <w:rPr>
                <w:rFonts w:hint="eastAsia" w:asciiTheme="minorEastAsia" w:hAnsiTheme="minorEastAsia" w:eastAsiaTheme="minorEastAsia" w:cstheme="minorEastAsia"/>
                <w:sz w:val="24"/>
                <w:szCs w:val="24"/>
                <w:lang w:val="en-US" w:eastAsia="zh-CN"/>
              </w:rPr>
              <w:br w:type="textWrapping"/>
            </w:r>
            <w:r>
              <w:rPr>
                <w:rFonts w:hint="eastAsia" w:asciiTheme="minorEastAsia" w:hAnsiTheme="minorEastAsia" w:eastAsiaTheme="minorEastAsia" w:cstheme="minorEastAsia"/>
                <w:sz w:val="24"/>
                <w:szCs w:val="24"/>
                <w:lang w:val="en-US" w:eastAsia="zh-CN"/>
              </w:rPr>
              <w:t>（镀锌板烤漆字）</w:t>
            </w:r>
          </w:p>
        </w:tc>
        <w:tc>
          <w:tcPr>
            <w:tcW w:w="1575" w:type="dxa"/>
            <w:tcBorders>
              <w:top w:val="nil"/>
              <w:left w:val="single" w:color="000000" w:sz="4" w:space="0"/>
              <w:bottom w:val="single" w:color="000000" w:sz="4" w:space="0"/>
              <w:right w:val="nil"/>
            </w:tcBorders>
            <w:shd w:val="clear" w:color="auto" w:fill="FFFFFF"/>
            <w:vAlign w:val="center"/>
          </w:tcPr>
          <w:p w14:paraId="6EEED84D">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1.6*1.6</w:t>
            </w:r>
          </w:p>
        </w:tc>
        <w:tc>
          <w:tcPr>
            <w:tcW w:w="990" w:type="dxa"/>
            <w:tcBorders>
              <w:top w:val="nil"/>
              <w:left w:val="single" w:color="000000" w:sz="4" w:space="0"/>
              <w:bottom w:val="single" w:color="000000" w:sz="4" w:space="0"/>
              <w:right w:val="nil"/>
            </w:tcBorders>
            <w:shd w:val="clear" w:color="auto" w:fill="FFFFFF"/>
            <w:vAlign w:val="center"/>
          </w:tcPr>
          <w:p w14:paraId="09726DEE">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米</w:t>
            </w:r>
          </w:p>
        </w:tc>
        <w:tc>
          <w:tcPr>
            <w:tcW w:w="585" w:type="dxa"/>
            <w:tcBorders>
              <w:top w:val="nil"/>
              <w:left w:val="single" w:color="000000" w:sz="4" w:space="0"/>
              <w:bottom w:val="single" w:color="000000" w:sz="4" w:space="0"/>
              <w:right w:val="single" w:color="000000" w:sz="4" w:space="0"/>
            </w:tcBorders>
            <w:shd w:val="clear" w:color="auto" w:fill="FFFFFF"/>
            <w:vAlign w:val="center"/>
          </w:tcPr>
          <w:p w14:paraId="3DCD15F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nil"/>
              <w:left w:val="single" w:color="000000" w:sz="4" w:space="0"/>
              <w:bottom w:val="single" w:color="000000" w:sz="4" w:space="0"/>
              <w:right w:val="single" w:color="000000" w:sz="4" w:space="0"/>
            </w:tcBorders>
            <w:shd w:val="clear" w:color="auto" w:fill="FFFFFF"/>
            <w:vAlign w:val="center"/>
          </w:tcPr>
          <w:p w14:paraId="3CF25573">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2.56</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CBE108">
            <w:pPr>
              <w:bidi w:val="0"/>
              <w:rPr>
                <w:rFonts w:hint="eastAsia" w:asciiTheme="minorEastAsia" w:hAnsiTheme="minorEastAsia" w:eastAsiaTheme="minorEastAsia" w:cstheme="minorEastAsia"/>
                <w:sz w:val="24"/>
                <w:szCs w:val="24"/>
              </w:rPr>
            </w:pPr>
          </w:p>
        </w:tc>
        <w:tc>
          <w:tcPr>
            <w:tcW w:w="4155" w:type="dxa"/>
            <w:tcBorders>
              <w:top w:val="nil"/>
              <w:left w:val="single" w:color="000000" w:sz="4" w:space="0"/>
              <w:bottom w:val="single" w:color="000000" w:sz="4" w:space="0"/>
              <w:right w:val="single" w:color="000000" w:sz="4" w:space="0"/>
            </w:tcBorders>
            <w:shd w:val="clear" w:color="auto" w:fill="FFFFFF"/>
            <w:vAlign w:val="center"/>
          </w:tcPr>
          <w:p w14:paraId="57F4022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drawing>
                <wp:inline distT="0" distB="0" distL="114300" distR="114300">
                  <wp:extent cx="2447290" cy="1114425"/>
                  <wp:effectExtent l="0" t="0" r="10160" b="9525"/>
                  <wp:docPr id="49" name="图片 23"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3" descr="IMG_260"/>
                          <pic:cNvPicPr>
                            <a:picLocks noChangeAspect="1"/>
                          </pic:cNvPicPr>
                        </pic:nvPicPr>
                        <pic:blipFill>
                          <a:blip r:embed="rId25"/>
                          <a:stretch>
                            <a:fillRect/>
                          </a:stretch>
                        </pic:blipFill>
                        <pic:spPr>
                          <a:xfrm>
                            <a:off x="0" y="0"/>
                            <a:ext cx="2447290" cy="1114425"/>
                          </a:xfrm>
                          <a:prstGeom prst="rect">
                            <a:avLst/>
                          </a:prstGeom>
                          <a:noFill/>
                          <a:ln w="9525">
                            <a:noFill/>
                          </a:ln>
                        </pic:spPr>
                      </pic:pic>
                    </a:graphicData>
                  </a:graphic>
                </wp:inline>
              </w:drawing>
            </w:r>
          </w:p>
        </w:tc>
      </w:tr>
      <w:tr w14:paraId="4D6C3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80" w:hRule="atLeast"/>
        </w:trPr>
        <w:tc>
          <w:tcPr>
            <w:tcW w:w="632" w:type="dxa"/>
            <w:tcBorders>
              <w:top w:val="nil"/>
              <w:left w:val="single" w:color="000000" w:sz="4" w:space="0"/>
              <w:bottom w:val="single" w:color="000000" w:sz="4" w:space="0"/>
              <w:right w:val="nil"/>
            </w:tcBorders>
            <w:shd w:val="clear" w:color="auto" w:fill="FFFFFF"/>
            <w:vAlign w:val="center"/>
          </w:tcPr>
          <w:p w14:paraId="73F858F9">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w:t>
            </w:r>
          </w:p>
        </w:tc>
        <w:tc>
          <w:tcPr>
            <w:tcW w:w="1830" w:type="dxa"/>
            <w:tcBorders>
              <w:top w:val="nil"/>
              <w:left w:val="single" w:color="000000" w:sz="4" w:space="0"/>
              <w:bottom w:val="single" w:color="000000" w:sz="4" w:space="0"/>
              <w:right w:val="nil"/>
            </w:tcBorders>
            <w:shd w:val="clear" w:color="auto" w:fill="FFFFFF"/>
            <w:vAlign w:val="center"/>
          </w:tcPr>
          <w:p w14:paraId="1126F674">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云南省红河州河口县北山国际货场联检楼侧面</w:t>
            </w:r>
          </w:p>
        </w:tc>
        <w:tc>
          <w:tcPr>
            <w:tcW w:w="2520" w:type="dxa"/>
            <w:tcBorders>
              <w:top w:val="nil"/>
              <w:left w:val="single" w:color="000000" w:sz="4" w:space="0"/>
              <w:bottom w:val="single" w:color="000000" w:sz="4" w:space="0"/>
              <w:right w:val="nil"/>
            </w:tcBorders>
            <w:shd w:val="clear" w:color="auto" w:fill="FFFFFF"/>
            <w:vAlign w:val="center"/>
          </w:tcPr>
          <w:p w14:paraId="2AE6AC2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拆除logo标志、英文、中文</w:t>
            </w:r>
            <w:r>
              <w:rPr>
                <w:rFonts w:hint="eastAsia" w:asciiTheme="minorEastAsia" w:hAnsiTheme="minorEastAsia" w:eastAsiaTheme="minorEastAsia" w:cstheme="minorEastAsia"/>
                <w:sz w:val="24"/>
                <w:szCs w:val="24"/>
                <w:lang w:val="en-US" w:eastAsia="zh-CN"/>
              </w:rPr>
              <w:br w:type="textWrapping"/>
            </w:r>
            <w:r>
              <w:rPr>
                <w:rFonts w:hint="eastAsia" w:asciiTheme="minorEastAsia" w:hAnsiTheme="minorEastAsia" w:eastAsiaTheme="minorEastAsia" w:cstheme="minorEastAsia"/>
                <w:sz w:val="24"/>
                <w:szCs w:val="24"/>
                <w:lang w:val="en-US" w:eastAsia="zh-CN"/>
              </w:rPr>
              <w:t>（亚克力字贴面字）</w:t>
            </w:r>
          </w:p>
        </w:tc>
        <w:tc>
          <w:tcPr>
            <w:tcW w:w="3930" w:type="dxa"/>
            <w:gridSpan w:val="4"/>
            <w:tcBorders>
              <w:top w:val="nil"/>
              <w:left w:val="single" w:color="000000" w:sz="4" w:space="0"/>
              <w:bottom w:val="single" w:color="000000" w:sz="4" w:space="0"/>
              <w:right w:val="single" w:color="000000" w:sz="4" w:space="0"/>
            </w:tcBorders>
            <w:shd w:val="clear" w:color="auto" w:fill="FFFFFF"/>
            <w:vAlign w:val="center"/>
          </w:tcPr>
          <w:p w14:paraId="061A5AD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EAB54">
            <w:pPr>
              <w:bidi w:val="0"/>
              <w:rPr>
                <w:rFonts w:hint="eastAsia" w:asciiTheme="minorEastAsia" w:hAnsiTheme="minorEastAsia" w:eastAsiaTheme="minorEastAsia" w:cstheme="minorEastAsia"/>
                <w:sz w:val="24"/>
                <w:szCs w:val="24"/>
              </w:rPr>
            </w:pPr>
          </w:p>
        </w:tc>
        <w:tc>
          <w:tcPr>
            <w:tcW w:w="4155" w:type="dxa"/>
            <w:tcBorders>
              <w:top w:val="nil"/>
              <w:left w:val="single" w:color="000000" w:sz="4" w:space="0"/>
              <w:bottom w:val="single" w:color="000000" w:sz="4" w:space="0"/>
              <w:right w:val="single" w:color="000000" w:sz="4" w:space="0"/>
            </w:tcBorders>
            <w:shd w:val="clear" w:color="auto" w:fill="FFFFFF"/>
            <w:vAlign w:val="center"/>
          </w:tcPr>
          <w:p w14:paraId="64EFBAB5">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drawing>
                <wp:inline distT="0" distB="0" distL="114300" distR="114300">
                  <wp:extent cx="2332990" cy="1230630"/>
                  <wp:effectExtent l="0" t="0" r="10160" b="7620"/>
                  <wp:docPr id="44" name="图片 24"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4" descr="IMG_261"/>
                          <pic:cNvPicPr>
                            <a:picLocks noChangeAspect="1"/>
                          </pic:cNvPicPr>
                        </pic:nvPicPr>
                        <pic:blipFill>
                          <a:blip r:embed="rId26"/>
                          <a:stretch>
                            <a:fillRect/>
                          </a:stretch>
                        </pic:blipFill>
                        <pic:spPr>
                          <a:xfrm>
                            <a:off x="0" y="0"/>
                            <a:ext cx="2332990" cy="1230630"/>
                          </a:xfrm>
                          <a:prstGeom prst="rect">
                            <a:avLst/>
                          </a:prstGeom>
                          <a:noFill/>
                          <a:ln w="9525">
                            <a:noFill/>
                          </a:ln>
                        </pic:spPr>
                      </pic:pic>
                    </a:graphicData>
                  </a:graphic>
                </wp:inline>
              </w:drawing>
            </w:r>
          </w:p>
        </w:tc>
      </w:tr>
      <w:tr w14:paraId="149DF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7547" w:type="dxa"/>
            <w:gridSpan w:val="5"/>
            <w:tcBorders>
              <w:top w:val="nil"/>
              <w:left w:val="single" w:color="000000" w:sz="4" w:space="0"/>
              <w:bottom w:val="single" w:color="000000" w:sz="4" w:space="0"/>
              <w:right w:val="nil"/>
            </w:tcBorders>
            <w:shd w:val="clear" w:color="auto" w:fill="FFFFFF"/>
            <w:vAlign w:val="center"/>
          </w:tcPr>
          <w:p w14:paraId="0FBDA37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合计</w:t>
            </w:r>
          </w:p>
        </w:tc>
        <w:tc>
          <w:tcPr>
            <w:tcW w:w="585" w:type="dxa"/>
            <w:tcBorders>
              <w:top w:val="nil"/>
              <w:left w:val="single" w:color="000000" w:sz="4" w:space="0"/>
              <w:bottom w:val="single" w:color="000000" w:sz="4" w:space="0"/>
              <w:right w:val="single" w:color="000000" w:sz="4" w:space="0"/>
            </w:tcBorders>
            <w:shd w:val="clear" w:color="auto" w:fill="FFFFFF"/>
            <w:vAlign w:val="center"/>
          </w:tcPr>
          <w:p w14:paraId="791A05A1">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60</w:t>
            </w:r>
          </w:p>
        </w:tc>
        <w:tc>
          <w:tcPr>
            <w:tcW w:w="780" w:type="dxa"/>
            <w:tcBorders>
              <w:top w:val="nil"/>
              <w:left w:val="single" w:color="000000" w:sz="4" w:space="0"/>
              <w:bottom w:val="single" w:color="000000" w:sz="4" w:space="0"/>
              <w:right w:val="single" w:color="000000" w:sz="4" w:space="0"/>
            </w:tcBorders>
            <w:shd w:val="clear" w:color="auto" w:fill="FFFFFF"/>
            <w:vAlign w:val="center"/>
          </w:tcPr>
          <w:p w14:paraId="07DFB0B9">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484.864</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6487D">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总额：</w:t>
            </w:r>
          </w:p>
        </w:tc>
        <w:tc>
          <w:tcPr>
            <w:tcW w:w="4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4909A9">
            <w:pPr>
              <w:bidi w:val="0"/>
              <w:rPr>
                <w:rFonts w:hint="eastAsia" w:asciiTheme="minorEastAsia" w:hAnsiTheme="minorEastAsia" w:eastAsiaTheme="minorEastAsia" w:cstheme="minorEastAsia"/>
                <w:sz w:val="24"/>
                <w:szCs w:val="24"/>
              </w:rPr>
            </w:pPr>
          </w:p>
        </w:tc>
      </w:tr>
    </w:tbl>
    <w:p w14:paraId="42441234">
      <w:pPr>
        <w:bidi w:val="0"/>
        <w:rPr>
          <w:rFonts w:hint="default" w:eastAsia="宋体"/>
          <w:b/>
          <w:bCs/>
          <w:lang w:val="en-US" w:eastAsia="zh-CN"/>
        </w:rPr>
        <w:sectPr>
          <w:pgSz w:w="16838" w:h="11906" w:orient="landscape"/>
          <w:pgMar w:top="1304" w:right="1304" w:bottom="1191" w:left="1304" w:header="851" w:footer="992" w:gutter="0"/>
          <w:pgBorders>
            <w:top w:val="none" w:sz="0" w:space="0"/>
            <w:left w:val="none" w:sz="0" w:space="0"/>
            <w:bottom w:val="none" w:sz="0" w:space="0"/>
            <w:right w:val="none" w:sz="0" w:space="0"/>
          </w:pgBorders>
          <w:cols w:space="720" w:num="1"/>
          <w:docGrid w:type="linesAndChars" w:linePitch="312" w:charSpace="0"/>
        </w:sectPr>
      </w:pPr>
      <w:r>
        <w:rPr>
          <w:rFonts w:hint="eastAsia"/>
          <w:b/>
          <w:bCs/>
          <w:lang w:val="en-US" w:eastAsia="zh-CN"/>
        </w:rPr>
        <w:t>备注：工</w:t>
      </w:r>
      <w:r>
        <w:rPr>
          <w:rFonts w:hint="eastAsia" w:asciiTheme="minorEastAsia" w:hAnsiTheme="minorEastAsia" w:eastAsiaTheme="minorEastAsia" w:cstheme="minorEastAsia"/>
          <w:b/>
          <w:bCs/>
          <w:sz w:val="24"/>
          <w:szCs w:val="24"/>
          <w:lang w:val="en-US" w:eastAsia="zh-CN"/>
        </w:rPr>
        <w:t>程量为预估，结算以实际工程量为准</w:t>
      </w:r>
    </w:p>
    <w:p w14:paraId="0903086D">
      <w:pPr>
        <w:spacing w:before="468" w:beforeLines="150"/>
        <w:jc w:val="center"/>
        <w:outlineLvl w:val="1"/>
        <w:rPr>
          <w:b/>
          <w:sz w:val="36"/>
          <w:szCs w:val="36"/>
        </w:rPr>
      </w:pPr>
      <w:bookmarkStart w:id="412" w:name="_Toc385920732"/>
      <w:bookmarkStart w:id="413" w:name="_Toc433289561"/>
      <w:bookmarkStart w:id="414" w:name="_Toc463798096"/>
      <w:bookmarkStart w:id="415" w:name="_Toc483320821"/>
      <w:bookmarkStart w:id="416" w:name="_Toc5296"/>
      <w:bookmarkStart w:id="417" w:name="_Toc14884"/>
      <w:bookmarkStart w:id="418" w:name="_Toc27812"/>
      <w:bookmarkStart w:id="419" w:name="_Toc1101"/>
      <w:bookmarkStart w:id="420" w:name="_Toc2021"/>
      <w:bookmarkStart w:id="421" w:name="_Toc170448800"/>
      <w:bookmarkStart w:id="422" w:name="_Toc174601749"/>
      <w:bookmarkStart w:id="423" w:name="_Toc329548199"/>
      <w:r>
        <w:rPr>
          <w:rFonts w:hint="eastAsia"/>
          <w:b/>
          <w:sz w:val="36"/>
          <w:szCs w:val="36"/>
        </w:rPr>
        <w:t>附件五：</w:t>
      </w:r>
      <w:bookmarkEnd w:id="412"/>
      <w:bookmarkEnd w:id="413"/>
      <w:bookmarkEnd w:id="414"/>
      <w:bookmarkEnd w:id="415"/>
      <w:r>
        <w:rPr>
          <w:rFonts w:hint="eastAsia"/>
          <w:b/>
          <w:sz w:val="36"/>
          <w:szCs w:val="36"/>
        </w:rPr>
        <w:t>资格证明文件</w:t>
      </w:r>
      <w:bookmarkEnd w:id="416"/>
      <w:bookmarkEnd w:id="417"/>
      <w:bookmarkEnd w:id="418"/>
      <w:bookmarkEnd w:id="419"/>
      <w:bookmarkEnd w:id="420"/>
    </w:p>
    <w:bookmarkEnd w:id="421"/>
    <w:bookmarkEnd w:id="422"/>
    <w:p w14:paraId="66C133F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rPr>
      </w:pPr>
      <w:bookmarkStart w:id="424" w:name="_Toc218314993"/>
      <w:bookmarkStart w:id="425" w:name="_Toc304994507"/>
      <w:bookmarkStart w:id="426" w:name="_Toc174601750"/>
      <w:bookmarkStart w:id="427" w:name="_Toc360211042"/>
      <w:r>
        <w:rPr>
          <w:rFonts w:ascii="宋体" w:hAnsi="宋体" w:cs="宋体"/>
          <w:sz w:val="24"/>
        </w:rPr>
        <w:t>1.供应商必须是依照中华人民共和国国家法律法规成立的，并在境内正式注册的，具有独立法人资格的公司（企业），应提供有效的营业执照；</w:t>
      </w:r>
    </w:p>
    <w:p w14:paraId="735E44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2.供应商须具有履行合同所必需的设备和专业技术能力，提供书面声明并加盖公章。</w:t>
      </w:r>
    </w:p>
    <w:p w14:paraId="737BE7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rPr>
      </w:pPr>
      <w:r>
        <w:rPr>
          <w:rFonts w:hint="eastAsia" w:ascii="宋体" w:hAnsi="宋体" w:cs="宋体"/>
          <w:sz w:val="24"/>
          <w:highlight w:val="none"/>
          <w:lang w:val="en-US" w:eastAsia="zh-CN"/>
        </w:rPr>
        <w:t>3.</w:t>
      </w:r>
      <w:r>
        <w:rPr>
          <w:rFonts w:hint="eastAsia" w:ascii="宋体" w:hAnsi="宋体" w:cs="宋体"/>
          <w:sz w:val="24"/>
          <w:highlight w:val="none"/>
        </w:rPr>
        <w:t>供应商不得存在下列情形之一：被责令停业或破</w:t>
      </w:r>
      <w:r>
        <w:rPr>
          <w:rFonts w:hint="eastAsia" w:ascii="宋体" w:hAnsi="宋体" w:cs="宋体"/>
          <w:sz w:val="24"/>
        </w:rPr>
        <w:t>产状态的；被</w:t>
      </w:r>
      <w:r>
        <w:rPr>
          <w:rFonts w:hint="eastAsia" w:ascii="宋体" w:hAnsi="宋体" w:eastAsia="宋体" w:cs="宋体"/>
          <w:sz w:val="24"/>
          <w:highlight w:val="none"/>
          <w:lang w:val="en-US" w:eastAsia="zh-CN"/>
        </w:rPr>
        <w:t>暂停</w:t>
      </w:r>
      <w:r>
        <w:rPr>
          <w:rFonts w:hint="eastAsia" w:ascii="宋体" w:hAnsi="宋体" w:cs="宋体"/>
          <w:sz w:val="24"/>
        </w:rPr>
        <w:t>或取消投标资格的；在最近三年内有骗取中标或者严重违约的；在最近三年出现重大安全责任事故</w:t>
      </w:r>
      <w:r>
        <w:rPr>
          <w:rFonts w:hint="eastAsia" w:ascii="宋体" w:hAnsi="宋体" w:cs="宋体"/>
          <w:sz w:val="24"/>
          <w:lang w:val="en-US" w:eastAsia="zh-CN"/>
        </w:rPr>
        <w:t>及质量事故</w:t>
      </w:r>
      <w:r>
        <w:rPr>
          <w:rFonts w:hint="eastAsia" w:ascii="宋体" w:hAnsi="宋体" w:cs="宋体"/>
          <w:sz w:val="24"/>
        </w:rPr>
        <w:t>的；</w:t>
      </w:r>
    </w:p>
    <w:p w14:paraId="616E6E6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sz w:val="24"/>
        </w:rPr>
      </w:pPr>
      <w:r>
        <w:rPr>
          <w:rFonts w:hint="eastAsia" w:ascii="宋体" w:hAnsi="宋体" w:cs="宋体"/>
          <w:sz w:val="24"/>
          <w:lang w:val="en-US" w:eastAsia="zh-CN"/>
        </w:rPr>
        <w:t>4</w:t>
      </w:r>
      <w:r>
        <w:rPr>
          <w:rFonts w:ascii="宋体" w:hAnsi="宋体" w:cs="宋体"/>
          <w:sz w:val="24"/>
        </w:rPr>
        <w:t>.供应商未被“信用中国”网站（www.creditchina.gov.cn）列为失信被执行人、重大税收违法案件当事人名单（查询时间：自本公告发布之日起至谈判文件递交截止时间止，由供应商在谈判前上网查询，并将查询</w:t>
      </w:r>
      <w:r>
        <w:rPr>
          <w:rFonts w:hint="eastAsia" w:ascii="宋体" w:hAnsi="宋体" w:cs="宋体"/>
          <w:sz w:val="24"/>
          <w:lang w:val="en-US" w:eastAsia="zh-CN"/>
        </w:rPr>
        <w:t>截图</w:t>
      </w:r>
      <w:r>
        <w:rPr>
          <w:rFonts w:ascii="宋体" w:hAnsi="宋体" w:cs="宋体"/>
          <w:sz w:val="24"/>
        </w:rPr>
        <w:t>附于响应文件内提交谈判小组审查）；</w:t>
      </w:r>
    </w:p>
    <w:p w14:paraId="1A4B3681">
      <w:pPr>
        <w:keepNext w:val="0"/>
        <w:keepLines w:val="0"/>
        <w:pageBreakBefore w:val="0"/>
        <w:widowControl w:val="0"/>
        <w:kinsoku/>
        <w:wordWrap/>
        <w:overflowPunct/>
        <w:topLinePunct w:val="0"/>
        <w:autoSpaceDE/>
        <w:autoSpaceDN/>
        <w:bidi w:val="0"/>
        <w:snapToGrid/>
        <w:spacing w:line="480" w:lineRule="exact"/>
        <w:ind w:firstLine="480" w:firstLineChars="200"/>
        <w:textAlignment w:val="auto"/>
        <w:rPr>
          <w:rFonts w:hint="eastAsia" w:eastAsia="宋体"/>
          <w:lang w:eastAsia="zh-CN"/>
        </w:rPr>
      </w:pPr>
      <w:r>
        <w:rPr>
          <w:rFonts w:hint="eastAsia" w:ascii="宋体" w:hAnsi="宋体" w:cs="宋体"/>
          <w:sz w:val="24"/>
          <w:lang w:val="en-US" w:eastAsia="zh-CN"/>
        </w:rPr>
        <w:t>5</w:t>
      </w:r>
      <w:r>
        <w:rPr>
          <w:rFonts w:ascii="宋体" w:hAnsi="宋体" w:cs="宋体"/>
          <w:sz w:val="24"/>
        </w:rPr>
        <w:t>.</w:t>
      </w:r>
      <w:r>
        <w:rPr>
          <w:rFonts w:hint="eastAsia" w:asciiTheme="minorEastAsia" w:hAnsiTheme="minorEastAsia"/>
          <w:color w:val="000000"/>
          <w:sz w:val="24"/>
          <w:szCs w:val="24"/>
          <w:highlight w:val="none"/>
          <w:u w:val="none"/>
          <w:lang w:eastAsia="zh-CN"/>
        </w:rPr>
        <w:t>本次采购不接受联合体，不允许转包。</w:t>
      </w:r>
    </w:p>
    <w:p w14:paraId="2E71AF68">
      <w:pPr>
        <w:spacing w:line="480" w:lineRule="exact"/>
        <w:jc w:val="center"/>
        <w:rPr>
          <w:rFonts w:hint="eastAsia" w:ascii="宋体" w:hAnsi="宋体"/>
          <w:b/>
          <w:color w:val="auto"/>
          <w:sz w:val="24"/>
        </w:rPr>
      </w:pPr>
    </w:p>
    <w:p w14:paraId="060F2375">
      <w:pPr>
        <w:spacing w:line="480" w:lineRule="exact"/>
        <w:jc w:val="center"/>
        <w:rPr>
          <w:rFonts w:ascii="宋体" w:hAnsi="宋体"/>
          <w:b/>
          <w:color w:val="auto"/>
          <w:sz w:val="24"/>
        </w:rPr>
      </w:pPr>
      <w:r>
        <w:rPr>
          <w:rFonts w:hint="eastAsia" w:ascii="宋体" w:hAnsi="宋体"/>
          <w:b/>
          <w:color w:val="auto"/>
          <w:sz w:val="24"/>
        </w:rPr>
        <w:t>类似业绩表</w:t>
      </w:r>
    </w:p>
    <w:tbl>
      <w:tblPr>
        <w:tblStyle w:val="26"/>
        <w:tblW w:w="9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2589"/>
        <w:gridCol w:w="1555"/>
        <w:gridCol w:w="1555"/>
        <w:gridCol w:w="1555"/>
        <w:gridCol w:w="1555"/>
      </w:tblGrid>
      <w:tr w14:paraId="32FA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08" w:type="dxa"/>
            <w:tcBorders>
              <w:top w:val="single" w:color="auto" w:sz="4" w:space="0"/>
              <w:left w:val="single" w:color="auto" w:sz="4" w:space="0"/>
              <w:bottom w:val="single" w:color="auto" w:sz="4" w:space="0"/>
              <w:right w:val="single" w:color="auto" w:sz="4" w:space="0"/>
            </w:tcBorders>
            <w:vAlign w:val="center"/>
          </w:tcPr>
          <w:p w14:paraId="0DCFF621">
            <w:pPr>
              <w:pStyle w:val="6"/>
              <w:ind w:firstLine="0"/>
              <w:jc w:val="center"/>
              <w:rPr>
                <w:rFonts w:ascii="宋体" w:hAnsi="宋体"/>
                <w:b/>
                <w:sz w:val="24"/>
                <w:lang w:bidi="ar"/>
              </w:rPr>
            </w:pPr>
            <w:r>
              <w:rPr>
                <w:rFonts w:hint="eastAsia" w:ascii="宋体" w:hAnsi="宋体"/>
                <w:b/>
                <w:sz w:val="24"/>
                <w:lang w:bidi="ar"/>
              </w:rPr>
              <w:t>序号</w:t>
            </w:r>
          </w:p>
        </w:tc>
        <w:tc>
          <w:tcPr>
            <w:tcW w:w="2589" w:type="dxa"/>
            <w:tcBorders>
              <w:top w:val="single" w:color="auto" w:sz="4" w:space="0"/>
              <w:left w:val="single" w:color="auto" w:sz="4" w:space="0"/>
              <w:bottom w:val="single" w:color="auto" w:sz="4" w:space="0"/>
              <w:right w:val="single" w:color="auto" w:sz="4" w:space="0"/>
            </w:tcBorders>
            <w:vAlign w:val="center"/>
          </w:tcPr>
          <w:p w14:paraId="7E22136C">
            <w:pPr>
              <w:pStyle w:val="6"/>
              <w:ind w:firstLine="0"/>
              <w:jc w:val="center"/>
              <w:rPr>
                <w:rFonts w:ascii="宋体" w:hAnsi="宋体"/>
                <w:b/>
                <w:sz w:val="24"/>
                <w:lang w:bidi="ar"/>
              </w:rPr>
            </w:pPr>
            <w:r>
              <w:rPr>
                <w:rFonts w:hint="eastAsia" w:ascii="宋体" w:hAnsi="宋体"/>
                <w:b/>
                <w:sz w:val="24"/>
                <w:lang w:bidi="ar"/>
              </w:rPr>
              <w:t>项目名称</w:t>
            </w:r>
          </w:p>
        </w:tc>
        <w:tc>
          <w:tcPr>
            <w:tcW w:w="1555" w:type="dxa"/>
            <w:tcBorders>
              <w:top w:val="single" w:color="auto" w:sz="4" w:space="0"/>
              <w:left w:val="single" w:color="auto" w:sz="4" w:space="0"/>
              <w:bottom w:val="single" w:color="auto" w:sz="4" w:space="0"/>
              <w:right w:val="single" w:color="auto" w:sz="4" w:space="0"/>
            </w:tcBorders>
            <w:vAlign w:val="center"/>
          </w:tcPr>
          <w:p w14:paraId="7C50025A">
            <w:pPr>
              <w:pStyle w:val="6"/>
              <w:ind w:firstLine="0"/>
              <w:jc w:val="center"/>
              <w:rPr>
                <w:rFonts w:ascii="宋体" w:hAnsi="宋体"/>
                <w:b/>
                <w:sz w:val="24"/>
                <w:lang w:bidi="ar"/>
              </w:rPr>
            </w:pPr>
            <w:r>
              <w:rPr>
                <w:rFonts w:hint="eastAsia" w:ascii="宋体" w:hAnsi="宋体"/>
                <w:b/>
                <w:sz w:val="24"/>
                <w:lang w:bidi="ar"/>
              </w:rPr>
              <w:t>合同金额</w:t>
            </w:r>
          </w:p>
          <w:p w14:paraId="24773B18">
            <w:pPr>
              <w:pStyle w:val="6"/>
              <w:ind w:firstLine="0"/>
              <w:jc w:val="center"/>
              <w:rPr>
                <w:rFonts w:ascii="宋体" w:hAnsi="宋体"/>
                <w:b/>
                <w:sz w:val="24"/>
                <w:lang w:bidi="ar"/>
              </w:rPr>
            </w:pPr>
            <w:r>
              <w:rPr>
                <w:rFonts w:hint="eastAsia" w:ascii="宋体" w:hAnsi="宋体"/>
                <w:b/>
                <w:sz w:val="24"/>
                <w:lang w:bidi="ar"/>
              </w:rPr>
              <w:t>（万元）</w:t>
            </w:r>
          </w:p>
        </w:tc>
        <w:tc>
          <w:tcPr>
            <w:tcW w:w="1555" w:type="dxa"/>
            <w:tcBorders>
              <w:top w:val="single" w:color="auto" w:sz="4" w:space="0"/>
              <w:left w:val="single" w:color="auto" w:sz="4" w:space="0"/>
              <w:bottom w:val="single" w:color="auto" w:sz="4" w:space="0"/>
              <w:right w:val="single" w:color="auto" w:sz="4" w:space="0"/>
            </w:tcBorders>
            <w:vAlign w:val="center"/>
          </w:tcPr>
          <w:p w14:paraId="0D22E010">
            <w:pPr>
              <w:pStyle w:val="6"/>
              <w:ind w:firstLine="0"/>
              <w:jc w:val="center"/>
              <w:rPr>
                <w:rFonts w:ascii="宋体" w:hAnsi="宋体"/>
                <w:b/>
                <w:sz w:val="24"/>
                <w:lang w:bidi="ar"/>
              </w:rPr>
            </w:pPr>
            <w:r>
              <w:rPr>
                <w:rFonts w:hint="eastAsia" w:ascii="宋体" w:hAnsi="宋体"/>
                <w:b/>
                <w:sz w:val="24"/>
                <w:lang w:bidi="ar"/>
              </w:rPr>
              <w:t>签订日期</w:t>
            </w:r>
          </w:p>
        </w:tc>
        <w:tc>
          <w:tcPr>
            <w:tcW w:w="1555" w:type="dxa"/>
            <w:tcBorders>
              <w:top w:val="single" w:color="auto" w:sz="4" w:space="0"/>
              <w:left w:val="single" w:color="auto" w:sz="4" w:space="0"/>
              <w:bottom w:val="single" w:color="auto" w:sz="4" w:space="0"/>
              <w:right w:val="single" w:color="auto" w:sz="4" w:space="0"/>
            </w:tcBorders>
            <w:vAlign w:val="center"/>
          </w:tcPr>
          <w:p w14:paraId="0DFA7F36">
            <w:pPr>
              <w:pStyle w:val="6"/>
              <w:ind w:firstLine="0"/>
              <w:jc w:val="center"/>
              <w:rPr>
                <w:rFonts w:ascii="宋体" w:hAnsi="宋体"/>
                <w:b/>
                <w:sz w:val="24"/>
                <w:lang w:bidi="ar"/>
              </w:rPr>
            </w:pPr>
            <w:r>
              <w:rPr>
                <w:rFonts w:hint="eastAsia" w:ascii="宋体" w:hAnsi="宋体"/>
                <w:b/>
                <w:sz w:val="24"/>
                <w:lang w:val="en-US" w:eastAsia="zh-CN" w:bidi="ar"/>
              </w:rPr>
              <w:t>签约</w:t>
            </w:r>
            <w:r>
              <w:rPr>
                <w:rFonts w:hint="eastAsia" w:ascii="宋体" w:hAnsi="宋体"/>
                <w:b/>
                <w:sz w:val="24"/>
                <w:lang w:bidi="ar"/>
              </w:rPr>
              <w:t>单位</w:t>
            </w:r>
          </w:p>
        </w:tc>
        <w:tc>
          <w:tcPr>
            <w:tcW w:w="1555" w:type="dxa"/>
            <w:tcBorders>
              <w:top w:val="single" w:color="auto" w:sz="4" w:space="0"/>
              <w:left w:val="single" w:color="auto" w:sz="4" w:space="0"/>
              <w:bottom w:val="single" w:color="auto" w:sz="4" w:space="0"/>
              <w:right w:val="single" w:color="auto" w:sz="4" w:space="0"/>
            </w:tcBorders>
            <w:vAlign w:val="center"/>
          </w:tcPr>
          <w:p w14:paraId="5DEEF356">
            <w:pPr>
              <w:pStyle w:val="6"/>
              <w:ind w:firstLine="0"/>
              <w:jc w:val="center"/>
              <w:rPr>
                <w:rFonts w:ascii="宋体" w:hAnsi="宋体"/>
                <w:b/>
                <w:sz w:val="24"/>
                <w:lang w:bidi="ar"/>
              </w:rPr>
            </w:pPr>
            <w:r>
              <w:rPr>
                <w:rFonts w:hint="eastAsia" w:ascii="宋体" w:hAnsi="宋体"/>
                <w:b/>
                <w:sz w:val="24"/>
                <w:lang w:bidi="ar"/>
              </w:rPr>
              <w:t>合同所在页</w:t>
            </w:r>
          </w:p>
        </w:tc>
      </w:tr>
      <w:tr w14:paraId="71F1A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08" w:type="dxa"/>
            <w:tcBorders>
              <w:top w:val="single" w:color="auto" w:sz="4" w:space="0"/>
              <w:left w:val="single" w:color="auto" w:sz="4" w:space="0"/>
              <w:bottom w:val="single" w:color="auto" w:sz="4" w:space="0"/>
              <w:right w:val="single" w:color="auto" w:sz="4" w:space="0"/>
            </w:tcBorders>
          </w:tcPr>
          <w:p w14:paraId="3F5E2A10">
            <w:pPr>
              <w:pStyle w:val="6"/>
              <w:ind w:firstLine="0"/>
              <w:rPr>
                <w:rFonts w:ascii="宋体" w:hAnsi="宋体"/>
                <w:sz w:val="20"/>
                <w:lang w:bidi="ar"/>
              </w:rPr>
            </w:pPr>
          </w:p>
        </w:tc>
        <w:tc>
          <w:tcPr>
            <w:tcW w:w="2589" w:type="dxa"/>
            <w:tcBorders>
              <w:top w:val="single" w:color="auto" w:sz="4" w:space="0"/>
              <w:left w:val="single" w:color="auto" w:sz="4" w:space="0"/>
              <w:bottom w:val="single" w:color="auto" w:sz="4" w:space="0"/>
              <w:right w:val="single" w:color="auto" w:sz="4" w:space="0"/>
            </w:tcBorders>
          </w:tcPr>
          <w:p w14:paraId="1A809044">
            <w:pPr>
              <w:pStyle w:val="6"/>
              <w:ind w:firstLine="0"/>
              <w:rPr>
                <w:rFonts w:ascii="宋体" w:hAnsi="宋体"/>
                <w:lang w:bidi="ar"/>
              </w:rPr>
            </w:pPr>
          </w:p>
        </w:tc>
        <w:tc>
          <w:tcPr>
            <w:tcW w:w="1555" w:type="dxa"/>
            <w:tcBorders>
              <w:top w:val="single" w:color="auto" w:sz="4" w:space="0"/>
              <w:left w:val="single" w:color="auto" w:sz="4" w:space="0"/>
              <w:bottom w:val="single" w:color="auto" w:sz="4" w:space="0"/>
              <w:right w:val="single" w:color="auto" w:sz="4" w:space="0"/>
            </w:tcBorders>
          </w:tcPr>
          <w:p w14:paraId="512B3C1F">
            <w:pPr>
              <w:pStyle w:val="6"/>
              <w:ind w:firstLine="0"/>
              <w:rPr>
                <w:rFonts w:ascii="宋体" w:hAnsi="宋体"/>
                <w:lang w:bidi="ar"/>
              </w:rPr>
            </w:pPr>
          </w:p>
        </w:tc>
        <w:tc>
          <w:tcPr>
            <w:tcW w:w="1555" w:type="dxa"/>
            <w:tcBorders>
              <w:top w:val="single" w:color="auto" w:sz="4" w:space="0"/>
              <w:left w:val="single" w:color="auto" w:sz="4" w:space="0"/>
              <w:bottom w:val="single" w:color="auto" w:sz="4" w:space="0"/>
              <w:right w:val="single" w:color="auto" w:sz="4" w:space="0"/>
            </w:tcBorders>
          </w:tcPr>
          <w:p w14:paraId="02AE4CAE">
            <w:pPr>
              <w:pStyle w:val="6"/>
              <w:ind w:firstLine="0"/>
              <w:rPr>
                <w:rFonts w:ascii="宋体" w:hAnsi="宋体"/>
                <w:lang w:bidi="ar"/>
              </w:rPr>
            </w:pPr>
          </w:p>
        </w:tc>
        <w:tc>
          <w:tcPr>
            <w:tcW w:w="1555" w:type="dxa"/>
            <w:tcBorders>
              <w:top w:val="single" w:color="auto" w:sz="4" w:space="0"/>
              <w:left w:val="single" w:color="auto" w:sz="4" w:space="0"/>
              <w:bottom w:val="single" w:color="auto" w:sz="4" w:space="0"/>
              <w:right w:val="single" w:color="auto" w:sz="4" w:space="0"/>
            </w:tcBorders>
          </w:tcPr>
          <w:p w14:paraId="73C05366">
            <w:pPr>
              <w:pStyle w:val="6"/>
              <w:ind w:firstLine="0"/>
              <w:rPr>
                <w:rFonts w:ascii="宋体" w:hAnsi="宋体"/>
                <w:lang w:bidi="ar"/>
              </w:rPr>
            </w:pPr>
          </w:p>
        </w:tc>
        <w:tc>
          <w:tcPr>
            <w:tcW w:w="1555" w:type="dxa"/>
            <w:tcBorders>
              <w:top w:val="single" w:color="auto" w:sz="4" w:space="0"/>
              <w:left w:val="single" w:color="auto" w:sz="4" w:space="0"/>
              <w:bottom w:val="single" w:color="auto" w:sz="4" w:space="0"/>
              <w:right w:val="single" w:color="auto" w:sz="4" w:space="0"/>
            </w:tcBorders>
          </w:tcPr>
          <w:p w14:paraId="344C65FF">
            <w:pPr>
              <w:pStyle w:val="6"/>
              <w:ind w:firstLine="0"/>
              <w:rPr>
                <w:rFonts w:ascii="宋体" w:hAnsi="宋体"/>
                <w:lang w:bidi="ar"/>
              </w:rPr>
            </w:pPr>
          </w:p>
        </w:tc>
      </w:tr>
      <w:tr w14:paraId="1AEC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708" w:type="dxa"/>
            <w:tcBorders>
              <w:top w:val="single" w:color="auto" w:sz="4" w:space="0"/>
              <w:left w:val="single" w:color="auto" w:sz="4" w:space="0"/>
              <w:bottom w:val="single" w:color="auto" w:sz="4" w:space="0"/>
              <w:right w:val="single" w:color="auto" w:sz="4" w:space="0"/>
            </w:tcBorders>
          </w:tcPr>
          <w:p w14:paraId="5FBE17D7">
            <w:pPr>
              <w:pStyle w:val="6"/>
              <w:ind w:firstLine="0"/>
              <w:rPr>
                <w:rFonts w:ascii="宋体" w:hAnsi="宋体"/>
                <w:lang w:bidi="ar"/>
              </w:rPr>
            </w:pPr>
          </w:p>
        </w:tc>
        <w:tc>
          <w:tcPr>
            <w:tcW w:w="2589" w:type="dxa"/>
            <w:tcBorders>
              <w:top w:val="single" w:color="auto" w:sz="4" w:space="0"/>
              <w:left w:val="single" w:color="auto" w:sz="4" w:space="0"/>
              <w:bottom w:val="single" w:color="auto" w:sz="4" w:space="0"/>
              <w:right w:val="single" w:color="auto" w:sz="4" w:space="0"/>
            </w:tcBorders>
          </w:tcPr>
          <w:p w14:paraId="1AA57770">
            <w:pPr>
              <w:pStyle w:val="6"/>
              <w:ind w:firstLine="0"/>
              <w:rPr>
                <w:rFonts w:ascii="宋体" w:hAnsi="宋体"/>
                <w:lang w:bidi="ar"/>
              </w:rPr>
            </w:pPr>
          </w:p>
        </w:tc>
        <w:tc>
          <w:tcPr>
            <w:tcW w:w="1555" w:type="dxa"/>
            <w:tcBorders>
              <w:top w:val="single" w:color="auto" w:sz="4" w:space="0"/>
              <w:left w:val="single" w:color="auto" w:sz="4" w:space="0"/>
              <w:bottom w:val="single" w:color="auto" w:sz="4" w:space="0"/>
              <w:right w:val="single" w:color="auto" w:sz="4" w:space="0"/>
            </w:tcBorders>
          </w:tcPr>
          <w:p w14:paraId="58E3BF7B">
            <w:pPr>
              <w:pStyle w:val="6"/>
              <w:ind w:firstLine="0"/>
              <w:rPr>
                <w:rFonts w:ascii="宋体" w:hAnsi="宋体"/>
                <w:lang w:bidi="ar"/>
              </w:rPr>
            </w:pPr>
          </w:p>
        </w:tc>
        <w:tc>
          <w:tcPr>
            <w:tcW w:w="1555" w:type="dxa"/>
            <w:tcBorders>
              <w:top w:val="single" w:color="auto" w:sz="4" w:space="0"/>
              <w:left w:val="single" w:color="auto" w:sz="4" w:space="0"/>
              <w:bottom w:val="single" w:color="auto" w:sz="4" w:space="0"/>
              <w:right w:val="single" w:color="auto" w:sz="4" w:space="0"/>
            </w:tcBorders>
          </w:tcPr>
          <w:p w14:paraId="3435A993">
            <w:pPr>
              <w:pStyle w:val="6"/>
              <w:ind w:firstLine="0"/>
              <w:rPr>
                <w:rFonts w:ascii="宋体" w:hAnsi="宋体"/>
                <w:lang w:bidi="ar"/>
              </w:rPr>
            </w:pPr>
          </w:p>
        </w:tc>
        <w:tc>
          <w:tcPr>
            <w:tcW w:w="1555" w:type="dxa"/>
            <w:tcBorders>
              <w:top w:val="single" w:color="auto" w:sz="4" w:space="0"/>
              <w:left w:val="single" w:color="auto" w:sz="4" w:space="0"/>
              <w:bottom w:val="single" w:color="auto" w:sz="4" w:space="0"/>
              <w:right w:val="single" w:color="auto" w:sz="4" w:space="0"/>
            </w:tcBorders>
          </w:tcPr>
          <w:p w14:paraId="09B748B8">
            <w:pPr>
              <w:pStyle w:val="6"/>
              <w:ind w:firstLine="0"/>
              <w:rPr>
                <w:rFonts w:ascii="宋体" w:hAnsi="宋体"/>
                <w:lang w:bidi="ar"/>
              </w:rPr>
            </w:pPr>
          </w:p>
        </w:tc>
        <w:tc>
          <w:tcPr>
            <w:tcW w:w="1555" w:type="dxa"/>
            <w:tcBorders>
              <w:top w:val="single" w:color="auto" w:sz="4" w:space="0"/>
              <w:left w:val="single" w:color="auto" w:sz="4" w:space="0"/>
              <w:bottom w:val="single" w:color="auto" w:sz="4" w:space="0"/>
              <w:right w:val="single" w:color="auto" w:sz="4" w:space="0"/>
            </w:tcBorders>
          </w:tcPr>
          <w:p w14:paraId="576D65ED">
            <w:pPr>
              <w:pStyle w:val="6"/>
              <w:ind w:firstLine="0"/>
              <w:rPr>
                <w:rFonts w:ascii="宋体" w:hAnsi="宋体"/>
                <w:lang w:bidi="ar"/>
              </w:rPr>
            </w:pPr>
          </w:p>
        </w:tc>
      </w:tr>
      <w:tr w14:paraId="3F19E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3297" w:type="dxa"/>
            <w:gridSpan w:val="2"/>
            <w:tcBorders>
              <w:top w:val="single" w:color="auto" w:sz="4" w:space="0"/>
              <w:left w:val="single" w:color="auto" w:sz="4" w:space="0"/>
              <w:bottom w:val="single" w:color="auto" w:sz="4" w:space="0"/>
              <w:right w:val="single" w:color="auto" w:sz="4" w:space="0"/>
            </w:tcBorders>
          </w:tcPr>
          <w:p w14:paraId="6F926180">
            <w:pPr>
              <w:pStyle w:val="6"/>
              <w:ind w:firstLine="0"/>
              <w:jc w:val="center"/>
              <w:rPr>
                <w:rFonts w:ascii="宋体" w:hAnsi="宋体"/>
                <w:lang w:bidi="ar"/>
              </w:rPr>
            </w:pPr>
            <w:r>
              <w:rPr>
                <w:rFonts w:hint="eastAsia" w:ascii="宋体" w:hAnsi="宋体"/>
                <w:sz w:val="24"/>
                <w:lang w:bidi="ar"/>
              </w:rPr>
              <w:t>合计（万元</w:t>
            </w:r>
            <w:r>
              <w:rPr>
                <w:rFonts w:hint="eastAsia" w:ascii="宋体" w:hAnsi="宋体"/>
                <w:lang w:bidi="ar"/>
              </w:rPr>
              <w:t>）</w:t>
            </w:r>
          </w:p>
        </w:tc>
        <w:tc>
          <w:tcPr>
            <w:tcW w:w="1555" w:type="dxa"/>
            <w:tcBorders>
              <w:top w:val="single" w:color="auto" w:sz="4" w:space="0"/>
              <w:left w:val="single" w:color="auto" w:sz="4" w:space="0"/>
              <w:bottom w:val="single" w:color="auto" w:sz="4" w:space="0"/>
              <w:right w:val="single" w:color="auto" w:sz="4" w:space="0"/>
            </w:tcBorders>
          </w:tcPr>
          <w:p w14:paraId="5DB35C7E">
            <w:pPr>
              <w:pStyle w:val="6"/>
              <w:ind w:firstLine="0"/>
              <w:rPr>
                <w:rFonts w:ascii="宋体" w:hAnsi="宋体"/>
                <w:lang w:bidi="ar"/>
              </w:rPr>
            </w:pPr>
          </w:p>
        </w:tc>
        <w:tc>
          <w:tcPr>
            <w:tcW w:w="1555" w:type="dxa"/>
            <w:tcBorders>
              <w:top w:val="single" w:color="auto" w:sz="4" w:space="0"/>
              <w:left w:val="single" w:color="auto" w:sz="4" w:space="0"/>
              <w:bottom w:val="single" w:color="auto" w:sz="4" w:space="0"/>
              <w:right w:val="single" w:color="auto" w:sz="4" w:space="0"/>
            </w:tcBorders>
          </w:tcPr>
          <w:p w14:paraId="44F02451">
            <w:pPr>
              <w:pStyle w:val="6"/>
              <w:ind w:firstLine="0"/>
              <w:rPr>
                <w:rFonts w:ascii="宋体" w:hAnsi="宋体"/>
                <w:lang w:bidi="ar"/>
              </w:rPr>
            </w:pPr>
          </w:p>
        </w:tc>
        <w:tc>
          <w:tcPr>
            <w:tcW w:w="1555" w:type="dxa"/>
            <w:tcBorders>
              <w:top w:val="single" w:color="auto" w:sz="4" w:space="0"/>
              <w:left w:val="single" w:color="auto" w:sz="4" w:space="0"/>
              <w:bottom w:val="single" w:color="auto" w:sz="4" w:space="0"/>
              <w:right w:val="single" w:color="auto" w:sz="4" w:space="0"/>
            </w:tcBorders>
          </w:tcPr>
          <w:p w14:paraId="4BAE0966">
            <w:pPr>
              <w:pStyle w:val="6"/>
              <w:ind w:firstLine="0"/>
              <w:rPr>
                <w:rFonts w:ascii="宋体" w:hAnsi="宋体"/>
                <w:lang w:bidi="ar"/>
              </w:rPr>
            </w:pPr>
          </w:p>
        </w:tc>
        <w:tc>
          <w:tcPr>
            <w:tcW w:w="1555" w:type="dxa"/>
            <w:tcBorders>
              <w:top w:val="single" w:color="auto" w:sz="4" w:space="0"/>
              <w:left w:val="single" w:color="auto" w:sz="4" w:space="0"/>
              <w:bottom w:val="single" w:color="auto" w:sz="4" w:space="0"/>
              <w:right w:val="single" w:color="auto" w:sz="4" w:space="0"/>
            </w:tcBorders>
          </w:tcPr>
          <w:p w14:paraId="6EAB5CF4">
            <w:pPr>
              <w:pStyle w:val="6"/>
              <w:ind w:firstLine="0"/>
              <w:rPr>
                <w:rFonts w:ascii="宋体" w:hAnsi="宋体"/>
                <w:lang w:bidi="ar"/>
              </w:rPr>
            </w:pPr>
          </w:p>
        </w:tc>
      </w:tr>
    </w:tbl>
    <w:p w14:paraId="5ECFCCA3">
      <w:pPr>
        <w:spacing w:line="480" w:lineRule="exact"/>
        <w:jc w:val="left"/>
        <w:rPr>
          <w:rFonts w:ascii="宋体" w:hAnsi="宋体" w:cs="宋体"/>
          <w:sz w:val="24"/>
        </w:rPr>
      </w:pPr>
      <w:r>
        <w:rPr>
          <w:rFonts w:hint="eastAsia" w:ascii="宋体" w:hAnsi="宋体"/>
          <w:sz w:val="24"/>
        </w:rPr>
        <w:t>注：（</w:t>
      </w:r>
      <w:r>
        <w:rPr>
          <w:rFonts w:ascii="宋体" w:hAnsi="宋体"/>
          <w:sz w:val="24"/>
        </w:rPr>
        <w:t>1）此表后应附对应顺序的业绩证明材料</w:t>
      </w:r>
      <w:r>
        <w:rPr>
          <w:rFonts w:hint="eastAsia" w:ascii="宋体" w:hAnsi="宋体" w:cs="宋体"/>
          <w:sz w:val="24"/>
        </w:rPr>
        <w:t>（</w:t>
      </w:r>
      <w:r>
        <w:rPr>
          <w:rFonts w:hint="eastAsia" w:ascii="宋体" w:hAnsi="宋体" w:cs="宋体"/>
          <w:kern w:val="0"/>
          <w:sz w:val="24"/>
        </w:rPr>
        <w:t>须提供上述业绩证明项目合同扫描件，合同扫描件中应能看出该合同内容</w:t>
      </w:r>
      <w:r>
        <w:rPr>
          <w:rFonts w:hint="eastAsia" w:ascii="宋体" w:hAnsi="宋体" w:cs="宋体"/>
          <w:sz w:val="24"/>
        </w:rPr>
        <w:t>）。</w:t>
      </w:r>
    </w:p>
    <w:p w14:paraId="64EA6D78">
      <w:pPr>
        <w:spacing w:line="480" w:lineRule="exact"/>
        <w:ind w:firstLine="480"/>
        <w:jc w:val="left"/>
        <w:rPr>
          <w:rFonts w:ascii="宋体" w:hAnsi="宋体"/>
          <w:sz w:val="24"/>
        </w:rPr>
      </w:pPr>
      <w:r>
        <w:rPr>
          <w:rFonts w:hint="eastAsia" w:ascii="宋体" w:hAnsi="宋体"/>
          <w:sz w:val="24"/>
        </w:rPr>
        <w:t>（</w:t>
      </w:r>
      <w:r>
        <w:rPr>
          <w:rFonts w:ascii="宋体" w:hAnsi="宋体"/>
          <w:sz w:val="24"/>
        </w:rPr>
        <w:t>2）合同应提供关键页，包括但不限于合同名称、标的/项目的内容、金额、签字盖章页等。</w:t>
      </w:r>
    </w:p>
    <w:p w14:paraId="10766FC9">
      <w:pPr>
        <w:spacing w:line="480" w:lineRule="exact"/>
        <w:ind w:firstLine="480"/>
        <w:jc w:val="left"/>
        <w:rPr>
          <w:rFonts w:ascii="宋体" w:hAnsi="宋体"/>
          <w:sz w:val="24"/>
        </w:rPr>
      </w:pPr>
      <w:r>
        <w:rPr>
          <w:rFonts w:hint="eastAsia" w:ascii="宋体" w:hAnsi="宋体"/>
          <w:sz w:val="24"/>
        </w:rPr>
        <w:t>（</w:t>
      </w:r>
      <w:r>
        <w:rPr>
          <w:rFonts w:ascii="宋体" w:hAnsi="宋体"/>
          <w:sz w:val="24"/>
        </w:rPr>
        <w:t>3）表格可自行扩充。</w:t>
      </w:r>
    </w:p>
    <w:p w14:paraId="2AAB27AB">
      <w:pPr>
        <w:spacing w:line="360" w:lineRule="auto"/>
        <w:ind w:firstLine="3840" w:firstLineChars="1600"/>
        <w:rPr>
          <w:rFonts w:ascii="宋体" w:hAnsi="宋体"/>
          <w:sz w:val="24"/>
        </w:rPr>
      </w:pPr>
      <w:r>
        <w:rPr>
          <w:rFonts w:hint="eastAsia" w:ascii="宋体" w:hAnsi="宋体"/>
          <w:sz w:val="24"/>
        </w:rPr>
        <w:t>供应商全称（加盖公章）：</w:t>
      </w:r>
      <w:r>
        <w:rPr>
          <w:rFonts w:ascii="宋体" w:hAnsi="宋体"/>
          <w:sz w:val="24"/>
          <w:u w:val="single"/>
        </w:rPr>
        <w:t xml:space="preserve">                         </w:t>
      </w:r>
    </w:p>
    <w:p w14:paraId="031DA710">
      <w:pPr>
        <w:spacing w:line="360" w:lineRule="auto"/>
        <w:ind w:firstLine="3840" w:firstLineChars="1600"/>
        <w:rPr>
          <w:rFonts w:ascii="宋体" w:hAnsi="宋体"/>
          <w:sz w:val="24"/>
          <w:u w:val="single"/>
        </w:rPr>
      </w:pPr>
      <w:r>
        <w:rPr>
          <w:rFonts w:hint="eastAsia" w:ascii="宋体" w:hAnsi="宋体"/>
          <w:sz w:val="24"/>
        </w:rPr>
        <w:t>法定代表人或委托代理人（签字）：</w:t>
      </w:r>
      <w:r>
        <w:rPr>
          <w:rFonts w:ascii="宋体" w:hAnsi="宋体"/>
          <w:sz w:val="24"/>
          <w:u w:val="single"/>
        </w:rPr>
        <w:t xml:space="preserve">              </w:t>
      </w:r>
    </w:p>
    <w:p w14:paraId="239EBF6C">
      <w:pPr>
        <w:spacing w:line="360" w:lineRule="auto"/>
        <w:ind w:firstLine="3840" w:firstLineChars="1600"/>
        <w:rPr>
          <w:rFonts w:ascii="宋体" w:hAnsi="宋体"/>
          <w:sz w:val="24"/>
        </w:rPr>
      </w:pPr>
      <w:r>
        <w:rPr>
          <w:rFonts w:hint="eastAsia" w:ascii="宋体" w:hAnsi="宋体"/>
          <w:sz w:val="24"/>
        </w:rPr>
        <w:t>日期：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1C2244F7">
      <w:pPr>
        <w:jc w:val="left"/>
        <w:rPr>
          <w:rFonts w:ascii="宋体" w:hAnsi="宋体"/>
          <w:sz w:val="24"/>
        </w:rPr>
      </w:pPr>
      <w:r>
        <w:rPr>
          <w:rFonts w:ascii="宋体" w:hAnsi="宋体"/>
          <w:sz w:val="24"/>
        </w:rPr>
        <w:br w:type="page"/>
      </w:r>
    </w:p>
    <w:bookmarkEnd w:id="424"/>
    <w:bookmarkEnd w:id="425"/>
    <w:bookmarkEnd w:id="426"/>
    <w:bookmarkEnd w:id="427"/>
    <w:p w14:paraId="69BC8115">
      <w:pPr>
        <w:spacing w:line="480" w:lineRule="exact"/>
        <w:jc w:val="center"/>
        <w:rPr>
          <w:rFonts w:ascii="宋体" w:hAnsi="宋体"/>
          <w:b/>
          <w:color w:val="auto"/>
          <w:sz w:val="24"/>
        </w:rPr>
      </w:pPr>
      <w:bookmarkStart w:id="428" w:name="_Toc433289563"/>
      <w:bookmarkStart w:id="429" w:name="_Toc400554863"/>
      <w:bookmarkStart w:id="430" w:name="_Toc279141050"/>
      <w:bookmarkStart w:id="431" w:name="_Toc483320822"/>
      <w:bookmarkStart w:id="432" w:name="_Toc400554862"/>
      <w:bookmarkStart w:id="433" w:name="_Toc279141049"/>
      <w:r>
        <w:rPr>
          <w:rFonts w:hint="eastAsia" w:ascii="宋体" w:hAnsi="宋体"/>
          <w:b/>
          <w:color w:val="auto"/>
          <w:sz w:val="24"/>
        </w:rPr>
        <w:t>承诺函（加盖公章）</w:t>
      </w:r>
    </w:p>
    <w:p w14:paraId="7FB0FC29">
      <w:pPr>
        <w:spacing w:line="360" w:lineRule="auto"/>
        <w:jc w:val="left"/>
        <w:rPr>
          <w:rFonts w:ascii="宋体" w:hAnsi="宋体"/>
          <w:color w:val="auto"/>
          <w:sz w:val="24"/>
        </w:rPr>
      </w:pPr>
      <w:r>
        <w:rPr>
          <w:rFonts w:hint="eastAsia" w:ascii="宋体" w:hAnsi="宋体"/>
          <w:sz w:val="24"/>
          <w:lang w:eastAsia="zh-CN"/>
        </w:rPr>
        <w:t>河口滇越货场物流有限责任公司</w:t>
      </w:r>
      <w:r>
        <w:rPr>
          <w:rFonts w:hint="eastAsia" w:ascii="宋体" w:hAnsi="宋体"/>
          <w:color w:val="auto"/>
          <w:sz w:val="24"/>
        </w:rPr>
        <w:t>：</w:t>
      </w:r>
    </w:p>
    <w:p w14:paraId="43C6A290">
      <w:pPr>
        <w:spacing w:line="360" w:lineRule="auto"/>
        <w:ind w:firstLine="480" w:firstLineChars="200"/>
        <w:rPr>
          <w:rFonts w:ascii="宋体" w:hAnsi="宋体"/>
          <w:color w:val="auto"/>
          <w:sz w:val="24"/>
        </w:rPr>
      </w:pPr>
      <w:r>
        <w:rPr>
          <w:rFonts w:hint="eastAsia" w:ascii="宋体" w:hAnsi="宋体"/>
          <w:color w:val="auto"/>
          <w:sz w:val="24"/>
        </w:rPr>
        <w:t>我公司自愿报名参加</w:t>
      </w:r>
      <w:r>
        <w:rPr>
          <w:rFonts w:hint="eastAsia" w:ascii="宋体" w:hAnsi="宋体"/>
          <w:sz w:val="24"/>
          <w:u w:val="single"/>
          <w:lang w:eastAsia="zh-CN"/>
        </w:rPr>
        <w:t>北山国际货场企业标识牌采购项目</w:t>
      </w:r>
      <w:r>
        <w:rPr>
          <w:rFonts w:hint="eastAsia" w:ascii="宋体" w:hAnsi="宋体"/>
          <w:color w:val="auto"/>
          <w:sz w:val="24"/>
        </w:rPr>
        <w:t>进行竞争性谈判并承诺如下：</w:t>
      </w:r>
    </w:p>
    <w:p w14:paraId="365736EB">
      <w:pPr>
        <w:spacing w:line="360" w:lineRule="auto"/>
        <w:ind w:firstLine="480" w:firstLineChars="200"/>
        <w:rPr>
          <w:rFonts w:ascii="宋体" w:hAnsi="宋体"/>
          <w:color w:val="auto"/>
          <w:sz w:val="24"/>
        </w:rPr>
      </w:pPr>
      <w:r>
        <w:rPr>
          <w:rFonts w:ascii="宋体" w:hAnsi="宋体"/>
          <w:color w:val="auto"/>
          <w:sz w:val="24"/>
        </w:rPr>
        <w:t>1、我公司承诺本次谈判响应文件递交的所有资料真实、有效、完整。</w:t>
      </w:r>
    </w:p>
    <w:p w14:paraId="4AE2AF96">
      <w:pPr>
        <w:spacing w:line="360" w:lineRule="auto"/>
        <w:ind w:firstLine="480" w:firstLineChars="200"/>
        <w:rPr>
          <w:rFonts w:ascii="宋体" w:hAnsi="宋体" w:cs="宋体"/>
          <w:sz w:val="24"/>
        </w:rPr>
      </w:pPr>
      <w:r>
        <w:rPr>
          <w:rFonts w:ascii="宋体" w:hAnsi="宋体"/>
          <w:color w:val="auto"/>
          <w:sz w:val="24"/>
        </w:rPr>
        <w:t>2、</w:t>
      </w:r>
      <w:r>
        <w:rPr>
          <w:rFonts w:hint="eastAsia" w:ascii="宋体" w:hAnsi="宋体" w:cs="宋体"/>
          <w:sz w:val="24"/>
        </w:rPr>
        <w:t>具有履行合同所必需的设备和专业技术能力。</w:t>
      </w:r>
    </w:p>
    <w:p w14:paraId="7576DBA4">
      <w:pPr>
        <w:spacing w:line="360" w:lineRule="auto"/>
        <w:ind w:firstLine="480" w:firstLineChars="200"/>
        <w:rPr>
          <w:rFonts w:ascii="宋体" w:hAnsi="宋体"/>
          <w:color w:val="auto"/>
          <w:sz w:val="24"/>
        </w:rPr>
      </w:pPr>
      <w:r>
        <w:rPr>
          <w:rFonts w:ascii="宋体" w:hAnsi="宋体" w:cs="宋体"/>
          <w:sz w:val="24"/>
        </w:rPr>
        <w:t>3</w:t>
      </w:r>
      <w:r>
        <w:rPr>
          <w:rFonts w:hint="eastAsia" w:ascii="宋体" w:hAnsi="宋体" w:cs="宋体"/>
          <w:sz w:val="24"/>
        </w:rPr>
        <w:t>、</w:t>
      </w:r>
      <w:r>
        <w:rPr>
          <w:rFonts w:hint="eastAsia" w:ascii="宋体" w:hAnsi="宋体"/>
          <w:color w:val="auto"/>
          <w:sz w:val="24"/>
        </w:rPr>
        <w:t>我公司的应答产品在使用过程中未出现过重大质量问题、不存在成交后提供的产品不符合技术要求的情况。</w:t>
      </w:r>
    </w:p>
    <w:p w14:paraId="6BD50DB9">
      <w:pPr>
        <w:spacing w:line="360" w:lineRule="auto"/>
        <w:ind w:firstLine="480" w:firstLineChars="200"/>
        <w:rPr>
          <w:rFonts w:ascii="宋体" w:hAnsi="宋体"/>
          <w:color w:val="auto"/>
          <w:sz w:val="24"/>
        </w:rPr>
      </w:pPr>
      <w:r>
        <w:rPr>
          <w:rFonts w:ascii="宋体" w:hAnsi="宋体"/>
          <w:color w:val="auto"/>
          <w:sz w:val="24"/>
        </w:rPr>
        <w:t>4</w:t>
      </w:r>
      <w:r>
        <w:rPr>
          <w:rFonts w:hint="eastAsia" w:ascii="宋体" w:hAnsi="宋体"/>
          <w:color w:val="auto"/>
          <w:sz w:val="24"/>
        </w:rPr>
        <w:t>、不得存在下列情形之一：被责令停业或破产状态的；被暂停或取消投标资格的；在最近三年内有骗取中标或者严重违约的；在最近三年出现重大安全责任事故的。</w:t>
      </w:r>
    </w:p>
    <w:p w14:paraId="677C68D1">
      <w:pPr>
        <w:spacing w:line="360" w:lineRule="auto"/>
        <w:ind w:firstLine="480" w:firstLineChars="200"/>
        <w:rPr>
          <w:rFonts w:hint="eastAsia" w:ascii="宋体" w:hAnsi="宋体"/>
          <w:color w:val="auto"/>
          <w:sz w:val="24"/>
        </w:rPr>
      </w:pPr>
      <w:r>
        <w:rPr>
          <w:rFonts w:ascii="宋体" w:hAnsi="宋体"/>
          <w:color w:val="auto"/>
          <w:sz w:val="24"/>
        </w:rPr>
        <w:t>5</w:t>
      </w:r>
      <w:r>
        <w:rPr>
          <w:rFonts w:hint="eastAsia" w:ascii="宋体" w:hAnsi="宋体"/>
          <w:color w:val="auto"/>
          <w:sz w:val="24"/>
        </w:rPr>
        <w:t>、我公司承诺自愿承担参加竞争性谈判的一切费用。</w:t>
      </w:r>
    </w:p>
    <w:p w14:paraId="201CB509">
      <w:pPr>
        <w:spacing w:line="360" w:lineRule="auto"/>
        <w:ind w:firstLine="480" w:firstLineChars="200"/>
        <w:rPr>
          <w:rFonts w:hint="eastAsia" w:ascii="宋体" w:hAnsi="宋体"/>
          <w:color w:val="auto"/>
          <w:sz w:val="24"/>
          <w:lang w:eastAsia="zh-CN"/>
        </w:rPr>
      </w:pPr>
      <w:r>
        <w:rPr>
          <w:rFonts w:hint="eastAsia" w:ascii="宋体" w:hAnsi="宋体"/>
          <w:color w:val="auto"/>
          <w:sz w:val="24"/>
          <w:lang w:val="en-US" w:eastAsia="zh-CN"/>
        </w:rPr>
        <w:t>6、</w:t>
      </w:r>
      <w:r>
        <w:rPr>
          <w:rFonts w:hint="eastAsia" w:ascii="宋体" w:hAnsi="宋体"/>
          <w:color w:val="auto"/>
          <w:sz w:val="24"/>
        </w:rPr>
        <w:t>我公司承诺</w:t>
      </w:r>
      <w:r>
        <w:rPr>
          <w:rFonts w:hint="eastAsia" w:ascii="宋体" w:hAnsi="宋体"/>
          <w:color w:val="auto"/>
          <w:sz w:val="24"/>
          <w:lang w:eastAsia="zh-CN"/>
        </w:rPr>
        <w:t>本项目不</w:t>
      </w:r>
      <w:r>
        <w:rPr>
          <w:rFonts w:hint="eastAsia" w:ascii="宋体" w:hAnsi="宋体"/>
          <w:color w:val="auto"/>
          <w:sz w:val="24"/>
          <w:lang w:val="en-US" w:eastAsia="zh-CN"/>
        </w:rPr>
        <w:t>是</w:t>
      </w:r>
      <w:r>
        <w:rPr>
          <w:rFonts w:hint="eastAsia" w:ascii="宋体" w:hAnsi="宋体"/>
          <w:color w:val="auto"/>
          <w:sz w:val="24"/>
          <w:lang w:eastAsia="zh-CN"/>
        </w:rPr>
        <w:t>联合体</w:t>
      </w:r>
      <w:r>
        <w:rPr>
          <w:rFonts w:hint="eastAsia" w:ascii="宋体" w:hAnsi="宋体"/>
          <w:color w:val="auto"/>
          <w:sz w:val="24"/>
          <w:lang w:val="en-US" w:eastAsia="zh-CN"/>
        </w:rPr>
        <w:t>投标</w:t>
      </w:r>
      <w:r>
        <w:rPr>
          <w:rFonts w:hint="eastAsia" w:ascii="宋体" w:hAnsi="宋体"/>
          <w:color w:val="auto"/>
          <w:sz w:val="24"/>
          <w:lang w:eastAsia="zh-CN"/>
        </w:rPr>
        <w:t>，不转包。</w:t>
      </w:r>
    </w:p>
    <w:p w14:paraId="239C3C44">
      <w:pPr>
        <w:spacing w:line="360" w:lineRule="auto"/>
        <w:ind w:firstLine="480" w:firstLineChars="200"/>
        <w:rPr>
          <w:rFonts w:hint="eastAsia" w:ascii="宋体" w:hAnsi="宋体"/>
          <w:color w:val="auto"/>
          <w:sz w:val="24"/>
        </w:rPr>
      </w:pPr>
    </w:p>
    <w:p w14:paraId="2ACE0872"/>
    <w:p w14:paraId="3D26D42E">
      <w:pPr>
        <w:spacing w:line="720" w:lineRule="exact"/>
        <w:ind w:firstLine="3840" w:firstLineChars="1600"/>
        <w:rPr>
          <w:rFonts w:ascii="宋体" w:hAnsi="宋体"/>
          <w:sz w:val="24"/>
        </w:rPr>
      </w:pPr>
      <w:r>
        <w:rPr>
          <w:rFonts w:hint="eastAsia" w:ascii="宋体" w:hAnsi="宋体"/>
          <w:sz w:val="24"/>
        </w:rPr>
        <w:t>供应商全称（加盖公章）：</w:t>
      </w:r>
      <w:r>
        <w:rPr>
          <w:rFonts w:ascii="宋体" w:hAnsi="宋体"/>
          <w:sz w:val="24"/>
          <w:u w:val="single"/>
        </w:rPr>
        <w:t xml:space="preserve">                         </w:t>
      </w:r>
    </w:p>
    <w:p w14:paraId="15A6CF97">
      <w:pPr>
        <w:spacing w:line="720" w:lineRule="exact"/>
        <w:ind w:firstLine="3840" w:firstLineChars="1600"/>
        <w:rPr>
          <w:rFonts w:ascii="宋体" w:hAnsi="宋体"/>
          <w:sz w:val="24"/>
          <w:u w:val="single"/>
        </w:rPr>
      </w:pPr>
      <w:r>
        <w:rPr>
          <w:rFonts w:hint="eastAsia" w:ascii="宋体" w:hAnsi="宋体"/>
          <w:sz w:val="24"/>
        </w:rPr>
        <w:t>法定代表人或委托代理人（签字）：</w:t>
      </w:r>
      <w:r>
        <w:rPr>
          <w:rFonts w:ascii="宋体" w:hAnsi="宋体"/>
          <w:sz w:val="24"/>
          <w:u w:val="single"/>
        </w:rPr>
        <w:t xml:space="preserve">              </w:t>
      </w:r>
    </w:p>
    <w:p w14:paraId="3B769664">
      <w:pPr>
        <w:spacing w:line="720" w:lineRule="exact"/>
        <w:ind w:firstLine="3840" w:firstLineChars="1600"/>
        <w:rPr>
          <w:rFonts w:ascii="宋体" w:hAnsi="宋体"/>
          <w:sz w:val="24"/>
        </w:rPr>
      </w:pPr>
      <w:r>
        <w:rPr>
          <w:rFonts w:hint="eastAsia" w:ascii="宋体" w:hAnsi="宋体"/>
          <w:sz w:val="24"/>
        </w:rPr>
        <w:t>日期：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4F745F8E">
      <w:pPr>
        <w:spacing w:line="400" w:lineRule="exact"/>
      </w:pPr>
    </w:p>
    <w:p w14:paraId="3E82B3A3">
      <w:pPr>
        <w:pStyle w:val="25"/>
      </w:pPr>
    </w:p>
    <w:p w14:paraId="37324104">
      <w:pPr>
        <w:pStyle w:val="25"/>
      </w:pPr>
    </w:p>
    <w:p w14:paraId="1DF51743">
      <w:pPr>
        <w:pStyle w:val="25"/>
      </w:pPr>
    </w:p>
    <w:p w14:paraId="5E8A32E4">
      <w:pPr>
        <w:rPr>
          <w:b/>
          <w:sz w:val="36"/>
          <w:szCs w:val="36"/>
        </w:rPr>
      </w:pPr>
      <w:bookmarkStart w:id="434" w:name="_Toc24192"/>
      <w:bookmarkStart w:id="435" w:name="_Toc29612"/>
      <w:bookmarkStart w:id="436" w:name="_Toc27041613"/>
      <w:bookmarkStart w:id="437" w:name="_Toc17339"/>
      <w:bookmarkStart w:id="438" w:name="_Toc15351"/>
      <w:bookmarkStart w:id="439" w:name="_Toc26537"/>
      <w:bookmarkStart w:id="440" w:name="_Toc9815"/>
      <w:bookmarkStart w:id="441" w:name="_Toc13812"/>
      <w:r>
        <w:rPr>
          <w:b/>
          <w:sz w:val="36"/>
          <w:szCs w:val="36"/>
        </w:rPr>
        <w:br w:type="page"/>
      </w:r>
    </w:p>
    <w:p w14:paraId="76CF2E97">
      <w:pPr>
        <w:spacing w:before="468" w:beforeLines="150"/>
        <w:jc w:val="center"/>
        <w:outlineLvl w:val="1"/>
        <w:rPr>
          <w:b/>
          <w:sz w:val="36"/>
          <w:szCs w:val="36"/>
        </w:rPr>
      </w:pPr>
      <w:bookmarkStart w:id="442" w:name="_Toc32174"/>
      <w:r>
        <w:rPr>
          <w:rFonts w:hint="eastAsia"/>
          <w:b/>
          <w:sz w:val="36"/>
          <w:szCs w:val="36"/>
        </w:rPr>
        <w:t>附件六：其他资料</w:t>
      </w:r>
      <w:bookmarkEnd w:id="434"/>
      <w:bookmarkEnd w:id="435"/>
      <w:bookmarkEnd w:id="436"/>
      <w:bookmarkEnd w:id="437"/>
      <w:bookmarkEnd w:id="438"/>
      <w:bookmarkEnd w:id="439"/>
      <w:bookmarkEnd w:id="440"/>
      <w:bookmarkEnd w:id="441"/>
      <w:bookmarkEnd w:id="442"/>
    </w:p>
    <w:p w14:paraId="053B47ED">
      <w:pPr>
        <w:spacing w:line="720" w:lineRule="exact"/>
        <w:rPr>
          <w:sz w:val="24"/>
        </w:rPr>
      </w:pPr>
      <w:r>
        <w:rPr>
          <w:rFonts w:hint="eastAsia"/>
          <w:sz w:val="24"/>
        </w:rPr>
        <w:t>供应商认为应该提交的其他材料，包括但不限于以下内容：</w:t>
      </w:r>
    </w:p>
    <w:bookmarkEnd w:id="428"/>
    <w:bookmarkEnd w:id="429"/>
    <w:bookmarkEnd w:id="430"/>
    <w:bookmarkEnd w:id="431"/>
    <w:p w14:paraId="4E430652">
      <w:pPr>
        <w:spacing w:line="360" w:lineRule="auto"/>
        <w:ind w:firstLine="480" w:firstLineChars="200"/>
        <w:rPr>
          <w:rFonts w:ascii="宋体" w:hAnsi="宋体"/>
          <w:bCs/>
          <w:sz w:val="24"/>
        </w:rPr>
      </w:pPr>
      <w:bookmarkStart w:id="443" w:name="_Toc81"/>
      <w:bookmarkStart w:id="444" w:name="_Toc10656"/>
      <w:bookmarkStart w:id="445" w:name="_Toc22608"/>
      <w:bookmarkStart w:id="446" w:name="_Toc21917"/>
      <w:bookmarkStart w:id="447" w:name="_Toc15664"/>
      <w:r>
        <w:rPr>
          <w:rFonts w:ascii="宋体" w:hAnsi="宋体"/>
          <w:bCs/>
          <w:sz w:val="24"/>
        </w:rPr>
        <w:t>1</w:t>
      </w:r>
      <w:r>
        <w:rPr>
          <w:rFonts w:hint="eastAsia" w:ascii="宋体" w:hAnsi="宋体"/>
          <w:bCs/>
          <w:sz w:val="24"/>
          <w:lang w:eastAsia="zh-CN"/>
        </w:rPr>
        <w:t>、</w:t>
      </w:r>
      <w:r>
        <w:rPr>
          <w:rFonts w:ascii="宋体" w:hAnsi="宋体"/>
          <w:bCs/>
          <w:sz w:val="24"/>
        </w:rPr>
        <w:t>企业简介</w:t>
      </w:r>
      <w:r>
        <w:rPr>
          <w:rFonts w:hint="eastAsia" w:ascii="宋体" w:hAnsi="宋体"/>
          <w:bCs/>
          <w:sz w:val="24"/>
        </w:rPr>
        <w:t>及实力；</w:t>
      </w:r>
    </w:p>
    <w:p w14:paraId="7C564C9B">
      <w:pPr>
        <w:spacing w:line="360" w:lineRule="auto"/>
        <w:ind w:firstLine="480" w:firstLineChars="200"/>
        <w:rPr>
          <w:rFonts w:ascii="宋体" w:hAnsi="宋体"/>
          <w:bCs/>
          <w:sz w:val="24"/>
        </w:rPr>
      </w:pPr>
      <w:r>
        <w:rPr>
          <w:rFonts w:ascii="宋体" w:hAnsi="宋体"/>
          <w:bCs/>
          <w:sz w:val="24"/>
        </w:rPr>
        <w:t>2</w:t>
      </w:r>
      <w:r>
        <w:rPr>
          <w:rFonts w:hint="eastAsia" w:ascii="宋体" w:hAnsi="宋体"/>
          <w:bCs/>
          <w:sz w:val="24"/>
          <w:lang w:eastAsia="zh-CN"/>
        </w:rPr>
        <w:t>、</w:t>
      </w:r>
      <w:r>
        <w:rPr>
          <w:rFonts w:ascii="宋体" w:hAnsi="宋体"/>
          <w:bCs/>
          <w:sz w:val="24"/>
        </w:rPr>
        <w:t>相关资质证书</w:t>
      </w:r>
      <w:r>
        <w:rPr>
          <w:rFonts w:hint="eastAsia" w:ascii="宋体" w:hAnsi="宋体"/>
          <w:bCs/>
          <w:sz w:val="24"/>
        </w:rPr>
        <w:t>、专利证书等；</w:t>
      </w:r>
    </w:p>
    <w:p w14:paraId="15C5C7D4">
      <w:pPr>
        <w:spacing w:line="360" w:lineRule="auto"/>
        <w:ind w:firstLine="480" w:firstLineChars="200"/>
        <w:rPr>
          <w:rFonts w:ascii="宋体" w:hAnsi="宋体"/>
          <w:bCs/>
          <w:sz w:val="24"/>
        </w:rPr>
      </w:pPr>
      <w:r>
        <w:rPr>
          <w:rFonts w:ascii="宋体" w:hAnsi="宋体"/>
          <w:bCs/>
          <w:sz w:val="24"/>
        </w:rPr>
        <w:t>3、类似业绩证明材料；</w:t>
      </w:r>
    </w:p>
    <w:p w14:paraId="5F8FCAAF">
      <w:pPr>
        <w:spacing w:line="360" w:lineRule="auto"/>
        <w:ind w:firstLine="480" w:firstLineChars="200"/>
        <w:rPr>
          <w:rFonts w:ascii="宋体" w:hAnsi="宋体"/>
          <w:bCs/>
          <w:sz w:val="24"/>
        </w:rPr>
      </w:pPr>
      <w:r>
        <w:rPr>
          <w:rFonts w:ascii="宋体" w:hAnsi="宋体"/>
          <w:bCs/>
          <w:sz w:val="24"/>
        </w:rPr>
        <w:t>4、竞争性谈判文件要求的其他内容；</w:t>
      </w:r>
    </w:p>
    <w:p w14:paraId="2A5F7E08">
      <w:pPr>
        <w:rPr>
          <w:b/>
          <w:bCs/>
          <w:sz w:val="36"/>
          <w:szCs w:val="36"/>
        </w:rPr>
      </w:pPr>
      <w:r>
        <w:rPr>
          <w:b/>
          <w:bCs/>
          <w:sz w:val="36"/>
          <w:szCs w:val="36"/>
        </w:rPr>
        <w:br w:type="page"/>
      </w:r>
    </w:p>
    <w:p w14:paraId="2C72C64F">
      <w:pPr>
        <w:spacing w:before="468" w:beforeLines="150"/>
        <w:jc w:val="left"/>
        <w:outlineLvl w:val="1"/>
        <w:rPr>
          <w:b/>
          <w:bCs/>
          <w:sz w:val="36"/>
          <w:szCs w:val="36"/>
        </w:rPr>
      </w:pPr>
      <w:bookmarkStart w:id="448" w:name="_Toc6539"/>
      <w:bookmarkStart w:id="449" w:name="_Toc9798"/>
      <w:bookmarkStart w:id="450" w:name="_Toc20670"/>
      <w:r>
        <w:rPr>
          <w:rFonts w:hint="eastAsia"/>
          <w:b/>
          <w:bCs/>
          <w:sz w:val="36"/>
          <w:szCs w:val="36"/>
        </w:rPr>
        <w:t>技术部分主要格式</w:t>
      </w:r>
      <w:bookmarkEnd w:id="443"/>
      <w:bookmarkEnd w:id="444"/>
      <w:bookmarkEnd w:id="445"/>
      <w:bookmarkEnd w:id="446"/>
      <w:bookmarkEnd w:id="447"/>
      <w:bookmarkEnd w:id="448"/>
      <w:bookmarkEnd w:id="449"/>
      <w:bookmarkEnd w:id="450"/>
    </w:p>
    <w:p w14:paraId="4A2E9087">
      <w:pPr>
        <w:jc w:val="right"/>
        <w:rPr>
          <w:b/>
          <w:sz w:val="32"/>
          <w:szCs w:val="32"/>
        </w:rPr>
      </w:pPr>
      <w:r>
        <w:rPr>
          <w:rFonts w:hint="eastAsia"/>
          <w:b/>
          <w:sz w:val="32"/>
          <w:szCs w:val="32"/>
        </w:rPr>
        <w:t>（</w:t>
      </w:r>
      <w:r>
        <w:rPr>
          <w:b/>
          <w:sz w:val="32"/>
          <w:szCs w:val="32"/>
          <w:u w:val="single"/>
        </w:rPr>
        <w:t xml:space="preserve">   </w:t>
      </w:r>
      <w:r>
        <w:rPr>
          <w:rFonts w:hint="eastAsia"/>
          <w:b/>
          <w:sz w:val="32"/>
          <w:szCs w:val="32"/>
        </w:rPr>
        <w:t>本）</w:t>
      </w:r>
    </w:p>
    <w:p w14:paraId="776B5DFC">
      <w:pPr>
        <w:jc w:val="right"/>
        <w:rPr>
          <w:b/>
          <w:sz w:val="32"/>
          <w:szCs w:val="32"/>
        </w:rPr>
      </w:pPr>
    </w:p>
    <w:p w14:paraId="6D018FAB">
      <w:pPr>
        <w:spacing w:line="288" w:lineRule="auto"/>
        <w:jc w:val="center"/>
        <w:rPr>
          <w:rFonts w:hint="eastAsia" w:ascii="宋体" w:hAnsi="宋体" w:eastAsia="宋体"/>
          <w:b/>
          <w:sz w:val="44"/>
          <w:szCs w:val="44"/>
          <w:lang w:eastAsia="zh-CN"/>
        </w:rPr>
      </w:pPr>
      <w:r>
        <w:rPr>
          <w:rFonts w:hint="eastAsia" w:ascii="宋体" w:hAnsi="宋体"/>
          <w:b/>
          <w:sz w:val="44"/>
          <w:szCs w:val="44"/>
          <w:lang w:eastAsia="zh-CN"/>
        </w:rPr>
        <w:t>北山国际货场企业标识牌采购项目</w:t>
      </w:r>
    </w:p>
    <w:p w14:paraId="6FF18E87">
      <w:pPr>
        <w:spacing w:line="288" w:lineRule="auto"/>
        <w:ind w:firstLine="2520" w:firstLineChars="300"/>
        <w:rPr>
          <w:rFonts w:ascii="宋体" w:hAnsi="宋体"/>
          <w:b/>
          <w:kern w:val="28"/>
          <w:sz w:val="84"/>
          <w:szCs w:val="84"/>
        </w:rPr>
      </w:pPr>
    </w:p>
    <w:p w14:paraId="20F5B12E">
      <w:pPr>
        <w:spacing w:line="288" w:lineRule="auto"/>
        <w:ind w:firstLine="2520" w:firstLineChars="300"/>
        <w:rPr>
          <w:rFonts w:ascii="宋体" w:hAnsi="宋体"/>
          <w:b/>
          <w:kern w:val="28"/>
          <w:sz w:val="84"/>
          <w:szCs w:val="84"/>
        </w:rPr>
      </w:pPr>
      <w:r>
        <w:rPr>
          <w:rFonts w:hint="eastAsia" w:ascii="宋体" w:hAnsi="宋体"/>
          <w:b/>
          <w:kern w:val="28"/>
          <w:sz w:val="84"/>
          <w:szCs w:val="84"/>
        </w:rPr>
        <w:t>响应文件</w:t>
      </w:r>
    </w:p>
    <w:p w14:paraId="0C9AE6FD">
      <w:pPr>
        <w:spacing w:line="288" w:lineRule="auto"/>
        <w:jc w:val="center"/>
        <w:rPr>
          <w:rFonts w:ascii="宋体" w:hAnsi="宋体"/>
          <w:b/>
          <w:kern w:val="28"/>
          <w:sz w:val="46"/>
          <w:szCs w:val="52"/>
        </w:rPr>
      </w:pPr>
      <w:r>
        <w:rPr>
          <w:rFonts w:hint="eastAsia" w:ascii="宋体" w:hAnsi="宋体"/>
          <w:b/>
          <w:kern w:val="28"/>
          <w:sz w:val="46"/>
          <w:szCs w:val="52"/>
        </w:rPr>
        <w:t>（技术部分）</w:t>
      </w:r>
    </w:p>
    <w:p w14:paraId="2D9C3102">
      <w:pPr>
        <w:spacing w:before="468" w:beforeLines="150" w:after="468" w:afterLines="150" w:line="700" w:lineRule="exact"/>
        <w:jc w:val="center"/>
        <w:rPr>
          <w:rFonts w:ascii="宋体" w:hAnsi="宋体"/>
          <w:b/>
          <w:bCs/>
          <w:spacing w:val="66"/>
          <w:sz w:val="72"/>
        </w:rPr>
      </w:pPr>
    </w:p>
    <w:p w14:paraId="5C10DCF0">
      <w:pPr>
        <w:spacing w:before="468" w:beforeLines="150" w:after="468" w:afterLines="150" w:line="700" w:lineRule="exact"/>
        <w:jc w:val="center"/>
        <w:rPr>
          <w:rFonts w:ascii="宋体" w:hAnsi="宋体"/>
          <w:b/>
          <w:bCs/>
          <w:spacing w:val="66"/>
          <w:sz w:val="72"/>
        </w:rPr>
      </w:pPr>
    </w:p>
    <w:p w14:paraId="0DF8BA68">
      <w:pPr>
        <w:spacing w:line="820" w:lineRule="exact"/>
        <w:ind w:left="1470" w:leftChars="700"/>
        <w:rPr>
          <w:rFonts w:ascii="宋体" w:hAnsi="宋体"/>
          <w:bCs/>
          <w:sz w:val="28"/>
          <w:u w:val="single"/>
        </w:rPr>
      </w:pPr>
      <w:r>
        <w:rPr>
          <w:rFonts w:hint="eastAsia" w:ascii="宋体" w:hAnsi="宋体"/>
          <w:bCs/>
          <w:sz w:val="28"/>
        </w:rPr>
        <w:t>供应商全称（加盖公章）：</w:t>
      </w:r>
      <w:r>
        <w:rPr>
          <w:rFonts w:ascii="宋体" w:hAnsi="宋体"/>
          <w:bCs/>
          <w:sz w:val="28"/>
          <w:u w:val="single"/>
        </w:rPr>
        <w:t xml:space="preserve">                        </w:t>
      </w:r>
    </w:p>
    <w:p w14:paraId="1A13EBBE">
      <w:pPr>
        <w:spacing w:line="820" w:lineRule="exact"/>
        <w:ind w:left="1470" w:leftChars="700"/>
        <w:rPr>
          <w:rFonts w:ascii="宋体" w:hAnsi="宋体"/>
          <w:bCs/>
          <w:sz w:val="28"/>
          <w:u w:val="single"/>
        </w:rPr>
      </w:pPr>
      <w:r>
        <w:rPr>
          <w:rFonts w:hint="eastAsia" w:ascii="宋体" w:hAnsi="宋体"/>
          <w:bCs/>
          <w:sz w:val="28"/>
        </w:rPr>
        <w:t>法定代表人或委托代理人（签字）：</w:t>
      </w:r>
      <w:r>
        <w:rPr>
          <w:rFonts w:ascii="宋体" w:hAnsi="宋体"/>
          <w:bCs/>
          <w:sz w:val="28"/>
          <w:u w:val="single"/>
        </w:rPr>
        <w:t xml:space="preserve">                </w:t>
      </w:r>
    </w:p>
    <w:p w14:paraId="0947A833">
      <w:pPr>
        <w:spacing w:line="820" w:lineRule="exact"/>
        <w:ind w:left="1470" w:leftChars="700"/>
        <w:rPr>
          <w:rFonts w:ascii="宋体" w:hAnsi="宋体"/>
          <w:bCs/>
          <w:sz w:val="28"/>
          <w:u w:val="single"/>
        </w:rPr>
      </w:pPr>
      <w:r>
        <w:rPr>
          <w:rFonts w:hint="eastAsia" w:ascii="宋体" w:hAnsi="宋体"/>
          <w:bCs/>
          <w:sz w:val="28"/>
        </w:rPr>
        <w:t>联系电话：</w:t>
      </w:r>
      <w:r>
        <w:rPr>
          <w:rFonts w:ascii="宋体" w:hAnsi="宋体"/>
          <w:bCs/>
          <w:sz w:val="28"/>
          <w:u w:val="single"/>
        </w:rPr>
        <w:t xml:space="preserve">                    </w:t>
      </w:r>
    </w:p>
    <w:p w14:paraId="1D0C6DA4">
      <w:pPr>
        <w:spacing w:line="820" w:lineRule="exact"/>
        <w:ind w:left="1470" w:leftChars="700"/>
        <w:rPr>
          <w:rFonts w:ascii="宋体" w:hAnsi="宋体"/>
          <w:bCs/>
          <w:sz w:val="28"/>
        </w:rPr>
      </w:pPr>
      <w:r>
        <w:rPr>
          <w:rFonts w:hint="eastAsia" w:ascii="宋体" w:hAnsi="宋体"/>
          <w:bCs/>
          <w:sz w:val="28"/>
        </w:rPr>
        <w:t>日</w:t>
      </w:r>
      <w:r>
        <w:rPr>
          <w:rFonts w:ascii="宋体" w:hAnsi="宋体"/>
          <w:bCs/>
          <w:sz w:val="28"/>
        </w:rPr>
        <w:t xml:space="preserve">    </w:t>
      </w:r>
      <w:r>
        <w:rPr>
          <w:rFonts w:hint="eastAsia" w:ascii="宋体" w:hAnsi="宋体"/>
          <w:bCs/>
          <w:sz w:val="28"/>
        </w:rPr>
        <w:t>期：</w:t>
      </w:r>
      <w:r>
        <w:rPr>
          <w:rFonts w:ascii="宋体" w:hAnsi="宋体"/>
          <w:bCs/>
          <w:sz w:val="28"/>
          <w:u w:val="single"/>
        </w:rPr>
        <w:t xml:space="preserve">       </w:t>
      </w:r>
      <w:r>
        <w:rPr>
          <w:rFonts w:hint="eastAsia" w:ascii="宋体" w:hAnsi="宋体"/>
          <w:bCs/>
          <w:sz w:val="28"/>
        </w:rPr>
        <w:t>年</w:t>
      </w:r>
      <w:r>
        <w:rPr>
          <w:rFonts w:ascii="宋体" w:hAnsi="宋体"/>
          <w:bCs/>
          <w:sz w:val="28"/>
          <w:u w:val="single"/>
        </w:rPr>
        <w:t xml:space="preserve">    </w:t>
      </w:r>
      <w:r>
        <w:rPr>
          <w:rFonts w:hint="eastAsia" w:ascii="宋体" w:hAnsi="宋体"/>
          <w:bCs/>
          <w:sz w:val="28"/>
        </w:rPr>
        <w:t>月</w:t>
      </w:r>
      <w:r>
        <w:rPr>
          <w:rFonts w:ascii="宋体" w:hAnsi="宋体"/>
          <w:bCs/>
          <w:sz w:val="28"/>
          <w:u w:val="single"/>
        </w:rPr>
        <w:t xml:space="preserve">    </w:t>
      </w:r>
      <w:r>
        <w:rPr>
          <w:rFonts w:hint="eastAsia" w:ascii="宋体" w:hAnsi="宋体"/>
          <w:bCs/>
          <w:sz w:val="28"/>
        </w:rPr>
        <w:t>日</w:t>
      </w:r>
    </w:p>
    <w:p w14:paraId="00D70081">
      <w:pPr>
        <w:rPr>
          <w:b/>
          <w:sz w:val="36"/>
          <w:szCs w:val="36"/>
        </w:rPr>
      </w:pPr>
      <w:r>
        <w:t xml:space="preserve"> </w:t>
      </w:r>
    </w:p>
    <w:p w14:paraId="533AF2C2">
      <w:pPr>
        <w:pStyle w:val="25"/>
        <w:jc w:val="center"/>
        <w:rPr>
          <w:b/>
          <w:sz w:val="32"/>
          <w:szCs w:val="32"/>
        </w:rPr>
      </w:pPr>
    </w:p>
    <w:p w14:paraId="177FE887">
      <w:pPr>
        <w:spacing w:before="468" w:beforeLines="150"/>
        <w:jc w:val="center"/>
        <w:outlineLvl w:val="1"/>
        <w:rPr>
          <w:b/>
          <w:sz w:val="36"/>
          <w:szCs w:val="36"/>
        </w:rPr>
      </w:pPr>
      <w:bookmarkStart w:id="451" w:name="_Toc11347"/>
      <w:bookmarkStart w:id="452" w:name="_Toc19352"/>
      <w:bookmarkStart w:id="453" w:name="_Toc9212"/>
      <w:bookmarkStart w:id="454" w:name="_Toc835"/>
      <w:bookmarkStart w:id="455" w:name="_Toc19979"/>
      <w:bookmarkStart w:id="456" w:name="_Toc23078"/>
      <w:bookmarkStart w:id="457" w:name="_Toc46993790"/>
      <w:bookmarkStart w:id="458" w:name="_Toc25680"/>
      <w:r>
        <w:rPr>
          <w:rFonts w:hint="eastAsia"/>
          <w:b/>
          <w:sz w:val="36"/>
          <w:szCs w:val="36"/>
        </w:rPr>
        <w:t>附件七：技术偏离表</w:t>
      </w:r>
      <w:bookmarkEnd w:id="451"/>
      <w:bookmarkEnd w:id="452"/>
      <w:bookmarkEnd w:id="453"/>
      <w:bookmarkEnd w:id="454"/>
      <w:bookmarkEnd w:id="455"/>
      <w:bookmarkEnd w:id="456"/>
      <w:bookmarkEnd w:id="457"/>
      <w:bookmarkEnd w:id="458"/>
    </w:p>
    <w:p w14:paraId="21083F23">
      <w:pPr>
        <w:spacing w:line="360" w:lineRule="auto"/>
        <w:ind w:left="480" w:hanging="480" w:hangingChars="200"/>
        <w:jc w:val="left"/>
        <w:rPr>
          <w:rFonts w:ascii="宋体" w:hAnsi="宋体" w:cs="黑体"/>
          <w:color w:val="auto"/>
          <w:sz w:val="24"/>
        </w:rPr>
      </w:pPr>
    </w:p>
    <w:tbl>
      <w:tblPr>
        <w:tblStyle w:val="26"/>
        <w:tblW w:w="0" w:type="auto"/>
        <w:jc w:val="center"/>
        <w:tblLayout w:type="fixed"/>
        <w:tblCellMar>
          <w:top w:w="0" w:type="dxa"/>
          <w:left w:w="28" w:type="dxa"/>
          <w:bottom w:w="0" w:type="dxa"/>
          <w:right w:w="28" w:type="dxa"/>
        </w:tblCellMar>
      </w:tblPr>
      <w:tblGrid>
        <w:gridCol w:w="1453"/>
        <w:gridCol w:w="1864"/>
        <w:gridCol w:w="2261"/>
        <w:gridCol w:w="2263"/>
        <w:gridCol w:w="1197"/>
      </w:tblGrid>
      <w:tr w14:paraId="2B57BD13">
        <w:tblPrEx>
          <w:tblCellMar>
            <w:top w:w="0" w:type="dxa"/>
            <w:left w:w="28" w:type="dxa"/>
            <w:bottom w:w="0" w:type="dxa"/>
            <w:right w:w="28" w:type="dxa"/>
          </w:tblCellMar>
        </w:tblPrEx>
        <w:trPr>
          <w:trHeight w:val="457" w:hRule="atLeast"/>
          <w:jc w:val="center"/>
        </w:trPr>
        <w:tc>
          <w:tcPr>
            <w:tcW w:w="1453" w:type="dxa"/>
            <w:tcBorders>
              <w:top w:val="single" w:color="auto" w:sz="4" w:space="0"/>
              <w:left w:val="single" w:color="auto" w:sz="4" w:space="0"/>
              <w:bottom w:val="single" w:color="auto" w:sz="4" w:space="0"/>
              <w:right w:val="single" w:color="auto" w:sz="4" w:space="0"/>
            </w:tcBorders>
            <w:vAlign w:val="center"/>
          </w:tcPr>
          <w:p w14:paraId="546AEF1D">
            <w:pPr>
              <w:spacing w:line="360" w:lineRule="auto"/>
              <w:ind w:left="480" w:hanging="480" w:hangingChars="200"/>
              <w:jc w:val="center"/>
              <w:rPr>
                <w:rFonts w:ascii="宋体" w:hAnsi="宋体" w:cs="黑体"/>
                <w:color w:val="auto"/>
                <w:sz w:val="24"/>
              </w:rPr>
            </w:pPr>
            <w:r>
              <w:rPr>
                <w:rFonts w:hint="eastAsia" w:ascii="宋体" w:hAnsi="宋体" w:cs="黑体"/>
                <w:color w:val="auto"/>
                <w:sz w:val="24"/>
              </w:rPr>
              <w:t>序号</w:t>
            </w:r>
          </w:p>
        </w:tc>
        <w:tc>
          <w:tcPr>
            <w:tcW w:w="1864" w:type="dxa"/>
            <w:tcBorders>
              <w:top w:val="single" w:color="auto" w:sz="4" w:space="0"/>
              <w:left w:val="nil"/>
              <w:bottom w:val="single" w:color="auto" w:sz="4" w:space="0"/>
              <w:right w:val="single" w:color="auto" w:sz="4" w:space="0"/>
            </w:tcBorders>
            <w:vAlign w:val="center"/>
          </w:tcPr>
          <w:p w14:paraId="25641DBA">
            <w:pPr>
              <w:spacing w:line="360" w:lineRule="auto"/>
              <w:ind w:left="480" w:hanging="480" w:hangingChars="200"/>
              <w:jc w:val="center"/>
              <w:rPr>
                <w:rFonts w:ascii="宋体" w:hAnsi="宋体" w:cs="黑体"/>
                <w:color w:val="auto"/>
                <w:sz w:val="24"/>
              </w:rPr>
            </w:pPr>
            <w:r>
              <w:rPr>
                <w:rFonts w:hint="eastAsia" w:ascii="宋体" w:hAnsi="宋体" w:cs="黑体"/>
                <w:color w:val="auto"/>
                <w:sz w:val="24"/>
              </w:rPr>
              <w:t>文件条目号</w:t>
            </w:r>
          </w:p>
        </w:tc>
        <w:tc>
          <w:tcPr>
            <w:tcW w:w="2261" w:type="dxa"/>
            <w:tcBorders>
              <w:top w:val="single" w:color="auto" w:sz="4" w:space="0"/>
              <w:left w:val="nil"/>
              <w:bottom w:val="single" w:color="auto" w:sz="4" w:space="0"/>
              <w:right w:val="single" w:color="auto" w:sz="4" w:space="0"/>
            </w:tcBorders>
            <w:vAlign w:val="center"/>
          </w:tcPr>
          <w:p w14:paraId="0CD53B85">
            <w:pPr>
              <w:spacing w:line="360" w:lineRule="auto"/>
              <w:ind w:left="480" w:hanging="480" w:hangingChars="200"/>
              <w:jc w:val="center"/>
              <w:rPr>
                <w:rFonts w:ascii="宋体" w:hAnsi="宋体" w:cs="黑体"/>
                <w:color w:val="auto"/>
                <w:sz w:val="24"/>
              </w:rPr>
            </w:pPr>
            <w:r>
              <w:rPr>
                <w:rFonts w:hint="eastAsia" w:ascii="宋体" w:hAnsi="宋体" w:cs="黑体"/>
                <w:color w:val="auto"/>
                <w:sz w:val="24"/>
              </w:rPr>
              <w:t>技术要求原文</w:t>
            </w:r>
          </w:p>
        </w:tc>
        <w:tc>
          <w:tcPr>
            <w:tcW w:w="2263" w:type="dxa"/>
            <w:tcBorders>
              <w:top w:val="single" w:color="auto" w:sz="4" w:space="0"/>
              <w:left w:val="nil"/>
              <w:bottom w:val="single" w:color="auto" w:sz="4" w:space="0"/>
              <w:right w:val="single" w:color="auto" w:sz="4" w:space="0"/>
            </w:tcBorders>
            <w:vAlign w:val="center"/>
          </w:tcPr>
          <w:p w14:paraId="6B5913B6">
            <w:pPr>
              <w:spacing w:line="360" w:lineRule="auto"/>
              <w:ind w:left="480" w:hanging="480" w:hangingChars="200"/>
              <w:jc w:val="center"/>
              <w:rPr>
                <w:rFonts w:ascii="宋体" w:hAnsi="宋体" w:cs="黑体"/>
                <w:color w:val="auto"/>
                <w:sz w:val="24"/>
              </w:rPr>
            </w:pPr>
            <w:r>
              <w:rPr>
                <w:rFonts w:hint="eastAsia" w:ascii="宋体" w:hAnsi="宋体" w:cs="黑体"/>
                <w:color w:val="auto"/>
                <w:sz w:val="24"/>
              </w:rPr>
              <w:t>供应商的应答</w:t>
            </w:r>
          </w:p>
        </w:tc>
        <w:tc>
          <w:tcPr>
            <w:tcW w:w="1197" w:type="dxa"/>
            <w:tcBorders>
              <w:top w:val="single" w:color="auto" w:sz="4" w:space="0"/>
              <w:left w:val="nil"/>
              <w:bottom w:val="single" w:color="auto" w:sz="4" w:space="0"/>
              <w:right w:val="single" w:color="auto" w:sz="4" w:space="0"/>
            </w:tcBorders>
            <w:vAlign w:val="center"/>
          </w:tcPr>
          <w:p w14:paraId="53562860">
            <w:pPr>
              <w:spacing w:line="360" w:lineRule="auto"/>
              <w:ind w:left="480" w:hanging="480" w:hangingChars="200"/>
              <w:jc w:val="center"/>
              <w:rPr>
                <w:rFonts w:ascii="宋体" w:hAnsi="宋体" w:cs="黑体"/>
                <w:color w:val="auto"/>
                <w:sz w:val="24"/>
              </w:rPr>
            </w:pPr>
            <w:r>
              <w:rPr>
                <w:rFonts w:hint="eastAsia" w:ascii="宋体" w:hAnsi="宋体" w:cs="黑体"/>
                <w:color w:val="auto"/>
                <w:sz w:val="24"/>
              </w:rPr>
              <w:t>偏离说明</w:t>
            </w:r>
          </w:p>
        </w:tc>
      </w:tr>
      <w:tr w14:paraId="34085E5D">
        <w:tblPrEx>
          <w:tblCellMar>
            <w:top w:w="0" w:type="dxa"/>
            <w:left w:w="28" w:type="dxa"/>
            <w:bottom w:w="0" w:type="dxa"/>
            <w:right w:w="28" w:type="dxa"/>
          </w:tblCellMar>
        </w:tblPrEx>
        <w:trPr>
          <w:trHeight w:val="533" w:hRule="atLeast"/>
          <w:jc w:val="center"/>
        </w:trPr>
        <w:tc>
          <w:tcPr>
            <w:tcW w:w="1453" w:type="dxa"/>
            <w:tcBorders>
              <w:top w:val="single" w:color="auto" w:sz="4" w:space="0"/>
              <w:left w:val="single" w:color="auto" w:sz="4" w:space="0"/>
              <w:bottom w:val="single" w:color="auto" w:sz="4" w:space="0"/>
              <w:right w:val="single" w:color="auto" w:sz="4" w:space="0"/>
            </w:tcBorders>
          </w:tcPr>
          <w:p w14:paraId="5FFD3F58">
            <w:pPr>
              <w:spacing w:after="120" w:line="360" w:lineRule="auto"/>
              <w:rPr>
                <w:rFonts w:ascii="宋体" w:hAnsi="宋体" w:cs="黑体"/>
                <w:color w:val="auto"/>
                <w:sz w:val="24"/>
              </w:rPr>
            </w:pPr>
          </w:p>
        </w:tc>
        <w:tc>
          <w:tcPr>
            <w:tcW w:w="1864" w:type="dxa"/>
            <w:tcBorders>
              <w:top w:val="single" w:color="auto" w:sz="4" w:space="0"/>
              <w:left w:val="nil"/>
              <w:bottom w:val="single" w:color="auto" w:sz="4" w:space="0"/>
              <w:right w:val="single" w:color="auto" w:sz="4" w:space="0"/>
            </w:tcBorders>
          </w:tcPr>
          <w:p w14:paraId="1173EAB7">
            <w:pPr>
              <w:spacing w:after="120" w:line="360" w:lineRule="auto"/>
              <w:ind w:left="480" w:hanging="480" w:hangingChars="200"/>
              <w:rPr>
                <w:rFonts w:ascii="宋体" w:hAnsi="宋体" w:cs="黑体"/>
                <w:color w:val="auto"/>
                <w:sz w:val="24"/>
              </w:rPr>
            </w:pPr>
          </w:p>
        </w:tc>
        <w:tc>
          <w:tcPr>
            <w:tcW w:w="2261" w:type="dxa"/>
            <w:tcBorders>
              <w:top w:val="single" w:color="auto" w:sz="4" w:space="0"/>
              <w:left w:val="nil"/>
              <w:bottom w:val="single" w:color="auto" w:sz="4" w:space="0"/>
              <w:right w:val="single" w:color="auto" w:sz="4" w:space="0"/>
            </w:tcBorders>
          </w:tcPr>
          <w:p w14:paraId="2700167E">
            <w:pPr>
              <w:spacing w:line="360" w:lineRule="auto"/>
              <w:ind w:left="480" w:hanging="480" w:hangingChars="200"/>
              <w:rPr>
                <w:rFonts w:ascii="宋体" w:hAnsi="宋体" w:cs="黑体"/>
                <w:color w:val="auto"/>
                <w:sz w:val="24"/>
              </w:rPr>
            </w:pPr>
          </w:p>
        </w:tc>
        <w:tc>
          <w:tcPr>
            <w:tcW w:w="2263" w:type="dxa"/>
            <w:tcBorders>
              <w:top w:val="single" w:color="auto" w:sz="4" w:space="0"/>
              <w:left w:val="nil"/>
              <w:bottom w:val="single" w:color="auto" w:sz="4" w:space="0"/>
              <w:right w:val="single" w:color="auto" w:sz="4" w:space="0"/>
            </w:tcBorders>
          </w:tcPr>
          <w:p w14:paraId="496BB976">
            <w:pPr>
              <w:spacing w:line="360" w:lineRule="auto"/>
              <w:ind w:left="480" w:hanging="480" w:hangingChars="200"/>
              <w:rPr>
                <w:rFonts w:ascii="宋体" w:hAnsi="宋体" w:cs="黑体"/>
                <w:color w:val="auto"/>
                <w:sz w:val="24"/>
              </w:rPr>
            </w:pPr>
          </w:p>
        </w:tc>
        <w:tc>
          <w:tcPr>
            <w:tcW w:w="1197" w:type="dxa"/>
            <w:tcBorders>
              <w:top w:val="single" w:color="auto" w:sz="4" w:space="0"/>
              <w:left w:val="nil"/>
              <w:bottom w:val="single" w:color="auto" w:sz="4" w:space="0"/>
              <w:right w:val="single" w:color="auto" w:sz="4" w:space="0"/>
            </w:tcBorders>
          </w:tcPr>
          <w:p w14:paraId="44B6CDF7">
            <w:pPr>
              <w:spacing w:after="120" w:line="360" w:lineRule="auto"/>
              <w:ind w:left="480" w:hanging="480" w:hangingChars="200"/>
              <w:rPr>
                <w:rFonts w:ascii="宋体" w:hAnsi="宋体" w:cs="黑体"/>
                <w:color w:val="auto"/>
                <w:sz w:val="24"/>
              </w:rPr>
            </w:pPr>
          </w:p>
        </w:tc>
      </w:tr>
      <w:tr w14:paraId="59422CB7">
        <w:tblPrEx>
          <w:tblCellMar>
            <w:top w:w="0" w:type="dxa"/>
            <w:left w:w="28" w:type="dxa"/>
            <w:bottom w:w="0" w:type="dxa"/>
            <w:right w:w="28" w:type="dxa"/>
          </w:tblCellMar>
        </w:tblPrEx>
        <w:trPr>
          <w:trHeight w:val="524" w:hRule="atLeast"/>
          <w:jc w:val="center"/>
        </w:trPr>
        <w:tc>
          <w:tcPr>
            <w:tcW w:w="1453" w:type="dxa"/>
            <w:tcBorders>
              <w:top w:val="single" w:color="auto" w:sz="4" w:space="0"/>
              <w:left w:val="single" w:color="auto" w:sz="4" w:space="0"/>
              <w:bottom w:val="single" w:color="auto" w:sz="4" w:space="0"/>
              <w:right w:val="single" w:color="auto" w:sz="4" w:space="0"/>
            </w:tcBorders>
          </w:tcPr>
          <w:p w14:paraId="4018E343">
            <w:pPr>
              <w:spacing w:after="120" w:line="360" w:lineRule="auto"/>
              <w:rPr>
                <w:rFonts w:ascii="宋体" w:hAnsi="宋体" w:cs="黑体"/>
                <w:color w:val="auto"/>
                <w:sz w:val="24"/>
              </w:rPr>
            </w:pPr>
          </w:p>
        </w:tc>
        <w:tc>
          <w:tcPr>
            <w:tcW w:w="1864" w:type="dxa"/>
            <w:tcBorders>
              <w:top w:val="single" w:color="auto" w:sz="4" w:space="0"/>
              <w:left w:val="nil"/>
              <w:bottom w:val="single" w:color="auto" w:sz="4" w:space="0"/>
              <w:right w:val="single" w:color="auto" w:sz="4" w:space="0"/>
            </w:tcBorders>
          </w:tcPr>
          <w:p w14:paraId="15D35423">
            <w:pPr>
              <w:spacing w:after="120" w:line="360" w:lineRule="auto"/>
              <w:ind w:left="480" w:hanging="480" w:hangingChars="200"/>
              <w:rPr>
                <w:rFonts w:ascii="宋体" w:hAnsi="宋体" w:cs="黑体"/>
                <w:color w:val="auto"/>
                <w:sz w:val="24"/>
              </w:rPr>
            </w:pPr>
          </w:p>
        </w:tc>
        <w:tc>
          <w:tcPr>
            <w:tcW w:w="2261" w:type="dxa"/>
            <w:tcBorders>
              <w:top w:val="single" w:color="auto" w:sz="4" w:space="0"/>
              <w:left w:val="nil"/>
              <w:bottom w:val="single" w:color="auto" w:sz="4" w:space="0"/>
              <w:right w:val="single" w:color="auto" w:sz="4" w:space="0"/>
            </w:tcBorders>
          </w:tcPr>
          <w:p w14:paraId="674F918A">
            <w:pPr>
              <w:spacing w:after="120" w:line="360" w:lineRule="auto"/>
              <w:ind w:left="480" w:hanging="480" w:hangingChars="200"/>
              <w:rPr>
                <w:rFonts w:ascii="宋体" w:hAnsi="宋体" w:cs="黑体"/>
                <w:color w:val="auto"/>
                <w:sz w:val="24"/>
              </w:rPr>
            </w:pPr>
          </w:p>
        </w:tc>
        <w:tc>
          <w:tcPr>
            <w:tcW w:w="2263" w:type="dxa"/>
            <w:tcBorders>
              <w:top w:val="single" w:color="auto" w:sz="4" w:space="0"/>
              <w:left w:val="nil"/>
              <w:bottom w:val="single" w:color="auto" w:sz="4" w:space="0"/>
              <w:right w:val="single" w:color="auto" w:sz="4" w:space="0"/>
            </w:tcBorders>
          </w:tcPr>
          <w:p w14:paraId="728F3844">
            <w:pPr>
              <w:spacing w:after="120" w:line="360" w:lineRule="auto"/>
              <w:ind w:left="480" w:hanging="480" w:hangingChars="200"/>
              <w:rPr>
                <w:rFonts w:ascii="宋体" w:hAnsi="宋体" w:cs="黑体"/>
                <w:color w:val="auto"/>
                <w:sz w:val="24"/>
              </w:rPr>
            </w:pPr>
          </w:p>
        </w:tc>
        <w:tc>
          <w:tcPr>
            <w:tcW w:w="1197" w:type="dxa"/>
            <w:tcBorders>
              <w:top w:val="single" w:color="auto" w:sz="4" w:space="0"/>
              <w:left w:val="nil"/>
              <w:bottom w:val="single" w:color="auto" w:sz="4" w:space="0"/>
              <w:right w:val="single" w:color="auto" w:sz="4" w:space="0"/>
            </w:tcBorders>
          </w:tcPr>
          <w:p w14:paraId="7B6E806F">
            <w:pPr>
              <w:spacing w:after="120" w:line="360" w:lineRule="auto"/>
              <w:ind w:left="480" w:hanging="480" w:hangingChars="200"/>
              <w:rPr>
                <w:rFonts w:ascii="宋体" w:hAnsi="宋体" w:cs="黑体"/>
                <w:color w:val="auto"/>
                <w:sz w:val="24"/>
              </w:rPr>
            </w:pPr>
          </w:p>
        </w:tc>
      </w:tr>
      <w:tr w14:paraId="4EE56F57">
        <w:tblPrEx>
          <w:tblCellMar>
            <w:top w:w="0" w:type="dxa"/>
            <w:left w:w="28" w:type="dxa"/>
            <w:bottom w:w="0" w:type="dxa"/>
            <w:right w:w="28" w:type="dxa"/>
          </w:tblCellMar>
        </w:tblPrEx>
        <w:trPr>
          <w:trHeight w:val="579" w:hRule="atLeast"/>
          <w:jc w:val="center"/>
        </w:trPr>
        <w:tc>
          <w:tcPr>
            <w:tcW w:w="1453" w:type="dxa"/>
            <w:tcBorders>
              <w:top w:val="single" w:color="auto" w:sz="4" w:space="0"/>
              <w:left w:val="single" w:color="auto" w:sz="4" w:space="0"/>
              <w:bottom w:val="single" w:color="auto" w:sz="4" w:space="0"/>
              <w:right w:val="single" w:color="auto" w:sz="4" w:space="0"/>
            </w:tcBorders>
          </w:tcPr>
          <w:p w14:paraId="5ABA5533">
            <w:pPr>
              <w:spacing w:after="120" w:line="360" w:lineRule="auto"/>
              <w:rPr>
                <w:rFonts w:ascii="宋体" w:hAnsi="宋体" w:cs="黑体"/>
                <w:color w:val="auto"/>
                <w:sz w:val="24"/>
              </w:rPr>
            </w:pPr>
          </w:p>
        </w:tc>
        <w:tc>
          <w:tcPr>
            <w:tcW w:w="1864" w:type="dxa"/>
            <w:tcBorders>
              <w:top w:val="single" w:color="auto" w:sz="4" w:space="0"/>
              <w:left w:val="nil"/>
              <w:bottom w:val="single" w:color="auto" w:sz="4" w:space="0"/>
              <w:right w:val="single" w:color="auto" w:sz="4" w:space="0"/>
            </w:tcBorders>
          </w:tcPr>
          <w:p w14:paraId="396374DF">
            <w:pPr>
              <w:spacing w:after="120" w:line="360" w:lineRule="auto"/>
              <w:ind w:left="480" w:hanging="480" w:hangingChars="200"/>
              <w:rPr>
                <w:rFonts w:ascii="宋体" w:hAnsi="宋体" w:cs="黑体"/>
                <w:color w:val="auto"/>
                <w:sz w:val="24"/>
              </w:rPr>
            </w:pPr>
          </w:p>
        </w:tc>
        <w:tc>
          <w:tcPr>
            <w:tcW w:w="2261" w:type="dxa"/>
            <w:tcBorders>
              <w:top w:val="single" w:color="auto" w:sz="4" w:space="0"/>
              <w:left w:val="nil"/>
              <w:bottom w:val="single" w:color="auto" w:sz="4" w:space="0"/>
              <w:right w:val="single" w:color="auto" w:sz="4" w:space="0"/>
            </w:tcBorders>
          </w:tcPr>
          <w:p w14:paraId="378765B4">
            <w:pPr>
              <w:spacing w:after="120" w:line="360" w:lineRule="auto"/>
              <w:ind w:left="480" w:hanging="480" w:hangingChars="200"/>
              <w:rPr>
                <w:rFonts w:ascii="宋体" w:hAnsi="宋体" w:cs="黑体"/>
                <w:color w:val="auto"/>
                <w:sz w:val="24"/>
              </w:rPr>
            </w:pPr>
          </w:p>
        </w:tc>
        <w:tc>
          <w:tcPr>
            <w:tcW w:w="2263" w:type="dxa"/>
            <w:tcBorders>
              <w:top w:val="single" w:color="auto" w:sz="4" w:space="0"/>
              <w:left w:val="nil"/>
              <w:bottom w:val="single" w:color="auto" w:sz="4" w:space="0"/>
              <w:right w:val="single" w:color="auto" w:sz="4" w:space="0"/>
            </w:tcBorders>
          </w:tcPr>
          <w:p w14:paraId="60558A4C">
            <w:pPr>
              <w:spacing w:after="120" w:line="360" w:lineRule="auto"/>
              <w:ind w:left="480" w:hanging="480" w:hangingChars="200"/>
              <w:rPr>
                <w:rFonts w:ascii="宋体" w:hAnsi="宋体" w:cs="黑体"/>
                <w:color w:val="auto"/>
                <w:sz w:val="24"/>
              </w:rPr>
            </w:pPr>
          </w:p>
        </w:tc>
        <w:tc>
          <w:tcPr>
            <w:tcW w:w="1197" w:type="dxa"/>
            <w:tcBorders>
              <w:top w:val="single" w:color="auto" w:sz="4" w:space="0"/>
              <w:left w:val="nil"/>
              <w:bottom w:val="single" w:color="auto" w:sz="4" w:space="0"/>
              <w:right w:val="single" w:color="auto" w:sz="4" w:space="0"/>
            </w:tcBorders>
          </w:tcPr>
          <w:p w14:paraId="4CA772A1">
            <w:pPr>
              <w:spacing w:after="120" w:line="360" w:lineRule="auto"/>
              <w:ind w:left="480" w:hanging="480" w:hangingChars="200"/>
              <w:rPr>
                <w:rFonts w:ascii="宋体" w:hAnsi="宋体" w:cs="黑体"/>
                <w:color w:val="auto"/>
                <w:sz w:val="24"/>
              </w:rPr>
            </w:pPr>
          </w:p>
        </w:tc>
      </w:tr>
    </w:tbl>
    <w:p w14:paraId="52ED492D">
      <w:pPr>
        <w:spacing w:line="480" w:lineRule="exact"/>
        <w:ind w:left="480" w:hanging="480" w:hangingChars="200"/>
        <w:rPr>
          <w:rFonts w:ascii="宋体" w:hAnsi="宋体" w:cs="黑体"/>
          <w:color w:val="auto"/>
          <w:sz w:val="24"/>
        </w:rPr>
      </w:pPr>
      <w:r>
        <w:rPr>
          <w:rFonts w:hint="eastAsia" w:ascii="宋体" w:hAnsi="宋体" w:cs="黑体"/>
          <w:color w:val="auto"/>
          <w:sz w:val="24"/>
        </w:rPr>
        <w:t>表格填写说明：</w:t>
      </w:r>
    </w:p>
    <w:p w14:paraId="741D24C0">
      <w:pPr>
        <w:spacing w:line="480" w:lineRule="exact"/>
        <w:ind w:left="480" w:hanging="480" w:hangingChars="200"/>
        <w:rPr>
          <w:rFonts w:ascii="宋体" w:hAnsi="宋体" w:cs="黑体"/>
          <w:color w:val="auto"/>
          <w:sz w:val="24"/>
        </w:rPr>
      </w:pPr>
      <w:r>
        <w:rPr>
          <w:rFonts w:ascii="宋体" w:hAnsi="宋体" w:cs="黑体"/>
          <w:color w:val="auto"/>
          <w:sz w:val="24"/>
        </w:rPr>
        <w:t>1、表格中“技术要求原文”可按第四章“技术服务要求”内容填写。</w:t>
      </w:r>
    </w:p>
    <w:p w14:paraId="1D17DF0D">
      <w:pPr>
        <w:spacing w:line="480" w:lineRule="exact"/>
        <w:ind w:left="480" w:hanging="480" w:hangingChars="200"/>
        <w:rPr>
          <w:rFonts w:ascii="宋体" w:hAnsi="宋体" w:cs="黑体"/>
          <w:color w:val="auto"/>
          <w:sz w:val="24"/>
        </w:rPr>
      </w:pPr>
      <w:r>
        <w:rPr>
          <w:rFonts w:ascii="宋体" w:hAnsi="宋体" w:cs="黑体"/>
          <w:color w:val="auto"/>
          <w:sz w:val="24"/>
        </w:rPr>
        <w:t>2、表格中“供应商的应答”，如有偏离，请供应商根据实际情况如实、完整、准确地填写，若无偏离可不填；</w:t>
      </w:r>
    </w:p>
    <w:p w14:paraId="37D4AE98">
      <w:pPr>
        <w:spacing w:after="120" w:line="360" w:lineRule="auto"/>
        <w:ind w:left="480" w:hanging="480" w:hangingChars="200"/>
        <w:rPr>
          <w:rFonts w:ascii="宋体" w:hAnsi="宋体" w:cs="黑体"/>
          <w:color w:val="auto"/>
          <w:sz w:val="24"/>
        </w:rPr>
      </w:pPr>
    </w:p>
    <w:p w14:paraId="753AD1E3">
      <w:pPr>
        <w:spacing w:line="720" w:lineRule="exact"/>
        <w:ind w:firstLine="3840" w:firstLineChars="1600"/>
        <w:rPr>
          <w:rFonts w:ascii="宋体" w:hAnsi="宋体"/>
          <w:sz w:val="24"/>
        </w:rPr>
      </w:pPr>
      <w:r>
        <w:rPr>
          <w:rFonts w:hint="eastAsia" w:ascii="宋体" w:hAnsi="宋体"/>
          <w:sz w:val="24"/>
        </w:rPr>
        <w:t>供应商全称（加盖公章）：</w:t>
      </w:r>
      <w:r>
        <w:rPr>
          <w:rFonts w:ascii="宋体" w:hAnsi="宋体"/>
          <w:sz w:val="24"/>
          <w:u w:val="single"/>
        </w:rPr>
        <w:t xml:space="preserve">                         </w:t>
      </w:r>
    </w:p>
    <w:p w14:paraId="6C92D50B">
      <w:pPr>
        <w:spacing w:line="720" w:lineRule="exact"/>
        <w:ind w:firstLine="3840" w:firstLineChars="1600"/>
        <w:rPr>
          <w:rFonts w:ascii="宋体" w:hAnsi="宋体"/>
          <w:sz w:val="24"/>
          <w:u w:val="single"/>
        </w:rPr>
      </w:pPr>
      <w:r>
        <w:rPr>
          <w:rFonts w:hint="eastAsia" w:ascii="宋体" w:hAnsi="宋体"/>
          <w:sz w:val="24"/>
        </w:rPr>
        <w:t>法定代表人或委托代理人（签字）：</w:t>
      </w:r>
      <w:r>
        <w:rPr>
          <w:rFonts w:ascii="宋体" w:hAnsi="宋体"/>
          <w:sz w:val="24"/>
          <w:u w:val="single"/>
        </w:rPr>
        <w:t xml:space="preserve">              </w:t>
      </w:r>
    </w:p>
    <w:p w14:paraId="5803F045">
      <w:pPr>
        <w:spacing w:line="720" w:lineRule="exact"/>
        <w:ind w:firstLine="3840" w:firstLineChars="1600"/>
        <w:rPr>
          <w:rFonts w:ascii="宋体" w:hAnsi="宋体"/>
          <w:sz w:val="24"/>
        </w:rPr>
      </w:pPr>
      <w:r>
        <w:rPr>
          <w:rFonts w:hint="eastAsia" w:ascii="宋体" w:hAnsi="宋体"/>
          <w:sz w:val="24"/>
        </w:rPr>
        <w:t>日期：</w:t>
      </w:r>
      <w:r>
        <w:rPr>
          <w:rFonts w:ascii="宋体" w:hAnsi="宋体"/>
          <w:sz w:val="24"/>
          <w:u w:val="single"/>
        </w:rPr>
        <w:t xml:space="preserve">       </w:t>
      </w:r>
      <w:r>
        <w:rPr>
          <w:rFonts w:hint="eastAsia" w:ascii="宋体" w:hAnsi="宋体"/>
          <w:sz w:val="24"/>
        </w:rPr>
        <w:t>年</w:t>
      </w:r>
      <w:r>
        <w:rPr>
          <w:rFonts w:ascii="宋体" w:hAnsi="宋体"/>
          <w:sz w:val="24"/>
          <w:u w:val="single"/>
        </w:rPr>
        <w:t xml:space="preserve">     </w:t>
      </w:r>
      <w:r>
        <w:rPr>
          <w:rFonts w:hint="eastAsia" w:ascii="宋体" w:hAnsi="宋体"/>
          <w:sz w:val="24"/>
        </w:rPr>
        <w:t>月</w:t>
      </w:r>
      <w:r>
        <w:rPr>
          <w:rFonts w:ascii="宋体" w:hAnsi="宋体"/>
          <w:sz w:val="24"/>
          <w:u w:val="single"/>
        </w:rPr>
        <w:t xml:space="preserve">     </w:t>
      </w:r>
      <w:r>
        <w:rPr>
          <w:rFonts w:hint="eastAsia" w:ascii="宋体" w:hAnsi="宋体"/>
          <w:sz w:val="24"/>
        </w:rPr>
        <w:t>日</w:t>
      </w:r>
    </w:p>
    <w:p w14:paraId="2A2568D9">
      <w:pPr>
        <w:pStyle w:val="25"/>
        <w:rPr>
          <w:b/>
          <w:sz w:val="32"/>
          <w:szCs w:val="32"/>
        </w:rPr>
      </w:pPr>
    </w:p>
    <w:p w14:paraId="7834283E">
      <w:pPr>
        <w:spacing w:before="468" w:beforeLines="150"/>
        <w:jc w:val="center"/>
        <w:outlineLvl w:val="1"/>
        <w:rPr>
          <w:b/>
          <w:sz w:val="36"/>
          <w:szCs w:val="36"/>
        </w:rPr>
      </w:pPr>
      <w:r>
        <w:rPr>
          <w:b/>
          <w:sz w:val="36"/>
          <w:szCs w:val="36"/>
        </w:rPr>
        <w:br w:type="page"/>
      </w:r>
      <w:bookmarkStart w:id="459" w:name="_Toc15076"/>
      <w:bookmarkStart w:id="460" w:name="_Toc13714"/>
      <w:bookmarkStart w:id="461" w:name="_Toc14464"/>
      <w:bookmarkStart w:id="462" w:name="_Toc24237"/>
      <w:bookmarkStart w:id="463" w:name="_Toc14655"/>
      <w:bookmarkStart w:id="464" w:name="_Toc31109"/>
      <w:bookmarkStart w:id="465" w:name="_Toc10783"/>
      <w:bookmarkStart w:id="466" w:name="_Toc27041616"/>
      <w:r>
        <w:rPr>
          <w:rFonts w:hint="eastAsia"/>
          <w:b/>
          <w:sz w:val="36"/>
          <w:szCs w:val="36"/>
        </w:rPr>
        <w:t>附件八：技术响应方案</w:t>
      </w:r>
      <w:bookmarkEnd w:id="459"/>
      <w:bookmarkEnd w:id="460"/>
      <w:bookmarkEnd w:id="461"/>
      <w:bookmarkEnd w:id="462"/>
      <w:bookmarkEnd w:id="463"/>
      <w:bookmarkEnd w:id="464"/>
      <w:bookmarkEnd w:id="465"/>
      <w:bookmarkEnd w:id="466"/>
    </w:p>
    <w:p w14:paraId="03F8C372">
      <w:pPr>
        <w:spacing w:line="440" w:lineRule="exact"/>
        <w:ind w:firstLine="480" w:firstLineChars="200"/>
        <w:rPr>
          <w:rFonts w:ascii="宋体" w:hAnsi="宋体"/>
          <w:color w:val="auto"/>
          <w:sz w:val="24"/>
        </w:rPr>
      </w:pPr>
      <w:r>
        <w:rPr>
          <w:rFonts w:hint="eastAsia" w:ascii="宋体" w:hAnsi="宋体"/>
          <w:color w:val="auto"/>
          <w:sz w:val="24"/>
        </w:rPr>
        <w:t>供应商自行根据本项目谈判文件、技术要求进行编制，编制的内容要有合理性及针对性。</w:t>
      </w:r>
    </w:p>
    <w:p w14:paraId="796E95B2">
      <w:pPr>
        <w:spacing w:line="440" w:lineRule="exact"/>
        <w:ind w:firstLine="480" w:firstLineChars="200"/>
        <w:rPr>
          <w:rFonts w:ascii="宋体" w:hAnsi="宋体"/>
          <w:color w:val="auto"/>
          <w:sz w:val="24"/>
        </w:rPr>
      </w:pPr>
      <w:r>
        <w:rPr>
          <w:rFonts w:hint="eastAsia" w:ascii="宋体" w:hAnsi="宋体"/>
          <w:color w:val="auto"/>
          <w:sz w:val="24"/>
        </w:rPr>
        <w:t>所提供的技术响应方案包括但不限于以下内容：</w:t>
      </w:r>
    </w:p>
    <w:p w14:paraId="08A03A13">
      <w:pPr>
        <w:numPr>
          <w:ilvl w:val="0"/>
          <w:numId w:val="17"/>
        </w:numPr>
        <w:spacing w:line="360" w:lineRule="auto"/>
        <w:ind w:firstLine="480" w:firstLineChars="200"/>
        <w:rPr>
          <w:rFonts w:ascii="宋体" w:hAnsi="宋体"/>
          <w:color w:val="auto"/>
          <w:sz w:val="24"/>
        </w:rPr>
      </w:pPr>
      <w:r>
        <w:rPr>
          <w:rFonts w:hint="eastAsia" w:ascii="宋体" w:hAnsi="宋体" w:cs="宋体"/>
          <w:kern w:val="0"/>
          <w:sz w:val="24"/>
          <w:lang w:val="en-US" w:eastAsia="zh-CN" w:bidi="ar"/>
        </w:rPr>
        <w:t>企业综合能力及设计方案；</w:t>
      </w:r>
    </w:p>
    <w:p w14:paraId="036F29EA">
      <w:pPr>
        <w:numPr>
          <w:ilvl w:val="0"/>
          <w:numId w:val="17"/>
        </w:numPr>
        <w:spacing w:line="360" w:lineRule="auto"/>
        <w:ind w:firstLine="480" w:firstLineChars="200"/>
        <w:rPr>
          <w:rFonts w:ascii="宋体" w:hAnsi="宋体"/>
          <w:color w:val="auto"/>
          <w:sz w:val="24"/>
        </w:rPr>
      </w:pPr>
      <w:r>
        <w:rPr>
          <w:rFonts w:hint="eastAsia" w:ascii="宋体" w:hAnsi="宋体" w:cs="宋体"/>
          <w:kern w:val="0"/>
          <w:sz w:val="24"/>
          <w:lang w:val="en-US" w:eastAsia="zh-CN" w:bidi="ar"/>
        </w:rPr>
        <w:t>组织/作业能力描述</w:t>
      </w:r>
      <w:r>
        <w:rPr>
          <w:rFonts w:hint="eastAsia" w:ascii="宋体" w:hAnsi="宋体" w:cs="宋体"/>
          <w:color w:val="auto"/>
          <w:kern w:val="0"/>
          <w:sz w:val="24"/>
          <w:lang w:bidi="ar"/>
        </w:rPr>
        <w:t>；</w:t>
      </w:r>
    </w:p>
    <w:p w14:paraId="58F99899">
      <w:pPr>
        <w:pStyle w:val="9"/>
        <w:numPr>
          <w:ilvl w:val="0"/>
          <w:numId w:val="17"/>
        </w:numPr>
        <w:spacing w:after="0" w:line="360" w:lineRule="auto"/>
        <w:ind w:firstLine="480" w:firstLineChars="200"/>
        <w:rPr>
          <w:rFonts w:ascii="宋体" w:hAnsi="宋体" w:cs="宋体"/>
          <w:color w:val="auto"/>
          <w:sz w:val="24"/>
          <w:lang w:val="en-US" w:bidi="ar"/>
        </w:rPr>
      </w:pPr>
      <w:r>
        <w:rPr>
          <w:rFonts w:hint="eastAsia" w:ascii="宋体" w:hAnsi="宋体"/>
          <w:sz w:val="24"/>
          <w:lang w:val="en-US" w:eastAsia="zh-CN"/>
        </w:rPr>
        <w:t>质量保障及售后服务承诺；</w:t>
      </w:r>
    </w:p>
    <w:p w14:paraId="276E8037">
      <w:pPr>
        <w:pStyle w:val="9"/>
      </w:pPr>
    </w:p>
    <w:p w14:paraId="55397F3E">
      <w:pPr>
        <w:spacing w:before="468" w:beforeLines="150"/>
        <w:jc w:val="center"/>
        <w:outlineLvl w:val="1"/>
        <w:rPr>
          <w:b/>
          <w:sz w:val="36"/>
          <w:szCs w:val="36"/>
        </w:rPr>
      </w:pPr>
      <w:bookmarkStart w:id="467" w:name="_Toc17616"/>
      <w:bookmarkStart w:id="468" w:name="_Toc27041617"/>
      <w:bookmarkStart w:id="469" w:name="_Toc19565"/>
      <w:bookmarkStart w:id="470" w:name="_Toc3632"/>
      <w:bookmarkStart w:id="471" w:name="_Toc30800"/>
      <w:bookmarkStart w:id="472" w:name="_Toc32274"/>
      <w:bookmarkStart w:id="473" w:name="_Toc10467"/>
      <w:bookmarkStart w:id="474" w:name="_Toc25757"/>
      <w:r>
        <w:rPr>
          <w:rFonts w:hint="eastAsia"/>
          <w:b/>
          <w:sz w:val="36"/>
          <w:szCs w:val="36"/>
        </w:rPr>
        <w:t>附件九：其他资料</w:t>
      </w:r>
      <w:bookmarkEnd w:id="467"/>
      <w:bookmarkEnd w:id="468"/>
      <w:bookmarkEnd w:id="469"/>
      <w:bookmarkEnd w:id="470"/>
      <w:bookmarkEnd w:id="471"/>
      <w:bookmarkEnd w:id="472"/>
      <w:bookmarkEnd w:id="473"/>
      <w:bookmarkEnd w:id="474"/>
    </w:p>
    <w:p w14:paraId="19D34F62">
      <w:pPr>
        <w:spacing w:line="440" w:lineRule="exact"/>
        <w:ind w:firstLine="960" w:firstLineChars="400"/>
        <w:rPr>
          <w:rFonts w:ascii="宋体" w:hAnsi="宋体"/>
          <w:color w:val="auto"/>
          <w:sz w:val="24"/>
        </w:rPr>
      </w:pPr>
      <w:r>
        <w:rPr>
          <w:rFonts w:hint="eastAsia" w:ascii="宋体" w:hAnsi="宋体"/>
          <w:color w:val="auto"/>
          <w:sz w:val="24"/>
        </w:rPr>
        <w:t>供应商认为应该提交的其他材料，格式自拟。</w:t>
      </w:r>
    </w:p>
    <w:p w14:paraId="5A991E9E">
      <w:pPr>
        <w:rPr>
          <w:rFonts w:hint="default" w:eastAsia="宋体"/>
          <w:b/>
          <w:sz w:val="36"/>
          <w:szCs w:val="36"/>
          <w:lang w:val="en-US" w:eastAsia="zh-CN"/>
        </w:rPr>
      </w:pPr>
      <w:bookmarkStart w:id="475" w:name="_Toc27041618"/>
      <w:bookmarkStart w:id="476" w:name="_Toc32062"/>
      <w:bookmarkStart w:id="477" w:name="_Toc4009"/>
      <w:bookmarkStart w:id="478" w:name="_Toc633"/>
      <w:bookmarkStart w:id="479" w:name="_Toc17158"/>
      <w:bookmarkStart w:id="480" w:name="_Toc21200"/>
      <w:r>
        <w:rPr>
          <w:b/>
          <w:sz w:val="36"/>
          <w:szCs w:val="36"/>
        </w:rPr>
        <w:br w:type="page"/>
      </w:r>
    </w:p>
    <w:p w14:paraId="3F388032">
      <w:pPr>
        <w:spacing w:before="468" w:beforeLines="150"/>
        <w:jc w:val="center"/>
        <w:outlineLvl w:val="1"/>
        <w:rPr>
          <w:rFonts w:hint="eastAsia"/>
          <w:b/>
          <w:sz w:val="36"/>
          <w:szCs w:val="36"/>
        </w:rPr>
      </w:pPr>
      <w:bookmarkStart w:id="481" w:name="_Toc10429"/>
      <w:bookmarkStart w:id="482" w:name="_Toc3901"/>
      <w:r>
        <w:rPr>
          <w:rFonts w:hint="eastAsia"/>
          <w:b/>
          <w:sz w:val="36"/>
          <w:szCs w:val="36"/>
        </w:rPr>
        <w:t>附件十：最后报价表</w:t>
      </w:r>
      <w:bookmarkEnd w:id="475"/>
      <w:bookmarkEnd w:id="476"/>
      <w:bookmarkEnd w:id="477"/>
      <w:bookmarkEnd w:id="478"/>
      <w:bookmarkEnd w:id="479"/>
      <w:bookmarkEnd w:id="480"/>
      <w:bookmarkEnd w:id="481"/>
      <w:bookmarkEnd w:id="482"/>
    </w:p>
    <w:tbl>
      <w:tblPr>
        <w:tblStyle w:val="26"/>
        <w:tblW w:w="9442" w:type="dxa"/>
        <w:tblInd w:w="0" w:type="dxa"/>
        <w:shd w:val="clear" w:color="auto" w:fill="FFFF00"/>
        <w:tblLayout w:type="fixed"/>
        <w:tblCellMar>
          <w:top w:w="0" w:type="dxa"/>
          <w:left w:w="0" w:type="dxa"/>
          <w:bottom w:w="0" w:type="dxa"/>
          <w:right w:w="0" w:type="dxa"/>
        </w:tblCellMar>
      </w:tblPr>
      <w:tblGrid>
        <w:gridCol w:w="3922"/>
        <w:gridCol w:w="1702"/>
        <w:gridCol w:w="960"/>
        <w:gridCol w:w="2858"/>
      </w:tblGrid>
      <w:tr w14:paraId="2C7233FC">
        <w:tblPrEx>
          <w:tblCellMar>
            <w:top w:w="0" w:type="dxa"/>
            <w:left w:w="0" w:type="dxa"/>
            <w:bottom w:w="0" w:type="dxa"/>
            <w:right w:w="0" w:type="dxa"/>
          </w:tblCellMar>
        </w:tblPrEx>
        <w:trPr>
          <w:trHeight w:val="582" w:hRule="atLeast"/>
        </w:trPr>
        <w:tc>
          <w:tcPr>
            <w:tcW w:w="3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31FE6BC">
            <w:pPr>
              <w:widowControl/>
              <w:jc w:val="center"/>
              <w:textAlignment w:val="center"/>
              <w:rPr>
                <w:rFonts w:ascii="宋体" w:hAnsi="宋体" w:cs="宋体"/>
                <w:b/>
                <w:bCs/>
                <w:sz w:val="24"/>
              </w:rPr>
            </w:pPr>
            <w:r>
              <w:rPr>
                <w:rFonts w:hint="eastAsia" w:ascii="宋体" w:hAnsi="宋体" w:cs="宋体"/>
                <w:b/>
                <w:bCs/>
                <w:kern w:val="0"/>
                <w:sz w:val="24"/>
                <w:lang w:bidi="ar"/>
              </w:rPr>
              <w:t>项目名称</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FE5CF7">
            <w:pPr>
              <w:widowControl/>
              <w:jc w:val="center"/>
              <w:textAlignment w:val="center"/>
              <w:rPr>
                <w:rFonts w:ascii="宋体" w:hAnsi="宋体" w:cs="宋体"/>
                <w:b/>
                <w:bCs/>
                <w:sz w:val="24"/>
              </w:rPr>
            </w:pPr>
            <w:r>
              <w:rPr>
                <w:rFonts w:hint="eastAsia" w:ascii="宋体" w:hAnsi="宋体" w:cs="宋体"/>
                <w:b/>
                <w:bCs/>
                <w:kern w:val="0"/>
                <w:sz w:val="24"/>
                <w:lang w:bidi="ar"/>
              </w:rPr>
              <w:t>不含税价（元）</w:t>
            </w: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8DA202">
            <w:pPr>
              <w:widowControl/>
              <w:jc w:val="center"/>
              <w:textAlignment w:val="center"/>
              <w:rPr>
                <w:rFonts w:ascii="宋体" w:hAnsi="宋体" w:cs="宋体"/>
                <w:b/>
                <w:bCs/>
                <w:sz w:val="24"/>
              </w:rPr>
            </w:pPr>
            <w:r>
              <w:rPr>
                <w:rFonts w:hint="eastAsia" w:ascii="宋体" w:hAnsi="宋体" w:cs="宋体"/>
                <w:b/>
                <w:bCs/>
                <w:kern w:val="0"/>
                <w:sz w:val="24"/>
                <w:lang w:bidi="ar"/>
              </w:rPr>
              <w:t>税率</w:t>
            </w:r>
          </w:p>
        </w:tc>
        <w:tc>
          <w:tcPr>
            <w:tcW w:w="28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DA5750">
            <w:pPr>
              <w:widowControl/>
              <w:jc w:val="center"/>
              <w:textAlignment w:val="center"/>
              <w:rPr>
                <w:rFonts w:ascii="宋体" w:hAnsi="宋体" w:cs="宋体"/>
                <w:b/>
                <w:bCs/>
                <w:sz w:val="24"/>
              </w:rPr>
            </w:pPr>
            <w:r>
              <w:rPr>
                <w:rFonts w:hint="eastAsia" w:ascii="宋体" w:hAnsi="宋体" w:cs="宋体"/>
                <w:b/>
                <w:bCs/>
                <w:kern w:val="0"/>
                <w:sz w:val="24"/>
                <w:lang w:bidi="ar"/>
              </w:rPr>
              <w:t>含税总价（元）</w:t>
            </w:r>
          </w:p>
        </w:tc>
      </w:tr>
      <w:tr w14:paraId="3B499ADF">
        <w:tblPrEx>
          <w:tblCellMar>
            <w:top w:w="0" w:type="dxa"/>
            <w:left w:w="0" w:type="dxa"/>
            <w:bottom w:w="0" w:type="dxa"/>
            <w:right w:w="0" w:type="dxa"/>
          </w:tblCellMar>
        </w:tblPrEx>
        <w:trPr>
          <w:trHeight w:val="1036" w:hRule="atLeast"/>
        </w:trPr>
        <w:tc>
          <w:tcPr>
            <w:tcW w:w="39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D8AA7A">
            <w:pPr>
              <w:widowControl/>
              <w:jc w:val="left"/>
              <w:textAlignment w:val="center"/>
              <w:rPr>
                <w:rFonts w:hint="eastAsia" w:ascii="宋体" w:hAnsi="宋体" w:eastAsia="宋体" w:cs="宋体"/>
                <w:sz w:val="24"/>
                <w:lang w:eastAsia="zh-CN"/>
              </w:rPr>
            </w:pPr>
            <w:r>
              <w:rPr>
                <w:rFonts w:hint="eastAsia" w:ascii="宋体" w:hAnsi="宋体" w:cs="宋体"/>
                <w:b/>
                <w:bCs/>
                <w:kern w:val="0"/>
                <w:sz w:val="24"/>
                <w:lang w:eastAsia="zh-CN" w:bidi="ar"/>
              </w:rPr>
              <w:t>北山国际货场企业标识牌采购项目</w:t>
            </w:r>
          </w:p>
        </w:tc>
        <w:tc>
          <w:tcPr>
            <w:tcW w:w="17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E9A76B">
            <w:pPr>
              <w:jc w:val="center"/>
              <w:rPr>
                <w:rFonts w:ascii="宋体" w:hAnsi="宋体" w:cs="宋体"/>
                <w:sz w:val="24"/>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A68BDD9">
            <w:pPr>
              <w:jc w:val="center"/>
              <w:rPr>
                <w:rFonts w:ascii="宋体" w:hAnsi="宋体" w:cs="宋体"/>
                <w:sz w:val="24"/>
              </w:rPr>
            </w:pPr>
          </w:p>
        </w:tc>
        <w:tc>
          <w:tcPr>
            <w:tcW w:w="28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7A3FF37">
            <w:pPr>
              <w:jc w:val="center"/>
              <w:rPr>
                <w:rFonts w:ascii="宋体" w:hAnsi="宋体" w:cs="宋体"/>
                <w:sz w:val="24"/>
              </w:rPr>
            </w:pPr>
          </w:p>
        </w:tc>
      </w:tr>
      <w:tr w14:paraId="5B35680D">
        <w:tblPrEx>
          <w:tblCellMar>
            <w:top w:w="0" w:type="dxa"/>
            <w:left w:w="0" w:type="dxa"/>
            <w:bottom w:w="0" w:type="dxa"/>
            <w:right w:w="0" w:type="dxa"/>
          </w:tblCellMar>
        </w:tblPrEx>
        <w:trPr>
          <w:trHeight w:val="402" w:hRule="atLeast"/>
        </w:trPr>
        <w:tc>
          <w:tcPr>
            <w:tcW w:w="3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63113C0">
            <w:pPr>
              <w:widowControl/>
              <w:jc w:val="center"/>
              <w:textAlignment w:val="center"/>
              <w:rPr>
                <w:rFonts w:hint="default" w:ascii="宋体" w:hAnsi="宋体" w:eastAsia="宋体" w:cs="宋体"/>
                <w:sz w:val="24"/>
                <w:lang w:val="en-US" w:eastAsia="zh-CN"/>
              </w:rPr>
            </w:pPr>
            <w:r>
              <w:rPr>
                <w:rFonts w:hint="eastAsia" w:ascii="宋体" w:hAnsi="宋体" w:cs="宋体"/>
                <w:kern w:val="0"/>
                <w:sz w:val="24"/>
                <w:lang w:val="en-US" w:eastAsia="zh-CN" w:bidi="ar"/>
              </w:rPr>
              <w:t>交付</w:t>
            </w:r>
            <w:r>
              <w:rPr>
                <w:rFonts w:hint="eastAsia" w:ascii="宋体" w:hAnsi="宋体" w:cs="宋体"/>
                <w:kern w:val="0"/>
                <w:sz w:val="24"/>
                <w:lang w:bidi="ar"/>
              </w:rPr>
              <w:t>时间</w:t>
            </w:r>
          </w:p>
        </w:tc>
        <w:tc>
          <w:tcPr>
            <w:tcW w:w="5520"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BE5E62">
            <w:pPr>
              <w:widowControl/>
              <w:jc w:val="left"/>
              <w:textAlignment w:val="center"/>
              <w:rPr>
                <w:rFonts w:ascii="宋体" w:hAnsi="宋体" w:cs="宋体"/>
                <w:sz w:val="24"/>
              </w:rPr>
            </w:pPr>
          </w:p>
        </w:tc>
      </w:tr>
      <w:tr w14:paraId="15AAFD00">
        <w:tblPrEx>
          <w:tblCellMar>
            <w:top w:w="0" w:type="dxa"/>
            <w:left w:w="0" w:type="dxa"/>
            <w:bottom w:w="0" w:type="dxa"/>
            <w:right w:w="0" w:type="dxa"/>
          </w:tblCellMar>
        </w:tblPrEx>
        <w:trPr>
          <w:trHeight w:val="402" w:hRule="atLeast"/>
        </w:trPr>
        <w:tc>
          <w:tcPr>
            <w:tcW w:w="3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E79A7E0">
            <w:pPr>
              <w:widowControl/>
              <w:jc w:val="center"/>
              <w:textAlignment w:val="center"/>
              <w:rPr>
                <w:rFonts w:ascii="宋体" w:hAnsi="宋体" w:cs="宋体"/>
                <w:kern w:val="0"/>
                <w:sz w:val="24"/>
                <w:lang w:bidi="ar"/>
              </w:rPr>
            </w:pPr>
            <w:r>
              <w:rPr>
                <w:rFonts w:hint="eastAsia" w:ascii="宋体" w:hAnsi="宋体" w:cs="宋体"/>
                <w:kern w:val="0"/>
                <w:sz w:val="24"/>
                <w:lang w:bidi="ar"/>
              </w:rPr>
              <w:t>报价有效期</w:t>
            </w:r>
          </w:p>
        </w:tc>
        <w:tc>
          <w:tcPr>
            <w:tcW w:w="5520"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86A1155">
            <w:pPr>
              <w:widowControl/>
              <w:jc w:val="left"/>
              <w:textAlignment w:val="center"/>
              <w:rPr>
                <w:rFonts w:ascii="宋体" w:hAnsi="宋体" w:cs="宋体"/>
                <w:kern w:val="0"/>
                <w:sz w:val="24"/>
                <w:lang w:bidi="ar"/>
              </w:rPr>
            </w:pPr>
            <w:r>
              <w:rPr>
                <w:rFonts w:hint="eastAsia" w:ascii="宋体" w:hAnsi="宋体" w:cs="宋体"/>
                <w:kern w:val="0"/>
                <w:sz w:val="24"/>
                <w:lang w:bidi="ar"/>
              </w:rPr>
              <w:t>有效期至递交截止时间后</w:t>
            </w:r>
            <w:r>
              <w:rPr>
                <w:rFonts w:ascii="宋体" w:hAnsi="宋体" w:cs="宋体"/>
                <w:kern w:val="0"/>
                <w:sz w:val="24"/>
                <w:u w:val="single"/>
                <w:lang w:bidi="ar"/>
              </w:rPr>
              <w:t xml:space="preserve">  </w:t>
            </w:r>
            <w:r>
              <w:rPr>
                <w:rFonts w:hint="eastAsia" w:ascii="宋体" w:hAnsi="宋体" w:cs="宋体"/>
                <w:kern w:val="0"/>
                <w:sz w:val="24"/>
                <w:u w:val="single"/>
                <w:lang w:val="en-US" w:eastAsia="zh-CN" w:bidi="ar"/>
              </w:rPr>
              <w:t>90</w:t>
            </w:r>
            <w:r>
              <w:rPr>
                <w:rFonts w:ascii="宋体" w:hAnsi="宋体" w:cs="宋体"/>
                <w:kern w:val="0"/>
                <w:sz w:val="24"/>
                <w:u w:val="single"/>
                <w:lang w:bidi="ar"/>
              </w:rPr>
              <w:t xml:space="preserve">  </w:t>
            </w:r>
            <w:r>
              <w:rPr>
                <w:rFonts w:hint="eastAsia" w:ascii="宋体" w:hAnsi="宋体" w:cs="宋体"/>
                <w:kern w:val="0"/>
                <w:sz w:val="24"/>
                <w:lang w:bidi="ar"/>
              </w:rPr>
              <w:t>日</w:t>
            </w:r>
          </w:p>
        </w:tc>
      </w:tr>
      <w:tr w14:paraId="58C33290">
        <w:tblPrEx>
          <w:tblCellMar>
            <w:top w:w="0" w:type="dxa"/>
            <w:left w:w="0" w:type="dxa"/>
            <w:bottom w:w="0" w:type="dxa"/>
            <w:right w:w="0" w:type="dxa"/>
          </w:tblCellMar>
        </w:tblPrEx>
        <w:trPr>
          <w:trHeight w:val="860" w:hRule="atLeast"/>
        </w:trPr>
        <w:tc>
          <w:tcPr>
            <w:tcW w:w="392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41B474">
            <w:pPr>
              <w:widowControl/>
              <w:jc w:val="center"/>
              <w:textAlignment w:val="center"/>
              <w:rPr>
                <w:rFonts w:hint="default" w:ascii="宋体" w:hAnsi="宋体" w:eastAsia="宋体" w:cs="宋体"/>
                <w:sz w:val="24"/>
                <w:lang w:val="en-US" w:eastAsia="zh-CN"/>
              </w:rPr>
            </w:pPr>
            <w:r>
              <w:rPr>
                <w:rFonts w:hint="eastAsia" w:ascii="宋体" w:hAnsi="宋体" w:cs="宋体"/>
                <w:sz w:val="24"/>
                <w:lang w:val="en-US" w:eastAsia="zh-CN"/>
              </w:rPr>
              <w:t>质量承诺</w:t>
            </w:r>
          </w:p>
        </w:tc>
        <w:tc>
          <w:tcPr>
            <w:tcW w:w="5520" w:type="dxa"/>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9B72CF3">
            <w:pPr>
              <w:jc w:val="left"/>
              <w:rPr>
                <w:rFonts w:ascii="宋体" w:hAnsi="宋体" w:cs="宋体"/>
                <w:sz w:val="24"/>
              </w:rPr>
            </w:pPr>
          </w:p>
        </w:tc>
      </w:tr>
      <w:tr w14:paraId="17B05503">
        <w:tblPrEx>
          <w:tblCellMar>
            <w:top w:w="0" w:type="dxa"/>
            <w:left w:w="0" w:type="dxa"/>
            <w:bottom w:w="0" w:type="dxa"/>
            <w:right w:w="0" w:type="dxa"/>
          </w:tblCellMar>
        </w:tblPrEx>
        <w:trPr>
          <w:trHeight w:val="1395" w:hRule="atLeast"/>
        </w:trPr>
        <w:tc>
          <w:tcPr>
            <w:tcW w:w="9442"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5EFB24">
            <w:pPr>
              <w:widowControl/>
              <w:spacing w:line="360" w:lineRule="auto"/>
              <w:jc w:val="left"/>
              <w:textAlignment w:val="center"/>
              <w:rPr>
                <w:rFonts w:ascii="宋体" w:hAnsi="宋体" w:cs="宋体"/>
                <w:kern w:val="0"/>
                <w:sz w:val="24"/>
                <w:lang w:bidi="ar"/>
              </w:rPr>
            </w:pPr>
            <w:r>
              <w:rPr>
                <w:rFonts w:hint="eastAsia" w:ascii="宋体" w:hAnsi="宋体" w:cs="宋体"/>
                <w:kern w:val="0"/>
                <w:sz w:val="24"/>
                <w:lang w:bidi="ar"/>
              </w:rPr>
              <w:t>含税总价（大写）：</w:t>
            </w:r>
          </w:p>
          <w:p w14:paraId="34BF67F1">
            <w:pPr>
              <w:widowControl/>
              <w:spacing w:line="360" w:lineRule="auto"/>
              <w:jc w:val="left"/>
              <w:textAlignment w:val="center"/>
              <w:rPr>
                <w:rFonts w:ascii="宋体" w:hAnsi="宋体" w:cs="宋体"/>
                <w:kern w:val="0"/>
                <w:sz w:val="24"/>
                <w:lang w:bidi="ar"/>
              </w:rPr>
            </w:pPr>
            <w:r>
              <w:rPr>
                <w:rFonts w:hint="eastAsia" w:ascii="宋体" w:hAnsi="宋体" w:cs="宋体"/>
                <w:kern w:val="0"/>
                <w:sz w:val="24"/>
                <w:lang w:bidi="ar"/>
              </w:rPr>
              <w:t>供应商全称（加盖公章）：</w:t>
            </w:r>
          </w:p>
          <w:p w14:paraId="15EA9A78">
            <w:pPr>
              <w:widowControl/>
              <w:spacing w:line="360" w:lineRule="auto"/>
              <w:jc w:val="left"/>
              <w:textAlignment w:val="center"/>
              <w:rPr>
                <w:rFonts w:ascii="宋体" w:hAnsi="宋体" w:cs="宋体"/>
                <w:kern w:val="0"/>
                <w:sz w:val="24"/>
                <w:lang w:bidi="ar"/>
              </w:rPr>
            </w:pPr>
            <w:r>
              <w:rPr>
                <w:rFonts w:hint="eastAsia" w:ascii="宋体" w:hAnsi="宋体" w:cs="宋体"/>
                <w:kern w:val="0"/>
                <w:sz w:val="24"/>
                <w:lang w:bidi="ar"/>
              </w:rPr>
              <w:t>法定代表人或委托代理人（签字）：</w:t>
            </w:r>
          </w:p>
          <w:p w14:paraId="6EA074BA">
            <w:pPr>
              <w:widowControl/>
              <w:spacing w:line="360" w:lineRule="auto"/>
              <w:jc w:val="left"/>
              <w:textAlignment w:val="center"/>
              <w:rPr>
                <w:rFonts w:ascii="宋体" w:hAnsi="宋体" w:cs="宋体"/>
                <w:kern w:val="0"/>
                <w:sz w:val="24"/>
                <w:lang w:bidi="ar"/>
              </w:rPr>
            </w:pPr>
            <w:r>
              <w:rPr>
                <w:rFonts w:hint="eastAsia" w:ascii="宋体" w:hAnsi="宋体" w:cs="宋体"/>
                <w:kern w:val="0"/>
                <w:sz w:val="24"/>
                <w:lang w:bidi="ar"/>
              </w:rPr>
              <w:t>日期：</w:t>
            </w:r>
            <w:r>
              <w:rPr>
                <w:rFonts w:ascii="宋体" w:hAnsi="宋体" w:cs="宋体"/>
                <w:kern w:val="0"/>
                <w:sz w:val="24"/>
                <w:lang w:bidi="ar"/>
              </w:rPr>
              <w:t xml:space="preserve">       </w:t>
            </w:r>
            <w:r>
              <w:rPr>
                <w:rFonts w:hint="eastAsia" w:ascii="宋体" w:hAnsi="宋体" w:cs="宋体"/>
                <w:kern w:val="0"/>
                <w:sz w:val="24"/>
                <w:lang w:bidi="ar"/>
              </w:rPr>
              <w:t>年</w:t>
            </w:r>
            <w:r>
              <w:rPr>
                <w:rFonts w:ascii="宋体" w:hAnsi="宋体" w:cs="宋体"/>
                <w:kern w:val="0"/>
                <w:sz w:val="24"/>
                <w:lang w:bidi="ar"/>
              </w:rPr>
              <w:t xml:space="preserve">     </w:t>
            </w:r>
            <w:r>
              <w:rPr>
                <w:rFonts w:hint="eastAsia" w:ascii="宋体" w:hAnsi="宋体" w:cs="宋体"/>
                <w:kern w:val="0"/>
                <w:sz w:val="24"/>
                <w:lang w:bidi="ar"/>
              </w:rPr>
              <w:t>月</w:t>
            </w:r>
            <w:r>
              <w:rPr>
                <w:rFonts w:ascii="宋体" w:hAnsi="宋体" w:cs="宋体"/>
                <w:kern w:val="0"/>
                <w:sz w:val="24"/>
                <w:lang w:bidi="ar"/>
              </w:rPr>
              <w:t xml:space="preserve">    </w:t>
            </w:r>
            <w:r>
              <w:rPr>
                <w:rFonts w:hint="eastAsia" w:ascii="宋体" w:hAnsi="宋体" w:cs="宋体"/>
                <w:kern w:val="0"/>
                <w:sz w:val="24"/>
                <w:lang w:bidi="ar"/>
              </w:rPr>
              <w:t>日</w:t>
            </w:r>
          </w:p>
        </w:tc>
      </w:tr>
      <w:tr w14:paraId="192E928D">
        <w:tblPrEx>
          <w:tblCellMar>
            <w:top w:w="0" w:type="dxa"/>
            <w:left w:w="0" w:type="dxa"/>
            <w:bottom w:w="0" w:type="dxa"/>
            <w:right w:w="0" w:type="dxa"/>
          </w:tblCellMar>
        </w:tblPrEx>
        <w:trPr>
          <w:trHeight w:val="1452" w:hRule="atLeast"/>
        </w:trPr>
        <w:tc>
          <w:tcPr>
            <w:tcW w:w="9442" w:type="dxa"/>
            <w:gridSpan w:val="4"/>
            <w:tcBorders>
              <w:top w:val="single" w:color="000000"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14:paraId="4D8639E7">
            <w:pPr>
              <w:widowControl/>
              <w:jc w:val="left"/>
              <w:textAlignment w:val="center"/>
              <w:rPr>
                <w:rFonts w:ascii="宋体" w:hAnsi="宋体" w:cs="宋体"/>
                <w:kern w:val="0"/>
                <w:sz w:val="24"/>
                <w:lang w:bidi="ar"/>
              </w:rPr>
            </w:pPr>
            <w:r>
              <w:rPr>
                <w:rFonts w:hint="eastAsia" w:ascii="宋体" w:hAnsi="宋体" w:cs="宋体"/>
                <w:kern w:val="0"/>
                <w:szCs w:val="21"/>
                <w:lang w:bidi="ar"/>
              </w:rPr>
              <w:t>注：报价为包干费用（含税），包括但不限于本项目的设备风险金、措施费、税金、人工费、材料费、机械费、管理费、利润、包装费、运输费、检验调试费、样品费、保险费、维修保修费、检测费、人员培训费、水电费、赶工费、其他项目费、规费（包括工程排污、养老保险、失业保险、医疗保险、住房公积金、危险作业意外伤害保险等）、工程特殊费等为履行本合同所需的全部费用。</w:t>
            </w:r>
          </w:p>
        </w:tc>
      </w:tr>
    </w:tbl>
    <w:p w14:paraId="3E43CBF1">
      <w:pPr>
        <w:pStyle w:val="9"/>
        <w:bidi w:val="0"/>
        <w:rPr>
          <w:rFonts w:hint="eastAsia"/>
        </w:rPr>
      </w:pPr>
    </w:p>
    <w:p w14:paraId="53C4C255">
      <w:pPr>
        <w:pStyle w:val="9"/>
        <w:ind w:firstLine="480" w:firstLineChars="200"/>
        <w:rPr>
          <w:rFonts w:ascii="宋体" w:hAnsi="宋体"/>
          <w:color w:val="auto"/>
          <w:sz w:val="24"/>
          <w:lang w:val="en-US"/>
        </w:rPr>
      </w:pPr>
      <w:r>
        <w:rPr>
          <w:rFonts w:hint="eastAsia" w:ascii="宋体" w:hAnsi="宋体"/>
          <w:color w:val="auto"/>
          <w:sz w:val="24"/>
        </w:rPr>
        <w:t>注：“最后报价表”供应商须打印</w:t>
      </w:r>
      <w:r>
        <w:rPr>
          <w:rFonts w:hint="eastAsia" w:ascii="宋体" w:hAnsi="宋体"/>
          <w:sz w:val="24"/>
          <w:lang w:val="en-US"/>
        </w:rPr>
        <w:t>2</w:t>
      </w:r>
      <w:r>
        <w:rPr>
          <w:rFonts w:hint="eastAsia" w:ascii="宋体" w:hAnsi="宋体"/>
          <w:color w:val="auto"/>
          <w:sz w:val="24"/>
          <w:lang w:val="en-US"/>
        </w:rPr>
        <w:t>份</w:t>
      </w:r>
      <w:r>
        <w:rPr>
          <w:rFonts w:hint="eastAsia" w:ascii="宋体" w:hAnsi="宋体"/>
          <w:color w:val="auto"/>
          <w:sz w:val="24"/>
        </w:rPr>
        <w:t>，加盖单位公章、法定代表人或其委托代理签字或盖章后带至谈判现场。</w:t>
      </w:r>
    </w:p>
    <w:bookmarkEnd w:id="423"/>
    <w:bookmarkEnd w:id="432"/>
    <w:bookmarkEnd w:id="433"/>
    <w:p w14:paraId="3E6019A3">
      <w:pPr>
        <w:sectPr>
          <w:pgSz w:w="11906" w:h="16838"/>
          <w:pgMar w:top="1304" w:right="1191" w:bottom="1304" w:left="1304" w:header="851" w:footer="992" w:gutter="0"/>
          <w:pgBorders>
            <w:top w:val="none" w:sz="0" w:space="0"/>
            <w:left w:val="none" w:sz="0" w:space="0"/>
            <w:bottom w:val="none" w:sz="0" w:space="0"/>
            <w:right w:val="none" w:sz="0" w:space="0"/>
          </w:pgBorders>
          <w:cols w:space="720" w:num="1"/>
          <w:docGrid w:type="linesAndChars" w:linePitch="312" w:charSpace="0"/>
        </w:sectPr>
      </w:pPr>
    </w:p>
    <w:p w14:paraId="5FF7ADD1">
      <w:pPr>
        <w:pStyle w:val="9"/>
        <w:jc w:val="center"/>
        <w:rPr>
          <w:b/>
          <w:sz w:val="30"/>
          <w:szCs w:val="30"/>
          <w:lang w:val="en-US"/>
        </w:rPr>
      </w:pPr>
      <w:r>
        <w:rPr>
          <w:rFonts w:hint="eastAsia"/>
          <w:b/>
          <w:sz w:val="30"/>
          <w:szCs w:val="30"/>
          <w:lang w:val="en-US" w:eastAsia="zh-CN"/>
        </w:rPr>
        <w:t>最后</w:t>
      </w:r>
      <w:r>
        <w:rPr>
          <w:rFonts w:hint="eastAsia"/>
          <w:b/>
          <w:sz w:val="30"/>
          <w:szCs w:val="30"/>
          <w:lang w:val="en-US"/>
        </w:rPr>
        <w:t>分项报价表</w:t>
      </w:r>
    </w:p>
    <w:p w14:paraId="1D97999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b w:val="0"/>
          <w:bCs w:val="0"/>
          <w:sz w:val="24"/>
          <w:lang w:eastAsia="zh-CN"/>
        </w:rPr>
      </w:pPr>
      <w:r>
        <w:rPr>
          <w:rFonts w:hint="eastAsia"/>
          <w:b w:val="0"/>
          <w:bCs w:val="0"/>
          <w:sz w:val="24"/>
          <w:lang w:val="en-US" w:eastAsia="zh-CN"/>
        </w:rPr>
        <w:t>1、项目名称：</w:t>
      </w:r>
      <w:r>
        <w:rPr>
          <w:rFonts w:hint="eastAsia"/>
          <w:b w:val="0"/>
          <w:bCs w:val="0"/>
          <w:sz w:val="24"/>
          <w:lang w:eastAsia="zh-CN"/>
        </w:rPr>
        <w:t>北山国际货场企业标识牌采购项目</w:t>
      </w:r>
    </w:p>
    <w:p w14:paraId="2B66FC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val="0"/>
          <w:bCs w:val="0"/>
          <w:sz w:val="24"/>
        </w:rPr>
      </w:pPr>
      <w:r>
        <w:rPr>
          <w:rFonts w:hint="eastAsia"/>
          <w:b w:val="0"/>
          <w:bCs w:val="0"/>
          <w:sz w:val="24"/>
          <w:lang w:val="en-US" w:eastAsia="zh-CN"/>
        </w:rPr>
        <w:t>2、分项报价如有请附于此</w:t>
      </w:r>
      <w:r>
        <w:rPr>
          <w:rFonts w:hint="eastAsia"/>
          <w:b w:val="0"/>
          <w:bCs w:val="0"/>
          <w:sz w:val="24"/>
        </w:rPr>
        <w:t>，格式自拟。</w:t>
      </w:r>
    </w:p>
    <w:tbl>
      <w:tblPr>
        <w:tblStyle w:val="26"/>
        <w:tblW w:w="1386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2"/>
        <w:gridCol w:w="1830"/>
        <w:gridCol w:w="2520"/>
        <w:gridCol w:w="1575"/>
        <w:gridCol w:w="990"/>
        <w:gridCol w:w="585"/>
        <w:gridCol w:w="780"/>
        <w:gridCol w:w="795"/>
        <w:gridCol w:w="4155"/>
      </w:tblGrid>
      <w:tr w14:paraId="5F9C0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A6C22">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序号</w:t>
            </w:r>
          </w:p>
        </w:tc>
        <w:tc>
          <w:tcPr>
            <w:tcW w:w="18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EBD81">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位置</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AE816">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制作内容</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778EA">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规格</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6B67E">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单位</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7EF36">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数量</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4F253">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面积</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6224F">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单价</w:t>
            </w:r>
          </w:p>
        </w:tc>
        <w:tc>
          <w:tcPr>
            <w:tcW w:w="4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0AF42">
            <w:pPr>
              <w:bidi w:val="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最终效果图（仅供参考）</w:t>
            </w:r>
          </w:p>
        </w:tc>
      </w:tr>
      <w:tr w14:paraId="20E1A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60" w:hRule="atLeast"/>
        </w:trPr>
        <w:tc>
          <w:tcPr>
            <w:tcW w:w="632" w:type="dxa"/>
            <w:vMerge w:val="restart"/>
            <w:tcBorders>
              <w:top w:val="single" w:color="000000" w:sz="4" w:space="0"/>
              <w:left w:val="single" w:color="000000" w:sz="4" w:space="0"/>
              <w:bottom w:val="nil"/>
              <w:right w:val="single" w:color="000000" w:sz="4" w:space="0"/>
            </w:tcBorders>
            <w:shd w:val="clear" w:color="auto" w:fill="FFFFFF"/>
            <w:vAlign w:val="center"/>
          </w:tcPr>
          <w:p w14:paraId="74A0A0DF">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1830" w:type="dxa"/>
            <w:vMerge w:val="restart"/>
            <w:tcBorders>
              <w:top w:val="single" w:color="000000" w:sz="4" w:space="0"/>
              <w:left w:val="single" w:color="000000" w:sz="4" w:space="0"/>
              <w:bottom w:val="nil"/>
              <w:right w:val="single" w:color="000000" w:sz="4" w:space="0"/>
            </w:tcBorders>
            <w:shd w:val="clear" w:color="auto" w:fill="FFFFFF"/>
            <w:vAlign w:val="center"/>
          </w:tcPr>
          <w:p w14:paraId="0BE235C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云南省红河州河口县北山国际货场北卡口</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F89C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更换标志（外露led发光字）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04042">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3.8 * 2.1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440DF">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9F53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17EC5">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7.98</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13010">
            <w:pPr>
              <w:bidi w:val="0"/>
              <w:rPr>
                <w:rFonts w:hint="eastAsia" w:asciiTheme="minorEastAsia" w:hAnsiTheme="minorEastAsia" w:eastAsiaTheme="minorEastAsia" w:cstheme="minorEastAsia"/>
                <w:sz w:val="24"/>
                <w:szCs w:val="24"/>
              </w:rPr>
            </w:pPr>
          </w:p>
        </w:tc>
        <w:tc>
          <w:tcPr>
            <w:tcW w:w="4155" w:type="dxa"/>
            <w:vMerge w:val="restart"/>
            <w:tcBorders>
              <w:top w:val="single" w:color="000000" w:sz="4" w:space="0"/>
              <w:left w:val="single" w:color="000000" w:sz="4" w:space="0"/>
              <w:bottom w:val="nil"/>
              <w:right w:val="single" w:color="000000" w:sz="4" w:space="0"/>
            </w:tcBorders>
            <w:shd w:val="clear" w:color="auto" w:fill="FFFFFF"/>
            <w:vAlign w:val="center"/>
          </w:tcPr>
          <w:p w14:paraId="3E33F61D">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drawing>
                <wp:inline distT="0" distB="0" distL="114300" distR="114300">
                  <wp:extent cx="2514600" cy="1701165"/>
                  <wp:effectExtent l="0" t="0" r="0" b="13335"/>
                  <wp:docPr id="61"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9" descr="IMG_256"/>
                          <pic:cNvPicPr>
                            <a:picLocks noChangeAspect="1"/>
                          </pic:cNvPicPr>
                        </pic:nvPicPr>
                        <pic:blipFill>
                          <a:blip r:embed="rId17"/>
                          <a:stretch>
                            <a:fillRect/>
                          </a:stretch>
                        </pic:blipFill>
                        <pic:spPr>
                          <a:xfrm>
                            <a:off x="0" y="0"/>
                            <a:ext cx="2514600" cy="1701165"/>
                          </a:xfrm>
                          <a:prstGeom prst="rect">
                            <a:avLst/>
                          </a:prstGeom>
                          <a:noFill/>
                          <a:ln w="9525">
                            <a:noFill/>
                          </a:ln>
                        </pic:spPr>
                      </pic:pic>
                    </a:graphicData>
                  </a:graphic>
                </wp:inline>
              </w:drawing>
            </w:r>
          </w:p>
        </w:tc>
      </w:tr>
      <w:tr w14:paraId="001D1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nil"/>
              <w:right w:val="single" w:color="000000" w:sz="4" w:space="0"/>
            </w:tcBorders>
            <w:shd w:val="clear" w:color="auto" w:fill="FFFFFF"/>
            <w:vAlign w:val="center"/>
          </w:tcPr>
          <w:p w14:paraId="56A2CBEA">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nil"/>
              <w:right w:val="single" w:color="000000" w:sz="4" w:space="0"/>
            </w:tcBorders>
            <w:shd w:val="clear" w:color="auto" w:fill="FFFFFF"/>
            <w:vAlign w:val="center"/>
          </w:tcPr>
          <w:p w14:paraId="0ED5F757">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32C95">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更换中文（外露led发光字）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5B0D7">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1.1 * 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6049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9CCB2">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0C067">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1.1</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25506">
            <w:pPr>
              <w:bidi w:val="0"/>
              <w:rPr>
                <w:rFonts w:hint="eastAsia" w:asciiTheme="minorEastAsia" w:hAnsiTheme="minorEastAsia" w:eastAsiaTheme="minorEastAsia" w:cstheme="minorEastAsia"/>
                <w:sz w:val="24"/>
                <w:szCs w:val="24"/>
              </w:rPr>
            </w:pPr>
          </w:p>
        </w:tc>
        <w:tc>
          <w:tcPr>
            <w:tcW w:w="4155" w:type="dxa"/>
            <w:vMerge w:val="continue"/>
            <w:tcBorders>
              <w:top w:val="single" w:color="000000" w:sz="4" w:space="0"/>
              <w:left w:val="single" w:color="000000" w:sz="4" w:space="0"/>
              <w:bottom w:val="nil"/>
              <w:right w:val="single" w:color="000000" w:sz="4" w:space="0"/>
            </w:tcBorders>
            <w:shd w:val="clear" w:color="auto" w:fill="FFFFFF"/>
            <w:vAlign w:val="center"/>
          </w:tcPr>
          <w:p w14:paraId="07FBEAC5">
            <w:pPr>
              <w:bidi w:val="0"/>
              <w:rPr>
                <w:rFonts w:hint="eastAsia" w:asciiTheme="minorEastAsia" w:hAnsiTheme="minorEastAsia" w:eastAsiaTheme="minorEastAsia" w:cstheme="minorEastAsia"/>
                <w:sz w:val="24"/>
                <w:szCs w:val="24"/>
              </w:rPr>
            </w:pPr>
          </w:p>
        </w:tc>
      </w:tr>
      <w:tr w14:paraId="07F06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nil"/>
              <w:right w:val="single" w:color="000000" w:sz="4" w:space="0"/>
            </w:tcBorders>
            <w:shd w:val="clear" w:color="auto" w:fill="FFFFFF"/>
            <w:vAlign w:val="center"/>
          </w:tcPr>
          <w:p w14:paraId="5FA13885">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nil"/>
              <w:right w:val="single" w:color="000000" w:sz="4" w:space="0"/>
            </w:tcBorders>
            <w:shd w:val="clear" w:color="auto" w:fill="FFFFFF"/>
            <w:vAlign w:val="center"/>
          </w:tcPr>
          <w:p w14:paraId="4989F4F0">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CE284">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更换英文（外露led发光字）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7FCC4">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0.37 * 0.37</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9470F">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1BA38">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DAEF7">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4.44</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54D20">
            <w:pPr>
              <w:bidi w:val="0"/>
              <w:rPr>
                <w:rFonts w:hint="eastAsia" w:asciiTheme="minorEastAsia" w:hAnsiTheme="minorEastAsia" w:eastAsiaTheme="minorEastAsia" w:cstheme="minorEastAsia"/>
                <w:sz w:val="24"/>
                <w:szCs w:val="24"/>
              </w:rPr>
            </w:pPr>
          </w:p>
        </w:tc>
        <w:tc>
          <w:tcPr>
            <w:tcW w:w="4155" w:type="dxa"/>
            <w:vMerge w:val="continue"/>
            <w:tcBorders>
              <w:top w:val="single" w:color="000000" w:sz="4" w:space="0"/>
              <w:left w:val="single" w:color="000000" w:sz="4" w:space="0"/>
              <w:bottom w:val="nil"/>
              <w:right w:val="single" w:color="000000" w:sz="4" w:space="0"/>
            </w:tcBorders>
            <w:shd w:val="clear" w:color="auto" w:fill="FFFFFF"/>
            <w:vAlign w:val="center"/>
          </w:tcPr>
          <w:p w14:paraId="690759BB">
            <w:pPr>
              <w:bidi w:val="0"/>
              <w:rPr>
                <w:rFonts w:hint="eastAsia" w:asciiTheme="minorEastAsia" w:hAnsiTheme="minorEastAsia" w:eastAsiaTheme="minorEastAsia" w:cstheme="minorEastAsia"/>
                <w:sz w:val="24"/>
                <w:szCs w:val="24"/>
              </w:rPr>
            </w:pPr>
          </w:p>
        </w:tc>
      </w:tr>
      <w:tr w14:paraId="6DEB2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nil"/>
              <w:right w:val="single" w:color="000000" w:sz="4" w:space="0"/>
            </w:tcBorders>
            <w:shd w:val="clear" w:color="auto" w:fill="FFFFFF"/>
            <w:vAlign w:val="center"/>
          </w:tcPr>
          <w:p w14:paraId="5D4F4DF5">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nil"/>
              <w:right w:val="single" w:color="000000" w:sz="4" w:space="0"/>
            </w:tcBorders>
            <w:shd w:val="clear" w:color="auto" w:fill="FFFFFF"/>
            <w:vAlign w:val="center"/>
          </w:tcPr>
          <w:p w14:paraId="60053AA1">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45338">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发光字钢架部分除锈养护（30mm*50mm镀锌方管，1.2mm厚）</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05577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4.5mx38m</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2110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AEA6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DC81A">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171</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7C1D7">
            <w:pPr>
              <w:bidi w:val="0"/>
              <w:rPr>
                <w:rFonts w:hint="eastAsia" w:asciiTheme="minorEastAsia" w:hAnsiTheme="minorEastAsia" w:eastAsiaTheme="minorEastAsia" w:cstheme="minorEastAsia"/>
                <w:sz w:val="24"/>
                <w:szCs w:val="24"/>
              </w:rPr>
            </w:pPr>
          </w:p>
        </w:tc>
        <w:tc>
          <w:tcPr>
            <w:tcW w:w="4155" w:type="dxa"/>
            <w:vMerge w:val="continue"/>
            <w:tcBorders>
              <w:top w:val="single" w:color="000000" w:sz="4" w:space="0"/>
              <w:left w:val="single" w:color="000000" w:sz="4" w:space="0"/>
              <w:bottom w:val="nil"/>
              <w:right w:val="single" w:color="000000" w:sz="4" w:space="0"/>
            </w:tcBorders>
            <w:shd w:val="clear" w:color="auto" w:fill="FFFFFF"/>
            <w:vAlign w:val="center"/>
          </w:tcPr>
          <w:p w14:paraId="438B8CE2">
            <w:pPr>
              <w:bidi w:val="0"/>
              <w:rPr>
                <w:rFonts w:hint="eastAsia" w:asciiTheme="minorEastAsia" w:hAnsiTheme="minorEastAsia" w:eastAsiaTheme="minorEastAsia" w:cstheme="minorEastAsia"/>
                <w:sz w:val="24"/>
                <w:szCs w:val="24"/>
              </w:rPr>
            </w:pPr>
          </w:p>
        </w:tc>
      </w:tr>
      <w:tr w14:paraId="308D6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restart"/>
            <w:tcBorders>
              <w:top w:val="single" w:color="000000" w:sz="4" w:space="0"/>
              <w:left w:val="single" w:color="000000" w:sz="4" w:space="0"/>
              <w:bottom w:val="nil"/>
              <w:right w:val="single" w:color="000000" w:sz="4" w:space="0"/>
            </w:tcBorders>
            <w:shd w:val="clear" w:color="auto" w:fill="FFFFFF"/>
            <w:vAlign w:val="center"/>
          </w:tcPr>
          <w:p w14:paraId="79048210">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p>
        </w:tc>
        <w:tc>
          <w:tcPr>
            <w:tcW w:w="1830" w:type="dxa"/>
            <w:vMerge w:val="restart"/>
            <w:tcBorders>
              <w:top w:val="single" w:color="000000" w:sz="4" w:space="0"/>
              <w:left w:val="single" w:color="000000" w:sz="4" w:space="0"/>
              <w:bottom w:val="nil"/>
              <w:right w:val="single" w:color="000000" w:sz="4" w:space="0"/>
            </w:tcBorders>
            <w:shd w:val="clear" w:color="auto" w:fill="FFFFFF"/>
            <w:vAlign w:val="center"/>
          </w:tcPr>
          <w:p w14:paraId="1A2BD56D">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云南省红河州河口县北山国际货场信息大楼顶楼</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5AF15">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更换标志（外露led发光字）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2CE32">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6.4 * 3.56</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EB570">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75084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60ABE9">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22.784</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9335B">
            <w:pPr>
              <w:bidi w:val="0"/>
              <w:rPr>
                <w:rFonts w:hint="eastAsia" w:asciiTheme="minorEastAsia" w:hAnsiTheme="minorEastAsia" w:eastAsiaTheme="minorEastAsia" w:cstheme="minorEastAsia"/>
                <w:sz w:val="24"/>
                <w:szCs w:val="24"/>
              </w:rPr>
            </w:pPr>
          </w:p>
        </w:tc>
        <w:tc>
          <w:tcPr>
            <w:tcW w:w="4155" w:type="dxa"/>
            <w:vMerge w:val="restart"/>
            <w:tcBorders>
              <w:top w:val="single" w:color="000000" w:sz="4" w:space="0"/>
              <w:left w:val="single" w:color="000000" w:sz="4" w:space="0"/>
              <w:bottom w:val="nil"/>
              <w:right w:val="single" w:color="000000" w:sz="4" w:space="0"/>
            </w:tcBorders>
            <w:shd w:val="clear" w:color="auto" w:fill="FFFFFF"/>
            <w:vAlign w:val="center"/>
          </w:tcPr>
          <w:p w14:paraId="600B1F4E">
            <w:pPr>
              <w:bidi w:val="0"/>
              <w:rPr>
                <w:rFonts w:hint="eastAsia" w:asciiTheme="minorEastAsia" w:hAnsiTheme="minorEastAsia" w:eastAsiaTheme="minorEastAsia" w:cstheme="minorEastAsia"/>
                <w:sz w:val="24"/>
                <w:szCs w:val="24"/>
              </w:rPr>
            </w:pPr>
          </w:p>
        </w:tc>
      </w:tr>
      <w:tr w14:paraId="25EBF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nil"/>
              <w:right w:val="single" w:color="000000" w:sz="4" w:space="0"/>
            </w:tcBorders>
            <w:shd w:val="clear" w:color="auto" w:fill="FFFFFF"/>
            <w:vAlign w:val="center"/>
          </w:tcPr>
          <w:p w14:paraId="6E0A8263">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nil"/>
              <w:right w:val="single" w:color="000000" w:sz="4" w:space="0"/>
            </w:tcBorders>
            <w:shd w:val="clear" w:color="auto" w:fill="FFFFFF"/>
            <w:vAlign w:val="center"/>
          </w:tcPr>
          <w:p w14:paraId="30508C1F">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9B718">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更换中文（外露led发光字）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47C71">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2.4 * 2.4</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B0B463">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63A0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53DF78">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5.76</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958F7">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drawing>
                <wp:anchor distT="0" distB="0" distL="114300" distR="114300" simplePos="0" relativeHeight="251663360" behindDoc="0" locked="0" layoutInCell="1" allowOverlap="1">
                  <wp:simplePos x="0" y="0"/>
                  <wp:positionH relativeFrom="column">
                    <wp:posOffset>567690</wp:posOffset>
                  </wp:positionH>
                  <wp:positionV relativeFrom="paragraph">
                    <wp:posOffset>162560</wp:posOffset>
                  </wp:positionV>
                  <wp:extent cx="2464435" cy="1562735"/>
                  <wp:effectExtent l="0" t="0" r="12065" b="18415"/>
                  <wp:wrapNone/>
                  <wp:docPr id="62" name="图片 20"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0" descr="IMG_257"/>
                          <pic:cNvPicPr>
                            <a:picLocks noChangeAspect="1"/>
                          </pic:cNvPicPr>
                        </pic:nvPicPr>
                        <pic:blipFill>
                          <a:blip r:embed="rId18"/>
                          <a:stretch>
                            <a:fillRect/>
                          </a:stretch>
                        </pic:blipFill>
                        <pic:spPr>
                          <a:xfrm>
                            <a:off x="0" y="0"/>
                            <a:ext cx="2464435" cy="1562735"/>
                          </a:xfrm>
                          <a:prstGeom prst="rect">
                            <a:avLst/>
                          </a:prstGeom>
                          <a:noFill/>
                          <a:ln w="9525">
                            <a:noFill/>
                          </a:ln>
                        </pic:spPr>
                      </pic:pic>
                    </a:graphicData>
                  </a:graphic>
                </wp:anchor>
              </w:drawing>
            </w:r>
          </w:p>
        </w:tc>
        <w:tc>
          <w:tcPr>
            <w:tcW w:w="4155" w:type="dxa"/>
            <w:vMerge w:val="continue"/>
            <w:tcBorders>
              <w:top w:val="single" w:color="000000" w:sz="4" w:space="0"/>
              <w:left w:val="single" w:color="000000" w:sz="4" w:space="0"/>
              <w:bottom w:val="nil"/>
              <w:right w:val="single" w:color="000000" w:sz="4" w:space="0"/>
            </w:tcBorders>
            <w:shd w:val="clear" w:color="auto" w:fill="FFFFFF"/>
            <w:vAlign w:val="center"/>
          </w:tcPr>
          <w:p w14:paraId="40FF78B7">
            <w:pPr>
              <w:bidi w:val="0"/>
              <w:rPr>
                <w:rFonts w:hint="eastAsia" w:asciiTheme="minorEastAsia" w:hAnsiTheme="minorEastAsia" w:eastAsiaTheme="minorEastAsia" w:cstheme="minorEastAsia"/>
                <w:sz w:val="24"/>
                <w:szCs w:val="24"/>
              </w:rPr>
            </w:pPr>
          </w:p>
        </w:tc>
      </w:tr>
      <w:tr w14:paraId="2AB4E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nil"/>
              <w:right w:val="single" w:color="000000" w:sz="4" w:space="0"/>
            </w:tcBorders>
            <w:shd w:val="clear" w:color="auto" w:fill="FFFFFF"/>
            <w:vAlign w:val="center"/>
          </w:tcPr>
          <w:p w14:paraId="6BE1D85F">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nil"/>
              <w:right w:val="single" w:color="000000" w:sz="4" w:space="0"/>
            </w:tcBorders>
            <w:shd w:val="clear" w:color="auto" w:fill="FFFFFF"/>
            <w:vAlign w:val="center"/>
          </w:tcPr>
          <w:p w14:paraId="1A5182D2">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89030">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更换英文（外露led发光字）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98BB7">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 * 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21BCF">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0E4A4">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D1430">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12</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CEDD8">
            <w:pPr>
              <w:bidi w:val="0"/>
              <w:rPr>
                <w:rFonts w:hint="eastAsia" w:asciiTheme="minorEastAsia" w:hAnsiTheme="minorEastAsia" w:eastAsiaTheme="minorEastAsia" w:cstheme="minorEastAsia"/>
                <w:sz w:val="24"/>
                <w:szCs w:val="24"/>
              </w:rPr>
            </w:pPr>
          </w:p>
        </w:tc>
        <w:tc>
          <w:tcPr>
            <w:tcW w:w="4155" w:type="dxa"/>
            <w:vMerge w:val="continue"/>
            <w:tcBorders>
              <w:top w:val="single" w:color="000000" w:sz="4" w:space="0"/>
              <w:left w:val="single" w:color="000000" w:sz="4" w:space="0"/>
              <w:bottom w:val="nil"/>
              <w:right w:val="single" w:color="000000" w:sz="4" w:space="0"/>
            </w:tcBorders>
            <w:shd w:val="clear" w:color="auto" w:fill="FFFFFF"/>
            <w:vAlign w:val="center"/>
          </w:tcPr>
          <w:p w14:paraId="0F846D8B">
            <w:pPr>
              <w:bidi w:val="0"/>
              <w:rPr>
                <w:rFonts w:hint="eastAsia" w:asciiTheme="minorEastAsia" w:hAnsiTheme="minorEastAsia" w:eastAsiaTheme="minorEastAsia" w:cstheme="minorEastAsia"/>
                <w:sz w:val="24"/>
                <w:szCs w:val="24"/>
              </w:rPr>
            </w:pPr>
          </w:p>
        </w:tc>
      </w:tr>
      <w:tr w14:paraId="6DF0F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nil"/>
              <w:right w:val="single" w:color="000000" w:sz="4" w:space="0"/>
            </w:tcBorders>
            <w:shd w:val="clear" w:color="auto" w:fill="FFFFFF"/>
            <w:vAlign w:val="center"/>
          </w:tcPr>
          <w:p w14:paraId="1F3DFE5F">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nil"/>
              <w:right w:val="single" w:color="000000" w:sz="4" w:space="0"/>
            </w:tcBorders>
            <w:shd w:val="clear" w:color="auto" w:fill="FFFFFF"/>
            <w:vAlign w:val="center"/>
          </w:tcPr>
          <w:p w14:paraId="4849B380">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460C9">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发光字钢架部分除锈养护（3*5镀锌方管焊接）</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2794F7">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25 * 6</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177A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453A8">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A5C779">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150</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EF56D">
            <w:pPr>
              <w:bidi w:val="0"/>
              <w:rPr>
                <w:rFonts w:hint="eastAsia" w:asciiTheme="minorEastAsia" w:hAnsiTheme="minorEastAsia" w:eastAsiaTheme="minorEastAsia" w:cstheme="minorEastAsia"/>
                <w:sz w:val="24"/>
                <w:szCs w:val="24"/>
              </w:rPr>
            </w:pPr>
          </w:p>
        </w:tc>
        <w:tc>
          <w:tcPr>
            <w:tcW w:w="4155" w:type="dxa"/>
            <w:vMerge w:val="continue"/>
            <w:tcBorders>
              <w:top w:val="single" w:color="000000" w:sz="4" w:space="0"/>
              <w:left w:val="single" w:color="000000" w:sz="4" w:space="0"/>
              <w:bottom w:val="nil"/>
              <w:right w:val="single" w:color="000000" w:sz="4" w:space="0"/>
            </w:tcBorders>
            <w:shd w:val="clear" w:color="auto" w:fill="FFFFFF"/>
            <w:vAlign w:val="center"/>
          </w:tcPr>
          <w:p w14:paraId="33E5BEC3">
            <w:pPr>
              <w:bidi w:val="0"/>
              <w:rPr>
                <w:rFonts w:hint="eastAsia" w:asciiTheme="minorEastAsia" w:hAnsiTheme="minorEastAsia" w:eastAsiaTheme="minorEastAsia" w:cstheme="minorEastAsia"/>
                <w:sz w:val="24"/>
                <w:szCs w:val="24"/>
              </w:rPr>
            </w:pPr>
          </w:p>
        </w:tc>
      </w:tr>
      <w:tr w14:paraId="4F391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restart"/>
            <w:tcBorders>
              <w:top w:val="single" w:color="000000" w:sz="4" w:space="0"/>
              <w:left w:val="single" w:color="000000" w:sz="4" w:space="0"/>
              <w:bottom w:val="nil"/>
              <w:right w:val="single" w:color="000000" w:sz="4" w:space="0"/>
            </w:tcBorders>
            <w:shd w:val="clear" w:color="auto" w:fill="FFFFFF"/>
            <w:vAlign w:val="center"/>
          </w:tcPr>
          <w:p w14:paraId="647E674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p>
        </w:tc>
        <w:tc>
          <w:tcPr>
            <w:tcW w:w="1830" w:type="dxa"/>
            <w:vMerge w:val="restart"/>
            <w:tcBorders>
              <w:top w:val="single" w:color="000000" w:sz="4" w:space="0"/>
              <w:left w:val="single" w:color="000000" w:sz="4" w:space="0"/>
              <w:bottom w:val="nil"/>
              <w:right w:val="single" w:color="000000" w:sz="4" w:space="0"/>
            </w:tcBorders>
            <w:shd w:val="clear" w:color="auto" w:fill="FFFFFF"/>
            <w:vAlign w:val="center"/>
          </w:tcPr>
          <w:p w14:paraId="091ED30D">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云南省红河州河口县北山国际货场联检楼顶楼</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C99EA">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更换标志（外露led发光字）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89772">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 * 2.8</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6C21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B2A2A">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7E645">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14</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67D4C">
            <w:pPr>
              <w:bidi w:val="0"/>
              <w:rPr>
                <w:rFonts w:hint="eastAsia" w:asciiTheme="minorEastAsia" w:hAnsiTheme="minorEastAsia" w:eastAsiaTheme="minorEastAsia" w:cstheme="minorEastAsia"/>
                <w:sz w:val="24"/>
                <w:szCs w:val="24"/>
              </w:rPr>
            </w:pPr>
          </w:p>
        </w:tc>
        <w:tc>
          <w:tcPr>
            <w:tcW w:w="4155" w:type="dxa"/>
            <w:vMerge w:val="restart"/>
            <w:tcBorders>
              <w:top w:val="single" w:color="000000" w:sz="4" w:space="0"/>
              <w:left w:val="single" w:color="000000" w:sz="4" w:space="0"/>
              <w:bottom w:val="nil"/>
              <w:right w:val="single" w:color="000000" w:sz="4" w:space="0"/>
            </w:tcBorders>
            <w:shd w:val="clear" w:color="auto" w:fill="FFFFFF"/>
            <w:vAlign w:val="center"/>
          </w:tcPr>
          <w:p w14:paraId="6244ADF2">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drawing>
                <wp:inline distT="0" distB="0" distL="114300" distR="114300">
                  <wp:extent cx="2238375" cy="2219325"/>
                  <wp:effectExtent l="0" t="0" r="9525" b="9525"/>
                  <wp:docPr id="63" name="图片 21"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21" descr="IMG_258"/>
                          <pic:cNvPicPr>
                            <a:picLocks noChangeAspect="1"/>
                          </pic:cNvPicPr>
                        </pic:nvPicPr>
                        <pic:blipFill>
                          <a:blip r:embed="rId19"/>
                          <a:stretch>
                            <a:fillRect/>
                          </a:stretch>
                        </pic:blipFill>
                        <pic:spPr>
                          <a:xfrm>
                            <a:off x="0" y="0"/>
                            <a:ext cx="2238375" cy="2219325"/>
                          </a:xfrm>
                          <a:prstGeom prst="rect">
                            <a:avLst/>
                          </a:prstGeom>
                          <a:noFill/>
                          <a:ln w="9525">
                            <a:noFill/>
                          </a:ln>
                        </pic:spPr>
                      </pic:pic>
                    </a:graphicData>
                  </a:graphic>
                </wp:inline>
              </w:drawing>
            </w:r>
            <w:r>
              <w:rPr>
                <w:rFonts w:hint="eastAsia" w:asciiTheme="minorEastAsia" w:hAnsiTheme="minorEastAsia" w:eastAsiaTheme="minorEastAsia" w:cstheme="minorEastAsia"/>
                <w:sz w:val="24"/>
                <w:szCs w:val="24"/>
                <w:lang w:val="en-US" w:eastAsia="zh-CN"/>
              </w:rPr>
              <w:drawing>
                <wp:anchor distT="0" distB="0" distL="114300" distR="114300" simplePos="0" relativeHeight="251662336" behindDoc="0" locked="0" layoutInCell="1" allowOverlap="1">
                  <wp:simplePos x="0" y="0"/>
                  <wp:positionH relativeFrom="column">
                    <wp:posOffset>0</wp:posOffset>
                  </wp:positionH>
                  <wp:positionV relativeFrom="paragraph">
                    <wp:posOffset>724535</wp:posOffset>
                  </wp:positionV>
                  <wp:extent cx="0" cy="724535"/>
                  <wp:effectExtent l="0" t="0" r="0" b="0"/>
                  <wp:wrapNone/>
                  <wp:docPr id="64" name="Pictur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_1"/>
                          <pic:cNvPicPr>
                            <a:picLocks noChangeAspect="1" noChangeArrowheads="1"/>
                          </pic:cNvPicPr>
                        </pic:nvPicPr>
                        <pic:blipFill>
                          <a:blip r:embed="rId20"/>
                          <a:srcRect/>
                          <a:stretch>
                            <a:fillRect l="1000" t="1000" r="1000" b="1000"/>
                          </a:stretch>
                        </pic:blipFill>
                        <pic:spPr>
                          <a:xfrm>
                            <a:off x="6878320" y="7510145"/>
                            <a:ext cx="0" cy="724535"/>
                          </a:xfrm>
                          <a:prstGeom prst="rect">
                            <a:avLst/>
                          </a:prstGeom>
                          <a:noFill/>
                        </pic:spPr>
                      </pic:pic>
                    </a:graphicData>
                  </a:graphic>
                </wp:anchor>
              </w:drawing>
            </w:r>
            <w:r>
              <w:rPr>
                <w:rFonts w:hint="eastAsia" w:asciiTheme="minorEastAsia" w:hAnsiTheme="minorEastAsia" w:eastAsiaTheme="minorEastAsia" w:cstheme="minorEastAsia"/>
                <w:sz w:val="24"/>
                <w:szCs w:val="24"/>
                <w:lang w:val="en-US" w:eastAsia="zh-CN"/>
              </w:rPr>
              <w:drawing>
                <wp:anchor distT="0" distB="0" distL="114300" distR="114300" simplePos="0" relativeHeight="251662336" behindDoc="0" locked="0" layoutInCell="1" allowOverlap="1">
                  <wp:simplePos x="0" y="0"/>
                  <wp:positionH relativeFrom="column">
                    <wp:posOffset>0</wp:posOffset>
                  </wp:positionH>
                  <wp:positionV relativeFrom="paragraph">
                    <wp:posOffset>1449070</wp:posOffset>
                  </wp:positionV>
                  <wp:extent cx="0" cy="1449070"/>
                  <wp:effectExtent l="0" t="0" r="0" b="0"/>
                  <wp:wrapNone/>
                  <wp:docPr id="65" name="Picture_1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_1_SpCnt_1"/>
                          <pic:cNvPicPr>
                            <a:picLocks noChangeAspect="1" noChangeArrowheads="1"/>
                          </pic:cNvPicPr>
                        </pic:nvPicPr>
                        <pic:blipFill>
                          <a:blip r:embed="rId21"/>
                          <a:srcRect/>
                          <a:stretch>
                            <a:fillRect l="1000" t="1000" r="1000" b="1000"/>
                          </a:stretch>
                        </pic:blipFill>
                        <pic:spPr>
                          <a:xfrm>
                            <a:off x="6878320" y="8234680"/>
                            <a:ext cx="0" cy="1449070"/>
                          </a:xfrm>
                          <a:prstGeom prst="rect">
                            <a:avLst/>
                          </a:prstGeom>
                          <a:noFill/>
                        </pic:spPr>
                      </pic:pic>
                    </a:graphicData>
                  </a:graphic>
                </wp:anchor>
              </w:drawing>
            </w:r>
          </w:p>
        </w:tc>
      </w:tr>
      <w:tr w14:paraId="6A527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nil"/>
              <w:right w:val="single" w:color="000000" w:sz="4" w:space="0"/>
            </w:tcBorders>
            <w:shd w:val="clear" w:color="auto" w:fill="FFFFFF"/>
            <w:vAlign w:val="center"/>
          </w:tcPr>
          <w:p w14:paraId="43E8BD64">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nil"/>
              <w:right w:val="single" w:color="000000" w:sz="4" w:space="0"/>
            </w:tcBorders>
            <w:shd w:val="clear" w:color="auto" w:fill="FFFFFF"/>
            <w:vAlign w:val="center"/>
          </w:tcPr>
          <w:p w14:paraId="17BF35AA">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1C2429">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更换中文（外露led发光字）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D14A2">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 * 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B501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B6490">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9ADB0">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DE18B4">
            <w:pPr>
              <w:bidi w:val="0"/>
              <w:rPr>
                <w:rFonts w:hint="eastAsia" w:asciiTheme="minorEastAsia" w:hAnsiTheme="minorEastAsia" w:eastAsiaTheme="minorEastAsia" w:cstheme="minorEastAsia"/>
                <w:sz w:val="24"/>
                <w:szCs w:val="24"/>
              </w:rPr>
            </w:pPr>
          </w:p>
        </w:tc>
        <w:tc>
          <w:tcPr>
            <w:tcW w:w="4155" w:type="dxa"/>
            <w:vMerge w:val="continue"/>
            <w:tcBorders>
              <w:top w:val="single" w:color="000000" w:sz="4" w:space="0"/>
              <w:left w:val="single" w:color="000000" w:sz="4" w:space="0"/>
              <w:bottom w:val="nil"/>
              <w:right w:val="single" w:color="000000" w:sz="4" w:space="0"/>
            </w:tcBorders>
            <w:shd w:val="clear" w:color="auto" w:fill="FFFFFF"/>
            <w:vAlign w:val="center"/>
          </w:tcPr>
          <w:p w14:paraId="2D07B746">
            <w:pPr>
              <w:bidi w:val="0"/>
              <w:rPr>
                <w:rFonts w:hint="eastAsia" w:asciiTheme="minorEastAsia" w:hAnsiTheme="minorEastAsia" w:eastAsiaTheme="minorEastAsia" w:cstheme="minorEastAsia"/>
                <w:sz w:val="24"/>
                <w:szCs w:val="24"/>
              </w:rPr>
            </w:pPr>
          </w:p>
        </w:tc>
      </w:tr>
      <w:tr w14:paraId="6FC8B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nil"/>
              <w:right w:val="single" w:color="000000" w:sz="4" w:space="0"/>
            </w:tcBorders>
            <w:shd w:val="clear" w:color="auto" w:fill="FFFFFF"/>
            <w:vAlign w:val="center"/>
          </w:tcPr>
          <w:p w14:paraId="17FFAC60">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nil"/>
              <w:right w:val="single" w:color="000000" w:sz="4" w:space="0"/>
            </w:tcBorders>
            <w:shd w:val="clear" w:color="auto" w:fill="FFFFFF"/>
            <w:vAlign w:val="center"/>
          </w:tcPr>
          <w:p w14:paraId="2FC9141C">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4EF6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更换英文（外露led发光字）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5B4C1">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0.5 * 0.5</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7ED27">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1792A">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8638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BA591">
            <w:pPr>
              <w:bidi w:val="0"/>
              <w:rPr>
                <w:rFonts w:hint="eastAsia" w:asciiTheme="minorEastAsia" w:hAnsiTheme="minorEastAsia" w:eastAsiaTheme="minorEastAsia" w:cstheme="minorEastAsia"/>
                <w:sz w:val="24"/>
                <w:szCs w:val="24"/>
              </w:rPr>
            </w:pPr>
          </w:p>
        </w:tc>
        <w:tc>
          <w:tcPr>
            <w:tcW w:w="4155" w:type="dxa"/>
            <w:vMerge w:val="continue"/>
            <w:tcBorders>
              <w:top w:val="single" w:color="000000" w:sz="4" w:space="0"/>
              <w:left w:val="single" w:color="000000" w:sz="4" w:space="0"/>
              <w:bottom w:val="nil"/>
              <w:right w:val="single" w:color="000000" w:sz="4" w:space="0"/>
            </w:tcBorders>
            <w:shd w:val="clear" w:color="auto" w:fill="FFFFFF"/>
            <w:vAlign w:val="center"/>
          </w:tcPr>
          <w:p w14:paraId="4B6A3F80">
            <w:pPr>
              <w:bidi w:val="0"/>
              <w:rPr>
                <w:rFonts w:hint="eastAsia" w:asciiTheme="minorEastAsia" w:hAnsiTheme="minorEastAsia" w:eastAsiaTheme="minorEastAsia" w:cstheme="minorEastAsia"/>
                <w:sz w:val="24"/>
                <w:szCs w:val="24"/>
              </w:rPr>
            </w:pPr>
          </w:p>
        </w:tc>
      </w:tr>
      <w:tr w14:paraId="38665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nil"/>
              <w:right w:val="single" w:color="000000" w:sz="4" w:space="0"/>
            </w:tcBorders>
            <w:shd w:val="clear" w:color="auto" w:fill="FFFFFF"/>
            <w:vAlign w:val="center"/>
          </w:tcPr>
          <w:p w14:paraId="7F2F8FA6">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nil"/>
              <w:right w:val="single" w:color="000000" w:sz="4" w:space="0"/>
            </w:tcBorders>
            <w:shd w:val="clear" w:color="auto" w:fill="FFFFFF"/>
            <w:vAlign w:val="center"/>
          </w:tcPr>
          <w:p w14:paraId="51B04C58">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BF5792">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发光字钢架部分除锈养护（3*5镀锌方管焊接）</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D52F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25 * 6</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B6E5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平方米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238D8">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A3F28">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150</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D744C">
            <w:pPr>
              <w:bidi w:val="0"/>
              <w:rPr>
                <w:rFonts w:hint="eastAsia" w:asciiTheme="minorEastAsia" w:hAnsiTheme="minorEastAsia" w:eastAsiaTheme="minorEastAsia" w:cstheme="minorEastAsia"/>
                <w:sz w:val="24"/>
                <w:szCs w:val="24"/>
              </w:rPr>
            </w:pPr>
          </w:p>
        </w:tc>
        <w:tc>
          <w:tcPr>
            <w:tcW w:w="4155" w:type="dxa"/>
            <w:vMerge w:val="continue"/>
            <w:tcBorders>
              <w:top w:val="single" w:color="000000" w:sz="4" w:space="0"/>
              <w:left w:val="single" w:color="000000" w:sz="4" w:space="0"/>
              <w:bottom w:val="nil"/>
              <w:right w:val="single" w:color="000000" w:sz="4" w:space="0"/>
            </w:tcBorders>
            <w:shd w:val="clear" w:color="auto" w:fill="FFFFFF"/>
            <w:vAlign w:val="center"/>
          </w:tcPr>
          <w:p w14:paraId="64D5A7E3">
            <w:pPr>
              <w:bidi w:val="0"/>
              <w:rPr>
                <w:rFonts w:hint="eastAsia" w:asciiTheme="minorEastAsia" w:hAnsiTheme="minorEastAsia" w:eastAsiaTheme="minorEastAsia" w:cstheme="minorEastAsia"/>
                <w:sz w:val="24"/>
                <w:szCs w:val="24"/>
              </w:rPr>
            </w:pPr>
          </w:p>
        </w:tc>
      </w:tr>
      <w:tr w14:paraId="542FAD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2BBBDE">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p>
        </w:tc>
        <w:tc>
          <w:tcPr>
            <w:tcW w:w="1830"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6FD4D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云南省红河州河口县北山国际货场信息大楼入口</w:t>
            </w: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0E6DA">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更换标志（铁艺烤漆字）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3CE24">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1.4 * 0.7</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F3940">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91B4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0C3D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1.4</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4DDCC">
            <w:pPr>
              <w:bidi w:val="0"/>
              <w:rPr>
                <w:rFonts w:hint="eastAsia" w:asciiTheme="minorEastAsia" w:hAnsiTheme="minorEastAsia" w:eastAsiaTheme="minorEastAsia" w:cstheme="minorEastAsia"/>
                <w:sz w:val="24"/>
                <w:szCs w:val="24"/>
              </w:rPr>
            </w:pPr>
          </w:p>
        </w:tc>
        <w:tc>
          <w:tcPr>
            <w:tcW w:w="4155"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1961378">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drawing>
                <wp:anchor distT="0" distB="0" distL="114300" distR="114300" simplePos="0" relativeHeight="251662336" behindDoc="0" locked="0" layoutInCell="1" allowOverlap="1">
                  <wp:simplePos x="0" y="0"/>
                  <wp:positionH relativeFrom="column">
                    <wp:posOffset>0</wp:posOffset>
                  </wp:positionH>
                  <wp:positionV relativeFrom="paragraph">
                    <wp:posOffset>0</wp:posOffset>
                  </wp:positionV>
                  <wp:extent cx="0" cy="724535"/>
                  <wp:effectExtent l="0" t="0" r="0" b="0"/>
                  <wp:wrapNone/>
                  <wp:docPr id="66" name="Picture_1_SpCnt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_1_SpCnt_2"/>
                          <pic:cNvPicPr>
                            <a:picLocks noChangeAspect="1" noChangeArrowheads="1"/>
                          </pic:cNvPicPr>
                        </pic:nvPicPr>
                        <pic:blipFill>
                          <a:blip r:embed="rId22"/>
                          <a:srcRect/>
                          <a:stretch>
                            <a:fillRect l="1000" t="1000" r="1000" b="1000"/>
                          </a:stretch>
                        </pic:blipFill>
                        <pic:spPr>
                          <a:xfrm>
                            <a:off x="6878320" y="9683750"/>
                            <a:ext cx="0" cy="724535"/>
                          </a:xfrm>
                          <a:prstGeom prst="rect">
                            <a:avLst/>
                          </a:prstGeom>
                          <a:noFill/>
                        </pic:spPr>
                      </pic:pic>
                    </a:graphicData>
                  </a:graphic>
                </wp:anchor>
              </w:drawing>
            </w:r>
            <w:r>
              <w:rPr>
                <w:rFonts w:hint="eastAsia" w:asciiTheme="minorEastAsia" w:hAnsiTheme="minorEastAsia" w:eastAsiaTheme="minorEastAsia" w:cstheme="minorEastAsia"/>
                <w:sz w:val="24"/>
                <w:szCs w:val="24"/>
                <w:lang w:val="en-US" w:eastAsia="zh-CN"/>
              </w:rPr>
              <w:drawing>
                <wp:anchor distT="0" distB="0" distL="114300" distR="114300" simplePos="0" relativeHeight="251662336" behindDoc="0" locked="0" layoutInCell="1" allowOverlap="1">
                  <wp:simplePos x="0" y="0"/>
                  <wp:positionH relativeFrom="column">
                    <wp:posOffset>0</wp:posOffset>
                  </wp:positionH>
                  <wp:positionV relativeFrom="paragraph">
                    <wp:posOffset>724535</wp:posOffset>
                  </wp:positionV>
                  <wp:extent cx="0" cy="724535"/>
                  <wp:effectExtent l="0" t="0" r="0" b="0"/>
                  <wp:wrapNone/>
                  <wp:docPr id="67" name="Picture_1_SpCn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_1_SpCnt_3"/>
                          <pic:cNvPicPr>
                            <a:picLocks noChangeAspect="1" noChangeArrowheads="1"/>
                          </pic:cNvPicPr>
                        </pic:nvPicPr>
                        <pic:blipFill>
                          <a:blip r:embed="rId20"/>
                          <a:srcRect/>
                          <a:stretch>
                            <a:fillRect l="1000" t="1000" r="1000" b="1000"/>
                          </a:stretch>
                        </pic:blipFill>
                        <pic:spPr>
                          <a:xfrm>
                            <a:off x="6878320" y="10408285"/>
                            <a:ext cx="0" cy="724535"/>
                          </a:xfrm>
                          <a:prstGeom prst="rect">
                            <a:avLst/>
                          </a:prstGeom>
                          <a:noFill/>
                        </pic:spPr>
                      </pic:pic>
                    </a:graphicData>
                  </a:graphic>
                </wp:anchor>
              </w:drawing>
            </w:r>
            <w:r>
              <w:rPr>
                <w:rFonts w:hint="eastAsia" w:asciiTheme="minorEastAsia" w:hAnsiTheme="minorEastAsia" w:eastAsiaTheme="minorEastAsia" w:cstheme="minorEastAsia"/>
                <w:sz w:val="24"/>
                <w:szCs w:val="24"/>
                <w:lang w:val="en-US" w:eastAsia="zh-CN"/>
              </w:rPr>
              <w:drawing>
                <wp:anchor distT="0" distB="0" distL="114300" distR="114300" simplePos="0" relativeHeight="251662336" behindDoc="0" locked="0" layoutInCell="1" allowOverlap="1">
                  <wp:simplePos x="0" y="0"/>
                  <wp:positionH relativeFrom="column">
                    <wp:posOffset>0</wp:posOffset>
                  </wp:positionH>
                  <wp:positionV relativeFrom="paragraph">
                    <wp:posOffset>1449070</wp:posOffset>
                  </wp:positionV>
                  <wp:extent cx="0" cy="2997835"/>
                  <wp:effectExtent l="0" t="0" r="0" b="0"/>
                  <wp:wrapNone/>
                  <wp:docPr id="68" name="Picture_1_SpCnt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_1_SpCnt_4"/>
                          <pic:cNvPicPr>
                            <a:picLocks noChangeAspect="1" noChangeArrowheads="1"/>
                          </pic:cNvPicPr>
                        </pic:nvPicPr>
                        <pic:blipFill>
                          <a:blip r:embed="rId23"/>
                          <a:srcRect/>
                          <a:stretch>
                            <a:fillRect l="1000" t="1000" r="1000" b="1000"/>
                          </a:stretch>
                        </pic:blipFill>
                        <pic:spPr>
                          <a:xfrm>
                            <a:off x="6878320" y="11132820"/>
                            <a:ext cx="0" cy="2997835"/>
                          </a:xfrm>
                          <a:prstGeom prst="rect">
                            <a:avLst/>
                          </a:prstGeom>
                          <a:noFill/>
                        </pic:spPr>
                      </pic:pic>
                    </a:graphicData>
                  </a:graphic>
                </wp:anchor>
              </w:drawing>
            </w:r>
          </w:p>
        </w:tc>
      </w:tr>
      <w:tr w14:paraId="64B09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A252C2">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292F22">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3E820">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更换中文（铁艺烤漆字）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C481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0.4 * 0.4</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AFDDC">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34998">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EB24E">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0.4</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321DA">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drawing>
                <wp:anchor distT="0" distB="0" distL="114300" distR="114300" simplePos="0" relativeHeight="251664384" behindDoc="0" locked="0" layoutInCell="1" allowOverlap="1">
                  <wp:simplePos x="0" y="0"/>
                  <wp:positionH relativeFrom="column">
                    <wp:posOffset>761365</wp:posOffset>
                  </wp:positionH>
                  <wp:positionV relativeFrom="paragraph">
                    <wp:posOffset>137160</wp:posOffset>
                  </wp:positionV>
                  <wp:extent cx="1743710" cy="1306195"/>
                  <wp:effectExtent l="0" t="0" r="8890" b="8255"/>
                  <wp:wrapNone/>
                  <wp:docPr id="69" name="图片 22"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22" descr="IMG_259"/>
                          <pic:cNvPicPr>
                            <a:picLocks noChangeAspect="1"/>
                          </pic:cNvPicPr>
                        </pic:nvPicPr>
                        <pic:blipFill>
                          <a:blip r:embed="rId24"/>
                          <a:stretch>
                            <a:fillRect/>
                          </a:stretch>
                        </pic:blipFill>
                        <pic:spPr>
                          <a:xfrm>
                            <a:off x="0" y="0"/>
                            <a:ext cx="1743710" cy="1306195"/>
                          </a:xfrm>
                          <a:prstGeom prst="rect">
                            <a:avLst/>
                          </a:prstGeom>
                          <a:noFill/>
                          <a:ln w="9525">
                            <a:noFill/>
                          </a:ln>
                        </pic:spPr>
                      </pic:pic>
                    </a:graphicData>
                  </a:graphic>
                </wp:anchor>
              </w:drawing>
            </w:r>
          </w:p>
        </w:tc>
        <w:tc>
          <w:tcPr>
            <w:tcW w:w="41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54BDC4">
            <w:pPr>
              <w:bidi w:val="0"/>
              <w:rPr>
                <w:rFonts w:hint="eastAsia" w:asciiTheme="minorEastAsia" w:hAnsiTheme="minorEastAsia" w:eastAsiaTheme="minorEastAsia" w:cstheme="minorEastAsia"/>
                <w:sz w:val="24"/>
                <w:szCs w:val="24"/>
              </w:rPr>
            </w:pPr>
          </w:p>
        </w:tc>
      </w:tr>
      <w:tr w14:paraId="6B131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1" w:hRule="atLeast"/>
        </w:trPr>
        <w:tc>
          <w:tcPr>
            <w:tcW w:w="6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9658D4">
            <w:pPr>
              <w:bidi w:val="0"/>
              <w:rPr>
                <w:rFonts w:hint="eastAsia" w:asciiTheme="minorEastAsia" w:hAnsiTheme="minorEastAsia" w:eastAsiaTheme="minorEastAsia" w:cstheme="minorEastAsia"/>
                <w:sz w:val="24"/>
                <w:szCs w:val="24"/>
              </w:rPr>
            </w:pPr>
          </w:p>
        </w:tc>
        <w:tc>
          <w:tcPr>
            <w:tcW w:w="1830"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B8EED4">
            <w:pPr>
              <w:bidi w:val="0"/>
              <w:rPr>
                <w:rFonts w:hint="eastAsia" w:asciiTheme="minorEastAsia" w:hAnsiTheme="minorEastAsia" w:eastAsiaTheme="minorEastAsia" w:cstheme="minorEastAsia"/>
                <w:sz w:val="24"/>
                <w:szCs w:val="24"/>
              </w:rPr>
            </w:pPr>
          </w:p>
        </w:tc>
        <w:tc>
          <w:tcPr>
            <w:tcW w:w="25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B7332">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更换英文（铁艺烤漆字）</w:t>
            </w:r>
          </w:p>
        </w:tc>
        <w:tc>
          <w:tcPr>
            <w:tcW w:w="15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47AD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0.12 * 0.12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4D81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米</w:t>
            </w:r>
          </w:p>
        </w:tc>
        <w:tc>
          <w:tcPr>
            <w:tcW w:w="5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58D88">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12</w:t>
            </w:r>
          </w:p>
        </w:tc>
        <w:tc>
          <w:tcPr>
            <w:tcW w:w="7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34054">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1.44</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EEAF0">
            <w:pPr>
              <w:bidi w:val="0"/>
              <w:rPr>
                <w:rFonts w:hint="eastAsia" w:asciiTheme="minorEastAsia" w:hAnsiTheme="minorEastAsia" w:eastAsiaTheme="minorEastAsia" w:cstheme="minorEastAsia"/>
                <w:sz w:val="24"/>
                <w:szCs w:val="24"/>
              </w:rPr>
            </w:pPr>
          </w:p>
        </w:tc>
        <w:tc>
          <w:tcPr>
            <w:tcW w:w="4155"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88AF3D">
            <w:pPr>
              <w:bidi w:val="0"/>
              <w:rPr>
                <w:rFonts w:hint="eastAsia" w:asciiTheme="minorEastAsia" w:hAnsiTheme="minorEastAsia" w:eastAsiaTheme="minorEastAsia" w:cstheme="minorEastAsia"/>
                <w:sz w:val="24"/>
                <w:szCs w:val="24"/>
              </w:rPr>
            </w:pPr>
          </w:p>
        </w:tc>
      </w:tr>
      <w:tr w14:paraId="739F3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0" w:hRule="atLeast"/>
        </w:trPr>
        <w:tc>
          <w:tcPr>
            <w:tcW w:w="632" w:type="dxa"/>
            <w:tcBorders>
              <w:top w:val="nil"/>
              <w:left w:val="single" w:color="000000" w:sz="4" w:space="0"/>
              <w:bottom w:val="single" w:color="000000" w:sz="4" w:space="0"/>
              <w:right w:val="nil"/>
            </w:tcBorders>
            <w:shd w:val="clear" w:color="auto" w:fill="FFFFFF"/>
            <w:vAlign w:val="center"/>
          </w:tcPr>
          <w:p w14:paraId="71C5F42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w:t>
            </w:r>
          </w:p>
        </w:tc>
        <w:tc>
          <w:tcPr>
            <w:tcW w:w="1830" w:type="dxa"/>
            <w:tcBorders>
              <w:top w:val="nil"/>
              <w:left w:val="single" w:color="000000" w:sz="4" w:space="0"/>
              <w:bottom w:val="single" w:color="000000" w:sz="4" w:space="0"/>
              <w:right w:val="nil"/>
            </w:tcBorders>
            <w:shd w:val="clear" w:color="auto" w:fill="FFFFFF"/>
            <w:vAlign w:val="center"/>
          </w:tcPr>
          <w:p w14:paraId="52C55920">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云南省红河州河口县北山国际货场信息大楼门头</w:t>
            </w:r>
          </w:p>
        </w:tc>
        <w:tc>
          <w:tcPr>
            <w:tcW w:w="2520" w:type="dxa"/>
            <w:tcBorders>
              <w:top w:val="nil"/>
              <w:left w:val="single" w:color="000000" w:sz="4" w:space="0"/>
              <w:bottom w:val="single" w:color="000000" w:sz="4" w:space="0"/>
              <w:right w:val="nil"/>
            </w:tcBorders>
            <w:shd w:val="clear" w:color="auto" w:fill="FFFFFF"/>
            <w:vAlign w:val="center"/>
          </w:tcPr>
          <w:p w14:paraId="72325C2A">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更换logo标志</w:t>
            </w:r>
            <w:r>
              <w:rPr>
                <w:rFonts w:hint="eastAsia" w:asciiTheme="minorEastAsia" w:hAnsiTheme="minorEastAsia" w:eastAsiaTheme="minorEastAsia" w:cstheme="minorEastAsia"/>
                <w:sz w:val="24"/>
                <w:szCs w:val="24"/>
                <w:lang w:val="en-US" w:eastAsia="zh-CN"/>
              </w:rPr>
              <w:br w:type="textWrapping"/>
            </w:r>
            <w:r>
              <w:rPr>
                <w:rFonts w:hint="eastAsia" w:asciiTheme="minorEastAsia" w:hAnsiTheme="minorEastAsia" w:eastAsiaTheme="minorEastAsia" w:cstheme="minorEastAsia"/>
                <w:sz w:val="24"/>
                <w:szCs w:val="24"/>
                <w:lang w:val="en-US" w:eastAsia="zh-CN"/>
              </w:rPr>
              <w:t>（镀锌板烤漆字）</w:t>
            </w:r>
          </w:p>
        </w:tc>
        <w:tc>
          <w:tcPr>
            <w:tcW w:w="1575" w:type="dxa"/>
            <w:tcBorders>
              <w:top w:val="nil"/>
              <w:left w:val="single" w:color="000000" w:sz="4" w:space="0"/>
              <w:bottom w:val="single" w:color="000000" w:sz="4" w:space="0"/>
              <w:right w:val="nil"/>
            </w:tcBorders>
            <w:shd w:val="clear" w:color="auto" w:fill="FFFFFF"/>
            <w:vAlign w:val="center"/>
          </w:tcPr>
          <w:p w14:paraId="1A50B458">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1.6*1.6</w:t>
            </w:r>
          </w:p>
        </w:tc>
        <w:tc>
          <w:tcPr>
            <w:tcW w:w="990" w:type="dxa"/>
            <w:tcBorders>
              <w:top w:val="nil"/>
              <w:left w:val="single" w:color="000000" w:sz="4" w:space="0"/>
              <w:bottom w:val="single" w:color="000000" w:sz="4" w:space="0"/>
              <w:right w:val="nil"/>
            </w:tcBorders>
            <w:shd w:val="clear" w:color="auto" w:fill="FFFFFF"/>
            <w:vAlign w:val="center"/>
          </w:tcPr>
          <w:p w14:paraId="3A64E251">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米</w:t>
            </w:r>
          </w:p>
        </w:tc>
        <w:tc>
          <w:tcPr>
            <w:tcW w:w="585" w:type="dxa"/>
            <w:tcBorders>
              <w:top w:val="nil"/>
              <w:left w:val="single" w:color="000000" w:sz="4" w:space="0"/>
              <w:bottom w:val="single" w:color="000000" w:sz="4" w:space="0"/>
              <w:right w:val="single" w:color="000000" w:sz="4" w:space="0"/>
            </w:tcBorders>
            <w:shd w:val="clear" w:color="auto" w:fill="FFFFFF"/>
            <w:vAlign w:val="center"/>
          </w:tcPr>
          <w:p w14:paraId="25ECA05D">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p>
        </w:tc>
        <w:tc>
          <w:tcPr>
            <w:tcW w:w="780" w:type="dxa"/>
            <w:tcBorders>
              <w:top w:val="nil"/>
              <w:left w:val="single" w:color="000000" w:sz="4" w:space="0"/>
              <w:bottom w:val="single" w:color="000000" w:sz="4" w:space="0"/>
              <w:right w:val="single" w:color="000000" w:sz="4" w:space="0"/>
            </w:tcBorders>
            <w:shd w:val="clear" w:color="auto" w:fill="FFFFFF"/>
            <w:vAlign w:val="center"/>
          </w:tcPr>
          <w:p w14:paraId="34F4E91F">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2.56</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4DF66">
            <w:pPr>
              <w:bidi w:val="0"/>
              <w:rPr>
                <w:rFonts w:hint="eastAsia" w:asciiTheme="minorEastAsia" w:hAnsiTheme="minorEastAsia" w:eastAsiaTheme="minorEastAsia" w:cstheme="minorEastAsia"/>
                <w:sz w:val="24"/>
                <w:szCs w:val="24"/>
              </w:rPr>
            </w:pPr>
          </w:p>
        </w:tc>
        <w:tc>
          <w:tcPr>
            <w:tcW w:w="4155" w:type="dxa"/>
            <w:tcBorders>
              <w:top w:val="nil"/>
              <w:left w:val="single" w:color="000000" w:sz="4" w:space="0"/>
              <w:bottom w:val="single" w:color="000000" w:sz="4" w:space="0"/>
              <w:right w:val="single" w:color="000000" w:sz="4" w:space="0"/>
            </w:tcBorders>
            <w:shd w:val="clear" w:color="auto" w:fill="FFFFFF"/>
            <w:vAlign w:val="center"/>
          </w:tcPr>
          <w:p w14:paraId="5CAE965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drawing>
                <wp:inline distT="0" distB="0" distL="114300" distR="114300">
                  <wp:extent cx="2447290" cy="1114425"/>
                  <wp:effectExtent l="0" t="0" r="10160" b="9525"/>
                  <wp:docPr id="70" name="图片 23"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3" descr="IMG_260"/>
                          <pic:cNvPicPr>
                            <a:picLocks noChangeAspect="1"/>
                          </pic:cNvPicPr>
                        </pic:nvPicPr>
                        <pic:blipFill>
                          <a:blip r:embed="rId25"/>
                          <a:stretch>
                            <a:fillRect/>
                          </a:stretch>
                        </pic:blipFill>
                        <pic:spPr>
                          <a:xfrm>
                            <a:off x="0" y="0"/>
                            <a:ext cx="2447290" cy="1114425"/>
                          </a:xfrm>
                          <a:prstGeom prst="rect">
                            <a:avLst/>
                          </a:prstGeom>
                          <a:noFill/>
                          <a:ln w="9525">
                            <a:noFill/>
                          </a:ln>
                        </pic:spPr>
                      </pic:pic>
                    </a:graphicData>
                  </a:graphic>
                </wp:inline>
              </w:drawing>
            </w:r>
          </w:p>
        </w:tc>
      </w:tr>
      <w:tr w14:paraId="4245B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0" w:hRule="atLeast"/>
        </w:trPr>
        <w:tc>
          <w:tcPr>
            <w:tcW w:w="632" w:type="dxa"/>
            <w:tcBorders>
              <w:top w:val="nil"/>
              <w:left w:val="single" w:color="000000" w:sz="4" w:space="0"/>
              <w:bottom w:val="single" w:color="000000" w:sz="4" w:space="0"/>
              <w:right w:val="nil"/>
            </w:tcBorders>
            <w:shd w:val="clear" w:color="auto" w:fill="FFFFFF"/>
            <w:vAlign w:val="center"/>
          </w:tcPr>
          <w:p w14:paraId="7B9A80A4">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w:t>
            </w:r>
          </w:p>
        </w:tc>
        <w:tc>
          <w:tcPr>
            <w:tcW w:w="1830" w:type="dxa"/>
            <w:tcBorders>
              <w:top w:val="nil"/>
              <w:left w:val="single" w:color="000000" w:sz="4" w:space="0"/>
              <w:bottom w:val="single" w:color="000000" w:sz="4" w:space="0"/>
              <w:right w:val="nil"/>
            </w:tcBorders>
            <w:shd w:val="clear" w:color="auto" w:fill="FFFFFF"/>
            <w:vAlign w:val="center"/>
          </w:tcPr>
          <w:p w14:paraId="6EC69C55">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云南省红河州河口县北山国际货场联检楼侧面</w:t>
            </w:r>
          </w:p>
        </w:tc>
        <w:tc>
          <w:tcPr>
            <w:tcW w:w="2520" w:type="dxa"/>
            <w:tcBorders>
              <w:top w:val="nil"/>
              <w:left w:val="single" w:color="000000" w:sz="4" w:space="0"/>
              <w:bottom w:val="single" w:color="000000" w:sz="4" w:space="0"/>
              <w:right w:val="nil"/>
            </w:tcBorders>
            <w:shd w:val="clear" w:color="auto" w:fill="FFFFFF"/>
            <w:vAlign w:val="center"/>
          </w:tcPr>
          <w:p w14:paraId="6B1817EE">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拆除logo标志、英文、中文</w:t>
            </w:r>
            <w:r>
              <w:rPr>
                <w:rFonts w:hint="eastAsia" w:asciiTheme="minorEastAsia" w:hAnsiTheme="minorEastAsia" w:eastAsiaTheme="minorEastAsia" w:cstheme="minorEastAsia"/>
                <w:sz w:val="24"/>
                <w:szCs w:val="24"/>
                <w:lang w:val="en-US" w:eastAsia="zh-CN"/>
              </w:rPr>
              <w:br w:type="textWrapping"/>
            </w:r>
            <w:r>
              <w:rPr>
                <w:rFonts w:hint="eastAsia" w:asciiTheme="minorEastAsia" w:hAnsiTheme="minorEastAsia" w:eastAsiaTheme="minorEastAsia" w:cstheme="minorEastAsia"/>
                <w:sz w:val="24"/>
                <w:szCs w:val="24"/>
                <w:lang w:val="en-US" w:eastAsia="zh-CN"/>
              </w:rPr>
              <w:t>（亚克力字贴面字）</w:t>
            </w:r>
          </w:p>
        </w:tc>
        <w:tc>
          <w:tcPr>
            <w:tcW w:w="3930" w:type="dxa"/>
            <w:gridSpan w:val="4"/>
            <w:tcBorders>
              <w:top w:val="nil"/>
              <w:left w:val="single" w:color="000000" w:sz="4" w:space="0"/>
              <w:bottom w:val="single" w:color="000000" w:sz="4" w:space="0"/>
              <w:right w:val="single" w:color="000000" w:sz="4" w:space="0"/>
            </w:tcBorders>
            <w:shd w:val="clear" w:color="auto" w:fill="FFFFFF"/>
            <w:vAlign w:val="center"/>
          </w:tcPr>
          <w:p w14:paraId="47BFC13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7EEB2">
            <w:pPr>
              <w:bidi w:val="0"/>
              <w:rPr>
                <w:rFonts w:hint="eastAsia" w:asciiTheme="minorEastAsia" w:hAnsiTheme="minorEastAsia" w:eastAsiaTheme="minorEastAsia" w:cstheme="minorEastAsia"/>
                <w:sz w:val="24"/>
                <w:szCs w:val="24"/>
              </w:rPr>
            </w:pPr>
          </w:p>
        </w:tc>
        <w:tc>
          <w:tcPr>
            <w:tcW w:w="4155" w:type="dxa"/>
            <w:tcBorders>
              <w:top w:val="nil"/>
              <w:left w:val="single" w:color="000000" w:sz="4" w:space="0"/>
              <w:bottom w:val="single" w:color="000000" w:sz="4" w:space="0"/>
              <w:right w:val="single" w:color="000000" w:sz="4" w:space="0"/>
            </w:tcBorders>
            <w:shd w:val="clear" w:color="auto" w:fill="FFFFFF"/>
            <w:vAlign w:val="center"/>
          </w:tcPr>
          <w:p w14:paraId="62A240B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drawing>
                <wp:inline distT="0" distB="0" distL="114300" distR="114300">
                  <wp:extent cx="2332990" cy="1230630"/>
                  <wp:effectExtent l="0" t="0" r="10160" b="7620"/>
                  <wp:docPr id="71" name="图片 24"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4" descr="IMG_261"/>
                          <pic:cNvPicPr>
                            <a:picLocks noChangeAspect="1"/>
                          </pic:cNvPicPr>
                        </pic:nvPicPr>
                        <pic:blipFill>
                          <a:blip r:embed="rId26"/>
                          <a:stretch>
                            <a:fillRect/>
                          </a:stretch>
                        </pic:blipFill>
                        <pic:spPr>
                          <a:xfrm>
                            <a:off x="0" y="0"/>
                            <a:ext cx="2332990" cy="1230630"/>
                          </a:xfrm>
                          <a:prstGeom prst="rect">
                            <a:avLst/>
                          </a:prstGeom>
                          <a:noFill/>
                          <a:ln w="9525">
                            <a:noFill/>
                          </a:ln>
                        </pic:spPr>
                      </pic:pic>
                    </a:graphicData>
                  </a:graphic>
                </wp:inline>
              </w:drawing>
            </w:r>
          </w:p>
        </w:tc>
      </w:tr>
      <w:tr w14:paraId="69E8F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7547" w:type="dxa"/>
            <w:gridSpan w:val="5"/>
            <w:tcBorders>
              <w:top w:val="nil"/>
              <w:left w:val="single" w:color="000000" w:sz="4" w:space="0"/>
              <w:bottom w:val="single" w:color="000000" w:sz="4" w:space="0"/>
              <w:right w:val="nil"/>
            </w:tcBorders>
            <w:shd w:val="clear" w:color="auto" w:fill="FFFFFF"/>
            <w:vAlign w:val="center"/>
          </w:tcPr>
          <w:p w14:paraId="7DAEA8C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合计</w:t>
            </w:r>
          </w:p>
        </w:tc>
        <w:tc>
          <w:tcPr>
            <w:tcW w:w="585" w:type="dxa"/>
            <w:tcBorders>
              <w:top w:val="nil"/>
              <w:left w:val="single" w:color="000000" w:sz="4" w:space="0"/>
              <w:bottom w:val="single" w:color="000000" w:sz="4" w:space="0"/>
              <w:right w:val="single" w:color="000000" w:sz="4" w:space="0"/>
            </w:tcBorders>
            <w:shd w:val="clear" w:color="auto" w:fill="FFFFFF"/>
            <w:vAlign w:val="center"/>
          </w:tcPr>
          <w:p w14:paraId="23F32D17">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60</w:t>
            </w:r>
          </w:p>
        </w:tc>
        <w:tc>
          <w:tcPr>
            <w:tcW w:w="780" w:type="dxa"/>
            <w:tcBorders>
              <w:top w:val="nil"/>
              <w:left w:val="single" w:color="000000" w:sz="4" w:space="0"/>
              <w:bottom w:val="single" w:color="000000" w:sz="4" w:space="0"/>
              <w:right w:val="single" w:color="000000" w:sz="4" w:space="0"/>
            </w:tcBorders>
            <w:shd w:val="clear" w:color="auto" w:fill="FFFFFF"/>
            <w:vAlign w:val="center"/>
          </w:tcPr>
          <w:p w14:paraId="0DCEA195">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484.864</w:t>
            </w:r>
          </w:p>
        </w:tc>
        <w:tc>
          <w:tcPr>
            <w:tcW w:w="7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670B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总额：</w:t>
            </w:r>
          </w:p>
        </w:tc>
        <w:tc>
          <w:tcPr>
            <w:tcW w:w="41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A868AA">
            <w:pPr>
              <w:bidi w:val="0"/>
              <w:rPr>
                <w:rFonts w:hint="eastAsia" w:asciiTheme="minorEastAsia" w:hAnsiTheme="minorEastAsia" w:eastAsiaTheme="minorEastAsia" w:cstheme="minorEastAsia"/>
                <w:sz w:val="24"/>
                <w:szCs w:val="24"/>
              </w:rPr>
            </w:pPr>
          </w:p>
        </w:tc>
      </w:tr>
    </w:tbl>
    <w:p w14:paraId="5AB90E98">
      <w:r>
        <w:rPr>
          <w:rFonts w:hint="eastAsia"/>
          <w:b/>
          <w:bCs/>
          <w:lang w:val="en-US" w:eastAsia="zh-CN"/>
        </w:rPr>
        <w:t>备注：工</w:t>
      </w:r>
      <w:r>
        <w:rPr>
          <w:rFonts w:hint="eastAsia" w:asciiTheme="minorEastAsia" w:hAnsiTheme="minorEastAsia" w:eastAsiaTheme="minorEastAsia" w:cstheme="minorEastAsia"/>
          <w:b/>
          <w:bCs/>
          <w:sz w:val="24"/>
          <w:szCs w:val="24"/>
          <w:lang w:val="en-US" w:eastAsia="zh-CN"/>
        </w:rPr>
        <w:t>程量为预估，结算以实际工程量为准；</w:t>
      </w:r>
    </w:p>
    <w:sectPr>
      <w:pgSz w:w="16838" w:h="11906" w:orient="landscape"/>
      <w:pgMar w:top="1304" w:right="1304" w:bottom="1191" w:left="1304" w:header="851" w:footer="992" w:gutter="0"/>
      <w:pgBorders>
        <w:top w:val="none" w:sz="0" w:space="0"/>
        <w:left w:val="none" w:sz="0" w:space="0"/>
        <w:bottom w:val="none" w:sz="0" w:space="0"/>
        <w:right w:val="none" w:sz="0" w:space="0"/>
      </w:pgBorders>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10Point">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MS Sans 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auto"/>
    <w:pitch w:val="default"/>
    <w:sig w:usb0="00000203" w:usb1="288F0000" w:usb2="0000000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80567">
    <w:pPr>
      <w:pStyle w:val="16"/>
      <w:framePr w:wrap="around" w:vAnchor="text" w:hAnchor="margin" w:xAlign="center" w:y="1"/>
      <w:rPr>
        <w:rStyle w:val="29"/>
      </w:rPr>
    </w:pPr>
    <w:r>
      <w:fldChar w:fldCharType="begin"/>
    </w:r>
    <w:r>
      <w:rPr>
        <w:rStyle w:val="29"/>
      </w:rPr>
      <w:instrText xml:space="preserve">PAGE  </w:instrText>
    </w:r>
    <w:r>
      <w:fldChar w:fldCharType="end"/>
    </w:r>
  </w:p>
  <w:p w14:paraId="06E4359C">
    <w:pPr>
      <w:pStyle w:val="1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B71E02">
    <w:pPr>
      <w:pStyle w:val="16"/>
      <w:tabs>
        <w:tab w:val="right" w:pos="9360"/>
        <w:tab w:val="clear" w:pos="8306"/>
      </w:tabs>
      <w:ind w:right="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D43247">
                          <w:pPr>
                            <w:pStyle w:val="16"/>
                            <w:jc w:val="center"/>
                            <w:rPr>
                              <w:rStyle w:val="29"/>
                            </w:rPr>
                          </w:pPr>
                          <w:r>
                            <w:fldChar w:fldCharType="begin"/>
                          </w:r>
                          <w:r>
                            <w:rPr>
                              <w:rStyle w:val="29"/>
                            </w:rPr>
                            <w:instrText xml:space="preserve">PAGE  </w:instrText>
                          </w:r>
                          <w:r>
                            <w:fldChar w:fldCharType="separate"/>
                          </w:r>
                          <w:r>
                            <w:rPr>
                              <w:rStyle w:val="29"/>
                            </w:rP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1D43247">
                    <w:pPr>
                      <w:pStyle w:val="16"/>
                      <w:jc w:val="center"/>
                      <w:rPr>
                        <w:rStyle w:val="29"/>
                      </w:rPr>
                    </w:pPr>
                    <w:r>
                      <w:fldChar w:fldCharType="begin"/>
                    </w:r>
                    <w:r>
                      <w:rPr>
                        <w:rStyle w:val="29"/>
                      </w:rPr>
                      <w:instrText xml:space="preserve">PAGE  </w:instrText>
                    </w:r>
                    <w:r>
                      <w:fldChar w:fldCharType="separate"/>
                    </w:r>
                    <w:r>
                      <w:rPr>
                        <w:rStyle w:val="29"/>
                      </w:rPr>
                      <w:t>3</w:t>
                    </w:r>
                    <w:r>
                      <w:fldChar w:fldCharType="end"/>
                    </w:r>
                  </w:p>
                </w:txbxContent>
              </v:textbox>
            </v:shape>
          </w:pict>
        </mc:Fallback>
      </mc:AlternateContent>
    </w:r>
    <w:r>
      <w:rPr>
        <w:rFonts w:hint="eastAsia" w:ascii="宋体" w:hAnsi="宋体"/>
        <w:b/>
        <w:kern w:val="0"/>
        <w:u w:val="single"/>
      </w:rPr>
      <w:t xml:space="preserve">                                                                                                      </w:t>
    </w:r>
    <w:r>
      <w:rPr>
        <w:rFonts w:hint="eastAsia" w:ascii="宋体" w:hAnsi="宋体"/>
        <w:b/>
        <w:kern w:val="0"/>
      </w:rPr>
      <w:t xml:space="preserve">                         </w:t>
    </w:r>
    <w:r>
      <w:rPr>
        <w:rFonts w:hint="eastAsia" w:ascii="宋体" w:hAnsi="宋体"/>
        <w:b/>
        <w:kern w:val="0"/>
        <w:sz w:val="21"/>
        <w:szCs w:val="21"/>
      </w:rPr>
      <w:t xml:space="preserve">    </w:t>
    </w:r>
    <w:r>
      <w:rPr>
        <w:rFonts w:hint="eastAsia" w:ascii="宋体" w:hAnsi="宋体"/>
        <w:b/>
        <w:kern w:val="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92208">
    <w:pPr>
      <w:pStyle w:val="16"/>
      <w:tabs>
        <w:tab w:val="right" w:pos="9360"/>
        <w:tab w:val="clear" w:pos="8306"/>
      </w:tabs>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9A386">
                          <w:pPr>
                            <w:pStyle w:val="16"/>
                            <w:jc w:val="center"/>
                            <w:rPr>
                              <w:rStyle w:val="29"/>
                            </w:rPr>
                          </w:pPr>
                          <w:r>
                            <w:fldChar w:fldCharType="begin"/>
                          </w:r>
                          <w:r>
                            <w:rPr>
                              <w:rStyle w:val="29"/>
                            </w:rPr>
                            <w:instrText xml:space="preserve">PAGE  </w:instrText>
                          </w:r>
                          <w:r>
                            <w:fldChar w:fldCharType="separate"/>
                          </w:r>
                          <w:r>
                            <w:rPr>
                              <w:rStyle w:val="29"/>
                            </w:rPr>
                            <w:t>21</w:t>
                          </w:r>
                          <w:r>
                            <w:fldChar w:fldCharType="end"/>
                          </w:r>
                        </w:p>
                        <w:p w14:paraId="635339E6">
                          <w:pPr>
                            <w:jc w:val="cente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889A386">
                    <w:pPr>
                      <w:pStyle w:val="16"/>
                      <w:jc w:val="center"/>
                      <w:rPr>
                        <w:rStyle w:val="29"/>
                      </w:rPr>
                    </w:pPr>
                    <w:r>
                      <w:fldChar w:fldCharType="begin"/>
                    </w:r>
                    <w:r>
                      <w:rPr>
                        <w:rStyle w:val="29"/>
                      </w:rPr>
                      <w:instrText xml:space="preserve">PAGE  </w:instrText>
                    </w:r>
                    <w:r>
                      <w:fldChar w:fldCharType="separate"/>
                    </w:r>
                    <w:r>
                      <w:rPr>
                        <w:rStyle w:val="29"/>
                      </w:rPr>
                      <w:t>21</w:t>
                    </w:r>
                    <w:r>
                      <w:fldChar w:fldCharType="end"/>
                    </w:r>
                  </w:p>
                  <w:p w14:paraId="635339E6">
                    <w:pPr>
                      <w:jc w:val="center"/>
                    </w:pPr>
                  </w:p>
                </w:txbxContent>
              </v:textbox>
            </v:shape>
          </w:pict>
        </mc:Fallback>
      </mc:AlternateContent>
    </w:r>
    <w:r>
      <w:rPr>
        <w:rFonts w:hint="eastAsia" w:ascii="宋体" w:hAnsi="宋体"/>
        <w:b/>
        <w:kern w:val="0"/>
        <w:u w:val="single"/>
      </w:rPr>
      <w:t xml:space="preserve">                                                                                                      </w:t>
    </w:r>
    <w:r>
      <w:rPr>
        <w:rFonts w:hint="eastAsia" w:ascii="宋体" w:hAnsi="宋体"/>
        <w:b/>
        <w:kern w:val="0"/>
      </w:rPr>
      <w:t xml:space="preserve">                         </w:t>
    </w:r>
    <w:r>
      <w:rPr>
        <w:rFonts w:hint="eastAsia" w:ascii="宋体" w:hAnsi="宋体"/>
        <w:b/>
        <w:kern w:val="0"/>
        <w:sz w:val="21"/>
        <w:szCs w:val="21"/>
      </w:rPr>
      <w:t xml:space="preserve">    </w:t>
    </w:r>
    <w:r>
      <w:rPr>
        <w:rFonts w:hint="eastAsia" w:ascii="宋体" w:hAnsi="宋体"/>
        <w:b/>
        <w:kern w:val="0"/>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2DEC9">
    <w:pPr>
      <w:pStyle w:val="17"/>
      <w:jc w:val="both"/>
    </w:pPr>
    <w:r>
      <w:rPr>
        <w:rFonts w:hint="eastAsia"/>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7D179">
    <w:pPr>
      <w:pStyle w:val="1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724F22"/>
    <w:multiLevelType w:val="singleLevel"/>
    <w:tmpl w:val="8E724F22"/>
    <w:lvl w:ilvl="0" w:tentative="0">
      <w:start w:val="1"/>
      <w:numFmt w:val="decimal"/>
      <w:suff w:val="nothing"/>
      <w:lvlText w:val="%1."/>
      <w:lvlJc w:val="left"/>
      <w:pPr>
        <w:ind w:left="425" w:hanging="425"/>
      </w:pPr>
      <w:rPr>
        <w:rFonts w:hint="default"/>
      </w:rPr>
    </w:lvl>
  </w:abstractNum>
  <w:abstractNum w:abstractNumId="1">
    <w:nsid w:val="93E55398"/>
    <w:multiLevelType w:val="singleLevel"/>
    <w:tmpl w:val="93E55398"/>
    <w:lvl w:ilvl="0" w:tentative="0">
      <w:start w:val="1"/>
      <w:numFmt w:val="decimal"/>
      <w:suff w:val="nothing"/>
      <w:lvlText w:val="%1."/>
      <w:lvlJc w:val="left"/>
      <w:pPr>
        <w:ind w:left="425" w:hanging="425"/>
      </w:pPr>
      <w:rPr>
        <w:rFonts w:hint="default"/>
      </w:rPr>
    </w:lvl>
  </w:abstractNum>
  <w:abstractNum w:abstractNumId="2">
    <w:nsid w:val="A0F7F416"/>
    <w:multiLevelType w:val="singleLevel"/>
    <w:tmpl w:val="A0F7F416"/>
    <w:lvl w:ilvl="0" w:tentative="0">
      <w:start w:val="1"/>
      <w:numFmt w:val="decimal"/>
      <w:suff w:val="nothing"/>
      <w:lvlText w:val="（%1）"/>
      <w:lvlJc w:val="left"/>
    </w:lvl>
  </w:abstractNum>
  <w:abstractNum w:abstractNumId="3">
    <w:nsid w:val="AA275706"/>
    <w:multiLevelType w:val="singleLevel"/>
    <w:tmpl w:val="AA275706"/>
    <w:lvl w:ilvl="0" w:tentative="0">
      <w:start w:val="1"/>
      <w:numFmt w:val="decimal"/>
      <w:suff w:val="nothing"/>
      <w:lvlText w:val="%1."/>
      <w:lvlJc w:val="left"/>
      <w:pPr>
        <w:ind w:left="425" w:hanging="425"/>
      </w:pPr>
      <w:rPr>
        <w:rFonts w:hint="default"/>
      </w:rPr>
    </w:lvl>
  </w:abstractNum>
  <w:abstractNum w:abstractNumId="4">
    <w:nsid w:val="B16477DA"/>
    <w:multiLevelType w:val="singleLevel"/>
    <w:tmpl w:val="B16477DA"/>
    <w:lvl w:ilvl="0" w:tentative="0">
      <w:start w:val="1"/>
      <w:numFmt w:val="decimal"/>
      <w:suff w:val="nothing"/>
      <w:lvlText w:val="%1."/>
      <w:lvlJc w:val="left"/>
      <w:pPr>
        <w:ind w:left="425" w:hanging="425"/>
      </w:pPr>
      <w:rPr>
        <w:rFonts w:hint="default"/>
      </w:rPr>
    </w:lvl>
  </w:abstractNum>
  <w:abstractNum w:abstractNumId="5">
    <w:nsid w:val="C4DB924C"/>
    <w:multiLevelType w:val="singleLevel"/>
    <w:tmpl w:val="C4DB924C"/>
    <w:lvl w:ilvl="0" w:tentative="0">
      <w:start w:val="1"/>
      <w:numFmt w:val="decimal"/>
      <w:suff w:val="nothing"/>
      <w:lvlText w:val="%1."/>
      <w:lvlJc w:val="left"/>
      <w:pPr>
        <w:ind w:left="425" w:hanging="425"/>
      </w:pPr>
      <w:rPr>
        <w:rFonts w:hint="default"/>
      </w:rPr>
    </w:lvl>
  </w:abstractNum>
  <w:abstractNum w:abstractNumId="6">
    <w:nsid w:val="D0882E88"/>
    <w:multiLevelType w:val="singleLevel"/>
    <w:tmpl w:val="D0882E88"/>
    <w:lvl w:ilvl="0" w:tentative="0">
      <w:start w:val="5"/>
      <w:numFmt w:val="chineseCounting"/>
      <w:suff w:val="nothing"/>
      <w:lvlText w:val="%1、"/>
      <w:lvlJc w:val="left"/>
      <w:rPr>
        <w:rFonts w:hint="eastAsia"/>
      </w:rPr>
    </w:lvl>
  </w:abstractNum>
  <w:abstractNum w:abstractNumId="7">
    <w:nsid w:val="0A16A70C"/>
    <w:multiLevelType w:val="singleLevel"/>
    <w:tmpl w:val="0A16A70C"/>
    <w:lvl w:ilvl="0" w:tentative="0">
      <w:start w:val="1"/>
      <w:numFmt w:val="decimal"/>
      <w:suff w:val="nothing"/>
      <w:lvlText w:val="%1."/>
      <w:lvlJc w:val="left"/>
      <w:pPr>
        <w:ind w:left="425" w:hanging="425"/>
      </w:pPr>
      <w:rPr>
        <w:rFonts w:hint="default"/>
      </w:rPr>
    </w:lvl>
  </w:abstractNum>
  <w:abstractNum w:abstractNumId="8">
    <w:nsid w:val="105EDBE6"/>
    <w:multiLevelType w:val="singleLevel"/>
    <w:tmpl w:val="105EDBE6"/>
    <w:lvl w:ilvl="0" w:tentative="0">
      <w:start w:val="3"/>
      <w:numFmt w:val="chineseCounting"/>
      <w:suff w:val="space"/>
      <w:lvlText w:val="第%1章"/>
      <w:lvlJc w:val="left"/>
      <w:rPr>
        <w:rFonts w:hint="eastAsia"/>
      </w:rPr>
    </w:lvl>
  </w:abstractNum>
  <w:abstractNum w:abstractNumId="9">
    <w:nsid w:val="31B09FAA"/>
    <w:multiLevelType w:val="singleLevel"/>
    <w:tmpl w:val="31B09FAA"/>
    <w:lvl w:ilvl="0" w:tentative="0">
      <w:start w:val="1"/>
      <w:numFmt w:val="decimal"/>
      <w:suff w:val="nothing"/>
      <w:lvlText w:val="%1."/>
      <w:lvlJc w:val="left"/>
      <w:pPr>
        <w:ind w:left="425" w:hanging="425"/>
      </w:pPr>
      <w:rPr>
        <w:rFonts w:hint="default"/>
      </w:rPr>
    </w:lvl>
  </w:abstractNum>
  <w:abstractNum w:abstractNumId="10">
    <w:nsid w:val="396DFFD9"/>
    <w:multiLevelType w:val="singleLevel"/>
    <w:tmpl w:val="396DFFD9"/>
    <w:lvl w:ilvl="0" w:tentative="0">
      <w:start w:val="1"/>
      <w:numFmt w:val="decimal"/>
      <w:suff w:val="nothing"/>
      <w:lvlText w:val="%1."/>
      <w:lvlJc w:val="left"/>
      <w:pPr>
        <w:ind w:left="425" w:hanging="425"/>
      </w:pPr>
      <w:rPr>
        <w:rFonts w:hint="default"/>
      </w:rPr>
    </w:lvl>
  </w:abstractNum>
  <w:abstractNum w:abstractNumId="11">
    <w:nsid w:val="3F047D46"/>
    <w:multiLevelType w:val="singleLevel"/>
    <w:tmpl w:val="3F047D46"/>
    <w:lvl w:ilvl="0" w:tentative="0">
      <w:start w:val="1"/>
      <w:numFmt w:val="decimal"/>
      <w:suff w:val="nothing"/>
      <w:lvlText w:val="%1."/>
      <w:lvlJc w:val="left"/>
      <w:pPr>
        <w:ind w:left="425" w:hanging="425"/>
      </w:pPr>
      <w:rPr>
        <w:rFonts w:hint="default"/>
      </w:rPr>
    </w:lvl>
  </w:abstractNum>
  <w:abstractNum w:abstractNumId="12">
    <w:nsid w:val="476CCC7C"/>
    <w:multiLevelType w:val="singleLevel"/>
    <w:tmpl w:val="476CCC7C"/>
    <w:lvl w:ilvl="0" w:tentative="0">
      <w:start w:val="1"/>
      <w:numFmt w:val="decimal"/>
      <w:suff w:val="nothing"/>
      <w:lvlText w:val="（%1）"/>
      <w:lvlJc w:val="left"/>
    </w:lvl>
  </w:abstractNum>
  <w:abstractNum w:abstractNumId="13">
    <w:nsid w:val="55B74D6F"/>
    <w:multiLevelType w:val="singleLevel"/>
    <w:tmpl w:val="55B74D6F"/>
    <w:lvl w:ilvl="0" w:tentative="0">
      <w:start w:val="1"/>
      <w:numFmt w:val="decimal"/>
      <w:suff w:val="nothing"/>
      <w:lvlText w:val="%1."/>
      <w:lvlJc w:val="left"/>
      <w:pPr>
        <w:ind w:left="425" w:hanging="425"/>
      </w:pPr>
      <w:rPr>
        <w:rFonts w:hint="default"/>
      </w:rPr>
    </w:lvl>
  </w:abstractNum>
  <w:abstractNum w:abstractNumId="14">
    <w:nsid w:val="597D6FE8"/>
    <w:multiLevelType w:val="singleLevel"/>
    <w:tmpl w:val="597D6FE8"/>
    <w:lvl w:ilvl="0" w:tentative="0">
      <w:start w:val="1"/>
      <w:numFmt w:val="decimal"/>
      <w:suff w:val="nothing"/>
      <w:lvlText w:val="%1."/>
      <w:lvlJc w:val="left"/>
      <w:pPr>
        <w:ind w:left="425" w:hanging="425"/>
      </w:pPr>
      <w:rPr>
        <w:rFonts w:hint="default"/>
      </w:rPr>
    </w:lvl>
  </w:abstractNum>
  <w:abstractNum w:abstractNumId="15">
    <w:nsid w:val="609E7F4C"/>
    <w:multiLevelType w:val="singleLevel"/>
    <w:tmpl w:val="609E7F4C"/>
    <w:lvl w:ilvl="0" w:tentative="0">
      <w:start w:val="1"/>
      <w:numFmt w:val="chineseCounting"/>
      <w:suff w:val="nothing"/>
      <w:lvlText w:val="%1、"/>
      <w:lvlJc w:val="left"/>
      <w:rPr>
        <w:rFonts w:hint="eastAsia"/>
      </w:rPr>
    </w:lvl>
  </w:abstractNum>
  <w:abstractNum w:abstractNumId="16">
    <w:nsid w:val="7DDD311F"/>
    <w:multiLevelType w:val="singleLevel"/>
    <w:tmpl w:val="7DDD311F"/>
    <w:lvl w:ilvl="0" w:tentative="0">
      <w:start w:val="1"/>
      <w:numFmt w:val="decimal"/>
      <w:suff w:val="nothing"/>
      <w:lvlText w:val="%1."/>
      <w:lvlJc w:val="left"/>
      <w:pPr>
        <w:ind w:left="425" w:hanging="425"/>
      </w:pPr>
      <w:rPr>
        <w:rFonts w:hint="default"/>
      </w:rPr>
    </w:lvl>
  </w:abstractNum>
  <w:num w:numId="1">
    <w:abstractNumId w:val="6"/>
  </w:num>
  <w:num w:numId="2">
    <w:abstractNumId w:val="12"/>
  </w:num>
  <w:num w:numId="3">
    <w:abstractNumId w:val="8"/>
  </w:num>
  <w:num w:numId="4">
    <w:abstractNumId w:val="11"/>
  </w:num>
  <w:num w:numId="5">
    <w:abstractNumId w:val="5"/>
  </w:num>
  <w:num w:numId="6">
    <w:abstractNumId w:val="9"/>
  </w:num>
  <w:num w:numId="7">
    <w:abstractNumId w:val="1"/>
  </w:num>
  <w:num w:numId="8">
    <w:abstractNumId w:val="14"/>
  </w:num>
  <w:num w:numId="9">
    <w:abstractNumId w:val="0"/>
  </w:num>
  <w:num w:numId="10">
    <w:abstractNumId w:val="4"/>
  </w:num>
  <w:num w:numId="11">
    <w:abstractNumId w:val="10"/>
  </w:num>
  <w:num w:numId="12">
    <w:abstractNumId w:val="7"/>
  </w:num>
  <w:num w:numId="13">
    <w:abstractNumId w:val="16"/>
  </w:num>
  <w:num w:numId="14">
    <w:abstractNumId w:val="13"/>
  </w:num>
  <w:num w:numId="15">
    <w:abstractNumId w:val="3"/>
  </w:num>
  <w:num w:numId="16">
    <w:abstractNumId w:val="15"/>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doNotDisplayPageBoundaries w:val="1"/>
  <w:embedSystemFonts/>
  <w:bordersDoNotSurroundHeader w:val="0"/>
  <w:bordersDoNotSurroundFooter w:val="0"/>
  <w:documentProtection w:formatting="1"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E3NDZhNTQ2ZGJkNmVlYzZmODNhMjM0YTVkMWUzZTEifQ=="/>
  </w:docVars>
  <w:rsids>
    <w:rsidRoot w:val="24032D0A"/>
    <w:rsid w:val="0000332F"/>
    <w:rsid w:val="000233BB"/>
    <w:rsid w:val="00034EBD"/>
    <w:rsid w:val="00036F51"/>
    <w:rsid w:val="00044349"/>
    <w:rsid w:val="0007721E"/>
    <w:rsid w:val="00085502"/>
    <w:rsid w:val="00093ABB"/>
    <w:rsid w:val="000A13F6"/>
    <w:rsid w:val="000A3643"/>
    <w:rsid w:val="000C1456"/>
    <w:rsid w:val="000D0467"/>
    <w:rsid w:val="000D6E35"/>
    <w:rsid w:val="000E67D1"/>
    <w:rsid w:val="000F1DE8"/>
    <w:rsid w:val="000F1DED"/>
    <w:rsid w:val="000F2445"/>
    <w:rsid w:val="0012104F"/>
    <w:rsid w:val="00125A7D"/>
    <w:rsid w:val="001422D1"/>
    <w:rsid w:val="00142DB8"/>
    <w:rsid w:val="00160425"/>
    <w:rsid w:val="00161C36"/>
    <w:rsid w:val="00164844"/>
    <w:rsid w:val="001728E2"/>
    <w:rsid w:val="00174E73"/>
    <w:rsid w:val="0019395F"/>
    <w:rsid w:val="001958C4"/>
    <w:rsid w:val="001A3461"/>
    <w:rsid w:val="001A5556"/>
    <w:rsid w:val="001B2435"/>
    <w:rsid w:val="001B4E55"/>
    <w:rsid w:val="001D1BED"/>
    <w:rsid w:val="001D4C05"/>
    <w:rsid w:val="001E3E48"/>
    <w:rsid w:val="001E714D"/>
    <w:rsid w:val="001F1FDB"/>
    <w:rsid w:val="001F490A"/>
    <w:rsid w:val="001F7C4B"/>
    <w:rsid w:val="002034E6"/>
    <w:rsid w:val="00221501"/>
    <w:rsid w:val="00223C54"/>
    <w:rsid w:val="002511B2"/>
    <w:rsid w:val="0025684B"/>
    <w:rsid w:val="002645C4"/>
    <w:rsid w:val="00270A28"/>
    <w:rsid w:val="00325DBD"/>
    <w:rsid w:val="00327443"/>
    <w:rsid w:val="0034151B"/>
    <w:rsid w:val="00356A10"/>
    <w:rsid w:val="00360675"/>
    <w:rsid w:val="003743BA"/>
    <w:rsid w:val="00376E4D"/>
    <w:rsid w:val="003A305A"/>
    <w:rsid w:val="003A7121"/>
    <w:rsid w:val="003A78CC"/>
    <w:rsid w:val="003E792A"/>
    <w:rsid w:val="003F7F0B"/>
    <w:rsid w:val="00406BB8"/>
    <w:rsid w:val="00420871"/>
    <w:rsid w:val="004251BE"/>
    <w:rsid w:val="00431D9C"/>
    <w:rsid w:val="00442ECC"/>
    <w:rsid w:val="00453FA9"/>
    <w:rsid w:val="00467970"/>
    <w:rsid w:val="004741AA"/>
    <w:rsid w:val="004924C6"/>
    <w:rsid w:val="004A4769"/>
    <w:rsid w:val="004A62DD"/>
    <w:rsid w:val="004E4FAA"/>
    <w:rsid w:val="004F71F4"/>
    <w:rsid w:val="00500872"/>
    <w:rsid w:val="005026EC"/>
    <w:rsid w:val="00505574"/>
    <w:rsid w:val="0053407C"/>
    <w:rsid w:val="005419BC"/>
    <w:rsid w:val="00547F14"/>
    <w:rsid w:val="005602BA"/>
    <w:rsid w:val="0056253F"/>
    <w:rsid w:val="0057136B"/>
    <w:rsid w:val="00571845"/>
    <w:rsid w:val="00574BDA"/>
    <w:rsid w:val="0059290F"/>
    <w:rsid w:val="005A3B6A"/>
    <w:rsid w:val="005B3BE3"/>
    <w:rsid w:val="005B3BF4"/>
    <w:rsid w:val="005B661A"/>
    <w:rsid w:val="005C360F"/>
    <w:rsid w:val="005C7C33"/>
    <w:rsid w:val="005D0560"/>
    <w:rsid w:val="005D2944"/>
    <w:rsid w:val="005D4744"/>
    <w:rsid w:val="005D71C1"/>
    <w:rsid w:val="005E3C72"/>
    <w:rsid w:val="005E5AB5"/>
    <w:rsid w:val="005F55DD"/>
    <w:rsid w:val="005F6719"/>
    <w:rsid w:val="005F697B"/>
    <w:rsid w:val="00607A4F"/>
    <w:rsid w:val="006174A9"/>
    <w:rsid w:val="006202BD"/>
    <w:rsid w:val="006274A4"/>
    <w:rsid w:val="006307DD"/>
    <w:rsid w:val="00647CBA"/>
    <w:rsid w:val="00663E62"/>
    <w:rsid w:val="00670979"/>
    <w:rsid w:val="00671A28"/>
    <w:rsid w:val="00677216"/>
    <w:rsid w:val="00680996"/>
    <w:rsid w:val="006902C2"/>
    <w:rsid w:val="006D680A"/>
    <w:rsid w:val="006F51F6"/>
    <w:rsid w:val="007014C6"/>
    <w:rsid w:val="007318F5"/>
    <w:rsid w:val="007401BC"/>
    <w:rsid w:val="007421D6"/>
    <w:rsid w:val="007512EF"/>
    <w:rsid w:val="007528F1"/>
    <w:rsid w:val="00760DCC"/>
    <w:rsid w:val="0078662D"/>
    <w:rsid w:val="007B22DC"/>
    <w:rsid w:val="007E42BC"/>
    <w:rsid w:val="008014D5"/>
    <w:rsid w:val="00802E82"/>
    <w:rsid w:val="0080376A"/>
    <w:rsid w:val="00816AEF"/>
    <w:rsid w:val="00825458"/>
    <w:rsid w:val="00827207"/>
    <w:rsid w:val="008639B2"/>
    <w:rsid w:val="00863CAB"/>
    <w:rsid w:val="0086704E"/>
    <w:rsid w:val="00870954"/>
    <w:rsid w:val="00877961"/>
    <w:rsid w:val="00891EAD"/>
    <w:rsid w:val="008B66C1"/>
    <w:rsid w:val="008D0414"/>
    <w:rsid w:val="008D47BA"/>
    <w:rsid w:val="008E2E1D"/>
    <w:rsid w:val="009026DE"/>
    <w:rsid w:val="0092151E"/>
    <w:rsid w:val="00927F23"/>
    <w:rsid w:val="00936D32"/>
    <w:rsid w:val="009417A7"/>
    <w:rsid w:val="00950BB9"/>
    <w:rsid w:val="0095487E"/>
    <w:rsid w:val="009666E2"/>
    <w:rsid w:val="009702FC"/>
    <w:rsid w:val="00976D8B"/>
    <w:rsid w:val="00991D4A"/>
    <w:rsid w:val="009B4506"/>
    <w:rsid w:val="009C086D"/>
    <w:rsid w:val="009C7A68"/>
    <w:rsid w:val="009D4CF5"/>
    <w:rsid w:val="009D7720"/>
    <w:rsid w:val="009E7DC9"/>
    <w:rsid w:val="009F111F"/>
    <w:rsid w:val="009F3506"/>
    <w:rsid w:val="00A21489"/>
    <w:rsid w:val="00A22019"/>
    <w:rsid w:val="00A763F3"/>
    <w:rsid w:val="00A93AD9"/>
    <w:rsid w:val="00A93B95"/>
    <w:rsid w:val="00A964FD"/>
    <w:rsid w:val="00AA1970"/>
    <w:rsid w:val="00AA2381"/>
    <w:rsid w:val="00AA4DA9"/>
    <w:rsid w:val="00AA7130"/>
    <w:rsid w:val="00AB4055"/>
    <w:rsid w:val="00AC2A7E"/>
    <w:rsid w:val="00AC4A7C"/>
    <w:rsid w:val="00AC5A14"/>
    <w:rsid w:val="00AC5AF8"/>
    <w:rsid w:val="00AE1EBE"/>
    <w:rsid w:val="00AF13D6"/>
    <w:rsid w:val="00B02EB2"/>
    <w:rsid w:val="00B063BD"/>
    <w:rsid w:val="00B06F3A"/>
    <w:rsid w:val="00B07734"/>
    <w:rsid w:val="00B10D69"/>
    <w:rsid w:val="00B20C0D"/>
    <w:rsid w:val="00B36196"/>
    <w:rsid w:val="00B67146"/>
    <w:rsid w:val="00B7514A"/>
    <w:rsid w:val="00B9600E"/>
    <w:rsid w:val="00B9607D"/>
    <w:rsid w:val="00B977BD"/>
    <w:rsid w:val="00BA123F"/>
    <w:rsid w:val="00BB4346"/>
    <w:rsid w:val="00BB67CE"/>
    <w:rsid w:val="00BB690E"/>
    <w:rsid w:val="00BC04FA"/>
    <w:rsid w:val="00BC3B2E"/>
    <w:rsid w:val="00BC728F"/>
    <w:rsid w:val="00BE1545"/>
    <w:rsid w:val="00BF00A3"/>
    <w:rsid w:val="00BF277C"/>
    <w:rsid w:val="00BF41F6"/>
    <w:rsid w:val="00BF56FC"/>
    <w:rsid w:val="00C16ABD"/>
    <w:rsid w:val="00C249DC"/>
    <w:rsid w:val="00C3689B"/>
    <w:rsid w:val="00C464C7"/>
    <w:rsid w:val="00C504B3"/>
    <w:rsid w:val="00C5225E"/>
    <w:rsid w:val="00C75CFA"/>
    <w:rsid w:val="00CB7622"/>
    <w:rsid w:val="00CB7C78"/>
    <w:rsid w:val="00D148E2"/>
    <w:rsid w:val="00D15E6B"/>
    <w:rsid w:val="00D167C9"/>
    <w:rsid w:val="00D16AB5"/>
    <w:rsid w:val="00D16C71"/>
    <w:rsid w:val="00D437B8"/>
    <w:rsid w:val="00D43DEC"/>
    <w:rsid w:val="00D73FBF"/>
    <w:rsid w:val="00D80EFA"/>
    <w:rsid w:val="00D957A2"/>
    <w:rsid w:val="00D96520"/>
    <w:rsid w:val="00DA233B"/>
    <w:rsid w:val="00DA4FEC"/>
    <w:rsid w:val="00DB1BEC"/>
    <w:rsid w:val="00DB1F89"/>
    <w:rsid w:val="00DC07C6"/>
    <w:rsid w:val="00DC54CB"/>
    <w:rsid w:val="00DD1844"/>
    <w:rsid w:val="00DD4CDD"/>
    <w:rsid w:val="00DE458F"/>
    <w:rsid w:val="00DE7BEE"/>
    <w:rsid w:val="00DF358D"/>
    <w:rsid w:val="00E008D0"/>
    <w:rsid w:val="00E200CE"/>
    <w:rsid w:val="00E22D3A"/>
    <w:rsid w:val="00E30482"/>
    <w:rsid w:val="00E337A0"/>
    <w:rsid w:val="00E40FE9"/>
    <w:rsid w:val="00E43055"/>
    <w:rsid w:val="00E44812"/>
    <w:rsid w:val="00E44F98"/>
    <w:rsid w:val="00E6663C"/>
    <w:rsid w:val="00E734F8"/>
    <w:rsid w:val="00E74707"/>
    <w:rsid w:val="00E750E3"/>
    <w:rsid w:val="00E77884"/>
    <w:rsid w:val="00E85F5C"/>
    <w:rsid w:val="00E92C64"/>
    <w:rsid w:val="00EA4A41"/>
    <w:rsid w:val="00EA57F0"/>
    <w:rsid w:val="00EA5B8C"/>
    <w:rsid w:val="00EB05BE"/>
    <w:rsid w:val="00EB0879"/>
    <w:rsid w:val="00EB711B"/>
    <w:rsid w:val="00EC3BE6"/>
    <w:rsid w:val="00EC465B"/>
    <w:rsid w:val="00ED69F6"/>
    <w:rsid w:val="00EE5B1E"/>
    <w:rsid w:val="00EF7C4E"/>
    <w:rsid w:val="00F01A26"/>
    <w:rsid w:val="00F07E13"/>
    <w:rsid w:val="00F1013C"/>
    <w:rsid w:val="00F14BEA"/>
    <w:rsid w:val="00F17853"/>
    <w:rsid w:val="00F402EA"/>
    <w:rsid w:val="00F41555"/>
    <w:rsid w:val="00F55F9B"/>
    <w:rsid w:val="00F570A4"/>
    <w:rsid w:val="00F701D0"/>
    <w:rsid w:val="00F83878"/>
    <w:rsid w:val="00F91F07"/>
    <w:rsid w:val="00F966A3"/>
    <w:rsid w:val="00F96895"/>
    <w:rsid w:val="00FE1188"/>
    <w:rsid w:val="00FE2FE8"/>
    <w:rsid w:val="00FF6C94"/>
    <w:rsid w:val="01861E93"/>
    <w:rsid w:val="01BA3A36"/>
    <w:rsid w:val="02013265"/>
    <w:rsid w:val="024318C6"/>
    <w:rsid w:val="028F73B4"/>
    <w:rsid w:val="02F16171"/>
    <w:rsid w:val="02F653C0"/>
    <w:rsid w:val="03942A31"/>
    <w:rsid w:val="03B03A5D"/>
    <w:rsid w:val="03EB3182"/>
    <w:rsid w:val="03FC219E"/>
    <w:rsid w:val="048A5132"/>
    <w:rsid w:val="049E6889"/>
    <w:rsid w:val="04DF354A"/>
    <w:rsid w:val="04F06953"/>
    <w:rsid w:val="053D7821"/>
    <w:rsid w:val="054C00FE"/>
    <w:rsid w:val="055F4E32"/>
    <w:rsid w:val="05827903"/>
    <w:rsid w:val="05AA653C"/>
    <w:rsid w:val="05CE4593"/>
    <w:rsid w:val="05F015A1"/>
    <w:rsid w:val="05F05B42"/>
    <w:rsid w:val="064553FB"/>
    <w:rsid w:val="066311D7"/>
    <w:rsid w:val="06CA778F"/>
    <w:rsid w:val="06DD0C66"/>
    <w:rsid w:val="075C3BDF"/>
    <w:rsid w:val="078B57F1"/>
    <w:rsid w:val="088C56A0"/>
    <w:rsid w:val="08C827CE"/>
    <w:rsid w:val="08CF13F8"/>
    <w:rsid w:val="08E844B1"/>
    <w:rsid w:val="0A10721C"/>
    <w:rsid w:val="0A211161"/>
    <w:rsid w:val="0AB12EDD"/>
    <w:rsid w:val="0AF4199C"/>
    <w:rsid w:val="0B4F4CE7"/>
    <w:rsid w:val="0BAD7769"/>
    <w:rsid w:val="0BE61275"/>
    <w:rsid w:val="0BF76221"/>
    <w:rsid w:val="0C06437B"/>
    <w:rsid w:val="0C3B38C0"/>
    <w:rsid w:val="0C3B50B0"/>
    <w:rsid w:val="0C4F03FE"/>
    <w:rsid w:val="0C81159B"/>
    <w:rsid w:val="0CB9641A"/>
    <w:rsid w:val="0D26294C"/>
    <w:rsid w:val="0D416CF5"/>
    <w:rsid w:val="0DBC4696"/>
    <w:rsid w:val="0E4A6074"/>
    <w:rsid w:val="0EDE4BF3"/>
    <w:rsid w:val="0EFC3F5B"/>
    <w:rsid w:val="0F5F2F45"/>
    <w:rsid w:val="0F877B27"/>
    <w:rsid w:val="0FD644A4"/>
    <w:rsid w:val="0FF20019"/>
    <w:rsid w:val="10183317"/>
    <w:rsid w:val="10906A4E"/>
    <w:rsid w:val="10B65A59"/>
    <w:rsid w:val="10BE3E41"/>
    <w:rsid w:val="118F04BE"/>
    <w:rsid w:val="1196605D"/>
    <w:rsid w:val="12005719"/>
    <w:rsid w:val="12BB6ECB"/>
    <w:rsid w:val="12D6271E"/>
    <w:rsid w:val="12F65DA8"/>
    <w:rsid w:val="13455E2B"/>
    <w:rsid w:val="13F6294C"/>
    <w:rsid w:val="14242698"/>
    <w:rsid w:val="147601EF"/>
    <w:rsid w:val="14842C9E"/>
    <w:rsid w:val="14923223"/>
    <w:rsid w:val="14AA415C"/>
    <w:rsid w:val="14F72895"/>
    <w:rsid w:val="15481A46"/>
    <w:rsid w:val="15557E90"/>
    <w:rsid w:val="15941719"/>
    <w:rsid w:val="15F34710"/>
    <w:rsid w:val="16916FAF"/>
    <w:rsid w:val="170960D2"/>
    <w:rsid w:val="17553ECB"/>
    <w:rsid w:val="175D0776"/>
    <w:rsid w:val="17614263"/>
    <w:rsid w:val="17690EDB"/>
    <w:rsid w:val="17DA45B1"/>
    <w:rsid w:val="180136FB"/>
    <w:rsid w:val="186C1987"/>
    <w:rsid w:val="193C7904"/>
    <w:rsid w:val="19670B00"/>
    <w:rsid w:val="199926F8"/>
    <w:rsid w:val="19E30669"/>
    <w:rsid w:val="19F03C33"/>
    <w:rsid w:val="19FE606A"/>
    <w:rsid w:val="1A3D6CD4"/>
    <w:rsid w:val="1A7B21CA"/>
    <w:rsid w:val="1AB87270"/>
    <w:rsid w:val="1AC67053"/>
    <w:rsid w:val="1B782210"/>
    <w:rsid w:val="1BF00939"/>
    <w:rsid w:val="1C0C4F3D"/>
    <w:rsid w:val="1C4842C2"/>
    <w:rsid w:val="1C6D5DA3"/>
    <w:rsid w:val="1C822ABE"/>
    <w:rsid w:val="1C9F3B98"/>
    <w:rsid w:val="1CDB6B83"/>
    <w:rsid w:val="1CF372F0"/>
    <w:rsid w:val="1D50500B"/>
    <w:rsid w:val="1D7B3EEC"/>
    <w:rsid w:val="1DE47270"/>
    <w:rsid w:val="1DE66AC7"/>
    <w:rsid w:val="1E052F65"/>
    <w:rsid w:val="1E121251"/>
    <w:rsid w:val="1E3A22DE"/>
    <w:rsid w:val="1E7D606D"/>
    <w:rsid w:val="1E876415"/>
    <w:rsid w:val="1E963F3F"/>
    <w:rsid w:val="1FDA1526"/>
    <w:rsid w:val="200023D8"/>
    <w:rsid w:val="202A334F"/>
    <w:rsid w:val="207252ED"/>
    <w:rsid w:val="20980228"/>
    <w:rsid w:val="20F559AF"/>
    <w:rsid w:val="2143540B"/>
    <w:rsid w:val="214C5406"/>
    <w:rsid w:val="22077824"/>
    <w:rsid w:val="22080508"/>
    <w:rsid w:val="222C7407"/>
    <w:rsid w:val="226272B7"/>
    <w:rsid w:val="2288155B"/>
    <w:rsid w:val="229B1435"/>
    <w:rsid w:val="22B80288"/>
    <w:rsid w:val="22F547F1"/>
    <w:rsid w:val="22FB61DA"/>
    <w:rsid w:val="2340068A"/>
    <w:rsid w:val="23463876"/>
    <w:rsid w:val="238002CA"/>
    <w:rsid w:val="23FB7E49"/>
    <w:rsid w:val="24032D0A"/>
    <w:rsid w:val="241A0374"/>
    <w:rsid w:val="24352795"/>
    <w:rsid w:val="243F4630"/>
    <w:rsid w:val="244B0A92"/>
    <w:rsid w:val="24D1012B"/>
    <w:rsid w:val="25EE0CC4"/>
    <w:rsid w:val="26040ADB"/>
    <w:rsid w:val="264866A1"/>
    <w:rsid w:val="26CE6FD8"/>
    <w:rsid w:val="26E8081A"/>
    <w:rsid w:val="27912FD1"/>
    <w:rsid w:val="27AC586D"/>
    <w:rsid w:val="28043432"/>
    <w:rsid w:val="28402188"/>
    <w:rsid w:val="28891463"/>
    <w:rsid w:val="28D3353C"/>
    <w:rsid w:val="28F40D89"/>
    <w:rsid w:val="28FC235B"/>
    <w:rsid w:val="298A3181"/>
    <w:rsid w:val="29BD6C01"/>
    <w:rsid w:val="2A125D64"/>
    <w:rsid w:val="2A303947"/>
    <w:rsid w:val="2AA54517"/>
    <w:rsid w:val="2ABA654C"/>
    <w:rsid w:val="2AEA2DB3"/>
    <w:rsid w:val="2BD24E4C"/>
    <w:rsid w:val="2BE735BA"/>
    <w:rsid w:val="2D015C65"/>
    <w:rsid w:val="2D43300C"/>
    <w:rsid w:val="2D8B7F03"/>
    <w:rsid w:val="2E1B7727"/>
    <w:rsid w:val="2F365ACD"/>
    <w:rsid w:val="2F64240A"/>
    <w:rsid w:val="2FC97A91"/>
    <w:rsid w:val="2FFE6487"/>
    <w:rsid w:val="302D5EBC"/>
    <w:rsid w:val="304C7E87"/>
    <w:rsid w:val="30D43332"/>
    <w:rsid w:val="31957921"/>
    <w:rsid w:val="319D4C62"/>
    <w:rsid w:val="31E416BD"/>
    <w:rsid w:val="33412A7E"/>
    <w:rsid w:val="3392223A"/>
    <w:rsid w:val="3396611A"/>
    <w:rsid w:val="340416A4"/>
    <w:rsid w:val="344F0BC8"/>
    <w:rsid w:val="34644950"/>
    <w:rsid w:val="34694F8B"/>
    <w:rsid w:val="34964036"/>
    <w:rsid w:val="34A75BEB"/>
    <w:rsid w:val="34B17944"/>
    <w:rsid w:val="34B17BF4"/>
    <w:rsid w:val="34DA7D41"/>
    <w:rsid w:val="34F65C5C"/>
    <w:rsid w:val="351A24E7"/>
    <w:rsid w:val="353F39B2"/>
    <w:rsid w:val="35527FB6"/>
    <w:rsid w:val="357E49E9"/>
    <w:rsid w:val="35915FFD"/>
    <w:rsid w:val="36BE4772"/>
    <w:rsid w:val="36CA1CEB"/>
    <w:rsid w:val="370A4004"/>
    <w:rsid w:val="370B1DD4"/>
    <w:rsid w:val="372E5474"/>
    <w:rsid w:val="376C51BA"/>
    <w:rsid w:val="377A101B"/>
    <w:rsid w:val="37D5272F"/>
    <w:rsid w:val="37DD1CD7"/>
    <w:rsid w:val="38363B37"/>
    <w:rsid w:val="39000690"/>
    <w:rsid w:val="3A947A42"/>
    <w:rsid w:val="3BD03127"/>
    <w:rsid w:val="3C10763E"/>
    <w:rsid w:val="3C5462DE"/>
    <w:rsid w:val="3C6A5032"/>
    <w:rsid w:val="3CB7686D"/>
    <w:rsid w:val="3CCF11D3"/>
    <w:rsid w:val="3CEE563E"/>
    <w:rsid w:val="3D047912"/>
    <w:rsid w:val="3D1D0000"/>
    <w:rsid w:val="3DB87E83"/>
    <w:rsid w:val="3E0C3B7F"/>
    <w:rsid w:val="3E8135D7"/>
    <w:rsid w:val="3E980614"/>
    <w:rsid w:val="3ED10792"/>
    <w:rsid w:val="3ED62FA7"/>
    <w:rsid w:val="3F4A39A1"/>
    <w:rsid w:val="3FAA5D57"/>
    <w:rsid w:val="40433F73"/>
    <w:rsid w:val="40692B30"/>
    <w:rsid w:val="40E730BB"/>
    <w:rsid w:val="420C2E18"/>
    <w:rsid w:val="422E43E1"/>
    <w:rsid w:val="42B338A3"/>
    <w:rsid w:val="43507DFC"/>
    <w:rsid w:val="43515C55"/>
    <w:rsid w:val="43876E87"/>
    <w:rsid w:val="438F1C52"/>
    <w:rsid w:val="43DD6E18"/>
    <w:rsid w:val="444B39ED"/>
    <w:rsid w:val="446F37C2"/>
    <w:rsid w:val="44A66FEB"/>
    <w:rsid w:val="44D1512F"/>
    <w:rsid w:val="44E16B7D"/>
    <w:rsid w:val="450779F7"/>
    <w:rsid w:val="45872F9D"/>
    <w:rsid w:val="46190D51"/>
    <w:rsid w:val="469F0A9E"/>
    <w:rsid w:val="46D34E42"/>
    <w:rsid w:val="477E4630"/>
    <w:rsid w:val="47A214C1"/>
    <w:rsid w:val="47BF0174"/>
    <w:rsid w:val="47CD33BA"/>
    <w:rsid w:val="484F6835"/>
    <w:rsid w:val="48DB748B"/>
    <w:rsid w:val="491A24B9"/>
    <w:rsid w:val="498E5ADB"/>
    <w:rsid w:val="49C10D2B"/>
    <w:rsid w:val="4AA04691"/>
    <w:rsid w:val="4B200993"/>
    <w:rsid w:val="4B596BF7"/>
    <w:rsid w:val="4B926818"/>
    <w:rsid w:val="4B99285A"/>
    <w:rsid w:val="4BA51645"/>
    <w:rsid w:val="4BBB5C7B"/>
    <w:rsid w:val="4BD03260"/>
    <w:rsid w:val="4C0B6C71"/>
    <w:rsid w:val="4C332752"/>
    <w:rsid w:val="4CD23636"/>
    <w:rsid w:val="4D9D16E6"/>
    <w:rsid w:val="4DA50B32"/>
    <w:rsid w:val="4DAD2F06"/>
    <w:rsid w:val="4E466B9A"/>
    <w:rsid w:val="4E925922"/>
    <w:rsid w:val="4EA20B33"/>
    <w:rsid w:val="4EC15DD0"/>
    <w:rsid w:val="4ED43F25"/>
    <w:rsid w:val="4F04742A"/>
    <w:rsid w:val="4F181A87"/>
    <w:rsid w:val="4F1A0BD8"/>
    <w:rsid w:val="4F6E54B1"/>
    <w:rsid w:val="4FB31116"/>
    <w:rsid w:val="4FD41DB7"/>
    <w:rsid w:val="50134021"/>
    <w:rsid w:val="50352AF7"/>
    <w:rsid w:val="50616A4D"/>
    <w:rsid w:val="508135FC"/>
    <w:rsid w:val="50D021CD"/>
    <w:rsid w:val="517B60BE"/>
    <w:rsid w:val="51A263D9"/>
    <w:rsid w:val="52143796"/>
    <w:rsid w:val="52FA2D2E"/>
    <w:rsid w:val="533018E2"/>
    <w:rsid w:val="53690469"/>
    <w:rsid w:val="536A2433"/>
    <w:rsid w:val="549E0B9F"/>
    <w:rsid w:val="54E76C17"/>
    <w:rsid w:val="55355B2F"/>
    <w:rsid w:val="55757F13"/>
    <w:rsid w:val="565143D1"/>
    <w:rsid w:val="56535401"/>
    <w:rsid w:val="56AB02E7"/>
    <w:rsid w:val="570201B0"/>
    <w:rsid w:val="577302FF"/>
    <w:rsid w:val="57CB19F5"/>
    <w:rsid w:val="57E049E1"/>
    <w:rsid w:val="580D1D7C"/>
    <w:rsid w:val="586F6CE4"/>
    <w:rsid w:val="58AF57B2"/>
    <w:rsid w:val="58D62BD1"/>
    <w:rsid w:val="58F51019"/>
    <w:rsid w:val="594B2F66"/>
    <w:rsid w:val="598575C7"/>
    <w:rsid w:val="5A540F90"/>
    <w:rsid w:val="5A5C6604"/>
    <w:rsid w:val="5B256BA9"/>
    <w:rsid w:val="5BEA2953"/>
    <w:rsid w:val="5C4A02E6"/>
    <w:rsid w:val="5C5020E9"/>
    <w:rsid w:val="5D027575"/>
    <w:rsid w:val="5D1B3EE3"/>
    <w:rsid w:val="5D46544A"/>
    <w:rsid w:val="5DD51CEA"/>
    <w:rsid w:val="5E06107E"/>
    <w:rsid w:val="5EA74B9E"/>
    <w:rsid w:val="5EB90A92"/>
    <w:rsid w:val="5EE1214E"/>
    <w:rsid w:val="5F7E6ACF"/>
    <w:rsid w:val="5F9A5AC1"/>
    <w:rsid w:val="5FBA1E22"/>
    <w:rsid w:val="5FCA7320"/>
    <w:rsid w:val="5FE65E21"/>
    <w:rsid w:val="60497177"/>
    <w:rsid w:val="607F737A"/>
    <w:rsid w:val="613B210B"/>
    <w:rsid w:val="61684140"/>
    <w:rsid w:val="616C18A9"/>
    <w:rsid w:val="621576B3"/>
    <w:rsid w:val="62800770"/>
    <w:rsid w:val="6301380B"/>
    <w:rsid w:val="632265C6"/>
    <w:rsid w:val="637916A6"/>
    <w:rsid w:val="63992448"/>
    <w:rsid w:val="63FB3A0F"/>
    <w:rsid w:val="64155AA4"/>
    <w:rsid w:val="64487DB9"/>
    <w:rsid w:val="649B02DF"/>
    <w:rsid w:val="64E128A3"/>
    <w:rsid w:val="6501087A"/>
    <w:rsid w:val="650876B0"/>
    <w:rsid w:val="653D4140"/>
    <w:rsid w:val="658D47EA"/>
    <w:rsid w:val="69F04541"/>
    <w:rsid w:val="6A8035EA"/>
    <w:rsid w:val="6A8470FE"/>
    <w:rsid w:val="6A8A3E8F"/>
    <w:rsid w:val="6A8C484F"/>
    <w:rsid w:val="6AB2641F"/>
    <w:rsid w:val="6AE05853"/>
    <w:rsid w:val="6AEF2842"/>
    <w:rsid w:val="6B0B551E"/>
    <w:rsid w:val="6B361121"/>
    <w:rsid w:val="6B9655A4"/>
    <w:rsid w:val="6C404D04"/>
    <w:rsid w:val="6C4207DD"/>
    <w:rsid w:val="6C5E46C0"/>
    <w:rsid w:val="6C930A4B"/>
    <w:rsid w:val="6D0A32E6"/>
    <w:rsid w:val="6DEE7A91"/>
    <w:rsid w:val="6E956BF3"/>
    <w:rsid w:val="6F7B10BE"/>
    <w:rsid w:val="6F7F4534"/>
    <w:rsid w:val="6F8C7606"/>
    <w:rsid w:val="6FB42419"/>
    <w:rsid w:val="704B68CE"/>
    <w:rsid w:val="70FD0422"/>
    <w:rsid w:val="71535E5D"/>
    <w:rsid w:val="717E112C"/>
    <w:rsid w:val="72AA3697"/>
    <w:rsid w:val="731F6898"/>
    <w:rsid w:val="734341A3"/>
    <w:rsid w:val="73DC3DA6"/>
    <w:rsid w:val="73E2257F"/>
    <w:rsid w:val="747C2C1E"/>
    <w:rsid w:val="74936F28"/>
    <w:rsid w:val="74A0142F"/>
    <w:rsid w:val="74A94712"/>
    <w:rsid w:val="74BC0E47"/>
    <w:rsid w:val="74CF6D99"/>
    <w:rsid w:val="75DE4F8F"/>
    <w:rsid w:val="76614A27"/>
    <w:rsid w:val="768166B7"/>
    <w:rsid w:val="76910D5C"/>
    <w:rsid w:val="76B101C0"/>
    <w:rsid w:val="7797674F"/>
    <w:rsid w:val="77984695"/>
    <w:rsid w:val="78021373"/>
    <w:rsid w:val="78205C46"/>
    <w:rsid w:val="783A7EB4"/>
    <w:rsid w:val="788D5403"/>
    <w:rsid w:val="78E74C6A"/>
    <w:rsid w:val="7A4823BF"/>
    <w:rsid w:val="7A661452"/>
    <w:rsid w:val="7A8344C7"/>
    <w:rsid w:val="7B1F6AD6"/>
    <w:rsid w:val="7B670803"/>
    <w:rsid w:val="7B9A09D1"/>
    <w:rsid w:val="7BB25B07"/>
    <w:rsid w:val="7BD03276"/>
    <w:rsid w:val="7C381274"/>
    <w:rsid w:val="7C391152"/>
    <w:rsid w:val="7C4A31A5"/>
    <w:rsid w:val="7C701340"/>
    <w:rsid w:val="7D8B1FA7"/>
    <w:rsid w:val="7E291592"/>
    <w:rsid w:val="7E932494"/>
    <w:rsid w:val="7E953F59"/>
    <w:rsid w:val="7EBE30AC"/>
    <w:rsid w:val="7EEA21E7"/>
    <w:rsid w:val="7F3038BE"/>
    <w:rsid w:val="7F710522"/>
    <w:rsid w:val="7FAB0A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1"/>
    <w:link w:val="44"/>
    <w:autoRedefine/>
    <w:qFormat/>
    <w:uiPriority w:val="0"/>
    <w:pPr>
      <w:widowControl/>
      <w:spacing w:before="100" w:beforeAutospacing="1" w:after="100" w:afterAutospacing="1"/>
      <w:jc w:val="left"/>
      <w:outlineLvl w:val="1"/>
    </w:pPr>
    <w:rPr>
      <w:rFonts w:ascii="宋体" w:hAnsi="宋体" w:cs="宋体"/>
      <w:b/>
      <w:bCs/>
      <w:kern w:val="0"/>
      <w:sz w:val="36"/>
      <w:szCs w:val="36"/>
    </w:rPr>
  </w:style>
  <w:style w:type="paragraph" w:styleId="4">
    <w:name w:val="heading 3"/>
    <w:basedOn w:val="1"/>
    <w:next w:val="1"/>
    <w:unhideWhenUsed/>
    <w:qFormat/>
    <w:uiPriority w:val="9"/>
    <w:pPr>
      <w:keepNext/>
      <w:keepLines/>
      <w:spacing w:beforeAutospacing="1" w:afterAutospacing="1"/>
      <w:outlineLvl w:val="2"/>
    </w:pPr>
    <w:rPr>
      <w:bCs/>
      <w:sz w:val="32"/>
      <w:szCs w:val="32"/>
    </w:rPr>
  </w:style>
  <w:style w:type="paragraph" w:styleId="5">
    <w:name w:val="heading 4"/>
    <w:basedOn w:val="1"/>
    <w:next w:val="1"/>
    <w:autoRedefine/>
    <w:qFormat/>
    <w:uiPriority w:val="99"/>
    <w:pPr>
      <w:keepNext/>
      <w:keepLines/>
      <w:spacing w:before="280" w:after="290" w:line="376" w:lineRule="auto"/>
      <w:outlineLvl w:val="3"/>
    </w:pPr>
    <w:rPr>
      <w:rFonts w:ascii="Cambria" w:hAnsi="Cambria"/>
      <w:b/>
      <w:bCs/>
      <w:kern w:val="0"/>
      <w:sz w:val="28"/>
      <w:szCs w:val="28"/>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widowControl/>
      <w:ind w:firstLine="420"/>
      <w:jc w:val="left"/>
    </w:pPr>
  </w:style>
  <w:style w:type="paragraph" w:styleId="7">
    <w:name w:val="toa heading"/>
    <w:basedOn w:val="1"/>
    <w:next w:val="1"/>
    <w:autoRedefine/>
    <w:unhideWhenUsed/>
    <w:qFormat/>
    <w:uiPriority w:val="99"/>
    <w:pPr>
      <w:autoSpaceDE w:val="0"/>
      <w:autoSpaceDN w:val="0"/>
      <w:spacing w:before="120"/>
      <w:jc w:val="left"/>
    </w:pPr>
    <w:rPr>
      <w:rFonts w:ascii="Cambria" w:hAnsi="Cambria" w:eastAsia="Arial Unicode MS" w:cs="Arial Unicode MS"/>
      <w:kern w:val="0"/>
      <w:sz w:val="24"/>
      <w:lang w:val="zh-CN" w:bidi="zh-CN"/>
    </w:rPr>
  </w:style>
  <w:style w:type="paragraph" w:styleId="8">
    <w:name w:val="annotation text"/>
    <w:basedOn w:val="1"/>
    <w:link w:val="40"/>
    <w:autoRedefine/>
    <w:qFormat/>
    <w:uiPriority w:val="0"/>
    <w:pPr>
      <w:jc w:val="left"/>
    </w:pPr>
  </w:style>
  <w:style w:type="paragraph" w:styleId="9">
    <w:name w:val="Body Text"/>
    <w:basedOn w:val="1"/>
    <w:next w:val="1"/>
    <w:autoRedefine/>
    <w:unhideWhenUsed/>
    <w:qFormat/>
    <w:uiPriority w:val="0"/>
    <w:pPr>
      <w:spacing w:after="120"/>
    </w:pPr>
    <w:rPr>
      <w:kern w:val="0"/>
      <w:sz w:val="20"/>
      <w:lang w:val="zh-CN"/>
    </w:rPr>
  </w:style>
  <w:style w:type="paragraph" w:styleId="10">
    <w:name w:val="Body Text Indent"/>
    <w:basedOn w:val="1"/>
    <w:autoRedefine/>
    <w:qFormat/>
    <w:uiPriority w:val="0"/>
    <w:pPr>
      <w:widowControl/>
      <w:spacing w:before="100" w:beforeAutospacing="1" w:after="100" w:afterAutospacing="1"/>
      <w:jc w:val="left"/>
    </w:pPr>
    <w:rPr>
      <w:rFonts w:ascii="宋体" w:hAnsi="宋体" w:cs="宋体"/>
      <w:kern w:val="0"/>
      <w:sz w:val="24"/>
    </w:rPr>
  </w:style>
  <w:style w:type="paragraph" w:styleId="11">
    <w:name w:val="toc 5"/>
    <w:basedOn w:val="1"/>
    <w:next w:val="1"/>
    <w:autoRedefine/>
    <w:qFormat/>
    <w:uiPriority w:val="0"/>
    <w:pPr>
      <w:ind w:left="1680" w:leftChars="800"/>
    </w:pPr>
  </w:style>
  <w:style w:type="paragraph" w:styleId="12">
    <w:name w:val="toc 3"/>
    <w:basedOn w:val="1"/>
    <w:next w:val="1"/>
    <w:autoRedefine/>
    <w:qFormat/>
    <w:uiPriority w:val="0"/>
    <w:pPr>
      <w:ind w:left="840" w:leftChars="400"/>
    </w:pPr>
  </w:style>
  <w:style w:type="paragraph" w:styleId="13">
    <w:name w:val="Plain Text"/>
    <w:basedOn w:val="1"/>
    <w:autoRedefine/>
    <w:qFormat/>
    <w:uiPriority w:val="0"/>
    <w:pPr>
      <w:spacing w:line="460" w:lineRule="exact"/>
      <w:ind w:firstLine="567"/>
    </w:pPr>
    <w:rPr>
      <w:rFonts w:ascii="宋体" w:hAnsi="Courier New" w:eastAsia="仿宋_GB2312"/>
      <w:sz w:val="28"/>
      <w:szCs w:val="20"/>
    </w:rPr>
  </w:style>
  <w:style w:type="paragraph" w:styleId="14">
    <w:name w:val="Body Text Indent 2"/>
    <w:basedOn w:val="1"/>
    <w:qFormat/>
    <w:uiPriority w:val="0"/>
    <w:pPr>
      <w:spacing w:line="360" w:lineRule="auto"/>
      <w:ind w:left="1078" w:hanging="1078" w:hangingChars="385"/>
    </w:pPr>
    <w:rPr>
      <w:rFonts w:eastAsia="楷体-10Point"/>
      <w:sz w:val="28"/>
    </w:rPr>
  </w:style>
  <w:style w:type="paragraph" w:styleId="15">
    <w:name w:val="Balloon Text"/>
    <w:basedOn w:val="1"/>
    <w:link w:val="39"/>
    <w:autoRedefine/>
    <w:qFormat/>
    <w:uiPriority w:val="0"/>
    <w:rPr>
      <w:sz w:val="18"/>
      <w:szCs w:val="18"/>
    </w:rPr>
  </w:style>
  <w:style w:type="paragraph" w:styleId="16">
    <w:name w:val="footer"/>
    <w:basedOn w:val="1"/>
    <w:autoRedefine/>
    <w:qFormat/>
    <w:uiPriority w:val="0"/>
    <w:pPr>
      <w:tabs>
        <w:tab w:val="center" w:pos="4153"/>
        <w:tab w:val="right" w:pos="8306"/>
      </w:tabs>
      <w:snapToGrid w:val="0"/>
      <w:jc w:val="left"/>
    </w:pPr>
    <w:rPr>
      <w:sz w:val="18"/>
      <w:szCs w:val="18"/>
    </w:rPr>
  </w:style>
  <w:style w:type="paragraph" w:styleId="1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autoRedefine/>
    <w:qFormat/>
    <w:uiPriority w:val="0"/>
  </w:style>
  <w:style w:type="paragraph" w:styleId="19">
    <w:name w:val="toc 6"/>
    <w:basedOn w:val="1"/>
    <w:next w:val="1"/>
    <w:qFormat/>
    <w:uiPriority w:val="0"/>
    <w:pPr>
      <w:ind w:left="2100"/>
    </w:pPr>
  </w:style>
  <w:style w:type="paragraph" w:styleId="20">
    <w:name w:val="Body Text Indent 3"/>
    <w:basedOn w:val="1"/>
    <w:autoRedefine/>
    <w:qFormat/>
    <w:uiPriority w:val="0"/>
    <w:pPr>
      <w:spacing w:line="360" w:lineRule="auto"/>
      <w:ind w:left="540" w:hanging="540" w:hangingChars="225"/>
    </w:pPr>
    <w:rPr>
      <w:sz w:val="24"/>
    </w:rPr>
  </w:style>
  <w:style w:type="paragraph" w:styleId="21">
    <w:name w:val="toc 2"/>
    <w:basedOn w:val="1"/>
    <w:next w:val="1"/>
    <w:autoRedefine/>
    <w:qFormat/>
    <w:uiPriority w:val="0"/>
    <w:pPr>
      <w:ind w:left="420" w:leftChars="200"/>
    </w:pPr>
  </w:style>
  <w:style w:type="paragraph" w:styleId="2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3">
    <w:name w:val="Normal (Web)"/>
    <w:basedOn w:val="1"/>
    <w:autoRedefine/>
    <w:qFormat/>
    <w:uiPriority w:val="0"/>
    <w:pPr>
      <w:widowControl/>
      <w:spacing w:before="100" w:beforeAutospacing="1" w:after="100" w:afterAutospacing="1"/>
      <w:jc w:val="left"/>
    </w:pPr>
    <w:rPr>
      <w:kern w:val="0"/>
      <w:sz w:val="24"/>
    </w:rPr>
  </w:style>
  <w:style w:type="paragraph" w:styleId="24">
    <w:name w:val="annotation subject"/>
    <w:basedOn w:val="8"/>
    <w:next w:val="8"/>
    <w:link w:val="41"/>
    <w:autoRedefine/>
    <w:qFormat/>
    <w:uiPriority w:val="0"/>
    <w:rPr>
      <w:b/>
      <w:bCs/>
    </w:rPr>
  </w:style>
  <w:style w:type="paragraph" w:styleId="25">
    <w:name w:val="Body Text First Indent 2"/>
    <w:basedOn w:val="10"/>
    <w:autoRedefine/>
    <w:qFormat/>
    <w:uiPriority w:val="99"/>
    <w:pPr>
      <w:ind w:firstLine="200"/>
    </w:pPr>
    <w:rPr>
      <w:spacing w:val="4"/>
      <w:szCs w:val="28"/>
    </w:rPr>
  </w:style>
  <w:style w:type="table" w:styleId="27">
    <w:name w:val="Table Grid"/>
    <w:basedOn w:val="26"/>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29">
    <w:name w:val="page number"/>
    <w:basedOn w:val="28"/>
    <w:autoRedefine/>
    <w:qFormat/>
    <w:uiPriority w:val="0"/>
  </w:style>
  <w:style w:type="character" w:styleId="30">
    <w:name w:val="Hyperlink"/>
    <w:basedOn w:val="28"/>
    <w:qFormat/>
    <w:uiPriority w:val="0"/>
    <w:rPr>
      <w:color w:val="0000FF"/>
      <w:u w:val="single"/>
    </w:rPr>
  </w:style>
  <w:style w:type="character" w:styleId="31">
    <w:name w:val="annotation reference"/>
    <w:basedOn w:val="28"/>
    <w:autoRedefine/>
    <w:qFormat/>
    <w:uiPriority w:val="0"/>
    <w:rPr>
      <w:sz w:val="21"/>
      <w:szCs w:val="21"/>
    </w:rPr>
  </w:style>
  <w:style w:type="paragraph" w:customStyle="1" w:styleId="32">
    <w:name w:val="WPSOffice手动目录 1"/>
    <w:autoRedefine/>
    <w:qFormat/>
    <w:uiPriority w:val="0"/>
    <w:rPr>
      <w:rFonts w:ascii="Times New Roman" w:hAnsi="Times New Roman" w:eastAsia="宋体" w:cs="Times New Roman"/>
      <w:lang w:val="en-US" w:eastAsia="zh-CN" w:bidi="ar-SA"/>
    </w:rPr>
  </w:style>
  <w:style w:type="paragraph" w:styleId="33">
    <w:name w:val="List Paragraph"/>
    <w:basedOn w:val="1"/>
    <w:autoRedefine/>
    <w:qFormat/>
    <w:uiPriority w:val="99"/>
    <w:pPr>
      <w:widowControl/>
      <w:ind w:firstLine="420" w:firstLineChars="200"/>
    </w:pPr>
    <w:rPr>
      <w:rFonts w:ascii="Calibri" w:hAnsi="Calibri" w:cs="Calibri"/>
      <w:kern w:val="0"/>
      <w:szCs w:val="21"/>
    </w:rPr>
  </w:style>
  <w:style w:type="character" w:customStyle="1" w:styleId="34">
    <w:name w:val="font21"/>
    <w:basedOn w:val="28"/>
    <w:autoRedefine/>
    <w:qFormat/>
    <w:uiPriority w:val="0"/>
    <w:rPr>
      <w:rFonts w:hint="eastAsia" w:ascii="宋体" w:hAnsi="宋体" w:eastAsia="宋体" w:cs="宋体"/>
      <w:color w:val="000000"/>
      <w:sz w:val="21"/>
      <w:szCs w:val="21"/>
      <w:u w:val="none"/>
    </w:rPr>
  </w:style>
  <w:style w:type="character" w:customStyle="1" w:styleId="35">
    <w:name w:val="font31"/>
    <w:basedOn w:val="28"/>
    <w:autoRedefine/>
    <w:qFormat/>
    <w:uiPriority w:val="0"/>
    <w:rPr>
      <w:rFonts w:hint="eastAsia" w:ascii="宋体" w:hAnsi="宋体" w:eastAsia="宋体" w:cs="宋体"/>
      <w:color w:val="000000"/>
      <w:sz w:val="22"/>
      <w:szCs w:val="22"/>
      <w:u w:val="none"/>
    </w:rPr>
  </w:style>
  <w:style w:type="character" w:customStyle="1" w:styleId="36">
    <w:name w:val="font01"/>
    <w:basedOn w:val="28"/>
    <w:autoRedefine/>
    <w:qFormat/>
    <w:uiPriority w:val="0"/>
    <w:rPr>
      <w:rFonts w:hint="eastAsia" w:ascii="宋体" w:hAnsi="宋体" w:eastAsia="宋体" w:cs="宋体"/>
      <w:color w:val="FF0000"/>
      <w:sz w:val="22"/>
      <w:szCs w:val="22"/>
      <w:u w:val="none"/>
    </w:rPr>
  </w:style>
  <w:style w:type="character" w:customStyle="1" w:styleId="37">
    <w:name w:val="font41"/>
    <w:basedOn w:val="28"/>
    <w:autoRedefine/>
    <w:qFormat/>
    <w:uiPriority w:val="0"/>
    <w:rPr>
      <w:rFonts w:hint="eastAsia" w:ascii="宋体" w:hAnsi="宋体" w:eastAsia="宋体" w:cs="宋体"/>
      <w:color w:val="000000"/>
      <w:sz w:val="22"/>
      <w:szCs w:val="22"/>
      <w:u w:val="none"/>
    </w:rPr>
  </w:style>
  <w:style w:type="character" w:customStyle="1" w:styleId="38">
    <w:name w:val="font11"/>
    <w:basedOn w:val="28"/>
    <w:autoRedefine/>
    <w:qFormat/>
    <w:uiPriority w:val="0"/>
    <w:rPr>
      <w:rFonts w:hint="eastAsia" w:ascii="宋体" w:hAnsi="宋体" w:eastAsia="宋体" w:cs="宋体"/>
      <w:color w:val="000000"/>
      <w:sz w:val="22"/>
      <w:szCs w:val="22"/>
      <w:u w:val="single"/>
    </w:rPr>
  </w:style>
  <w:style w:type="character" w:customStyle="1" w:styleId="39">
    <w:name w:val="批注框文本 字符"/>
    <w:basedOn w:val="28"/>
    <w:link w:val="15"/>
    <w:autoRedefine/>
    <w:qFormat/>
    <w:uiPriority w:val="0"/>
    <w:rPr>
      <w:kern w:val="2"/>
      <w:sz w:val="18"/>
      <w:szCs w:val="18"/>
    </w:rPr>
  </w:style>
  <w:style w:type="character" w:customStyle="1" w:styleId="40">
    <w:name w:val="批注文字 字符"/>
    <w:basedOn w:val="28"/>
    <w:link w:val="8"/>
    <w:autoRedefine/>
    <w:qFormat/>
    <w:uiPriority w:val="0"/>
    <w:rPr>
      <w:kern w:val="2"/>
      <w:sz w:val="21"/>
      <w:szCs w:val="24"/>
    </w:rPr>
  </w:style>
  <w:style w:type="character" w:customStyle="1" w:styleId="41">
    <w:name w:val="批注主题 字符"/>
    <w:basedOn w:val="40"/>
    <w:link w:val="24"/>
    <w:autoRedefine/>
    <w:qFormat/>
    <w:uiPriority w:val="0"/>
    <w:rPr>
      <w:b/>
      <w:bCs/>
      <w:kern w:val="2"/>
      <w:sz w:val="21"/>
      <w:szCs w:val="24"/>
    </w:rPr>
  </w:style>
  <w:style w:type="paragraph" w:customStyle="1" w:styleId="42">
    <w:name w:val="reader-word-layer reader-word-s2-1 reader-word-s2-5"/>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43">
    <w:name w:val="reader-word-layer reader-word-s2-11"/>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44">
    <w:name w:val="标题 2 字符"/>
    <w:link w:val="3"/>
    <w:autoRedefine/>
    <w:qFormat/>
    <w:uiPriority w:val="99"/>
    <w:rPr>
      <w:rFonts w:ascii="宋体" w:hAnsi="宋体" w:cs="宋体"/>
      <w:b/>
      <w:bCs/>
      <w:kern w:val="0"/>
      <w:sz w:val="36"/>
      <w:szCs w:val="36"/>
    </w:rPr>
  </w:style>
  <w:style w:type="character" w:customStyle="1" w:styleId="45">
    <w:name w:val="15"/>
    <w:basedOn w:val="28"/>
    <w:autoRedefine/>
    <w:qFormat/>
    <w:uiPriority w:val="0"/>
    <w:rPr>
      <w:rFonts w:hint="default" w:ascii="Arial" w:hAnsi="Arial" w:cs="Arial"/>
      <w:b/>
      <w:bCs/>
      <w:kern w:val="2"/>
      <w:sz w:val="28"/>
      <w:szCs w:val="28"/>
    </w:rPr>
  </w:style>
  <w:style w:type="paragraph" w:customStyle="1" w:styleId="46">
    <w:name w:val="Blockquote"/>
    <w:basedOn w:val="1"/>
    <w:autoRedefine/>
    <w:qFormat/>
    <w:uiPriority w:val="0"/>
    <w:pPr>
      <w:autoSpaceDE w:val="0"/>
      <w:autoSpaceDN w:val="0"/>
      <w:adjustRightInd w:val="0"/>
      <w:spacing w:before="100" w:after="100"/>
      <w:ind w:left="360" w:right="360"/>
      <w:jc w:val="left"/>
    </w:pPr>
    <w:rPr>
      <w:kern w:val="0"/>
      <w:sz w:val="24"/>
    </w:rPr>
  </w:style>
  <w:style w:type="character" w:customStyle="1" w:styleId="47">
    <w:name w:val="NormalCharacter"/>
    <w:link w:val="48"/>
    <w:autoRedefine/>
    <w:qFormat/>
    <w:uiPriority w:val="0"/>
    <w:rPr>
      <w:rFonts w:ascii="Times New Roman" w:hAnsi="Times New Roman" w:eastAsia="宋体" w:cs="Times New Roman"/>
      <w:kern w:val="2"/>
      <w:sz w:val="21"/>
      <w:szCs w:val="24"/>
      <w:lang w:val="en-US" w:eastAsia="zh-CN" w:bidi="ar-SA"/>
    </w:rPr>
  </w:style>
  <w:style w:type="paragraph" w:customStyle="1" w:styleId="48">
    <w:name w:val="UserStyle_2"/>
    <w:basedOn w:val="1"/>
    <w:link w:val="47"/>
    <w:autoRedefine/>
    <w:qFormat/>
    <w:uiPriority w:val="0"/>
    <w:pPr>
      <w:textAlignment w:val="baseline"/>
    </w:pPr>
    <w:rPr>
      <w:rFonts w:ascii="Tahoma" w:hAnsi="Tahoma"/>
      <w:sz w:val="24"/>
      <w:szCs w:val="20"/>
    </w:rPr>
  </w:style>
  <w:style w:type="paragraph" w:customStyle="1" w:styleId="49">
    <w:name w:val="179"/>
    <w:basedOn w:val="1"/>
    <w:autoRedefine/>
    <w:qFormat/>
    <w:uiPriority w:val="0"/>
    <w:pPr>
      <w:ind w:firstLine="420" w:firstLineChars="200"/>
      <w:textAlignment w:val="baseline"/>
    </w:pPr>
  </w:style>
  <w:style w:type="paragraph" w:customStyle="1" w:styleId="50">
    <w:name w:val="正文（深信服）"/>
    <w:autoRedefine/>
    <w:qFormat/>
    <w:uiPriority w:val="0"/>
    <w:pPr>
      <w:spacing w:line="360" w:lineRule="auto"/>
    </w:pPr>
    <w:rPr>
      <w:rFonts w:ascii="Arial" w:hAnsi="Arial" w:eastAsia="宋体" w:cs="Calibri"/>
      <w:kern w:val="2"/>
      <w:sz w:val="21"/>
      <w:szCs w:val="21"/>
      <w:lang w:val="en-US" w:eastAsia="zh-CN" w:bidi="ar-SA"/>
    </w:rPr>
  </w:style>
  <w:style w:type="paragraph" w:customStyle="1" w:styleId="51">
    <w:name w:val="Body text|1"/>
    <w:basedOn w:val="1"/>
    <w:autoRedefine/>
    <w:qFormat/>
    <w:uiPriority w:val="0"/>
    <w:pPr>
      <w:spacing w:line="430" w:lineRule="auto"/>
    </w:pPr>
    <w:rPr>
      <w:rFonts w:ascii="MingLiU" w:hAnsi="MingLiU" w:eastAsia="MingLiU" w:cs="MingLiU"/>
      <w:sz w:val="19"/>
      <w:szCs w:val="19"/>
      <w:lang w:val="zh-TW" w:eastAsia="zh-TW" w:bidi="zh-TW"/>
    </w:rPr>
  </w:style>
  <w:style w:type="character" w:customStyle="1" w:styleId="52">
    <w:name w:val="font71"/>
    <w:basedOn w:val="28"/>
    <w:autoRedefine/>
    <w:qFormat/>
    <w:uiPriority w:val="0"/>
    <w:rPr>
      <w:rFonts w:hint="eastAsia" w:ascii="宋体" w:hAnsi="宋体" w:eastAsia="宋体" w:cs="宋体"/>
      <w:color w:val="000000"/>
      <w:sz w:val="20"/>
      <w:szCs w:val="20"/>
      <w:u w:val="none"/>
    </w:rPr>
  </w:style>
  <w:style w:type="character" w:customStyle="1" w:styleId="53">
    <w:name w:val="font112"/>
    <w:basedOn w:val="28"/>
    <w:autoRedefine/>
    <w:qFormat/>
    <w:uiPriority w:val="0"/>
    <w:rPr>
      <w:rFonts w:ascii="MS Sans Serif" w:hAnsi="MS Sans Serif" w:eastAsia="MS Sans Serif" w:cs="MS Sans Serif"/>
      <w:color w:val="000000"/>
      <w:sz w:val="20"/>
      <w:szCs w:val="20"/>
      <w:u w:val="none"/>
    </w:rPr>
  </w:style>
  <w:style w:type="paragraph" w:customStyle="1" w:styleId="54">
    <w:name w:val="p0"/>
    <w:basedOn w:val="1"/>
    <w:autoRedefine/>
    <w:qFormat/>
    <w:uiPriority w:val="0"/>
    <w:pPr>
      <w:widowControl/>
    </w:pPr>
    <w:rPr>
      <w:kern w:val="0"/>
      <w:szCs w:val="21"/>
    </w:rPr>
  </w:style>
  <w:style w:type="paragraph" w:customStyle="1" w:styleId="55">
    <w:name w:val="Table Text"/>
    <w:basedOn w:val="1"/>
    <w:autoRedefine/>
    <w:semiHidden/>
    <w:qFormat/>
    <w:uiPriority w:val="0"/>
    <w:rPr>
      <w:rFonts w:ascii="仿宋" w:hAnsi="仿宋" w:eastAsia="仿宋" w:cs="仿宋"/>
      <w:sz w:val="19"/>
      <w:szCs w:val="19"/>
      <w:lang w:eastAsia="en-US"/>
    </w:rPr>
  </w:style>
  <w:style w:type="paragraph" w:customStyle="1" w:styleId="56">
    <w:name w:val="报告正文"/>
    <w:basedOn w:val="1"/>
    <w:qFormat/>
    <w:uiPriority w:val="99"/>
    <w:pPr>
      <w:tabs>
        <w:tab w:val="left" w:pos="4080"/>
      </w:tabs>
      <w:topLinePunct/>
      <w:spacing w:line="360" w:lineRule="auto"/>
      <w:ind w:firstLine="200" w:firstLineChars="200"/>
      <w:jc w:val="left"/>
    </w:pPr>
    <w:rPr>
      <w:bCs/>
      <w:spacing w:val="14"/>
      <w:sz w:val="24"/>
    </w:rPr>
  </w:style>
  <w:style w:type="character" w:customStyle="1" w:styleId="57">
    <w:name w:val="font51"/>
    <w:basedOn w:val="28"/>
    <w:qFormat/>
    <w:uiPriority w:val="0"/>
    <w:rPr>
      <w:rFonts w:hint="eastAsia" w:ascii="宋体" w:hAnsi="宋体" w:eastAsia="宋体" w:cs="宋体"/>
      <w:color w:val="000000"/>
      <w:sz w:val="18"/>
      <w:szCs w:val="18"/>
      <w:u w:val="none"/>
    </w:rPr>
  </w:style>
  <w:style w:type="character" w:customStyle="1" w:styleId="58">
    <w:name w:val="font91"/>
    <w:basedOn w:val="28"/>
    <w:qFormat/>
    <w:uiPriority w:val="0"/>
    <w:rPr>
      <w:rFonts w:hint="eastAsia" w:ascii="宋体" w:hAnsi="宋体" w:eastAsia="宋体" w:cs="宋体"/>
      <w:color w:val="000000"/>
      <w:sz w:val="18"/>
      <w:szCs w:val="18"/>
      <w:u w:val="none"/>
    </w:rPr>
  </w:style>
  <w:style w:type="character" w:customStyle="1" w:styleId="59">
    <w:name w:val="font61"/>
    <w:basedOn w:val="28"/>
    <w:qFormat/>
    <w:uiPriority w:val="0"/>
    <w:rPr>
      <w:rFonts w:hint="eastAsia" w:ascii="宋体" w:hAnsi="宋体" w:eastAsia="宋体" w:cs="宋体"/>
      <w:color w:val="000000"/>
      <w:sz w:val="18"/>
      <w:szCs w:val="18"/>
      <w:u w:val="none"/>
    </w:rPr>
  </w:style>
  <w:style w:type="character" w:customStyle="1" w:styleId="60">
    <w:name w:val="font101"/>
    <w:basedOn w:val="28"/>
    <w:qFormat/>
    <w:uiPriority w:val="0"/>
    <w:rPr>
      <w:rFonts w:hint="default" w:ascii="Times New Roman" w:hAnsi="Times New Roman" w:cs="Times New Roman"/>
      <w:b/>
      <w:bCs/>
      <w:color w:val="000000"/>
      <w:sz w:val="20"/>
      <w:szCs w:val="20"/>
      <w:u w:val="none"/>
    </w:rPr>
  </w:style>
  <w:style w:type="character" w:customStyle="1" w:styleId="61">
    <w:name w:val="font111"/>
    <w:basedOn w:val="28"/>
    <w:qFormat/>
    <w:uiPriority w:val="0"/>
    <w:rPr>
      <w:rFonts w:hint="eastAsia" w:ascii="宋体" w:hAnsi="宋体" w:eastAsia="宋体" w:cs="宋体"/>
      <w:color w:val="000000"/>
      <w:sz w:val="20"/>
      <w:szCs w:val="20"/>
      <w:u w:val="single"/>
    </w:rPr>
  </w:style>
  <w:style w:type="character" w:customStyle="1" w:styleId="62">
    <w:name w:val="font81"/>
    <w:basedOn w:val="28"/>
    <w:qFormat/>
    <w:uiPriority w:val="0"/>
    <w:rPr>
      <w:rFonts w:hint="eastAsia" w:ascii="宋体" w:hAnsi="宋体" w:eastAsia="宋体" w:cs="宋体"/>
      <w:color w:val="000000"/>
      <w:sz w:val="20"/>
      <w:szCs w:val="20"/>
      <w:u w:val="none"/>
    </w:rPr>
  </w:style>
  <w:style w:type="paragraph" w:customStyle="1" w:styleId="63">
    <w:name w:val="正文 + 行距: 3 倍行距"/>
    <w:basedOn w:val="64"/>
    <w:qFormat/>
    <w:uiPriority w:val="0"/>
  </w:style>
  <w:style w:type="paragraph" w:customStyle="1" w:styleId="64">
    <w:name w:val="正文 + 行距: 2 倍行距"/>
    <w:basedOn w:val="1"/>
    <w:qFormat/>
    <w:uiPriority w:val="0"/>
    <w:pPr>
      <w:spacing w:line="360" w:lineRule="auto"/>
    </w:pPr>
  </w:style>
  <w:style w:type="paragraph" w:customStyle="1" w:styleId="65">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character" w:customStyle="1" w:styleId="66">
    <w:name w:val="*正文 Char Char"/>
    <w:link w:val="67"/>
    <w:qFormat/>
    <w:uiPriority w:val="0"/>
    <w:rPr>
      <w:rFonts w:ascii="宋体" w:hAnsi="宋体" w:cs="宋体"/>
      <w:szCs w:val="20"/>
    </w:rPr>
  </w:style>
  <w:style w:type="paragraph" w:customStyle="1" w:styleId="67">
    <w:name w:val="*正文"/>
    <w:basedOn w:val="1"/>
    <w:link w:val="66"/>
    <w:qFormat/>
    <w:uiPriority w:val="0"/>
    <w:pPr>
      <w:spacing w:line="360" w:lineRule="auto"/>
      <w:ind w:firstLine="566"/>
    </w:pPr>
    <w:rPr>
      <w:rFonts w:ascii="宋体" w:hAnsi="宋体" w:cs="宋体"/>
      <w:szCs w:val="20"/>
    </w:rPr>
  </w:style>
  <w:style w:type="paragraph" w:styleId="68">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numbering" Target="numbering.xml"/><Relationship Id="rId27" Type="http://schemas.openxmlformats.org/officeDocument/2006/relationships/customXml" Target="../customXml/item1.xml"/><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48</Pages>
  <Words>52</Words>
  <Characters>52</Characters>
  <Lines>131</Lines>
  <Paragraphs>37</Paragraphs>
  <TotalTime>5</TotalTime>
  <ScaleCrop>false</ScaleCrop>
  <LinksUpToDate>false</LinksUpToDate>
  <CharactersWithSpaces>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2024-11-04T03:59:00Z</dcterms:created>
  <dc:creator>甜甜圈1414421284</dc:creator>
  <cp:lastModifiedBy>李柏蓉</cp:lastModifiedBy>
  <cp:lastPrinted>2024-09-11T03:02:00Z</cp:lastPrinted>
  <dcterms:modified xsi:type="dcterms:W3CDTF">2026-10-16T07:25:38Z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24F62EB14AE14BB6B7B22540DE3A24C4_13</vt:lpwstr>
  </property>
  <property fmtid="{D5CDD505-2E9C-101B-9397-08002B2CF9AE}" pid="4" name="KSOTemplateDocerSaveRecord">
    <vt:lpwstr>eyJoZGlkIjoiYTJjZGY3MzIzNzlhODgyYjdiOTEzMTgwYjdkZGRmNzQiLCJ1c2VySWQiOiI5MjIwNTA5NDcifQ==</vt:lpwstr>
  </property>
</Properties>
</file>