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48FAA">
      <w:pPr>
        <w:pStyle w:val="2"/>
        <w:spacing w:before="100" w:after="100"/>
        <w:jc w:val="center"/>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竞谈评审办法</w:t>
      </w:r>
    </w:p>
    <w:p w14:paraId="1B14FEC0">
      <w:pPr>
        <w:spacing w:line="576" w:lineRule="exact"/>
        <w:ind w:firstLine="643" w:firstLineChars="20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1.总则</w:t>
      </w:r>
    </w:p>
    <w:p w14:paraId="5F7AC667">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1.1采购人将根据本次竞谈采购工程项目的性质和特点组建评审小组，成员人数为五人以上（含五人）单数。评审小组按照法律、法规的规定，进行评审工作，任何人及单位不得干扰评审小组的正常工作。评审过程由云南天冶化工有限公司纪检部门相关纪检人员进行全过程监督。</w:t>
      </w:r>
    </w:p>
    <w:p w14:paraId="6864187E">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1.2评审原则：依照“公平、公正、科学、择优”的原则。</w:t>
      </w:r>
    </w:p>
    <w:p w14:paraId="17C3DFC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1.3竞谈申请人的法定代表人或其委托代理人参加竞谈会，如竞谈申请人未出席竞谈会，以会上电话扩音方式进行竞谈，若电话无法接通的视为其默认竞谈结果，由此产生的后果由竞谈申请人自行负责。</w:t>
      </w:r>
    </w:p>
    <w:p w14:paraId="28971B0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1.4评审办法：本次评审将采用综合评估打分法，对满足竞谈文件要求的竞谈申请人，评审小组按照评分由高到低的次序向竞谈采购人推荐成交候选人。</w:t>
      </w:r>
    </w:p>
    <w:p w14:paraId="3E7385C2">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1.5评审在保密环境下，评审小组分别对各竞谈申请人的竞谈申请文件进行评审。竞谈申请人不得参与竞谈申请文件评审，但评审小组可随时要求竞谈申请人澄清或解释某些问题，竞谈申请人应及时认真回答，但不得改变实质内容。</w:t>
      </w:r>
    </w:p>
    <w:p w14:paraId="4777343F">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1.6评审中如遇特殊问题，由评审小组根据有关法律、法规、规定研究决定。</w:t>
      </w:r>
    </w:p>
    <w:p w14:paraId="07242D5C">
      <w:pPr>
        <w:spacing w:line="576" w:lineRule="exact"/>
        <w:ind w:firstLine="643" w:firstLineChars="20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2.评审程序</w:t>
      </w:r>
    </w:p>
    <w:p w14:paraId="174F72DE">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评审工作主要按以下程序进行：</w:t>
      </w:r>
    </w:p>
    <w:p w14:paraId="6BFBD5A0">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2.1阅读竞谈申请文件，整理资料。对竞谈申请文件中不满足竞谈文件要求、不明确之处进行专门标注和记录，整理出需要竞谈申请人澄清的问题。</w:t>
      </w:r>
    </w:p>
    <w:p w14:paraId="05D4280D">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2.2澄清</w:t>
      </w:r>
    </w:p>
    <w:p w14:paraId="5BCBA3A0">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2.2.1评审小组可能根据情况，要求竞谈申请人进行必要的澄清，澄清以直接递交或会上电话免提扩音形式进行。</w:t>
      </w:r>
    </w:p>
    <w:p w14:paraId="7CF6AD23">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2.2.2澄清后应以书面文件（有委托代理人签字或法人公章及日期）作为竞谈申请文件的有效补充材料。</w:t>
      </w:r>
    </w:p>
    <w:p w14:paraId="06508B5F">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2.3符合性审查</w:t>
      </w:r>
    </w:p>
    <w:p w14:paraId="0BD59A46">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通过符合性审查的主要条件：</w:t>
      </w:r>
    </w:p>
    <w:p w14:paraId="5C5AAD2B">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（1）竞谈申请文件按照竞谈文件规定的格式、内容填写，字迹清晰可辨；</w:t>
      </w:r>
    </w:p>
    <w:p w14:paraId="7CFDA0E8">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（2）竞谈申请文件上法定代表人或委托代理人的签字齐全；</w:t>
      </w:r>
    </w:p>
    <w:p w14:paraId="1D7CBC0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（3）按照竞谈文件要求填报了竞谈文件中规定的各项表格及承诺，并提交了所要求的资料文件；</w:t>
      </w:r>
    </w:p>
    <w:p w14:paraId="2D7F734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（4）同一份竞谈申请文件中，仅有一个报价；</w:t>
      </w:r>
    </w:p>
    <w:p w14:paraId="6C017702">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（5）竞谈申请文件中没有竞谈采购人不能接受的条件。</w:t>
      </w:r>
    </w:p>
    <w:p w14:paraId="2A79FF93">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2.4详细评审</w:t>
      </w:r>
    </w:p>
    <w:p w14:paraId="0E69642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根据竞谈申请人的相关业务业绩、报价、作业人员保障、相关场地承诺条件及商业信誉等方面进行综合评估打分（得分保留小数点后两位）。</w:t>
      </w:r>
    </w:p>
    <w:p w14:paraId="274E32B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本次竟谈评审时可二次报价，最终评审报价以二次竞谈报价为准。</w:t>
      </w:r>
    </w:p>
    <w:p w14:paraId="777A9DA6">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2.4.1商务部分（10分）</w:t>
      </w:r>
    </w:p>
    <w:p w14:paraId="6A115936">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评审小组根据各竞谈申请人所提交2023</w:t>
      </w:r>
      <w:r>
        <w:rPr>
          <w:rFonts w:hint="eastAsia" w:ascii="宋体" w:hAnsi="宋体" w:eastAsia="宋体" w:cs="宋体"/>
          <w:sz w:val="32"/>
          <w:szCs w:val="32"/>
          <w:u w:val="none"/>
          <w:lang w:val="en-US" w:eastAsia="zh-CN"/>
        </w:rPr>
        <w:t>-2025年施工项目</w:t>
      </w:r>
      <w:r>
        <w:rPr>
          <w:rFonts w:hint="eastAsia" w:ascii="宋体" w:hAnsi="宋体" w:eastAsia="宋体" w:cs="宋体"/>
          <w:color w:val="auto"/>
          <w:sz w:val="32"/>
          <w:szCs w:val="32"/>
          <w:u w:val="none"/>
          <w:lang w:val="en-US" w:eastAsia="zh-CN"/>
        </w:rPr>
        <w:t>作业业绩、公司及施工人员资质证</w:t>
      </w:r>
      <w:r>
        <w:rPr>
          <w:rFonts w:hint="eastAsia" w:ascii="宋体" w:hAnsi="宋体" w:eastAsia="宋体" w:cs="宋体"/>
          <w:sz w:val="32"/>
          <w:szCs w:val="32"/>
          <w:u w:val="none"/>
          <w:lang w:val="en-US" w:eastAsia="zh-CN"/>
        </w:rPr>
        <w:t>明资料打出评</w:t>
      </w:r>
      <w:r>
        <w:rPr>
          <w:rFonts w:hint="eastAsia" w:ascii="宋体" w:hAnsi="宋体" w:eastAsia="宋体" w:cs="宋体"/>
          <w:sz w:val="32"/>
          <w:szCs w:val="32"/>
          <w:lang w:val="en-US" w:eastAsia="zh-CN"/>
        </w:rPr>
        <w:t>分。资质、及过往信誉（占比5分），竞谈申请人所提供资质不符合要求，得0分，资质符合要求的根据2023-2025年度业务过往信誉证明材料进行打分，出现一次业务过往信誉为“不良”等级的扣2分，扣完为止。业绩（占比5分），分别提供一份2023-2025年度有效的类似业绩证明材得5分，少提供一个年度扣2分，扣完为止，不提供得0分。</w:t>
      </w:r>
    </w:p>
    <w:p w14:paraId="6FEB0DCA">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2.4.2报价部分（50分）</w:t>
      </w:r>
    </w:p>
    <w:p w14:paraId="07E18F28">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合格竞争性谈判申请人数大于5家（含5家）时，竞争性谈判基准价为去掉最高报价和最低报价后，其他竞争性谈判申请人报价的算术平均值；合格竞争性谈判申请人人数少于5家时，竞争性谈判基准价为竞争性谈判申请人报价的算术平均值。当竞争性谈判报价等于竞争性谈判基准价时得报价基本分40分；低于竞争性谈判基准价10%（含10%）以内，在报价基本分的基础上，每低于评标基准价1%加1分，最多得满分；低于竞争性谈判基准价10%以外，从满分起扣，每超1%扣1分，扣完为止；高于竞争性谈判基准价时，从基本分起扣，每高于竞争性谈判基准价1%扣1分，扣完为止，按内插法计算。</w:t>
      </w:r>
    </w:p>
    <w:p w14:paraId="65159FDB">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2.4.3技术部分（40分）</w:t>
      </w:r>
    </w:p>
    <w:p w14:paraId="3E43AEFC">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竞谈申请文件规范性（占比为10分）：根据实际提供材料情况进行打分，竞谈申请文件不规范扣3分，编制不完整扣2分、内容不详细及不清晰扣2分，要求提交的技术资料不完整、齐全扣3分，直至扣完为止。施工质量及相关技术承诺（占比10分）：承诺施工质量要求及相关技术要求，不承诺得0分，承诺不全面的每少承诺一个点，扣2分，扣完为止。使用要求及后续服务（占比20分）：能否满足使用要求及后续服务等方面综合打分，经与竞谈申请人进行技术交流沟通后打分，使用要求及后续服务不符合要求的一个点扣1分，扣完为止。</w:t>
      </w:r>
    </w:p>
    <w:p w14:paraId="6598BF9F">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2.4.4最终得分</w:t>
      </w:r>
    </w:p>
    <w:p w14:paraId="7855F04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评审小组评委按照2.4.1至2.4.3详细评审方法，对各竞谈申请人进行独立打分，合计得分即为最终得分。</w:t>
      </w:r>
    </w:p>
    <w:p w14:paraId="5904DC36">
      <w:pPr>
        <w:spacing w:line="576" w:lineRule="exact"/>
        <w:ind w:firstLine="643" w:firstLineChars="200"/>
        <w:rPr>
          <w:rFonts w:hint="eastAsia" w:ascii="宋体" w:hAnsi="宋体" w:eastAsia="宋体" w:cs="宋体"/>
          <w:b/>
          <w:bCs/>
          <w:sz w:val="32"/>
          <w:szCs w:val="32"/>
          <w:lang w:val="en-US" w:eastAsia="zh-CN"/>
        </w:rPr>
      </w:pPr>
      <w:bookmarkStart w:id="0" w:name="_Toc413759803"/>
      <w:bookmarkStart w:id="1" w:name="_Toc409732750"/>
      <w:bookmarkStart w:id="2" w:name="_Toc395965030"/>
      <w:bookmarkStart w:id="3" w:name="_Toc24535"/>
      <w:r>
        <w:rPr>
          <w:rFonts w:hint="eastAsia" w:ascii="宋体" w:hAnsi="宋体" w:eastAsia="宋体" w:cs="宋体"/>
          <w:b/>
          <w:bCs/>
          <w:sz w:val="32"/>
          <w:szCs w:val="32"/>
          <w:lang w:val="en-US" w:eastAsia="zh-CN"/>
        </w:rPr>
        <w:t>3.合同授予</w:t>
      </w:r>
      <w:bookmarkEnd w:id="0"/>
      <w:bookmarkEnd w:id="1"/>
      <w:bookmarkEnd w:id="2"/>
      <w:bookmarkEnd w:id="3"/>
    </w:p>
    <w:p w14:paraId="65EE5EEC">
      <w:pPr>
        <w:spacing w:line="576" w:lineRule="exact"/>
        <w:ind w:firstLine="640" w:firstLineChars="200"/>
        <w:rPr>
          <w:rFonts w:hint="eastAsia" w:ascii="宋体" w:hAnsi="宋体" w:eastAsia="宋体" w:cs="宋体"/>
          <w:b w:val="0"/>
          <w:bCs w:val="0"/>
          <w:sz w:val="32"/>
          <w:szCs w:val="32"/>
          <w:lang w:val="en-US" w:eastAsia="zh-CN"/>
        </w:rPr>
      </w:pPr>
      <w:bookmarkStart w:id="4" w:name="_Toc409732751"/>
      <w:bookmarkStart w:id="5" w:name="_Toc395965031"/>
      <w:bookmarkStart w:id="6" w:name="_Toc7926"/>
      <w:r>
        <w:rPr>
          <w:rFonts w:hint="eastAsia" w:ascii="宋体" w:hAnsi="宋体" w:eastAsia="宋体" w:cs="宋体"/>
          <w:b w:val="0"/>
          <w:bCs w:val="0"/>
          <w:sz w:val="32"/>
          <w:szCs w:val="32"/>
          <w:lang w:val="en-US" w:eastAsia="zh-CN"/>
        </w:rPr>
        <w:t>3.1</w:t>
      </w:r>
      <w:bookmarkEnd w:id="4"/>
      <w:bookmarkEnd w:id="5"/>
      <w:bookmarkEnd w:id="6"/>
      <w:r>
        <w:rPr>
          <w:rFonts w:hint="eastAsia" w:ascii="宋体" w:hAnsi="宋体" w:eastAsia="宋体" w:cs="宋体"/>
          <w:b w:val="0"/>
          <w:bCs w:val="0"/>
          <w:sz w:val="32"/>
          <w:szCs w:val="32"/>
          <w:lang w:val="en-US" w:eastAsia="zh-CN"/>
        </w:rPr>
        <w:t>推荐成交候选人</w:t>
      </w:r>
    </w:p>
    <w:p w14:paraId="08BEE58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评审小组按照详细评审得分由高至低的次序排列，推荐成交候选人。</w:t>
      </w:r>
    </w:p>
    <w:p w14:paraId="434D1231">
      <w:pPr>
        <w:spacing w:line="576" w:lineRule="exact"/>
        <w:ind w:firstLine="640" w:firstLineChars="200"/>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3.2确定成交人</w:t>
      </w:r>
    </w:p>
    <w:p w14:paraId="7277BAD7">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本项目竞谈评审结果，经云南天冶化工有限公司内部决策程序审查、批准后，确定成交人。</w:t>
      </w:r>
    </w:p>
    <w:p w14:paraId="2D6E5FFD">
      <w:pPr>
        <w:spacing w:line="576" w:lineRule="exact"/>
        <w:ind w:firstLine="640" w:firstLineChars="200"/>
        <w:rPr>
          <w:rFonts w:hint="eastAsia" w:ascii="宋体" w:hAnsi="宋体" w:eastAsia="宋体" w:cs="宋体"/>
          <w:b/>
          <w:bCs/>
          <w:sz w:val="32"/>
          <w:szCs w:val="32"/>
          <w:lang w:val="en-US" w:eastAsia="zh-CN"/>
        </w:rPr>
      </w:pPr>
      <w:bookmarkStart w:id="7" w:name="_Toc395965032"/>
      <w:bookmarkStart w:id="8" w:name="_Toc9527"/>
      <w:bookmarkStart w:id="9" w:name="_Toc409732752"/>
      <w:r>
        <w:rPr>
          <w:rFonts w:hint="eastAsia" w:ascii="宋体" w:hAnsi="宋体" w:eastAsia="宋体" w:cs="宋体"/>
          <w:b w:val="0"/>
          <w:bCs w:val="0"/>
          <w:sz w:val="32"/>
          <w:szCs w:val="32"/>
          <w:lang w:val="en-US" w:eastAsia="zh-CN"/>
        </w:rPr>
        <w:t>3.3发出成交通知</w:t>
      </w:r>
      <w:bookmarkEnd w:id="7"/>
      <w:bookmarkEnd w:id="8"/>
      <w:bookmarkEnd w:id="9"/>
    </w:p>
    <w:p w14:paraId="4AA5B1F9">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采购人以书面形式向成交人发出成交通知书。</w:t>
      </w:r>
    </w:p>
    <w:p w14:paraId="092838B4">
      <w:pPr>
        <w:spacing w:line="576" w:lineRule="exact"/>
        <w:ind w:firstLine="643" w:firstLineChars="200"/>
        <w:rPr>
          <w:rFonts w:hint="eastAsia" w:ascii="宋体" w:hAnsi="宋体" w:eastAsia="宋体" w:cs="宋体"/>
          <w:b/>
          <w:bCs/>
          <w:sz w:val="32"/>
          <w:szCs w:val="32"/>
          <w:lang w:val="en-US" w:eastAsia="zh-CN"/>
        </w:rPr>
      </w:pPr>
      <w:bookmarkStart w:id="10" w:name="_Toc14279"/>
      <w:bookmarkStart w:id="11" w:name="_Toc409732754"/>
      <w:bookmarkStart w:id="12" w:name="_Toc395965034"/>
      <w:r>
        <w:rPr>
          <w:rFonts w:hint="eastAsia" w:ascii="宋体" w:hAnsi="宋体" w:eastAsia="宋体" w:cs="宋体"/>
          <w:b/>
          <w:bCs/>
          <w:sz w:val="32"/>
          <w:szCs w:val="32"/>
          <w:lang w:val="en-US" w:eastAsia="zh-CN"/>
        </w:rPr>
        <w:t>4.签订合同</w:t>
      </w:r>
      <w:bookmarkEnd w:id="10"/>
      <w:bookmarkEnd w:id="11"/>
      <w:bookmarkEnd w:id="12"/>
    </w:p>
    <w:p w14:paraId="0B799E8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4.1采购人和成交人应当自成交通知书发出之日起5个工作日内，根据竞争性谈判文件和成交人的竞争性谈判申请文件双方进行技术交底，协商确定合同内容并签订相关合同（含廉政合同）。成交人无正当理由拒签相关合同（含廉政合同）的，采购人取消其中标资格；给采购人造成损失的，成交人还应当予以赔偿。</w:t>
      </w:r>
    </w:p>
    <w:p w14:paraId="6B4D22FC">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4.2发出成交通知书后，采购人无正当理由拒签相关合同（含廉政合同）的、给成交人造成损失的，还应当赔偿损失。</w:t>
      </w:r>
    </w:p>
    <w:p w14:paraId="511B386C">
      <w:pPr>
        <w:spacing w:line="576" w:lineRule="exact"/>
        <w:ind w:firstLine="643" w:firstLineChars="200"/>
        <w:rPr>
          <w:rFonts w:hint="eastAsia" w:ascii="宋体" w:hAnsi="宋体" w:eastAsia="宋体" w:cs="宋体"/>
          <w:b/>
          <w:bCs/>
          <w:sz w:val="32"/>
          <w:szCs w:val="32"/>
          <w:lang w:val="en-US" w:eastAsia="zh-CN"/>
        </w:rPr>
      </w:pPr>
      <w:bookmarkStart w:id="13" w:name="_Toc413759805"/>
      <w:bookmarkStart w:id="14" w:name="_Toc395965039"/>
      <w:bookmarkStart w:id="15" w:name="_Toc28489"/>
      <w:bookmarkStart w:id="16" w:name="_Toc409732758"/>
      <w:r>
        <w:rPr>
          <w:rFonts w:hint="eastAsia" w:ascii="宋体" w:hAnsi="宋体" w:eastAsia="宋体" w:cs="宋体"/>
          <w:b/>
          <w:bCs/>
          <w:sz w:val="32"/>
          <w:szCs w:val="32"/>
          <w:lang w:val="en-US" w:eastAsia="zh-CN"/>
        </w:rPr>
        <w:t>5.纪律和监督</w:t>
      </w:r>
      <w:bookmarkEnd w:id="13"/>
      <w:bookmarkEnd w:id="14"/>
      <w:bookmarkEnd w:id="15"/>
      <w:bookmarkEnd w:id="16"/>
    </w:p>
    <w:p w14:paraId="3822837C">
      <w:pPr>
        <w:spacing w:line="576" w:lineRule="exact"/>
        <w:ind w:firstLine="640" w:firstLineChars="200"/>
        <w:rPr>
          <w:rFonts w:hint="eastAsia" w:ascii="宋体" w:hAnsi="宋体" w:eastAsia="宋体" w:cs="宋体"/>
          <w:sz w:val="32"/>
          <w:szCs w:val="32"/>
          <w:lang w:val="en-US" w:eastAsia="zh-CN"/>
        </w:rPr>
      </w:pPr>
      <w:bookmarkStart w:id="17" w:name="_Toc395965040"/>
      <w:bookmarkStart w:id="18" w:name="_Toc1612"/>
      <w:bookmarkStart w:id="19" w:name="_Toc409732759"/>
      <w:r>
        <w:rPr>
          <w:rFonts w:hint="eastAsia" w:ascii="宋体" w:hAnsi="宋体" w:eastAsia="宋体" w:cs="宋体"/>
          <w:sz w:val="32"/>
          <w:szCs w:val="32"/>
          <w:lang w:val="en-US" w:eastAsia="zh-CN"/>
        </w:rPr>
        <w:t>5.1对采购人的纪律要求</w:t>
      </w:r>
      <w:bookmarkEnd w:id="17"/>
      <w:bookmarkEnd w:id="18"/>
      <w:bookmarkEnd w:id="19"/>
    </w:p>
    <w:p w14:paraId="701FED02">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采购人不得泄漏竞谈活动中应当保密的情况和资料，不得与竞争性谈判申请人串通损害国家利益、社会公共利益或者他人合法权益。</w:t>
      </w:r>
    </w:p>
    <w:p w14:paraId="105ED67D">
      <w:pPr>
        <w:spacing w:line="576" w:lineRule="exact"/>
        <w:ind w:firstLine="640" w:firstLineChars="200"/>
        <w:rPr>
          <w:rFonts w:hint="eastAsia" w:ascii="宋体" w:hAnsi="宋体" w:eastAsia="宋体" w:cs="宋体"/>
          <w:sz w:val="32"/>
          <w:szCs w:val="32"/>
          <w:lang w:val="en-US" w:eastAsia="zh-CN"/>
        </w:rPr>
      </w:pPr>
      <w:bookmarkStart w:id="20" w:name="_Toc395965041"/>
      <w:bookmarkStart w:id="21" w:name="_Toc409732760"/>
      <w:bookmarkStart w:id="22" w:name="_Toc9408"/>
      <w:r>
        <w:rPr>
          <w:rFonts w:hint="eastAsia" w:ascii="宋体" w:hAnsi="宋体" w:eastAsia="宋体" w:cs="宋体"/>
          <w:sz w:val="32"/>
          <w:szCs w:val="32"/>
          <w:lang w:val="en-US" w:eastAsia="zh-CN"/>
        </w:rPr>
        <w:t>5.2对竞争性谈判申请人的纪律要求</w:t>
      </w:r>
      <w:bookmarkEnd w:id="20"/>
      <w:bookmarkEnd w:id="21"/>
      <w:bookmarkEnd w:id="22"/>
    </w:p>
    <w:p w14:paraId="258F4295">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竞争性谈判申请人不得相互串通竞谈或者与采购人串通竞谈，不得向采购人或者评审小组成员行贿谋取成交，不得以他人名义竞谈或者以其他方式弄虚作假骗取成交；竞争性谈判申请人不得以任何方式干扰、影响评审工作。</w:t>
      </w:r>
    </w:p>
    <w:p w14:paraId="7D3DF386">
      <w:pPr>
        <w:spacing w:line="576" w:lineRule="exact"/>
        <w:ind w:firstLine="640" w:firstLineChars="200"/>
        <w:rPr>
          <w:rFonts w:hint="eastAsia" w:ascii="宋体" w:hAnsi="宋体" w:eastAsia="宋体" w:cs="宋体"/>
          <w:sz w:val="32"/>
          <w:szCs w:val="32"/>
          <w:lang w:val="en-US" w:eastAsia="zh-CN"/>
        </w:rPr>
      </w:pPr>
      <w:bookmarkStart w:id="23" w:name="_Toc409732761"/>
      <w:bookmarkStart w:id="24" w:name="_Toc395965042"/>
      <w:bookmarkStart w:id="25" w:name="_Toc29917"/>
      <w:r>
        <w:rPr>
          <w:rFonts w:hint="eastAsia" w:ascii="宋体" w:hAnsi="宋体" w:eastAsia="宋体" w:cs="宋体"/>
          <w:sz w:val="32"/>
          <w:szCs w:val="32"/>
          <w:lang w:val="en-US" w:eastAsia="zh-CN"/>
        </w:rPr>
        <w:t>5.3对评审小组成员的纪律要求</w:t>
      </w:r>
      <w:bookmarkEnd w:id="23"/>
      <w:bookmarkEnd w:id="24"/>
      <w:bookmarkEnd w:id="25"/>
    </w:p>
    <w:p w14:paraId="79D843C0">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评审小组成员不得收受他人的财物或者其他好处，不得向他人透漏对竞争性谈判申请文件的评审和比较、成交候选人的推荐情况以及评审有关的其他情况。在评审活动中，评审小组成员不得擅离职守，影响评审程序正常进行，不得使用第三章“评审办法”没有规定的评审因素和标准进行评审。</w:t>
      </w:r>
    </w:p>
    <w:p w14:paraId="79F0D5B7">
      <w:pPr>
        <w:spacing w:line="576" w:lineRule="exact"/>
        <w:ind w:firstLine="640" w:firstLineChars="200"/>
        <w:rPr>
          <w:rFonts w:hint="eastAsia" w:ascii="宋体" w:hAnsi="宋体" w:eastAsia="宋体" w:cs="宋体"/>
          <w:sz w:val="32"/>
          <w:szCs w:val="32"/>
          <w:lang w:val="en-US" w:eastAsia="zh-CN"/>
        </w:rPr>
      </w:pPr>
      <w:bookmarkStart w:id="26" w:name="_Toc409732762"/>
      <w:bookmarkStart w:id="27" w:name="_Toc16456"/>
      <w:bookmarkStart w:id="28" w:name="_Toc395965043"/>
      <w:r>
        <w:rPr>
          <w:rFonts w:hint="eastAsia" w:ascii="宋体" w:hAnsi="宋体" w:eastAsia="宋体" w:cs="宋体"/>
          <w:sz w:val="32"/>
          <w:szCs w:val="32"/>
          <w:lang w:val="en-US" w:eastAsia="zh-CN"/>
        </w:rPr>
        <w:t>5.4对与评审活动有关的工作人员的纪律要求</w:t>
      </w:r>
      <w:bookmarkEnd w:id="26"/>
      <w:bookmarkEnd w:id="27"/>
      <w:bookmarkEnd w:id="28"/>
    </w:p>
    <w:p w14:paraId="119DC704">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与评审活动有关的工作人员不得收受他人的财物或者其他好处，不得向他人透漏对竞争性谈判申请文件的评审和比较、成交候选人的推荐情况以及评审有关的其他情况。在评审活动中，与评审活动有关的工作人员不得擅离职守，影响评审程序正常进行。</w:t>
      </w:r>
    </w:p>
    <w:p w14:paraId="3E3768DC">
      <w:pPr>
        <w:spacing w:line="576" w:lineRule="exact"/>
        <w:ind w:firstLine="640" w:firstLineChars="200"/>
        <w:rPr>
          <w:rFonts w:hint="eastAsia" w:ascii="宋体" w:hAnsi="宋体" w:eastAsia="宋体" w:cs="宋体"/>
          <w:sz w:val="32"/>
          <w:szCs w:val="32"/>
          <w:lang w:val="en-US" w:eastAsia="zh-CN"/>
        </w:rPr>
      </w:pPr>
      <w:bookmarkStart w:id="29" w:name="_Toc395965044"/>
      <w:bookmarkStart w:id="30" w:name="_Toc409732763"/>
      <w:bookmarkStart w:id="31" w:name="_Toc12337"/>
      <w:r>
        <w:rPr>
          <w:rFonts w:hint="eastAsia" w:ascii="宋体" w:hAnsi="宋体" w:eastAsia="宋体" w:cs="宋体"/>
          <w:sz w:val="32"/>
          <w:szCs w:val="32"/>
          <w:lang w:val="en-US" w:eastAsia="zh-CN"/>
        </w:rPr>
        <w:t>5.5投诉</w:t>
      </w:r>
      <w:bookmarkEnd w:id="29"/>
      <w:bookmarkEnd w:id="30"/>
      <w:bookmarkEnd w:id="31"/>
    </w:p>
    <w:p w14:paraId="463FA99C">
      <w:pPr>
        <w:spacing w:line="576"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竞争性谈判申请人和其他利害关系人认为本次竞谈活动违反法律、法规和规章规定的，有权向有关监督部门投诉。对发现在本次竞争性谈判过程中存在的任何违规、违纪情况也可以向云南天冶化工有限公司党群工作与人力资源部纪检分部进行举报。</w:t>
      </w:r>
    </w:p>
    <w:p w14:paraId="7F35FAA3">
      <w:bookmarkStart w:id="32" w:name="_GoBack"/>
      <w:bookmarkEnd w:id="3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5A4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9DD98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9DD98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9173">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46C2F"/>
    <w:rsid w:val="09B459B3"/>
    <w:rsid w:val="0CD12600"/>
    <w:rsid w:val="0DE46363"/>
    <w:rsid w:val="11B64757"/>
    <w:rsid w:val="12D76496"/>
    <w:rsid w:val="152C070D"/>
    <w:rsid w:val="156A35F2"/>
    <w:rsid w:val="1E876FC3"/>
    <w:rsid w:val="25A93CC2"/>
    <w:rsid w:val="423F358D"/>
    <w:rsid w:val="467934D4"/>
    <w:rsid w:val="67D30150"/>
    <w:rsid w:val="69847953"/>
    <w:rsid w:val="6E5D69C5"/>
    <w:rsid w:val="7507768A"/>
    <w:rsid w:val="759427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ormalIndent"/>
    <w:basedOn w:val="1"/>
    <w:next w:val="1"/>
    <w:qFormat/>
    <w:locked/>
    <w:uiPriority w:val="0"/>
    <w:pPr>
      <w:ind w:firstLine="420" w:firstLineChars="200"/>
      <w:jc w:val="both"/>
      <w:textAlignment w:val="baseline"/>
    </w:pPr>
    <w:rPr>
      <w:rFonts w:ascii="Calibri" w:hAnsi="Calibri"/>
      <w:kern w:val="2"/>
      <w:sz w:val="28"/>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2540</Words>
  <Characters>2668</Characters>
  <Lines>0</Lines>
  <Paragraphs>0</Paragraphs>
  <TotalTime>4</TotalTime>
  <ScaleCrop>false</ScaleCrop>
  <LinksUpToDate>false</LinksUpToDate>
  <CharactersWithSpaces>2668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2026-04-08T04:40:00Z</dcterms:created>
  <dc:creator>Administrator</dc:creator>
  <cp:lastModifiedBy>最后一块巧克力</cp:lastModifiedBy>
  <dcterms:modified xsi:type="dcterms:W3CDTF">2026-10-14T08:12:05Z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eyJoZGlkIjoiZGFhZDljZDdkYzhmMTYwMjE3YjYwOWViYTMzNTBiNDgiLCJ1c2VySWQiOiI0MTkzNjk0MzUifQ==</vt:lpwstr>
  </property>
  <property fmtid="{D5CDD505-2E9C-101B-9397-08002B2CF9AE}" pid="4" name="ICV">
    <vt:lpwstr>D6F7932E9A464BD3B8A6B35A75D0A5F8_12</vt:lpwstr>
  </property>
</Properties>
</file>