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E940A4">
      <w:pPr>
        <w:pStyle w:val="2"/>
        <w:ind w:firstLine="2800" w:firstLineChars="1000"/>
        <w:rPr>
          <w:rFonts w:hint="default" w:ascii="仿宋" w:hAnsi="仿宋" w:eastAsia="仿宋" w:cs="仿宋"/>
          <w:color w:val="auto"/>
          <w:sz w:val="28"/>
          <w:szCs w:val="28"/>
          <w:lang w:val="en-US" w:eastAsia="zh-CN" w:bidi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 w:bidi="zh-CN"/>
        </w:rPr>
        <w:t>施工规范及要求</w:t>
      </w:r>
    </w:p>
    <w:p w14:paraId="73EB3568">
      <w:pPr>
        <w:pStyle w:val="2"/>
        <w:numPr>
          <w:ilvl w:val="0"/>
          <w:numId w:val="1"/>
        </w:numPr>
        <w:ind w:left="0" w:leftChars="0" w:firstLine="0" w:firstLineChars="0"/>
        <w:rPr>
          <w:rFonts w:hint="eastAsia" w:ascii="仿宋" w:hAnsi="仿宋" w:eastAsia="仿宋" w:cs="仿宋"/>
          <w:color w:val="auto"/>
          <w:sz w:val="28"/>
          <w:szCs w:val="28"/>
          <w:lang w:val="en-US" w:eastAsia="zh-CN" w:bidi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 w:bidi="zh-CN"/>
        </w:rPr>
        <w:t>压滤车间变：铜牌尺寸TMY-4(80X6)ABCN，单相单根铜牌长15米。</w:t>
      </w:r>
    </w:p>
    <w:p w14:paraId="1F28E664">
      <w:pPr>
        <w:pStyle w:val="2"/>
        <w:numPr>
          <w:ilvl w:val="0"/>
          <w:numId w:val="0"/>
        </w:numPr>
        <w:ind w:leftChars="0"/>
        <w:rPr>
          <w:rFonts w:hint="default" w:ascii="仿宋" w:hAnsi="仿宋" w:eastAsia="仿宋" w:cs="仿宋"/>
          <w:color w:val="auto"/>
          <w:sz w:val="24"/>
          <w:szCs w:val="24"/>
          <w:lang w:val="en-US" w:eastAsia="zh-CN" w:bidi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 w:bidi="zh-CN"/>
        </w:rPr>
        <w:t>施工要求：单相单根铜牌使用耐压10kV绝缘热缩套管处理。</w:t>
      </w:r>
    </w:p>
    <w:p w14:paraId="0458B736">
      <w:pPr>
        <w:pStyle w:val="2"/>
        <w:ind w:left="0" w:leftChars="0" w:firstLine="0" w:firstLineChars="0"/>
        <w:rPr>
          <w:rFonts w:hint="default" w:ascii="仿宋" w:hAnsi="仿宋" w:eastAsia="仿宋" w:cs="仿宋"/>
          <w:color w:val="auto"/>
          <w:sz w:val="28"/>
          <w:szCs w:val="28"/>
          <w:lang w:val="en-US" w:eastAsia="zh-CN" w:bidi="zh-CN"/>
        </w:rPr>
      </w:pPr>
      <w:r>
        <w:rPr>
          <w:rFonts w:hint="default" w:ascii="仿宋" w:hAnsi="仿宋" w:eastAsia="仿宋" w:cs="仿宋"/>
          <w:color w:val="auto"/>
          <w:sz w:val="28"/>
          <w:szCs w:val="28"/>
          <w:lang w:val="en-US" w:eastAsia="zh-CN" w:bidi="zh-CN"/>
        </w:rPr>
        <w:drawing>
          <wp:inline distT="0" distB="0" distL="114300" distR="114300">
            <wp:extent cx="6623050" cy="4095750"/>
            <wp:effectExtent l="0" t="0" r="6350" b="0"/>
            <wp:docPr id="1" name="图片 1" descr="ba8b6bfca185f42edbfe2ed3e11aa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a8b6bfca185f42edbfe2ed3e11aa38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230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4C530">
      <w:pPr>
        <w:pStyle w:val="2"/>
        <w:ind w:left="0" w:leftChars="0" w:firstLine="0" w:firstLineChars="0"/>
        <w:jc w:val="center"/>
        <w:rPr>
          <w:rFonts w:hint="eastAsia" w:ascii="仿宋" w:hAnsi="仿宋" w:eastAsia="仿宋" w:cs="仿宋"/>
          <w:color w:val="auto"/>
          <w:sz w:val="28"/>
          <w:szCs w:val="28"/>
          <w:lang w:val="en-US" w:eastAsia="zh-CN" w:bidi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 w:bidi="zh-CN"/>
        </w:rPr>
        <w:t>压滤车间变变压器室段</w:t>
      </w:r>
    </w:p>
    <w:p w14:paraId="44C839A3">
      <w:pPr>
        <w:pStyle w:val="2"/>
        <w:ind w:left="0" w:leftChars="0" w:firstLine="0" w:firstLineChars="0"/>
        <w:rPr>
          <w:rFonts w:hint="default" w:ascii="仿宋" w:hAnsi="仿宋" w:eastAsia="仿宋" w:cs="仿宋"/>
          <w:color w:val="auto"/>
          <w:sz w:val="28"/>
          <w:szCs w:val="28"/>
          <w:lang w:val="en-US" w:eastAsia="zh-CN" w:bidi="zh-CN"/>
        </w:rPr>
      </w:pPr>
      <w:r>
        <w:rPr>
          <w:rFonts w:hint="default" w:ascii="仿宋" w:hAnsi="仿宋" w:eastAsia="仿宋" w:cs="仿宋"/>
          <w:color w:val="auto"/>
          <w:sz w:val="28"/>
          <w:szCs w:val="28"/>
          <w:lang w:val="en-US" w:eastAsia="zh-CN" w:bidi="zh-CN"/>
        </w:rPr>
        <w:drawing>
          <wp:inline distT="0" distB="0" distL="114300" distR="114300">
            <wp:extent cx="3247390" cy="3525520"/>
            <wp:effectExtent l="0" t="0" r="10160" b="17780"/>
            <wp:docPr id="2" name="图片 2" descr="727d6cb3aa684f664f615505030f55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27d6cb3aa684f664f615505030f553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47390" cy="3525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仿宋"/>
          <w:color w:val="auto"/>
          <w:sz w:val="28"/>
          <w:szCs w:val="28"/>
          <w:lang w:val="en-US" w:eastAsia="zh-CN" w:bidi="zh-CN"/>
        </w:rPr>
        <w:drawing>
          <wp:inline distT="0" distB="0" distL="114300" distR="114300">
            <wp:extent cx="3325495" cy="3515995"/>
            <wp:effectExtent l="0" t="0" r="8255" b="8255"/>
            <wp:docPr id="3" name="图片 3" descr="f3ace7fd017a158771fc9165cf54d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3ace7fd017a158771fc9165cf54d69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25495" cy="35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CEA0A">
      <w:pPr>
        <w:pStyle w:val="2"/>
        <w:ind w:left="0" w:leftChars="0" w:firstLine="0" w:firstLineChars="0"/>
        <w:jc w:val="center"/>
        <w:rPr>
          <w:rFonts w:hint="eastAsia" w:ascii="仿宋" w:hAnsi="仿宋" w:eastAsia="仿宋" w:cs="仿宋"/>
          <w:color w:val="auto"/>
          <w:sz w:val="28"/>
          <w:szCs w:val="28"/>
          <w:lang w:val="en-US" w:eastAsia="zh-CN" w:bidi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 w:bidi="zh-CN"/>
        </w:rPr>
        <w:t>压滤车间变配电室段</w:t>
      </w:r>
    </w:p>
    <w:p w14:paraId="58560C87">
      <w:pPr>
        <w:pStyle w:val="2"/>
        <w:numPr>
          <w:ilvl w:val="0"/>
          <w:numId w:val="1"/>
        </w:numPr>
        <w:ind w:left="0" w:leftChars="0" w:firstLine="0" w:firstLineChars="0"/>
        <w:rPr>
          <w:rFonts w:hint="eastAsia" w:ascii="仿宋" w:hAnsi="仿宋" w:eastAsia="仿宋" w:cs="仿宋"/>
          <w:color w:val="auto"/>
          <w:sz w:val="24"/>
          <w:szCs w:val="24"/>
          <w:lang w:val="en-US" w:eastAsia="zh-CN" w:bidi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 w:bidi="zh-CN"/>
        </w:rPr>
        <w:t>上清液干式变：铜牌尺寸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 w:bidi="zh-CN"/>
        </w:rPr>
        <w:t>TMY-4(60X6)ABCN，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 w:bidi="zh-CN"/>
        </w:rPr>
        <w:t>单相单根铜牌3米。</w:t>
      </w:r>
    </w:p>
    <w:p w14:paraId="360FD575">
      <w:pPr>
        <w:pStyle w:val="2"/>
        <w:numPr>
          <w:ilvl w:val="0"/>
          <w:numId w:val="0"/>
        </w:numPr>
        <w:ind w:leftChars="0"/>
        <w:rPr>
          <w:rFonts w:hint="eastAsia" w:ascii="仿宋" w:hAnsi="仿宋" w:eastAsia="仿宋" w:cs="仿宋"/>
          <w:color w:val="auto"/>
          <w:sz w:val="28"/>
          <w:szCs w:val="28"/>
          <w:lang w:val="en-US" w:eastAsia="zh-CN" w:bidi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 w:bidi="zh-CN"/>
        </w:rPr>
        <w:t>施工要求：单相单根铜牌使用耐压10kV绝缘热缩套管处理。</w:t>
      </w:r>
    </w:p>
    <w:p w14:paraId="20EE12C3">
      <w:pPr>
        <w:pStyle w:val="2"/>
        <w:ind w:left="0" w:leftChars="0" w:firstLine="0" w:firstLineChars="0"/>
        <w:jc w:val="center"/>
        <w:rPr>
          <w:rFonts w:hint="eastAsia" w:ascii="仿宋" w:hAnsi="仿宋" w:eastAsia="仿宋" w:cs="仿宋"/>
          <w:color w:val="auto"/>
          <w:sz w:val="28"/>
          <w:szCs w:val="28"/>
          <w:lang w:val="en-US" w:eastAsia="zh-CN" w:bidi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 w:bidi="zh-CN"/>
        </w:rPr>
        <w:drawing>
          <wp:inline distT="0" distB="0" distL="114300" distR="114300">
            <wp:extent cx="6623050" cy="4337685"/>
            <wp:effectExtent l="0" t="0" r="6350" b="5715"/>
            <wp:docPr id="4" name="图片 4" descr="590b4d33f6b3e136b08a0604aa250a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590b4d33f6b3e136b08a0604aa250a4c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23050" cy="433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5E563">
      <w:pPr>
        <w:pStyle w:val="2"/>
        <w:ind w:left="0" w:leftChars="0" w:firstLine="0" w:firstLineChars="0"/>
        <w:rPr>
          <w:rFonts w:hint="default" w:ascii="仿宋" w:hAnsi="仿宋" w:eastAsia="仿宋" w:cs="仿宋"/>
          <w:color w:val="auto"/>
          <w:sz w:val="28"/>
          <w:szCs w:val="28"/>
          <w:lang w:val="en-US" w:eastAsia="zh-CN" w:bidi="zh-CN"/>
        </w:rPr>
      </w:pPr>
      <w:r>
        <w:rPr>
          <w:rFonts w:hint="default" w:ascii="仿宋" w:hAnsi="仿宋" w:eastAsia="仿宋" w:cs="仿宋"/>
          <w:color w:val="auto"/>
          <w:sz w:val="28"/>
          <w:szCs w:val="28"/>
          <w:lang w:val="en-US" w:eastAsia="zh-CN" w:bidi="zh-CN"/>
        </w:rPr>
        <w:drawing>
          <wp:inline distT="0" distB="0" distL="114300" distR="114300">
            <wp:extent cx="6623050" cy="3126740"/>
            <wp:effectExtent l="0" t="0" r="6350" b="16510"/>
            <wp:docPr id="5" name="图片 5" descr="9d034d80b6bb3f7ae455b6aee913bc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9d034d80b6bb3f7ae455b6aee913bc1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23050" cy="312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999D7">
      <w:pPr>
        <w:pStyle w:val="2"/>
        <w:numPr>
          <w:ilvl w:val="0"/>
          <w:numId w:val="1"/>
        </w:numPr>
        <w:ind w:left="0" w:leftChars="0" w:firstLine="0" w:firstLineChars="0"/>
        <w:rPr>
          <w:rFonts w:hint="eastAsia" w:ascii="仿宋" w:hAnsi="仿宋" w:eastAsia="仿宋" w:cs="仿宋"/>
          <w:color w:val="auto"/>
          <w:sz w:val="24"/>
          <w:szCs w:val="24"/>
          <w:lang w:val="en-US" w:eastAsia="zh-CN" w:bidi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 w:bidi="zh-CN"/>
        </w:rPr>
        <w:t>验收标准</w:t>
      </w:r>
    </w:p>
    <w:p w14:paraId="04474B86">
      <w:pPr>
        <w:pStyle w:val="5"/>
        <w:numPr>
          <w:ilvl w:val="0"/>
          <w:numId w:val="0"/>
        </w:numPr>
        <w:jc w:val="both"/>
        <w:rPr>
          <w:rFonts w:hint="eastAsia" w:ascii="仿宋" w:hAnsi="仿宋" w:eastAsia="仿宋" w:cs="仿宋"/>
          <w:color w:val="auto"/>
          <w:sz w:val="24"/>
          <w:szCs w:val="24"/>
          <w:lang w:val="en-US" w:eastAsia="zh-CN" w:bidi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 w:bidi="zh-CN"/>
        </w:rPr>
        <w:t>1. 外观：套管紧贴铜排，无气泡、鼓包、裂纹、烧焦、破损，折弯处褶皱尽量平整，无起翘。</w:t>
      </w:r>
    </w:p>
    <w:p w14:paraId="4E2668FA">
      <w:pPr>
        <w:pStyle w:val="5"/>
        <w:numPr>
          <w:ilvl w:val="0"/>
          <w:numId w:val="0"/>
        </w:numPr>
        <w:jc w:val="both"/>
        <w:rPr>
          <w:rFonts w:hint="eastAsia" w:ascii="仿宋" w:hAnsi="仿宋" w:eastAsia="仿宋" w:cs="仿宋"/>
          <w:color w:val="auto"/>
          <w:sz w:val="24"/>
          <w:szCs w:val="24"/>
          <w:lang w:val="en-US" w:eastAsia="zh-CN" w:bidi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 w:bidi="zh-CN"/>
        </w:rPr>
        <w:t>2. 绝缘：套管无破损；完工后做绝缘电阻测试（500V兆欧表），绝缘电阻对地绝缘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zh-CN"/>
        </w:rPr>
        <w:t>≧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 w:bidi="zh-CN"/>
        </w:rPr>
        <w:t>500兆欧。</w:t>
      </w:r>
    </w:p>
    <w:p w14:paraId="1AC09ED0">
      <w:pPr>
        <w:pStyle w:val="5"/>
        <w:numPr>
          <w:ilvl w:val="0"/>
          <w:numId w:val="0"/>
        </w:numPr>
        <w:jc w:val="both"/>
        <w:rPr>
          <w:rFonts w:hint="eastAsia" w:ascii="仿宋" w:hAnsi="仿宋" w:eastAsia="仿宋" w:cs="仿宋"/>
          <w:color w:val="auto"/>
          <w:sz w:val="24"/>
          <w:szCs w:val="24"/>
          <w:lang w:val="en-US" w:eastAsia="zh-CN" w:bidi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 w:bidi="zh-CN"/>
        </w:rPr>
        <w:t>3. 安全距离：套管包覆后，相间、对地电气净距满足GB 7251要求，不得缩小安全间隙。</w:t>
      </w:r>
    </w:p>
    <w:p w14:paraId="20E71B13">
      <w:pPr>
        <w:pStyle w:val="5"/>
        <w:numPr>
          <w:ilvl w:val="0"/>
          <w:numId w:val="0"/>
        </w:numPr>
        <w:jc w:val="both"/>
        <w:rPr>
          <w:rFonts w:hint="eastAsia" w:ascii="仿宋" w:hAnsi="仿宋" w:eastAsia="仿宋" w:cs="仿宋"/>
          <w:color w:val="auto"/>
          <w:sz w:val="24"/>
          <w:szCs w:val="24"/>
          <w:lang w:val="en-US" w:eastAsia="zh-CN" w:bidi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 w:bidi="zh-CN"/>
        </w:rPr>
        <w:t>4. 标识：相序颜色正确，标识清晰。</w:t>
      </w:r>
    </w:p>
    <w:p w14:paraId="21EA41CE">
      <w:bookmarkStart w:id="0" w:name="_GoBack"/>
      <w:bookmarkEnd w:id="0"/>
    </w:p>
    <w:sectPr>
      <w:pgSz w:w="11906" w:h="16838"/>
      <w:pgMar w:top="794" w:right="737" w:bottom="794" w:left="73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C4FBB61"/>
    <w:multiLevelType w:val="singleLevel"/>
    <w:tmpl w:val="DC4FBB6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DD72DB"/>
    <w:rsid w:val="0BDD7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nhideWhenUsed/>
    <w:qFormat/>
    <w:uiPriority w:val="99"/>
    <w:pPr>
      <w:widowControl/>
      <w:ind w:firstLine="420" w:firstLineChars="100"/>
    </w:pPr>
    <w:rPr>
      <w:rFonts w:hAnsi="宋体" w:cs="宋体"/>
      <w:sz w:val="24"/>
      <w:szCs w:val="24"/>
    </w:rPr>
  </w:style>
  <w:style w:type="paragraph" w:styleId="3">
    <w:name w:val="Body Text"/>
    <w:basedOn w:val="1"/>
    <w:next w:val="4"/>
    <w:qFormat/>
    <w:uiPriority w:val="1"/>
    <w:pPr>
      <w:spacing w:before="6"/>
      <w:ind w:left="811" w:hanging="283"/>
    </w:pPr>
    <w:rPr>
      <w:sz w:val="28"/>
      <w:szCs w:val="28"/>
    </w:rPr>
  </w:style>
  <w:style w:type="paragraph" w:customStyle="1" w:styleId="4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5">
    <w:name w:val="Normal Indent"/>
    <w:basedOn w:val="3"/>
    <w:next w:val="6"/>
    <w:unhideWhenUsed/>
    <w:qFormat/>
    <w:uiPriority w:val="0"/>
    <w:pPr>
      <w:ind w:firstLine="420" w:firstLineChars="200"/>
    </w:pPr>
    <w:rPr>
      <w:szCs w:val="20"/>
    </w:rPr>
  </w:style>
  <w:style w:type="paragraph" w:customStyle="1" w:styleId="6">
    <w:name w:val="表格正文"/>
    <w:basedOn w:val="5"/>
    <w:qFormat/>
    <w:uiPriority w:val="0"/>
    <w:pPr>
      <w:autoSpaceDE w:val="0"/>
      <w:autoSpaceDN w:val="0"/>
      <w:adjustRightInd w:val="0"/>
      <w:spacing w:before="40" w:after="40"/>
      <w:jc w:val="center"/>
      <w:textAlignment w:val="bottom"/>
    </w:pPr>
    <w:rPr>
      <w:rFonts w:ascii="楷体_GB2312" w:eastAsia="楷体_GB2312"/>
      <w:snapToGrid w:val="0"/>
      <w:kern w:val="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2026-10-14T07:49:00Z</dcterms:created>
  <dc:creator>&amp;丁丁猫儿&amp;</dc:creator>
  <cp:lastModifiedBy>&amp;丁丁猫儿&amp;</cp:lastModifiedBy>
  <dcterms:modified xsi:type="dcterms:W3CDTF">2026-10-14T07:50:44Z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9C6FF045C2BA4C27AB172CE2F3B34E1E_11</vt:lpwstr>
  </property>
  <property fmtid="{D5CDD505-2E9C-101B-9397-08002B2CF9AE}" pid="4" name="KSOTemplateDocerSaveRecord">
    <vt:lpwstr>eyJoZGlkIjoiMTM3ODE0MjFlYTQyOWExZDVlM2FkYWRiZDZhNTRiMTgiLCJ1c2VySWQiOiI0NjkwMzA1NDcifQ==</vt:lpwstr>
  </property>
</Properties>
</file>