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spacing w:line="600" w:lineRule="exact"/>
        <w:jc w:val="center"/>
        <w:rPr>
          <w:rFonts w:hint="eastAsia" w:ascii="方正小标宋_GBK" w:hAnsi="黑体" w:eastAsia="方正小标宋_GBK"/>
          <w:color w:val="auto"/>
          <w:sz w:val="44"/>
          <w:highlight w:val="none"/>
        </w:rPr>
      </w:pPr>
      <w:bookmarkStart w:id="0" w:name="_GoBack"/>
      <w:bookmarkEnd w:id="0"/>
      <w:r>
        <w:rPr>
          <w:rFonts w:hint="eastAsia" w:ascii="方正小标宋_GBK" w:hAnsi="黑体" w:eastAsia="方正小标宋_GBK"/>
          <w:color w:val="auto"/>
          <w:sz w:val="44"/>
          <w:highlight w:val="none"/>
        </w:rPr>
        <w:t>重庆银行成都分行网络设备2026年-2028年</w:t>
      </w:r>
    </w:p>
    <w:p>
      <w:pPr>
        <w:keepNext w:val="0"/>
        <w:keepLines w:val="0"/>
        <w:pageBreakBefore w:val="0"/>
        <w:widowControl/>
        <w:kinsoku/>
        <w:wordWrap/>
        <w:overflowPunct/>
        <w:topLinePunct w:val="0"/>
        <w:autoSpaceDE/>
        <w:autoSpaceDN/>
        <w:bidi w:val="0"/>
        <w:spacing w:line="600" w:lineRule="exact"/>
        <w:jc w:val="center"/>
        <w:rPr>
          <w:rFonts w:ascii="方正仿宋_GBK" w:eastAsia="方正仿宋_GBK"/>
          <w:color w:val="auto"/>
          <w:sz w:val="32"/>
          <w:highlight w:val="none"/>
        </w:rPr>
      </w:pPr>
      <w:r>
        <w:rPr>
          <w:rFonts w:hint="eastAsia" w:ascii="方正小标宋_GBK" w:hAnsi="黑体" w:eastAsia="方正小标宋_GBK"/>
          <w:color w:val="auto"/>
          <w:sz w:val="44"/>
          <w:highlight w:val="none"/>
        </w:rPr>
        <w:t>维保项目</w:t>
      </w:r>
      <w:r>
        <w:rPr>
          <w:rFonts w:ascii="方正小标宋_GBK" w:hAnsi="黑体" w:eastAsia="方正小标宋_GBK"/>
          <w:color w:val="auto"/>
          <w:sz w:val="44"/>
          <w:highlight w:val="none"/>
        </w:rPr>
        <w:t>分散采购文件</w:t>
      </w:r>
    </w:p>
    <w:p>
      <w:pPr>
        <w:keepNext w:val="0"/>
        <w:keepLines w:val="0"/>
        <w:pageBreakBefore w:val="0"/>
        <w:widowControl/>
        <w:kinsoku/>
        <w:wordWrap/>
        <w:overflowPunct/>
        <w:topLinePunct w:val="0"/>
        <w:autoSpaceDE/>
        <w:autoSpaceDN/>
        <w:bidi w:val="0"/>
        <w:spacing w:line="600" w:lineRule="exact"/>
        <w:jc w:val="both"/>
        <w:rPr>
          <w:rFonts w:ascii="方正仿宋_GBK" w:eastAsia="方正仿宋_GBK"/>
          <w:color w:val="auto"/>
          <w:sz w:val="32"/>
          <w:highlight w:val="none"/>
        </w:rPr>
      </w:pPr>
    </w:p>
    <w:p>
      <w:pPr>
        <w:keepNext w:val="0"/>
        <w:keepLines w:val="0"/>
        <w:pageBreakBefore w:val="0"/>
        <w:widowControl/>
        <w:kinsoku/>
        <w:wordWrap/>
        <w:overflowPunct/>
        <w:topLinePunct w:val="0"/>
        <w:autoSpaceDE/>
        <w:autoSpaceDN/>
        <w:bidi w:val="0"/>
        <w:adjustRightInd w:val="0"/>
        <w:snapToGrid w:val="0"/>
        <w:spacing w:line="600" w:lineRule="exact"/>
        <w:ind w:left="0" w:leftChars="0" w:right="0" w:rightChars="0" w:firstLine="672"/>
        <w:jc w:val="left"/>
        <w:textAlignment w:val="auto"/>
        <w:outlineLvl w:val="9"/>
        <w:rPr>
          <w:rFonts w:hint="eastAsia" w:ascii="方正仿宋_GBK" w:hAnsi="方正仿宋_GBK" w:eastAsia="方正仿宋_GBK" w:cs="方正仿宋_GBK"/>
          <w:sz w:val="32"/>
          <w:lang w:eastAsia="zh-CN"/>
        </w:rPr>
      </w:pPr>
      <w:r>
        <w:rPr>
          <w:rFonts w:hint="eastAsia" w:ascii="方正仿宋_GBK" w:hAnsi="方正仿宋_GBK" w:eastAsia="方正仿宋_GBK" w:cs="方正仿宋_GBK"/>
          <w:sz w:val="32"/>
          <w:lang w:eastAsia="zh-CN"/>
        </w:rPr>
        <w:t>现就“重庆银行成都分行网络设备2026年-2028年维保项目”采购项目供应商进行公开征选，现将相关事项通知如下：</w:t>
      </w:r>
    </w:p>
    <w:p>
      <w:pPr>
        <w:keepNext w:val="0"/>
        <w:keepLines w:val="0"/>
        <w:pageBreakBefore w:val="0"/>
        <w:widowControl/>
        <w:numPr>
          <w:ilvl w:val="0"/>
          <w:numId w:val="1"/>
        </w:numPr>
        <w:kinsoku/>
        <w:wordWrap/>
        <w:overflowPunct/>
        <w:topLinePunct w:val="0"/>
        <w:autoSpaceDE/>
        <w:autoSpaceDN/>
        <w:bidi w:val="0"/>
        <w:adjustRightInd w:val="0"/>
        <w:snapToGrid w:val="0"/>
        <w:spacing w:line="600" w:lineRule="exact"/>
        <w:ind w:left="0" w:leftChars="0" w:right="0" w:rightChars="0" w:firstLine="672"/>
        <w:jc w:val="left"/>
        <w:textAlignment w:val="auto"/>
        <w:outlineLvl w:val="9"/>
        <w:rPr>
          <w:rFonts w:hint="eastAsia" w:ascii="方正仿宋_GBK" w:hAnsi="方正仿宋_GBK" w:eastAsia="方正仿宋_GBK" w:cs="方正仿宋_GBK"/>
          <w:sz w:val="32"/>
          <w:lang w:eastAsia="zh-CN"/>
        </w:rPr>
      </w:pPr>
      <w:r>
        <w:rPr>
          <w:rFonts w:hint="eastAsia" w:ascii="方正仿宋_GBK" w:hAnsi="方正仿宋_GBK" w:eastAsia="方正仿宋_GBK" w:cs="方正仿宋_GBK"/>
          <w:sz w:val="32"/>
          <w:lang w:eastAsia="zh-CN"/>
        </w:rPr>
        <w:t>报价为完成所要求服务的整体包干价，含人工费、</w:t>
      </w:r>
      <w:r>
        <w:rPr>
          <w:rFonts w:hint="eastAsia" w:ascii="方正仿宋_GBK" w:hAnsi="方正仿宋_GBK" w:eastAsia="方正仿宋_GBK" w:cs="方正仿宋_GBK"/>
          <w:sz w:val="32"/>
          <w:lang w:val="en-US" w:eastAsia="zh-CN"/>
        </w:rPr>
        <w:t>差旅费、</w:t>
      </w:r>
      <w:r>
        <w:rPr>
          <w:rFonts w:hint="eastAsia" w:ascii="方正仿宋_GBK" w:hAnsi="方正仿宋_GBK" w:eastAsia="方正仿宋_GBK" w:cs="方正仿宋_GBK"/>
          <w:sz w:val="32"/>
          <w:lang w:eastAsia="zh-CN"/>
        </w:rPr>
        <w:t>税费等所有一切费用，须提供增值税专票。本项目最高限价</w:t>
      </w:r>
      <w:r>
        <w:rPr>
          <w:rFonts w:hint="eastAsia" w:ascii="方正仿宋_GBK" w:hAnsi="方正仿宋_GBK" w:eastAsia="方正仿宋_GBK" w:cs="方正仿宋_GBK"/>
          <w:sz w:val="32"/>
          <w:lang w:val="en-US" w:eastAsia="zh-CN"/>
        </w:rPr>
        <w:t>18.3</w:t>
      </w:r>
      <w:r>
        <w:rPr>
          <w:rFonts w:hint="eastAsia" w:ascii="方正仿宋_GBK" w:hAnsi="方正仿宋_GBK" w:eastAsia="方正仿宋_GBK" w:cs="方正仿宋_GBK"/>
          <w:sz w:val="32"/>
          <w:lang w:eastAsia="zh-CN"/>
        </w:rPr>
        <w:t>万元</w:t>
      </w:r>
      <w:r>
        <w:rPr>
          <w:rFonts w:hint="eastAsia" w:ascii="方正仿宋_GBK" w:hAnsi="方正仿宋_GBK" w:eastAsia="方正仿宋_GBK" w:cs="方正仿宋_GBK"/>
          <w:sz w:val="32"/>
          <w:lang w:val="en-US" w:eastAsia="zh-CN"/>
        </w:rPr>
        <w:t>。</w:t>
      </w:r>
      <w:r>
        <w:rPr>
          <w:rFonts w:hint="eastAsia" w:ascii="方正仿宋_GBK" w:hAnsi="方正仿宋_GBK" w:eastAsia="方正仿宋_GBK" w:cs="方正仿宋_GBK"/>
          <w:sz w:val="32"/>
          <w:lang w:eastAsia="zh-CN"/>
        </w:rPr>
        <w:t>超过最高限价都将作无效报价处理。</w:t>
      </w:r>
    </w:p>
    <w:p>
      <w:pPr>
        <w:pStyle w:val="5"/>
        <w:keepNext w:val="0"/>
        <w:keepLines w:val="0"/>
        <w:pageBreakBefore w:val="0"/>
        <w:numPr>
          <w:ilvl w:val="0"/>
          <w:numId w:val="0"/>
        </w:numPr>
        <w:kinsoku/>
        <w:wordWrap/>
        <w:overflowPunct/>
        <w:topLinePunct w:val="0"/>
        <w:autoSpaceDE/>
        <w:autoSpaceDN/>
        <w:bidi w:val="0"/>
        <w:spacing w:line="600" w:lineRule="exact"/>
        <w:ind w:firstLine="640" w:firstLineChars="200"/>
        <w:rPr>
          <w:rFonts w:hint="eastAsia"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二、受邀请对项目报价，两次不参与项目报价的，我部将取消其供应商资格。</w:t>
      </w:r>
    </w:p>
    <w:p>
      <w:pPr>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color w:val="auto"/>
          <w:sz w:val="32"/>
          <w:highlight w:val="none"/>
          <w:lang w:val="en-US" w:eastAsia="zh-CN"/>
        </w:rPr>
      </w:pPr>
      <w:r>
        <w:rPr>
          <w:rFonts w:hint="eastAsia" w:ascii="方正仿宋_GBK" w:hAnsi="方正仿宋_GBK" w:eastAsia="方正仿宋_GBK" w:cs="方正仿宋_GBK"/>
          <w:sz w:val="32"/>
          <w:szCs w:val="32"/>
          <w:lang w:val="en-US" w:eastAsia="zh-CN"/>
        </w:rPr>
        <w:t>三</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color w:val="auto"/>
          <w:sz w:val="32"/>
          <w:highlight w:val="none"/>
          <w:lang w:val="en-US" w:eastAsia="zh-CN"/>
        </w:rPr>
        <w:t>请于2026年10月27日12:00时前将以下材料一同</w:t>
      </w:r>
      <w:r>
        <w:rPr>
          <w:rFonts w:hint="eastAsia" w:ascii="方正仿宋_GBK" w:hAnsi="方正仿宋_GBK" w:eastAsia="方正仿宋_GBK" w:cs="方正仿宋_GBK"/>
          <w:b/>
          <w:bCs/>
          <w:color w:val="auto"/>
          <w:sz w:val="32"/>
          <w:highlight w:val="none"/>
          <w:lang w:val="en-US" w:eastAsia="zh-CN"/>
        </w:rPr>
        <w:t>密封</w:t>
      </w:r>
      <w:r>
        <w:rPr>
          <w:rFonts w:hint="eastAsia" w:ascii="方正仿宋_GBK" w:hAnsi="方正仿宋_GBK" w:eastAsia="方正仿宋_GBK" w:cs="方正仿宋_GBK"/>
          <w:color w:val="auto"/>
          <w:sz w:val="32"/>
          <w:highlight w:val="none"/>
          <w:lang w:val="en-US" w:eastAsia="zh-CN"/>
        </w:rPr>
        <w:t>送达“成都市高新区天府二街99号30楼重庆银行成都分行”：</w:t>
      </w:r>
    </w:p>
    <w:p>
      <w:pPr>
        <w:keepNext w:val="0"/>
        <w:keepLines w:val="0"/>
        <w:pageBreakBefore w:val="0"/>
        <w:widowControl/>
        <w:kinsoku/>
        <w:wordWrap/>
        <w:overflowPunct/>
        <w:topLinePunct w:val="0"/>
        <w:autoSpaceDE/>
        <w:autoSpaceDN/>
        <w:bidi w:val="0"/>
        <w:adjustRightInd w:val="0"/>
        <w:snapToGrid w:val="0"/>
        <w:spacing w:line="600" w:lineRule="exact"/>
        <w:ind w:right="0" w:rightChars="0"/>
        <w:jc w:val="left"/>
        <w:textAlignment w:val="auto"/>
        <w:outlineLvl w:val="9"/>
        <w:rPr>
          <w:rFonts w:hint="eastAsia" w:ascii="方正仿宋_GBK" w:hAnsi="方正仿宋_GBK" w:eastAsia="方正仿宋_GBK" w:cs="方正仿宋_GBK"/>
          <w:color w:val="auto"/>
          <w:sz w:val="32"/>
          <w:highlight w:val="none"/>
        </w:rPr>
      </w:pPr>
      <w:r>
        <w:rPr>
          <w:rFonts w:hint="eastAsia" w:ascii="方正仿宋_GBK" w:hAnsi="方正仿宋_GBK" w:eastAsia="方正仿宋_GBK" w:cs="方正仿宋_GBK"/>
          <w:color w:val="auto"/>
          <w:sz w:val="32"/>
          <w:highlight w:val="none"/>
          <w:lang w:val="en-US" w:eastAsia="zh-CN"/>
        </w:rPr>
        <w:t>报价</w:t>
      </w:r>
      <w:r>
        <w:rPr>
          <w:rFonts w:hint="eastAsia" w:ascii="方正仿宋_GBK" w:hAnsi="方正仿宋_GBK" w:eastAsia="方正仿宋_GBK" w:cs="方正仿宋_GBK"/>
          <w:color w:val="auto"/>
          <w:sz w:val="32"/>
          <w:highlight w:val="none"/>
        </w:rPr>
        <w:t>资料</w:t>
      </w:r>
      <w:r>
        <w:rPr>
          <w:rFonts w:hint="eastAsia" w:ascii="方正仿宋_GBK" w:hAnsi="方正仿宋_GBK" w:eastAsia="方正仿宋_GBK" w:cs="方正仿宋_GBK"/>
          <w:color w:val="auto"/>
          <w:sz w:val="32"/>
          <w:highlight w:val="none"/>
          <w:lang w:eastAsia="zh-CN"/>
        </w:rPr>
        <w:t>；</w:t>
      </w:r>
      <w:r>
        <w:rPr>
          <w:rFonts w:hint="eastAsia" w:ascii="方正仿宋_GBK" w:hAnsi="方正仿宋_GBK" w:eastAsia="方正仿宋_GBK" w:cs="方正仿宋_GBK"/>
          <w:color w:val="auto"/>
          <w:sz w:val="32"/>
          <w:highlight w:val="none"/>
        </w:rPr>
        <w:t>公司资料（包括营业执照以及我行要求的其他相关资质证书复印件）</w:t>
      </w:r>
      <w:r>
        <w:rPr>
          <w:rFonts w:hint="eastAsia" w:ascii="方正仿宋_GBK" w:hAnsi="方正仿宋_GBK" w:eastAsia="方正仿宋_GBK" w:cs="方正仿宋_GBK"/>
          <w:color w:val="auto"/>
          <w:sz w:val="32"/>
          <w:highlight w:val="none"/>
          <w:lang w:eastAsia="zh-CN"/>
        </w:rPr>
        <w:t>；</w:t>
      </w:r>
      <w:r>
        <w:rPr>
          <w:rFonts w:hint="eastAsia" w:ascii="方正仿宋_GBK" w:hAnsi="方正仿宋_GBK" w:eastAsia="方正仿宋_GBK" w:cs="方正仿宋_GBK"/>
          <w:color w:val="auto"/>
          <w:sz w:val="32"/>
          <w:highlight w:val="none"/>
        </w:rPr>
        <w:t>法人授权委托书（附授权人和被授权人的身份证复印件）</w:t>
      </w:r>
      <w:r>
        <w:rPr>
          <w:rFonts w:hint="eastAsia" w:ascii="方正仿宋_GBK" w:hAnsi="方正仿宋_GBK" w:eastAsia="方正仿宋_GBK" w:cs="方正仿宋_GBK"/>
          <w:color w:val="auto"/>
          <w:sz w:val="32"/>
          <w:highlight w:val="none"/>
          <w:lang w:val="en-US" w:eastAsia="zh-CN"/>
        </w:rPr>
        <w:t>。</w:t>
      </w:r>
      <w:r>
        <w:rPr>
          <w:rFonts w:hint="eastAsia" w:ascii="方正仿宋_GBK" w:hAnsi="方正仿宋_GBK" w:eastAsia="方正仿宋_GBK" w:cs="方正仿宋_GBK"/>
          <w:b/>
          <w:bCs/>
          <w:color w:val="auto"/>
          <w:sz w:val="32"/>
          <w:highlight w:val="none"/>
        </w:rPr>
        <w:t>投标人需现场谈判，请自带（至少2份）盖章版的空白报价表准备现场二次报价</w:t>
      </w:r>
      <w:r>
        <w:rPr>
          <w:rFonts w:hint="eastAsia" w:ascii="方正仿宋_GBK" w:hAnsi="方正仿宋_GBK" w:eastAsia="方正仿宋_GBK" w:cs="方正仿宋_GBK"/>
          <w:color w:val="auto"/>
          <w:sz w:val="32"/>
          <w:highlight w:val="none"/>
        </w:rPr>
        <w:t>。</w:t>
      </w:r>
    </w:p>
    <w:p>
      <w:pPr>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四、供应商</w:t>
      </w:r>
      <w:r>
        <w:rPr>
          <w:rFonts w:hint="eastAsia" w:ascii="方正仿宋_GBK" w:hAnsi="方正仿宋_GBK" w:eastAsia="方正仿宋_GBK" w:cs="方正仿宋_GBK"/>
          <w:sz w:val="32"/>
          <w:szCs w:val="32"/>
          <w:highlight w:val="none"/>
        </w:rPr>
        <w:t>项目资格要求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1、投标人需提供包含但不限于以下内容的承诺函（加盖投标人公章）：</w:t>
      </w:r>
    </w:p>
    <w:p>
      <w:pPr>
        <w:widowControl/>
        <w:spacing w:line="480" w:lineRule="auto"/>
        <w:ind w:firstLine="640" w:firstLineChars="200"/>
        <w:jc w:val="left"/>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 </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1.1</w:t>
      </w:r>
      <w:r>
        <w:rPr>
          <w:rFonts w:hint="eastAsia" w:ascii="方正仿宋_GBK" w:hAnsi="方正仿宋_GBK" w:eastAsia="方正仿宋_GBK" w:cs="方正仿宋_GBK"/>
          <w:color w:val="000000" w:themeColor="text1"/>
          <w:sz w:val="32"/>
          <w:szCs w:val="32"/>
          <w14:textFill>
            <w14:solidFill>
              <w14:schemeClr w14:val="tx1"/>
            </w14:solidFill>
          </w14:textFill>
        </w:rPr>
        <w:t>投标人未被“信用中国”网站列入失信被执行人和重大税收违法案件当事人名单</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提供“信用中国”网站下载的信用信息报告，并加</w:t>
      </w:r>
      <w:r>
        <w:rPr>
          <w:rFonts w:hint="eastAsia" w:ascii="方正仿宋_GBK" w:hAnsi="方正仿宋_GBK" w:eastAsia="方正仿宋_GBK" w:cs="方正仿宋_GBK"/>
          <w:sz w:val="32"/>
          <w:szCs w:val="32"/>
          <w:lang w:val="en-US" w:eastAsia="zh-CN"/>
        </w:rPr>
        <w:t>盖投标人公章）</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ascii="方正仿宋_GBK" w:hAnsi="宋体" w:eastAsia="方正仿宋_GBK"/>
          <w:b/>
          <w:bCs/>
          <w:sz w:val="28"/>
          <w:szCs w:val="28"/>
          <w:highlight w:val="none"/>
          <w:u w:val="single"/>
          <w:lang w:val="ru-RU"/>
        </w:rPr>
      </w:pPr>
      <w:r>
        <w:rPr>
          <w:rFonts w:hint="eastAsia" w:ascii="方正仿宋_GBK" w:hAnsi="宋体" w:eastAsia="方正仿宋_GBK"/>
          <w:b/>
          <w:bCs/>
          <w:sz w:val="28"/>
          <w:szCs w:val="28"/>
          <w:highlight w:val="none"/>
          <w:u w:val="single"/>
          <w:lang w:val="ru-RU"/>
        </w:rPr>
        <w:t>查询方式：进入信用中国网站http://www.creditchina.gov.cn，右上角查询框中输入企业名字查询，在查询结果中找到对应企业，下载信用信息报告。</w:t>
      </w:r>
    </w:p>
    <w:p>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ascii="方正仿宋_GBK" w:hAnsi="宋体" w:eastAsia="方正仿宋_GBK"/>
          <w:b/>
          <w:bCs/>
          <w:sz w:val="28"/>
          <w:szCs w:val="28"/>
          <w:highlight w:val="none"/>
          <w:u w:val="single"/>
          <w:lang w:val="ru-RU"/>
        </w:rPr>
      </w:pPr>
      <w:r>
        <w:rPr>
          <w:rFonts w:hint="eastAsia" w:ascii="方正仿宋_GBK" w:hAnsi="宋体" w:eastAsia="方正仿宋_GBK"/>
          <w:b/>
          <w:bCs/>
          <w:sz w:val="28"/>
          <w:szCs w:val="28"/>
          <w:highlight w:val="none"/>
          <w:u w:val="single"/>
          <w:lang w:val="ru-RU"/>
        </w:rPr>
        <w:t>提示：下载的信息信用信息报告 为PDF格式，名称为“法人和非法人组织公共信用信息报告”，右上角有二维码校验码。</w:t>
      </w:r>
    </w:p>
    <w:p>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rPr>
          <w:rFonts w:ascii="方正仿宋_GBK" w:hAnsi="宋体" w:eastAsia="方正仿宋_GBK"/>
          <w:b/>
          <w:bCs/>
          <w:sz w:val="28"/>
          <w:szCs w:val="28"/>
          <w:highlight w:val="none"/>
          <w:u w:val="single"/>
          <w:lang w:val="ru-RU"/>
        </w:rPr>
      </w:pPr>
      <w:r>
        <w:rPr>
          <w:rFonts w:hint="eastAsia" w:ascii="方正仿宋_GBK" w:hAnsi="宋体" w:eastAsia="方正仿宋_GBK"/>
          <w:b/>
          <w:bCs/>
          <w:sz w:val="28"/>
          <w:szCs w:val="28"/>
          <w:highlight w:val="none"/>
          <w:u w:val="single"/>
          <w:lang w:val="ru-RU"/>
        </w:rPr>
        <w:t>查询生成时间 ：应当为本招标文件发出之日至投标截止日之间任意一天。</w:t>
      </w:r>
    </w:p>
    <w:p>
      <w:pPr>
        <w:keepNext w:val="0"/>
        <w:keepLines w:val="0"/>
        <w:pageBreakBefore w:val="0"/>
        <w:widowControl w:val="0"/>
        <w:numPr>
          <w:ilvl w:val="0"/>
          <w:numId w:val="0"/>
        </w:numPr>
        <w:kinsoku/>
        <w:wordWrap/>
        <w:overflowPunct/>
        <w:topLinePunct w:val="0"/>
        <w:autoSpaceDE/>
        <w:autoSpaceDN/>
        <w:bidi w:val="0"/>
        <w:snapToGrid/>
        <w:spacing w:line="600" w:lineRule="exact"/>
        <w:ind w:firstLine="562" w:firstLineChars="200"/>
        <w:jc w:val="left"/>
        <w:rPr>
          <w:rFonts w:hint="eastAsia" w:ascii="方正仿宋_GBK" w:hAnsi="宋体" w:eastAsia="方正仿宋_GBK"/>
          <w:b/>
          <w:bCs/>
          <w:sz w:val="28"/>
          <w:szCs w:val="28"/>
          <w:highlight w:val="none"/>
          <w:u w:val="single"/>
          <w:lang w:val="ru-RU"/>
        </w:rPr>
      </w:pPr>
      <w:r>
        <w:rPr>
          <w:rFonts w:hint="eastAsia" w:ascii="方正仿宋_GBK" w:hAnsi="宋体" w:eastAsia="方正仿宋_GBK"/>
          <w:b/>
          <w:bCs/>
          <w:sz w:val="28"/>
          <w:szCs w:val="28"/>
          <w:highlight w:val="none"/>
          <w:u w:val="single"/>
          <w:lang w:val="ru-RU"/>
        </w:rPr>
        <w:t>递交方式：将信用信息报告装订入投标文件中。</w:t>
      </w:r>
    </w:p>
    <w:p>
      <w:pPr>
        <w:widowControl/>
        <w:spacing w:line="480" w:lineRule="auto"/>
        <w:ind w:firstLine="640" w:firstLineChars="200"/>
        <w:jc w:val="left"/>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 </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1.2</w:t>
      </w:r>
      <w:r>
        <w:rPr>
          <w:rFonts w:hint="eastAsia" w:ascii="方正仿宋_GBK" w:hAnsi="方正仿宋_GBK" w:eastAsia="方正仿宋_GBK" w:cs="方正仿宋_GBK"/>
          <w:color w:val="000000" w:themeColor="text1"/>
          <w:sz w:val="32"/>
          <w:szCs w:val="32"/>
          <w14:textFill>
            <w14:solidFill>
              <w14:schemeClr w14:val="tx1"/>
            </w14:solidFill>
          </w14:textFill>
        </w:rPr>
        <w:t>未列入重庆银行供应商禁用退出名单和负面清单；</w:t>
      </w:r>
    </w:p>
    <w:p>
      <w:pPr>
        <w:widowControl/>
        <w:spacing w:line="480" w:lineRule="auto"/>
        <w:ind w:firstLine="640" w:firstLineChars="200"/>
        <w:jc w:val="left"/>
        <w:rPr>
          <w:rFonts w:hint="default" w:ascii="方正仿宋_GBK" w:hAnsi="方正仿宋_GBK" w:eastAsia="方正仿宋_GBK" w:cs="方正仿宋_GBK"/>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 </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1.3</w:t>
      </w:r>
      <w:r>
        <w:rPr>
          <w:rFonts w:hint="eastAsia" w:ascii="方正仿宋_GBK" w:hAnsi="方正仿宋_GBK" w:eastAsia="方正仿宋_GBK" w:cs="方正仿宋_GBK"/>
          <w:color w:val="000000" w:themeColor="text1"/>
          <w:sz w:val="32"/>
          <w:szCs w:val="32"/>
          <w14:textFill>
            <w14:solidFill>
              <w14:schemeClr w14:val="tx1"/>
            </w14:solidFill>
          </w14:textFill>
        </w:rPr>
        <w:t>投标人不存在直接或间接地与招标人为本项目所委托的咨询公司或其附属机构有任何关联</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p>
      <w:pPr>
        <w:widowControl/>
        <w:spacing w:line="480" w:lineRule="auto"/>
        <w:ind w:firstLine="640" w:firstLineChars="200"/>
        <w:jc w:val="both"/>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 </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1.4</w:t>
      </w:r>
      <w:r>
        <w:rPr>
          <w:rFonts w:hint="eastAsia" w:ascii="方正仿宋_GBK" w:hAnsi="方正仿宋_GBK" w:eastAsia="方正仿宋_GBK" w:cs="方正仿宋_GBK"/>
          <w:color w:val="000000" w:themeColor="text1"/>
          <w:sz w:val="32"/>
          <w:szCs w:val="32"/>
          <w14:textFill>
            <w14:solidFill>
              <w14:schemeClr w14:val="tx1"/>
            </w14:solidFill>
          </w14:textFill>
        </w:rPr>
        <w:t>投标人法定代表人、控股股东或实际控制人与招标人高管人员及使用（需求部门）、采购人员无夫妻、直系血亲、三代以内旁系血亲或者近姻亲关系；</w:t>
      </w:r>
    </w:p>
    <w:p>
      <w:pPr>
        <w:widowControl/>
        <w:spacing w:line="480" w:lineRule="auto"/>
        <w:ind w:firstLine="640" w:firstLineChars="200"/>
        <w:jc w:val="both"/>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 </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1.5</w:t>
      </w:r>
      <w:r>
        <w:rPr>
          <w:rFonts w:hint="eastAsia" w:ascii="方正仿宋_GBK" w:hAnsi="方正仿宋_GBK" w:eastAsia="方正仿宋_GBK" w:cs="方正仿宋_GBK"/>
          <w:color w:val="000000" w:themeColor="text1"/>
          <w:sz w:val="32"/>
          <w:szCs w:val="32"/>
          <w14:textFill>
            <w14:solidFill>
              <w14:schemeClr w14:val="tx1"/>
            </w14:solidFill>
          </w14:textFill>
        </w:rPr>
        <w:t>存在下列关联关系情形的投标人不得同时参与本项目采购：</w:t>
      </w:r>
    </w:p>
    <w:p>
      <w:pPr>
        <w:widowControl/>
        <w:spacing w:line="480" w:lineRule="auto"/>
        <w:ind w:firstLine="640" w:firstLineChars="200"/>
        <w:jc w:val="left"/>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①存在控股、管理关系；</w:t>
      </w:r>
    </w:p>
    <w:p>
      <w:pPr>
        <w:widowControl/>
        <w:spacing w:line="480" w:lineRule="auto"/>
        <w:ind w:firstLine="640" w:firstLineChars="200"/>
        <w:jc w:val="left"/>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②一方直接持有另一方股权，比例超过 20%</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p>
      <w:pPr>
        <w:widowControl/>
        <w:spacing w:line="480" w:lineRule="auto"/>
        <w:ind w:firstLine="640" w:firstLineChars="200"/>
        <w:jc w:val="left"/>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③同时被同一第三方法人或非法人组织或自然人直接持有股权，比例超过20%（国家控股的投标人除外）；</w:t>
      </w:r>
    </w:p>
    <w:p>
      <w:pPr>
        <w:widowControl/>
        <w:spacing w:line="480" w:lineRule="auto"/>
        <w:ind w:firstLine="640" w:firstLineChars="200"/>
        <w:jc w:val="left"/>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④单位负责人、董事、监事等主要人员之一为同一人（以“国家企业信用信息公示系统”显示的“主要人员信息”名单为准）。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2、</w:t>
      </w:r>
      <w:r>
        <w:rPr>
          <w:rFonts w:hint="eastAsia" w:ascii="方正仿宋_GBK" w:hAnsi="方正仿宋_GBK" w:eastAsia="方正仿宋_GBK" w:cs="方正仿宋_GBK"/>
          <w:color w:val="000000" w:themeColor="text1"/>
          <w:sz w:val="32"/>
          <w:szCs w:val="32"/>
          <w14:textFill>
            <w14:solidFill>
              <w14:schemeClr w14:val="tx1"/>
            </w14:solidFill>
          </w14:textFill>
        </w:rPr>
        <w:t>不接受联合体投标</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jc w:val="left"/>
        <w:rPr>
          <w:rFonts w:hint="eastAsia" w:ascii="方正仿宋_GBK" w:hAnsi="宋体" w:eastAsia="方正仿宋_GBK"/>
          <w:b/>
          <w:bCs/>
          <w:sz w:val="28"/>
          <w:szCs w:val="28"/>
          <w:highlight w:val="none"/>
          <w:u w:val="single"/>
          <w:lang w:val="ru-RU"/>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3、投标人须为增值税一般纳税人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4、H3C星级服务资质要求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投标人须具备新华三（H3C）主网络三星级及以上星级服务资质，且资质在有效期内。</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证明材料：提供由新华三（H3C）颁布的主网络三星级及以上星级服务资质认证证书复印件，并加盖投标人公章。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5、</w:t>
      </w:r>
      <w:r>
        <w:rPr>
          <w:rFonts w:hint="default" w:ascii="方正仿宋_GBK" w:hAnsi="方正仿宋_GBK" w:eastAsia="方正仿宋_GBK" w:cs="方正仿宋_GBK"/>
          <w:sz w:val="32"/>
          <w:szCs w:val="32"/>
          <w:lang w:val="en-US" w:eastAsia="zh-CN"/>
        </w:rPr>
        <w:t>业绩要求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投标人近【3】年（</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2023</w:t>
      </w:r>
      <w:r>
        <w:rPr>
          <w:rFonts w:hint="eastAsia" w:ascii="方正仿宋_GBK" w:hAnsi="方正仿宋_GBK" w:eastAsia="方正仿宋_GBK" w:cs="方正仿宋_GBK"/>
          <w:color w:val="000000" w:themeColor="text1"/>
          <w:sz w:val="32"/>
          <w:szCs w:val="32"/>
          <w14:textFill>
            <w14:solidFill>
              <w14:schemeClr w14:val="tx1"/>
            </w14:solidFill>
          </w14:textFill>
        </w:rPr>
        <w:t>年</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w:t>
      </w:r>
      <w:r>
        <w:rPr>
          <w:rFonts w:hint="eastAsia" w:ascii="方正仿宋_GBK" w:hAnsi="方正仿宋_GBK" w:eastAsia="方正仿宋_GBK" w:cs="方正仿宋_GBK"/>
          <w:color w:val="000000" w:themeColor="text1"/>
          <w:sz w:val="32"/>
          <w:szCs w:val="32"/>
          <w14:textFill>
            <w14:solidFill>
              <w14:schemeClr w14:val="tx1"/>
            </w14:solidFill>
          </w14:textFill>
        </w:rPr>
        <w:t>月</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w:t>
      </w:r>
      <w:r>
        <w:rPr>
          <w:rFonts w:hint="eastAsia" w:ascii="方正仿宋_GBK" w:hAnsi="方正仿宋_GBK" w:eastAsia="方正仿宋_GBK" w:cs="方正仿宋_GBK"/>
          <w:color w:val="000000" w:themeColor="text1"/>
          <w:sz w:val="32"/>
          <w:szCs w:val="32"/>
          <w14:textFill>
            <w14:solidFill>
              <w14:schemeClr w14:val="tx1"/>
            </w14:solidFill>
          </w14:textFill>
        </w:rPr>
        <w:t>日至投标截止时间，以合同签订时间为准），至少有【1】个合同金额【</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10</w:t>
      </w:r>
      <w:r>
        <w:rPr>
          <w:rFonts w:hint="eastAsia" w:ascii="方正仿宋_GBK" w:hAnsi="方正仿宋_GBK" w:eastAsia="方正仿宋_GBK" w:cs="方正仿宋_GBK"/>
          <w:color w:val="000000" w:themeColor="text1"/>
          <w:sz w:val="32"/>
          <w:szCs w:val="32"/>
          <w14:textFill>
            <w14:solidFill>
              <w14:schemeClr w14:val="tx1"/>
            </w14:solidFill>
          </w14:textFill>
        </w:rPr>
        <w:t>】万元及以上、【</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网络设备维保</w:t>
      </w:r>
      <w:r>
        <w:rPr>
          <w:rFonts w:hint="eastAsia" w:ascii="方正仿宋_GBK" w:hAnsi="方正仿宋_GBK" w:eastAsia="方正仿宋_GBK" w:cs="方正仿宋_GBK"/>
          <w:color w:val="000000" w:themeColor="text1"/>
          <w:sz w:val="32"/>
          <w:szCs w:val="32"/>
          <w14:textFill>
            <w14:solidFill>
              <w14:schemeClr w14:val="tx1"/>
            </w14:solidFill>
          </w14:textFill>
        </w:rPr>
        <w:t>】业绩。</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2）</w:t>
      </w:r>
      <w:r>
        <w:rPr>
          <w:rFonts w:hint="eastAsia" w:ascii="方正仿宋_GBK" w:hAnsi="方正仿宋_GBK" w:eastAsia="方正仿宋_GBK" w:cs="方正仿宋_GBK"/>
          <w:color w:val="000000" w:themeColor="text1"/>
          <w:sz w:val="32"/>
          <w:szCs w:val="32"/>
          <w14:textFill>
            <w14:solidFill>
              <w14:schemeClr w14:val="tx1"/>
            </w14:solidFill>
          </w14:textFill>
        </w:rPr>
        <w:t>证明材料：提供案例合同复印件并加盖公章；合同复印件须包含合同首页、甲乙双方盖章页及包含业务范围描述的产品内容页（如无法提供产品内容页，或提供的产品内容页无法直接证明为上述相关内容的，投标人还须提供相关证明材料且该证明材料须经评标委员会认定其实质性工作内容符合上述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3）</w:t>
      </w:r>
      <w:r>
        <w:rPr>
          <w:rFonts w:hint="eastAsia" w:ascii="方正仿宋_GBK" w:hAnsi="方正仿宋_GBK" w:eastAsia="方正仿宋_GBK" w:cs="方正仿宋_GBK"/>
          <w:color w:val="000000" w:themeColor="text1"/>
          <w:sz w:val="32"/>
          <w:szCs w:val="32"/>
          <w14:textFill>
            <w14:solidFill>
              <w14:schemeClr w14:val="tx1"/>
            </w14:solidFill>
          </w14:textFill>
        </w:rPr>
        <w:t>案例的认定标准：合同名称或合同内容包含【</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网络设备</w:t>
      </w:r>
      <w:r>
        <w:rPr>
          <w:rFonts w:hint="eastAsia" w:ascii="方正仿宋_GBK" w:hAnsi="方正仿宋_GBK" w:eastAsia="方正仿宋_GBK" w:cs="方正仿宋_GBK"/>
          <w:color w:val="000000" w:themeColor="text1"/>
          <w:sz w:val="32"/>
          <w:szCs w:val="32"/>
          <w14:textFill>
            <w14:solidFill>
              <w14:schemeClr w14:val="tx1"/>
            </w14:solidFill>
          </w14:textFill>
        </w:rPr>
        <w:t>】或【</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交换机</w:t>
      </w:r>
      <w:r>
        <w:rPr>
          <w:rFonts w:hint="eastAsia" w:ascii="方正仿宋_GBK" w:hAnsi="方正仿宋_GBK" w:eastAsia="方正仿宋_GBK" w:cs="方正仿宋_GBK"/>
          <w:color w:val="000000" w:themeColor="text1"/>
          <w:sz w:val="32"/>
          <w:szCs w:val="32"/>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32"/>
          <w:szCs w:val="32"/>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路由器</w:t>
      </w:r>
      <w:r>
        <w:rPr>
          <w:rFonts w:hint="eastAsia" w:ascii="方正仿宋_GBK" w:hAnsi="方正仿宋_GBK" w:eastAsia="方正仿宋_GBK" w:cs="方正仿宋_GBK"/>
          <w:color w:val="000000" w:themeColor="text1"/>
          <w:sz w:val="32"/>
          <w:szCs w:val="32"/>
          <w14:textFill>
            <w14:solidFill>
              <w14:schemeClr w14:val="tx1"/>
            </w14:solidFill>
          </w14:textFill>
        </w:rPr>
        <w:t>】关键字，或合同中内容经评标委员会认定其实质性工作内容与上述相关关键字相符，均视为有效案例。若案例中虽包含上述关键字，但评标委员会认定该案例与本项目无实质关联性，则视为无效案例。</w:t>
      </w:r>
    </w:p>
    <w:p>
      <w:pPr>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Cs/>
          <w:sz w:val="32"/>
          <w:szCs w:val="32"/>
          <w:lang w:val="en-US" w:eastAsia="zh-CN"/>
        </w:rPr>
        <w:t>五、</w:t>
      </w:r>
      <w:r>
        <w:rPr>
          <w:rFonts w:hint="eastAsia" w:ascii="方正仿宋_GBK" w:hAnsi="方正仿宋_GBK" w:eastAsia="方正仿宋_GBK" w:cs="方正仿宋_GBK"/>
          <w:bCs/>
          <w:sz w:val="32"/>
          <w:szCs w:val="32"/>
        </w:rPr>
        <w:t>服务</w:t>
      </w:r>
      <w:r>
        <w:rPr>
          <w:rFonts w:hint="eastAsia" w:ascii="方正仿宋_GBK" w:hAnsi="方正仿宋_GBK" w:eastAsia="方正仿宋_GBK" w:cs="方正仿宋_GBK"/>
          <w:bCs/>
          <w:sz w:val="32"/>
          <w:szCs w:val="32"/>
          <w:lang w:val="en-US" w:eastAsia="zh-CN"/>
        </w:rPr>
        <w:t>要求</w:t>
      </w:r>
    </w:p>
    <w:p>
      <w:pPr>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详见：《附件1：</w:t>
      </w:r>
      <w:r>
        <w:rPr>
          <w:rFonts w:hint="eastAsia" w:ascii="方正仿宋_GBK" w:hAnsi="方正仿宋_GBK" w:eastAsia="方正仿宋_GBK" w:cs="方正仿宋_GBK"/>
          <w:bCs/>
          <w:sz w:val="32"/>
          <w:szCs w:val="32"/>
        </w:rPr>
        <w:t>重庆银行成都分行网络设备2026年-2028年维保项目要求</w:t>
      </w:r>
      <w:r>
        <w:rPr>
          <w:rFonts w:hint="eastAsia" w:ascii="方正仿宋_GBK" w:hAnsi="方正仿宋_GBK" w:eastAsia="方正仿宋_GBK" w:cs="方正仿宋_GBK"/>
          <w:bCs/>
          <w:sz w:val="32"/>
          <w:szCs w:val="32"/>
          <w:lang w:val="en-US" w:eastAsia="zh-CN"/>
        </w:rPr>
        <w:t>》</w:t>
      </w:r>
      <w:r>
        <w:rPr>
          <w:rFonts w:hint="eastAsia" w:ascii="方正仿宋_GBK" w:hAnsi="方正仿宋_GBK" w:eastAsia="方正仿宋_GBK" w:cs="方正仿宋_GBK"/>
          <w:bCs/>
          <w:sz w:val="32"/>
          <w:szCs w:val="32"/>
          <w:lang w:eastAsia="zh-CN"/>
        </w:rPr>
        <w:t>。</w:t>
      </w:r>
    </w:p>
    <w:p>
      <w:pPr>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六、</w:t>
      </w:r>
      <w:r>
        <w:rPr>
          <w:rFonts w:hint="eastAsia" w:ascii="方正仿宋_GBK" w:hAnsi="方正仿宋_GBK" w:eastAsia="方正仿宋_GBK" w:cs="方正仿宋_GBK"/>
          <w:bCs/>
          <w:sz w:val="32"/>
          <w:szCs w:val="32"/>
        </w:rPr>
        <w:t>履约保证金</w:t>
      </w:r>
      <w:r>
        <w:rPr>
          <w:rFonts w:hint="eastAsia" w:ascii="方正仿宋_GBK" w:hAnsi="方正仿宋_GBK" w:eastAsia="方正仿宋_GBK" w:cs="方正仿宋_GBK"/>
          <w:bCs/>
          <w:sz w:val="32"/>
          <w:szCs w:val="32"/>
          <w:lang w:eastAsia="zh-CN"/>
        </w:rPr>
        <w:t>：</w:t>
      </w:r>
      <w:r>
        <w:rPr>
          <w:rFonts w:hint="eastAsia" w:ascii="方正仿宋_GBK" w:hAnsi="方正仿宋_GBK" w:eastAsia="方正仿宋_GBK" w:cs="方正仿宋_GBK"/>
          <w:bCs/>
          <w:sz w:val="32"/>
          <w:szCs w:val="32"/>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Cs/>
          <w:sz w:val="32"/>
          <w:szCs w:val="32"/>
          <w:lang w:val="en-US" w:eastAsia="zh-CN"/>
        </w:rPr>
        <w:t>七、</w:t>
      </w:r>
      <w:r>
        <w:rPr>
          <w:rFonts w:hint="eastAsia" w:ascii="方正仿宋_GBK" w:hAnsi="方正仿宋_GBK" w:eastAsia="方正仿宋_GBK" w:cs="方正仿宋_GBK"/>
          <w:sz w:val="32"/>
          <w:szCs w:val="32"/>
          <w:lang w:val="en-US" w:eastAsia="zh-CN"/>
        </w:rPr>
        <w:t>项目团队人员要求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（1）供应商须为本项目配备现场实施人员至少3人，其中包含项目经理1名，【H3CIE工程师】人员2名。</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（2）项目经理作为项目经理或项目总监实施过【金融行业网络运维】相关案例数至少达到1个；【H3CIE工程师】人员参与【金融行业网络运维】相关案例至少达到1个。</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（3）供应商中选后，投标文件中为本项目配备的项目组人员将直接列入合同作为实质性条款，项目期间未经采购方允许不得更换。若发现弄虚作假，将取消中标资格。</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（4）认定标准：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960" w:firstLineChars="3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①供应商提供为本项目配备的现场实施人员名单及名单中对应人员的个人简历表（需加盖供应商公章），格式自拟。</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注： 个人简历表内容须包括但不限于：姓名、性别、年龄、学历（或学位）、专业、工作履历及证明人和联系方式、职称（或资质），以及在本项目中拟担任的岗位角色、职责、拟承担的工作内容等。</w:t>
      </w:r>
    </w:p>
    <w:p>
      <w:pPr>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color w:val="auto"/>
          <w:kern w:val="2"/>
          <w:sz w:val="32"/>
          <w:szCs w:val="32"/>
          <w:highlight w:val="none"/>
          <w:lang w:val="en-US" w:eastAsia="zh-CN" w:bidi="ar-SA"/>
        </w:rPr>
      </w:pPr>
      <w:r>
        <w:rPr>
          <w:rFonts w:hint="eastAsia" w:ascii="方正仿宋_GBK" w:hAnsi="方正仿宋_GBK" w:eastAsia="方正仿宋_GBK" w:cs="方正仿宋_GBK"/>
          <w:sz w:val="32"/>
          <w:szCs w:val="32"/>
          <w:lang w:val="en-US" w:eastAsia="zh-CN"/>
        </w:rPr>
        <w:t>②供应商提供上述人员为本单位人员的承诺函。</w:t>
      </w:r>
    </w:p>
    <w:p>
      <w:pPr>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color w:val="auto"/>
          <w:kern w:val="2"/>
          <w:sz w:val="32"/>
          <w:szCs w:val="32"/>
          <w:highlight w:val="none"/>
          <w:lang w:val="en-US" w:eastAsia="zh-CN" w:bidi="ar-SA"/>
        </w:rPr>
      </w:pPr>
      <w:r>
        <w:rPr>
          <w:rFonts w:hint="eastAsia" w:ascii="方正仿宋_GBK" w:hAnsi="方正仿宋_GBK" w:eastAsia="方正仿宋_GBK" w:cs="方正仿宋_GBK"/>
          <w:bCs/>
          <w:sz w:val="32"/>
          <w:szCs w:val="32"/>
          <w:lang w:val="en-US" w:eastAsia="zh-CN"/>
        </w:rPr>
        <w:t>八、</w:t>
      </w:r>
      <w:r>
        <w:rPr>
          <w:rFonts w:hint="eastAsia" w:ascii="方正仿宋_GBK" w:hAnsi="方正仿宋_GBK" w:eastAsia="方正仿宋_GBK" w:cs="方正仿宋_GBK"/>
          <w:bCs/>
          <w:sz w:val="32"/>
          <w:szCs w:val="32"/>
        </w:rPr>
        <w:t>服务期限</w:t>
      </w:r>
      <w:r>
        <w:rPr>
          <w:rFonts w:hint="eastAsia" w:ascii="方正仿宋_GBK" w:hAnsi="方正仿宋_GBK" w:eastAsia="方正仿宋_GBK" w:cs="方正仿宋_GBK"/>
          <w:bCs/>
          <w:sz w:val="32"/>
          <w:szCs w:val="32"/>
          <w:lang w:eastAsia="zh-CN"/>
        </w:rPr>
        <w:t>：</w:t>
      </w:r>
      <w:r>
        <w:rPr>
          <w:rFonts w:hint="eastAsia" w:ascii="方正仿宋_GBK" w:hAnsi="方正仿宋_GBK" w:eastAsia="方正仿宋_GBK" w:cs="方正仿宋_GBK"/>
          <w:sz w:val="32"/>
          <w:szCs w:val="32"/>
          <w:lang w:val="en-US" w:eastAsia="zh-CN"/>
        </w:rPr>
        <w:t>2026年10月31日至 2028年5月31日</w:t>
      </w:r>
      <w:r>
        <w:rPr>
          <w:rFonts w:hint="eastAsia" w:ascii="方正仿宋_GBK" w:hAnsi="方正仿宋_GBK" w:eastAsia="方正仿宋_GBK" w:cs="方正仿宋_GBK"/>
          <w:sz w:val="32"/>
          <w:szCs w:val="32"/>
        </w:rPr>
        <w:t>。</w:t>
      </w:r>
    </w:p>
    <w:p>
      <w:pPr>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color w:val="auto"/>
          <w:kern w:val="2"/>
          <w:sz w:val="32"/>
          <w:szCs w:val="32"/>
          <w:highlight w:val="none"/>
          <w:lang w:val="en-US" w:eastAsia="zh-CN" w:bidi="ar-SA"/>
        </w:rPr>
      </w:pPr>
      <w:r>
        <w:rPr>
          <w:rFonts w:hint="eastAsia" w:ascii="方正仿宋_GBK" w:hAnsi="方正仿宋_GBK" w:eastAsia="方正仿宋_GBK" w:cs="方正仿宋_GBK"/>
          <w:bCs/>
          <w:sz w:val="32"/>
          <w:szCs w:val="32"/>
          <w:lang w:val="en-US" w:eastAsia="zh-CN"/>
        </w:rPr>
        <w:t>九、报价要求：按维保服务需求报总价，报价应为包干价、含税价，提供增值税专用发票。</w:t>
      </w:r>
    </w:p>
    <w:p>
      <w:pPr>
        <w:pStyle w:val="6"/>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color w:val="auto"/>
          <w:kern w:val="2"/>
          <w:sz w:val="32"/>
          <w:szCs w:val="32"/>
          <w:highlight w:val="none"/>
          <w:lang w:val="en-US" w:eastAsia="zh-CN" w:bidi="ar-SA"/>
        </w:rPr>
      </w:pPr>
      <w:r>
        <w:rPr>
          <w:rFonts w:hint="eastAsia" w:ascii="方正仿宋_GBK" w:hAnsi="方正仿宋_GBK" w:eastAsia="方正仿宋_GBK" w:cs="方正仿宋_GBK"/>
          <w:color w:val="auto"/>
          <w:kern w:val="2"/>
          <w:sz w:val="32"/>
          <w:szCs w:val="32"/>
          <w:highlight w:val="none"/>
          <w:lang w:val="en-US" w:eastAsia="zh-CN" w:bidi="ar-SA"/>
        </w:rPr>
        <w:t>十、付款方式</w:t>
      </w:r>
    </w:p>
    <w:p>
      <w:pPr>
        <w:keepNext w:val="0"/>
        <w:keepLines w:val="0"/>
        <w:pageBreakBefore w:val="0"/>
        <w:kinsoku/>
        <w:wordWrap/>
        <w:overflowPunct/>
        <w:topLinePunct w:val="0"/>
        <w:autoSpaceDE/>
        <w:autoSpaceDN/>
        <w:bidi w:val="0"/>
        <w:spacing w:line="600" w:lineRule="exact"/>
        <w:ind w:firstLine="640" w:firstLineChars="200"/>
        <w:jc w:val="both"/>
        <w:rPr>
          <w:rFonts w:hint="default"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合同签订并生效后，购买原厂维保</w:t>
      </w:r>
      <w:r>
        <w:rPr>
          <w:rFonts w:hint="default" w:ascii="方正仿宋_GBK" w:hAnsi="方正仿宋_GBK" w:eastAsia="方正仿宋_GBK" w:cs="方正仿宋_GBK"/>
          <w:bCs/>
          <w:sz w:val="32"/>
          <w:szCs w:val="32"/>
          <w:lang w:val="en-US" w:eastAsia="zh-CN"/>
        </w:rPr>
        <w:t>后支付合同金额的</w:t>
      </w:r>
      <w:r>
        <w:rPr>
          <w:rFonts w:hint="eastAsia" w:ascii="方正仿宋_GBK" w:hAnsi="方正仿宋_GBK" w:eastAsia="方正仿宋_GBK" w:cs="方正仿宋_GBK"/>
          <w:bCs/>
          <w:sz w:val="32"/>
          <w:szCs w:val="32"/>
          <w:lang w:val="en-US" w:eastAsia="zh-CN"/>
        </w:rPr>
        <w:t>6</w:t>
      </w:r>
      <w:r>
        <w:rPr>
          <w:rFonts w:hint="default" w:ascii="方正仿宋_GBK" w:hAnsi="方正仿宋_GBK" w:eastAsia="方正仿宋_GBK" w:cs="方正仿宋_GBK"/>
          <w:bCs/>
          <w:sz w:val="32"/>
          <w:szCs w:val="32"/>
          <w:lang w:val="en-US" w:eastAsia="zh-CN"/>
        </w:rPr>
        <w:t>0%，服务期满后支付剩余</w:t>
      </w:r>
      <w:r>
        <w:rPr>
          <w:rFonts w:hint="eastAsia" w:ascii="方正仿宋_GBK" w:hAnsi="方正仿宋_GBK" w:eastAsia="方正仿宋_GBK" w:cs="方正仿宋_GBK"/>
          <w:bCs/>
          <w:sz w:val="32"/>
          <w:szCs w:val="32"/>
          <w:lang w:val="en-US" w:eastAsia="zh-CN"/>
        </w:rPr>
        <w:t>4</w:t>
      </w:r>
      <w:r>
        <w:rPr>
          <w:rFonts w:hint="default" w:ascii="方正仿宋_GBK" w:hAnsi="方正仿宋_GBK" w:eastAsia="方正仿宋_GBK" w:cs="方正仿宋_GBK"/>
          <w:bCs/>
          <w:sz w:val="32"/>
          <w:szCs w:val="32"/>
          <w:lang w:val="en-US" w:eastAsia="zh-CN"/>
        </w:rPr>
        <w:t>0%；</w:t>
      </w:r>
    </w:p>
    <w:p>
      <w:pPr>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bCs/>
          <w:sz w:val="32"/>
          <w:szCs w:val="32"/>
        </w:rPr>
      </w:pPr>
      <w:r>
        <w:rPr>
          <w:rFonts w:hint="eastAsia" w:ascii="方正仿宋_GBK" w:hAnsi="方正仿宋_GBK" w:eastAsia="方正仿宋_GBK" w:cs="方正仿宋_GBK"/>
          <w:bCs/>
          <w:sz w:val="32"/>
          <w:szCs w:val="32"/>
          <w:lang w:val="en-US" w:eastAsia="zh-CN"/>
        </w:rPr>
        <w:t>十一、</w:t>
      </w:r>
      <w:r>
        <w:rPr>
          <w:rFonts w:hint="eastAsia" w:ascii="方正仿宋_GBK" w:hAnsi="方正仿宋_GBK" w:eastAsia="方正仿宋_GBK" w:cs="方正仿宋_GBK"/>
          <w:bCs/>
          <w:sz w:val="32"/>
          <w:szCs w:val="32"/>
        </w:rPr>
        <w:t>评审办法及指标构成</w:t>
      </w:r>
    </w:p>
    <w:p>
      <w:pPr>
        <w:pStyle w:val="6"/>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本项目采用公开竞争性磋商的采购方式，评审方法采用综合评审法，本项目评分总分值为100分，其中报价部分为50分，商务部分26分、技术部分24分。根据评审结果选取综合得分第一名为成交供应商。具体评分标准如下表：</w:t>
      </w:r>
    </w:p>
    <w:p>
      <w:pPr>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br w:type="page"/>
      </w:r>
    </w:p>
    <w:p>
      <w:pPr>
        <w:pStyle w:val="6"/>
        <w:keepNext w:val="0"/>
        <w:keepLines w:val="0"/>
        <w:pageBreakBefore w:val="0"/>
        <w:kinsoku/>
        <w:wordWrap/>
        <w:overflowPunct/>
        <w:topLinePunct w:val="0"/>
        <w:autoSpaceDE/>
        <w:autoSpaceDN/>
        <w:bidi w:val="0"/>
        <w:spacing w:line="600" w:lineRule="exact"/>
        <w:jc w:val="both"/>
        <w:rPr>
          <w:rFonts w:hint="eastAsia" w:ascii="方正仿宋_GBK" w:hAnsi="方正仿宋_GBK" w:eastAsia="方正仿宋_GBK" w:cs="方正仿宋_GBK"/>
          <w:sz w:val="32"/>
          <w:szCs w:val="32"/>
          <w:lang w:val="en-US" w:eastAsia="zh-CN"/>
        </w:rPr>
      </w:pPr>
    </w:p>
    <w:tbl>
      <w:tblPr>
        <w:tblStyle w:val="7"/>
        <w:tblW w:w="90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6"/>
        <w:gridCol w:w="810"/>
        <w:gridCol w:w="1095"/>
        <w:gridCol w:w="63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评分项目</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分值</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评分</w:t>
            </w:r>
          </w:p>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细则</w:t>
            </w:r>
          </w:p>
        </w:tc>
        <w:tc>
          <w:tcPr>
            <w:tcW w:w="63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计分规则及依据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价格部分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50分</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最终</w:t>
            </w:r>
          </w:p>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报价</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（50分）</w:t>
            </w:r>
          </w:p>
        </w:tc>
        <w:tc>
          <w:tcPr>
            <w:tcW w:w="63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价格分统一采用低价优先法计算，即满足磋商文件要求且最终报价最低的为最终报价评审基准价，其价格分为满分。其他供应商的价格分统一按照下列公式计算：最终报价得分=(评审基准价／最终报价)×价格权重×100（价格得分保留小数点2位，四舍五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0" w:hRule="atLeast"/>
          <w:jc w:val="center"/>
        </w:trPr>
        <w:tc>
          <w:tcPr>
            <w:tcW w:w="8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商务部分</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26分</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相关</w:t>
            </w:r>
          </w:p>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业绩</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（20分）</w:t>
            </w:r>
          </w:p>
        </w:tc>
        <w:tc>
          <w:tcPr>
            <w:tcW w:w="63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根据投标人自2023年1月1日至投标截止日的金融行业网络维保项目业绩进行评分。合同金额不低于10万元（含）的，每提供1项得4分，本项最高得20分。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证明材料要求：</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1）提供案例合同复印件并加盖投标人公章；</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2）合同复印件须包含合同首页、甲乙双方盖章页及包含业务范围描述的服务内容关键页；</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3）案例时间以合同签订时间为准，如未明确签订日期以合同生效日为准。</w:t>
            </w:r>
          </w:p>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b/>
                <w:bCs/>
                <w:i w:val="0"/>
                <w:iCs w:val="0"/>
                <w:color w:val="000000"/>
                <w:kern w:val="0"/>
                <w:sz w:val="24"/>
                <w:szCs w:val="24"/>
                <w:u w:val="none"/>
                <w:lang w:val="en-US" w:eastAsia="zh-CN" w:bidi="ar"/>
              </w:rPr>
              <w:t>注：用于资格审查的合同业绩，不纳入本项评分。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8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4"/>
                <w:szCs w:val="24"/>
                <w:u w:val="none"/>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4"/>
                <w:szCs w:val="24"/>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技术人员配备</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（6分）</w:t>
            </w:r>
          </w:p>
        </w:tc>
        <w:tc>
          <w:tcPr>
            <w:tcW w:w="63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在满足至少2名H3CIE工程师要求的基础上，每增加1名具备H3CIE认证的工程师得3分，最高6分。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注：提供投标截止日前连续6个月由投标人为相关人员缴纳的社会保险证明材料，以及有效认证证书。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8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技术部分</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24分</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巡检及运维服务方案</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（12分）</w:t>
            </w:r>
          </w:p>
        </w:tc>
        <w:tc>
          <w:tcPr>
            <w:tcW w:w="63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根据网络设备巡检、H3C iMC平台巡检、配置管理、隐患排查及巡检报告等措施进行评分。内容完整、针对性强得9-12分；较完整得5-8分；一般得1-4分；未提供得0分。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8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4"/>
                <w:szCs w:val="24"/>
                <w:u w:val="none"/>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24"/>
                <w:szCs w:val="24"/>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故障处理及备机保障方案</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（12分）</w:t>
            </w:r>
          </w:p>
        </w:tc>
        <w:tc>
          <w:tcPr>
            <w:tcW w:w="63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根据故障响应流程、故障定位及恢复措施、备机调整及更换保障措施进行评分。内容完整、措施具体、可操作性强得9-12分；较完整得5-8分；一般得1-4分；未提供得0分。</w:t>
            </w:r>
          </w:p>
        </w:tc>
      </w:tr>
    </w:tbl>
    <w:p>
      <w:pPr>
        <w:pStyle w:val="6"/>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sz w:val="32"/>
          <w:szCs w:val="32"/>
          <w:lang w:val="en-US" w:eastAsia="zh-CN"/>
        </w:rPr>
      </w:pPr>
    </w:p>
    <w:p>
      <w:pPr>
        <w:pStyle w:val="6"/>
        <w:keepNext w:val="0"/>
        <w:keepLines w:val="0"/>
        <w:pageBreakBefore w:val="0"/>
        <w:kinsoku/>
        <w:wordWrap/>
        <w:overflowPunct/>
        <w:topLinePunct w:val="0"/>
        <w:autoSpaceDE/>
        <w:autoSpaceDN/>
        <w:bidi w:val="0"/>
        <w:spacing w:line="600" w:lineRule="exact"/>
        <w:ind w:firstLine="640" w:firstLineChars="200"/>
        <w:jc w:val="both"/>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联系人：张先生   联系电话18190868816</w:t>
      </w:r>
    </w:p>
    <w:p>
      <w:pPr>
        <w:pStyle w:val="6"/>
        <w:keepNext w:val="0"/>
        <w:keepLines w:val="0"/>
        <w:pageBreakBefore w:val="0"/>
        <w:kinsoku/>
        <w:wordWrap/>
        <w:overflowPunct/>
        <w:topLinePunct w:val="0"/>
        <w:autoSpaceDE/>
        <w:autoSpaceDN/>
        <w:bidi w:val="0"/>
        <w:spacing w:line="600" w:lineRule="exact"/>
        <w:ind w:firstLine="640" w:firstLineChars="200"/>
        <w:jc w:val="both"/>
        <w:rPr>
          <w:rFonts w:hint="eastAsia" w:ascii="方正仿宋_GBK" w:hAnsi="方正仿宋_GBK" w:eastAsia="方正仿宋_GBK" w:cs="方正仿宋_GBK"/>
          <w:sz w:val="32"/>
          <w:szCs w:val="32"/>
          <w:lang w:val="en-US" w:eastAsia="zh-CN"/>
        </w:rPr>
      </w:pPr>
    </w:p>
    <w:p>
      <w:pPr>
        <w:keepNext w:val="0"/>
        <w:keepLines w:val="0"/>
        <w:pageBreakBefore w:val="0"/>
        <w:widowControl/>
        <w:kinsoku/>
        <w:wordWrap/>
        <w:overflowPunct/>
        <w:topLinePunct w:val="0"/>
        <w:autoSpaceDE/>
        <w:autoSpaceDN/>
        <w:bidi w:val="0"/>
        <w:spacing w:line="600" w:lineRule="exact"/>
        <w:jc w:val="right"/>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rPr>
        <w:t>重庆银行</w:t>
      </w:r>
      <w:r>
        <w:rPr>
          <w:rFonts w:hint="eastAsia" w:ascii="方正仿宋_GBK" w:hAnsi="方正仿宋_GBK" w:eastAsia="方正仿宋_GBK" w:cs="方正仿宋_GBK"/>
          <w:color w:val="auto"/>
          <w:sz w:val="32"/>
          <w:szCs w:val="32"/>
          <w:highlight w:val="none"/>
          <w:lang w:val="en-US" w:eastAsia="zh-CN"/>
        </w:rPr>
        <w:t>成都分行办公室</w:t>
      </w:r>
    </w:p>
    <w:p>
      <w:pPr>
        <w:keepNext w:val="0"/>
        <w:keepLines w:val="0"/>
        <w:pageBreakBefore w:val="0"/>
        <w:widowControl/>
        <w:kinsoku/>
        <w:wordWrap w:val="0"/>
        <w:overflowPunct/>
        <w:topLinePunct w:val="0"/>
        <w:autoSpaceDE/>
        <w:autoSpaceDN/>
        <w:bidi w:val="0"/>
        <w:spacing w:line="600" w:lineRule="exact"/>
        <w:jc w:val="right"/>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rPr>
        <w:t xml:space="preserve">                </w:t>
      </w:r>
      <w:r>
        <w:rPr>
          <w:rFonts w:hint="eastAsia" w:ascii="方正仿宋_GBK" w:hAnsi="方正仿宋_GBK" w:eastAsia="方正仿宋_GBK" w:cs="方正仿宋_GBK"/>
          <w:color w:val="auto"/>
          <w:sz w:val="32"/>
          <w:szCs w:val="32"/>
          <w:highlight w:val="none"/>
          <w:lang w:val="en-US" w:eastAsia="zh-CN"/>
        </w:rPr>
        <w:t xml:space="preserve">             2026</w:t>
      </w:r>
      <w:r>
        <w:rPr>
          <w:rFonts w:hint="eastAsia" w:ascii="方正仿宋_GBK" w:hAnsi="方正仿宋_GBK" w:eastAsia="方正仿宋_GBK" w:cs="方正仿宋_GBK"/>
          <w:color w:val="auto"/>
          <w:sz w:val="32"/>
          <w:szCs w:val="32"/>
          <w:highlight w:val="none"/>
        </w:rPr>
        <w:t>年</w:t>
      </w:r>
      <w:r>
        <w:rPr>
          <w:rFonts w:hint="eastAsia" w:ascii="方正仿宋_GBK" w:hAnsi="方正仿宋_GBK" w:eastAsia="方正仿宋_GBK" w:cs="方正仿宋_GBK"/>
          <w:color w:val="auto"/>
          <w:sz w:val="32"/>
          <w:szCs w:val="32"/>
          <w:highlight w:val="none"/>
          <w:lang w:val="en-US" w:eastAsia="zh-CN"/>
        </w:rPr>
        <w:t>10</w:t>
      </w:r>
      <w:r>
        <w:rPr>
          <w:rFonts w:hint="eastAsia" w:ascii="方正仿宋_GBK" w:hAnsi="方正仿宋_GBK" w:eastAsia="方正仿宋_GBK" w:cs="方正仿宋_GBK"/>
          <w:color w:val="auto"/>
          <w:sz w:val="32"/>
          <w:szCs w:val="32"/>
          <w:highlight w:val="none"/>
        </w:rPr>
        <w:t>月</w:t>
      </w:r>
      <w:r>
        <w:rPr>
          <w:rFonts w:hint="eastAsia" w:ascii="方正仿宋_GBK" w:hAnsi="方正仿宋_GBK" w:eastAsia="方正仿宋_GBK" w:cs="方正仿宋_GBK"/>
          <w:color w:val="auto"/>
          <w:sz w:val="32"/>
          <w:szCs w:val="32"/>
          <w:highlight w:val="none"/>
          <w:lang w:val="en-US" w:eastAsia="zh-CN"/>
        </w:rPr>
        <w:t>21</w:t>
      </w:r>
      <w:r>
        <w:rPr>
          <w:rFonts w:hint="eastAsia" w:ascii="方正仿宋_GBK" w:hAnsi="方正仿宋_GBK" w:eastAsia="方正仿宋_GBK" w:cs="方正仿宋_GBK"/>
          <w:color w:val="auto"/>
          <w:sz w:val="32"/>
          <w:szCs w:val="32"/>
          <w:highlight w:val="none"/>
        </w:rPr>
        <w:t>日</w:t>
      </w:r>
      <w:r>
        <w:rPr>
          <w:rFonts w:hint="eastAsia" w:ascii="方正仿宋_GBK" w:hAnsi="方正仿宋_GBK" w:eastAsia="方正仿宋_GBK" w:cs="方正仿宋_GBK"/>
          <w:color w:val="auto"/>
          <w:sz w:val="32"/>
          <w:szCs w:val="32"/>
          <w:highlight w:val="none"/>
          <w:lang w:val="en-US" w:eastAsia="zh-CN"/>
        </w:rPr>
        <w:t xml:space="preserve"> </w:t>
      </w:r>
    </w:p>
    <w:p>
      <w:pPr>
        <w:keepNext w:val="0"/>
        <w:keepLines w:val="0"/>
        <w:pageBreakBefore w:val="0"/>
        <w:widowControl/>
        <w:kinsoku/>
        <w:wordWrap/>
        <w:overflowPunct/>
        <w:topLinePunct w:val="0"/>
        <w:autoSpaceDE/>
        <w:autoSpaceDN/>
        <w:bidi w:val="0"/>
        <w:spacing w:line="600" w:lineRule="exact"/>
        <w:jc w:val="both"/>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br w:type="page"/>
      </w:r>
    </w:p>
    <w:p>
      <w:pPr>
        <w:pStyle w:val="3"/>
        <w:keepNext w:val="0"/>
        <w:keepLines w:val="0"/>
        <w:pageBreakBefore w:val="0"/>
        <w:kinsoku/>
        <w:wordWrap/>
        <w:overflowPunct/>
        <w:topLinePunct w:val="0"/>
        <w:autoSpaceDE/>
        <w:autoSpaceDN/>
        <w:bidi w:val="0"/>
        <w:spacing w:line="600" w:lineRule="exact"/>
        <w:rPr>
          <w:rFonts w:hint="eastAsia" w:ascii="方正仿宋_GBK" w:hAnsi="方正仿宋_GBK" w:eastAsia="方正仿宋_GBK" w:cs="方正仿宋_GBK"/>
          <w:color w:val="auto"/>
          <w:sz w:val="32"/>
          <w:szCs w:val="32"/>
          <w:highlight w:val="none"/>
        </w:rPr>
        <w:sectPr>
          <w:pgSz w:w="11906" w:h="16838"/>
          <w:pgMar w:top="2098" w:right="1474" w:bottom="1984" w:left="1587" w:header="851" w:footer="992" w:gutter="0"/>
          <w:cols w:space="425" w:num="1"/>
          <w:docGrid w:type="lines" w:linePitch="312" w:charSpace="0"/>
        </w:sectPr>
      </w:pP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方正小标宋_GBK" w:hAnsi="方正小标宋_GBK" w:eastAsia="方正小标宋_GBK" w:cs="方正小标宋_GBK"/>
          <w:sz w:val="28"/>
          <w:szCs w:val="28"/>
          <w:lang w:val="en-US" w:eastAsia="zh-CN"/>
        </w:rPr>
      </w:pPr>
      <w:r>
        <w:rPr>
          <w:rFonts w:hint="eastAsia" w:ascii="方正小标宋_GBK" w:hAnsi="方正小标宋_GBK" w:eastAsia="方正小标宋_GBK" w:cs="方正小标宋_GBK"/>
          <w:sz w:val="28"/>
          <w:szCs w:val="28"/>
          <w:lang w:val="en-US" w:eastAsia="zh-CN"/>
        </w:rPr>
        <w:t>附件1：</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方正小标宋_GBK" w:hAnsi="方正小标宋_GBK" w:eastAsia="方正小标宋_GBK" w:cs="方正小标宋_GBK"/>
          <w:sz w:val="28"/>
          <w:szCs w:val="28"/>
        </w:rPr>
      </w:pPr>
      <w:r>
        <w:rPr>
          <w:rFonts w:hint="eastAsia" w:ascii="方正小标宋_GBK" w:hAnsi="方正小标宋_GBK" w:eastAsia="方正小标宋_GBK" w:cs="方正小标宋_GBK"/>
          <w:sz w:val="28"/>
          <w:szCs w:val="28"/>
        </w:rPr>
        <w:t>重庆银行成都分行2026年—2028年网络设备维保服务项目需求</w:t>
      </w:r>
    </w:p>
    <w:p>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方正黑体_GBK" w:hAnsi="方正黑体_GBK" w:eastAsia="方正黑体_GBK" w:cs="方正黑体_GBK"/>
        </w:rPr>
      </w:pPr>
    </w:p>
    <w:p>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方正黑体_GBK" w:hAnsi="方正黑体_GBK" w:eastAsia="方正黑体_GBK" w:cs="方正黑体_GBK"/>
        </w:rPr>
      </w:pPr>
      <w:r>
        <w:rPr>
          <w:rFonts w:hint="eastAsia" w:ascii="方正黑体_GBK" w:hAnsi="方正黑体_GBK" w:eastAsia="方正黑体_GBK" w:cs="方正黑体_GBK"/>
        </w:rPr>
        <w:t>一、项目概况</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为保障重庆银行成都分行及下辖机构网络系统安全、稳定、连续运行，拟采购网络设备维保服务，服务内容包括指定设备的新华三（H3C）原厂维保及全部清单设备的第三方运维服务。项目服务周期为19个月，拟覆盖2026年10月31日至2028年5月31日；原厂维保按各设备清单列示的实际起止日期分别执行，合同生效、交接及服务起止以最终合同为准。</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本项目实行统一服务受理、分级处置、全过程跟踪。服务商为故障处理和原厂协调的第一责任接口，不得因原厂和第三方服务分工影响响应。</w:t>
      </w:r>
    </w:p>
    <w:p>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方正黑体_GBK" w:hAnsi="方正黑体_GBK" w:eastAsia="方正黑体_GBK" w:cs="方正黑体_GBK"/>
        </w:rPr>
      </w:pPr>
      <w:r>
        <w:rPr>
          <w:rFonts w:hint="eastAsia" w:ascii="方正黑体_GBK" w:hAnsi="方正黑体_GBK" w:eastAsia="方正黑体_GBK" w:cs="方正黑体_GBK"/>
        </w:rPr>
        <w:t>二、服务范围及边界</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一）原厂维保：设备清单序号1—49，共49台，购买H3C原厂硬件维保。服务级别按清单分别为7×24×ND到达、7×24×ND发出；不同设备期限以清单所列起止时间为准。ND的具体定义、节假日处理规则、备件覆盖范围以原厂正式服务条款为准。</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二）第三方运维：设备清单序号1—101，共101台，统一提供19个月巡检、技术支持、故障处理、备机保障、配置及资产管理、监控平台维护、应急演练、软件升级协助和重要时期保障等服务。设备清单序号50—101不购买本次原厂维保，但不得因此降低第三方服务标准。</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（三）设备数量、序列号、位置、型号、服务等级及原厂维保起止日期，以双方核对确认的《网络设备维保清单》为准；本项目不因设备清单中原厂维保期限不同而减少第三方运维范围。</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（四）第三方临时备机服务包含临时替换、安装调试、配置恢复及撤换配合。</w:t>
      </w:r>
    </w:p>
    <w:p>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方正黑体_GBK" w:hAnsi="方正黑体_GBK" w:eastAsia="方正黑体_GBK" w:cs="方正黑体_GBK"/>
        </w:rPr>
      </w:pPr>
      <w:r>
        <w:rPr>
          <w:rFonts w:hint="eastAsia" w:ascii="方正黑体_GBK" w:hAnsi="方正黑体_GBK" w:eastAsia="方正黑体_GBK" w:cs="方正黑体_GBK"/>
        </w:rPr>
        <w:t>三、服务项目及频率</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服务项目</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覆盖范围</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频率或时限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原厂硬件维保</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指定49台</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按设备清单期限及服务级别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网络设备巡检</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全部101台</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iMC网络监控平台巡检</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成都分行现网平台</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故障受理及技术支持</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全部101台</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7×24小时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现场故障处理及备机</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全部101台</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按故障等级及到场时限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网络资产、拓扑及配置管理</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全部101台</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持续维护、按变更更新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软件升级及漏洞处置</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维保范围内适用设备及平台</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按需实施、事前审批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应急预案及演练</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相关网络系统</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按采购方计划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重大活动及重要时期保障</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相关网络系统</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按采购方通知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网络架构及优化咨询</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相关网络系统</w:t>
            </w:r>
          </w:p>
        </w:tc>
        <w:tc>
          <w:tcPr>
            <w:tcW w:w="2880" w:type="dxa"/>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按需提供</w:t>
            </w:r>
          </w:p>
        </w:tc>
      </w:tr>
    </w:tbl>
    <w:p>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方正黑体_GBK" w:hAnsi="方正黑体_GBK" w:eastAsia="方正黑体_GBK" w:cs="方正黑体_GBK"/>
        </w:rPr>
      </w:pPr>
      <w:r>
        <w:rPr>
          <w:rFonts w:hint="eastAsia" w:ascii="方正黑体_GBK" w:hAnsi="方正黑体_GBK" w:eastAsia="方正黑体_GBK" w:cs="方正黑体_GBK"/>
        </w:rPr>
        <w:t>四、具体服务要求</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（一）故障受理、响应及现场处置</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1.提供7×24小时统一故障报修渠道、技术咨询和远程诊断，明确项目联系人、备份联系人及升级路径。</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需要现场处置的紧急故障，原则上按照以下到场时限执行：成都分行中心机房及锦江、青羊、武侯、成华、科华、金沙支行不超过1小时；新都、崇州、经开区支行不超过2小时；乐山分行不超过3小时；宜宾、泸州、广安分行不超过4小时。</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3.故障处置应包括故障隔离、日志和配置检查、链路及路由排查、恢复方案、变更审批、业务验证和风险控制。重大故障须及时向采购方通报影响、进展和预计恢复安排；不得擅自变更生产配置。</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4.故障结束后提交书面报告，至少包括故障时间、影响范围、现象、根因、处置过程、恢复时间、验证结果及防范建议。无法一次定位根因的，应说明后续跟踪计划。</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（二）临时备机保障</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设备经现场技术人员处置2小时仍无法恢复正常运行的，服务商须按采购方要求启动临时备机保障，提供性能、接口及关键功能满足现网业务需求的兼容设备，不得仅以同类设备替代而忽视路由、VPN、E1接口、堆叠或其他关键特性。</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2.服务商负责备机调配、安装、配置迁移、链路接入及业务恢复验证；原设备修复后配合恢复切换和备机撤场。</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3.原厂维保设备在等待原厂备件期间仍须提供第三方临时备机服务，原厂报修、备件更换与现场恢复由服务商统一协调。</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4.对设备运行异常、原厂备件无法及时到位或其他可能影响业务连续性的情况，采购方可根据实际运行风险和业务保障需要提出临时备机需求，服务商须按本项目约定提供相应备机及技术支持，保障网络及业务系统稳定运行。</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（三）网络设备巡检</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1.每月对全部101台网络设备开展一次巡检。成都分行中心机房设备由技术人员现场巡检；分支机构可采用远程采集运行数据方式巡检，遇重大异常或无法远程核验时应按需现场检查。</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巡检内容包括设备在线状态、CPU与内存使用率、接口状态及流量、错包丢包、光模块收发光功率（支持时）、设备温度和电源风扇、日志与告警、路由邻居和关键链路状态、软件版本及运行风险等。对不支持的指标应注明原因，不得虚构数据。</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3.每月提交设备巡检报告，包含逐台结果、异常清单、风险等级、整改建议和责任跟踪，并与上月关键指标对比分析。</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（四）H3C iMC网络监控平台巡检</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每月在成都分行运维环境对H3C iMC平台开展巡检，检查服务进程、资源利用率、设备纳管、告警、拓扑和平台日志；根据经批准的设备及网络变化更新监控对象和拓扑，提供功能检查、异常处理、性能优化及升级建议，形成平台巡检记录。</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（五）配置、资产与拓扑管理</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协助建立并更新设备台账、互联关系、VLAN/IP地址表及网络拓扑；按约定频率和重大变更前后备份配置，检查配置合规性、管理访问权限及潜在风险。</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（六）网络技术咨询及优化</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为网络扩容、架构调整、新业务接入、路由交换及安全策略优化、设备选型、网络割接提供技术咨询、实施建议和风险分析。涉及生产变更须提供详细实施步骤、影响评估、验证及回退方案，经采购方审批后实施。</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（七）应急预案与演练</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协助完善网络设备故障、关键链路中断、核心设备异常等应急预案，配合采购方组织的演练，提供方案、人员、现场或远程技术支持、恢复验证及演练总结。</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（八）软件升级及漏洞修复</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结合厂商通告、巡检结果和安全风险，提出版本升级、漏洞缓解和修复建议，协助实施兼容性评估、备份、测试、审批、升级、验证和回退。补丁、版本及升级权限须具有合法来源。</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（九）重大活动及重要时期保障</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在重大活动、重要业务投产、法定节假日和采购方指定时段，根据通知提供专项保障方案、重点设备预检、值守安排、应急联系方式和现场或远程支持，保障结束后提交记录。</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（十）H3C原厂维保服务</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1.为清单序号1—49设备按逐台约定的期限及7×24×ND到达/发出级别开通真实有效的H3C原厂维保，协调原厂报修、硬件诊断、备件更换、维修和恢复验证。</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2.服务商须在原厂服务开通后提供可核验的证明材料，包括不限于能够对应设备序列号、维保起止日期、服务等级和原厂服务查询方式。</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3.对维保期限分批起止的设备，应分别核对权益生效时间，避免服务空档；原厂维保与第三方运维的重复工作由服务商内部协调，不得推诿。</w:t>
      </w:r>
    </w:p>
    <w:p>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方正黑体_GBK" w:hAnsi="方正黑体_GBK" w:eastAsia="方正黑体_GBK" w:cs="方正黑体_GBK"/>
        </w:rPr>
      </w:pPr>
      <w:r>
        <w:rPr>
          <w:rFonts w:hint="eastAsia" w:ascii="方正黑体_GBK" w:hAnsi="方正黑体_GBK" w:eastAsia="方正黑体_GBK" w:cs="方正黑体_GBK"/>
        </w:rPr>
        <w:t>五、人员与组织保障</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一）</w:t>
      </w:r>
      <w:r>
        <w:rPr>
          <w:rFonts w:hint="eastAsia" w:ascii="方正仿宋_GBK" w:hAnsi="方正仿宋_GBK" w:eastAsia="方正仿宋_GBK" w:cs="方正仿宋_GBK"/>
        </w:rPr>
        <w:t>服务商应指定项目负责人、故障受理人员和技术骨干，建立7×24小时联络与升级机制；提供不少于2名具备H3CIE网络技术能力的工程师承担疑难故障和关键技术支持。</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二）</w:t>
      </w:r>
      <w:r>
        <w:rPr>
          <w:rFonts w:hint="eastAsia" w:ascii="方正仿宋_GBK" w:hAnsi="方正仿宋_GBK" w:eastAsia="方正仿宋_GBK" w:cs="方正仿宋_GBK"/>
        </w:rPr>
        <w:t>核心人员变更须提前告知并经采购方认可，替换人员能力不得低于原岗位要求。</w:t>
      </w:r>
    </w:p>
    <w:p>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方正黑体_GBK" w:hAnsi="方正黑体_GBK" w:eastAsia="方正黑体_GBK" w:cs="方正黑体_GBK"/>
        </w:rPr>
      </w:pPr>
      <w:r>
        <w:rPr>
          <w:rFonts w:hint="eastAsia" w:ascii="方正黑体_GBK" w:hAnsi="方正黑体_GBK" w:eastAsia="方正黑体_GBK" w:cs="方正黑体_GBK"/>
        </w:rPr>
        <w:t>六、信息安全与保密要求</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服务商及其人员应遵守采购方信息安全、网络安全、数据安全、机房出入及保密管理制度。涉及账号、日志、配置文件等敏感信息应最小化使用、妥善保管，服务结束按要求移交或销毁。</w:t>
      </w:r>
    </w:p>
    <w:p>
      <w:pPr>
        <w:rPr>
          <w:rFonts w:hint="eastAsia" w:ascii="方正仿宋_GBK" w:hAnsi="方正仿宋_GBK" w:eastAsia="方正仿宋_GBK" w:cs="方正仿宋_GBK"/>
        </w:rPr>
      </w:pPr>
      <w:r>
        <w:rPr>
          <w:rFonts w:hint="eastAsia" w:ascii="方正仿宋_GBK" w:hAnsi="方正仿宋_GBK" w:eastAsia="方正仿宋_GBK" w:cs="方正仿宋_GBK"/>
        </w:rPr>
        <w:br w:type="page"/>
      </w:r>
    </w:p>
    <w:p>
      <w:pPr>
        <w:keepNext w:val="0"/>
        <w:keepLines w:val="0"/>
        <w:pageBreakBefore w:val="0"/>
        <w:kinsoku/>
        <w:wordWrap/>
        <w:overflowPunct/>
        <w:topLinePunct w:val="0"/>
        <w:autoSpaceDE/>
        <w:autoSpaceDN/>
        <w:bidi w:val="0"/>
        <w:spacing w:line="600" w:lineRule="exact"/>
        <w:jc w:val="left"/>
        <w:rPr>
          <w:rFonts w:hint="eastAsia" w:ascii="方正小标宋_GBK" w:eastAsia="方正小标宋_GBK" w:hAnsiTheme="minorEastAsia"/>
          <w:color w:val="auto"/>
          <w:sz w:val="32"/>
          <w:szCs w:val="32"/>
          <w:lang w:val="en-US" w:eastAsia="zh-CN"/>
        </w:rPr>
      </w:pPr>
      <w:r>
        <w:rPr>
          <w:rFonts w:hint="eastAsia" w:ascii="方正小标宋_GBK" w:eastAsia="方正小标宋_GBK" w:hAnsiTheme="minorEastAsia"/>
          <w:color w:val="auto"/>
          <w:sz w:val="32"/>
          <w:szCs w:val="32"/>
          <w:lang w:val="en-US" w:eastAsia="zh-CN"/>
        </w:rPr>
        <w:t>附件2：</w:t>
      </w:r>
    </w:p>
    <w:p>
      <w:pPr>
        <w:keepNext w:val="0"/>
        <w:keepLines w:val="0"/>
        <w:pageBreakBefore w:val="0"/>
        <w:kinsoku/>
        <w:wordWrap/>
        <w:overflowPunct/>
        <w:topLinePunct w:val="0"/>
        <w:autoSpaceDE/>
        <w:autoSpaceDN/>
        <w:bidi w:val="0"/>
        <w:spacing w:line="600" w:lineRule="exact"/>
        <w:jc w:val="center"/>
        <w:rPr>
          <w:rFonts w:hint="default" w:ascii="方正小标宋_GBK" w:eastAsia="方正小标宋_GBK" w:hAnsiTheme="minorEastAsia"/>
          <w:color w:val="auto"/>
          <w:sz w:val="32"/>
          <w:szCs w:val="32"/>
          <w:lang w:val="en-US" w:eastAsia="zh-CN"/>
        </w:rPr>
      </w:pPr>
      <w:r>
        <w:rPr>
          <w:rFonts w:hint="eastAsia" w:ascii="方正小标宋_GBK" w:eastAsia="方正小标宋_GBK" w:hAnsiTheme="minorEastAsia"/>
          <w:color w:val="auto"/>
          <w:sz w:val="32"/>
          <w:szCs w:val="32"/>
          <w:lang w:val="en-US" w:eastAsia="zh-CN"/>
        </w:rPr>
        <w:t>维保设备清单</w:t>
      </w:r>
    </w:p>
    <w:tbl>
      <w:tblPr>
        <w:tblStyle w:val="7"/>
        <w:tblW w:w="109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9"/>
        <w:gridCol w:w="1043"/>
        <w:gridCol w:w="930"/>
        <w:gridCol w:w="1477"/>
        <w:gridCol w:w="1283"/>
        <w:gridCol w:w="1425"/>
        <w:gridCol w:w="1110"/>
        <w:gridCol w:w="1620"/>
        <w:gridCol w:w="14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位置</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类型</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型号</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购买原厂维保开始日期</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购买原厂维保截止日期</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购买原厂维保月数</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购买原厂服务</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级别</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品牌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MSR5660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MSR5660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MSR5660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MSR5660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S5170-54S-EI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2027-11-28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S5170-54S-EI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2027-11-28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S5170-54S-EI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2027-11-28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防火墙</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F1000-AI-35</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防火墙</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F1000-AI-35</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11</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防火墙</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F1000-AI-35</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防火墙</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F1000-AI-35</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13</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S5560X-30C-EI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14</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防火墙</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SecPath F1070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15</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防火墙</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SecPath F1070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到达</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16</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广安</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17</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广安</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18</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锦江</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19</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锦江</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20</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经开</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21</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经开</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经开</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23</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经开</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24</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金沙</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25</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金沙</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2027-10-30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26</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成华</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S5170-54S-EI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2027-11-28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27</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成华</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S5170-54S-EI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2027-11-28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28</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成华</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2026-12-05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18</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29</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成华</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2026-12-05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18</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30</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崇州</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S5170-54S-EI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2027-11-28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31</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崇州</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S5170-54S-EI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2027-11-28</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崇州</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33</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崇州</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34</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乐山</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35</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乐山</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36</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乐山</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37</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乐山</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38</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乐山</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39</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乐山</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40</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41</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43</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44</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45</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新都</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46</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科华</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47</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科华</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48</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科华</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49</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科华</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2026-10-31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2028-05-31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Style w:val="13"/>
                <w:lang w:val="en-US" w:eastAsia="zh-CN" w:bidi="ar"/>
              </w:rPr>
              <w:t>7×24×ND</w:t>
            </w:r>
            <w:r>
              <w:rPr>
                <w:rStyle w:val="14"/>
                <w:lang w:val="en-US" w:eastAsia="zh-CN" w:bidi="ar"/>
              </w:rPr>
              <w:t>发出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50</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S7503X</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51</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S7503X</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S5560X-30C-EI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53</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54</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55</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56</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57</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S5560X-30C-EI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58</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S5560X-30C-EI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59</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60</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61</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63</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64</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65</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66</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67</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68</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S5560X-30F-EI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69</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S5560X-30F-EI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70</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MSR5660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71</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MSR5660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MSR5660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73</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成都分行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MSR5660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74</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宜宾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75</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宜宾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S5130S-52S-EI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76</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宜宾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77</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宜宾</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MSR3620-DP</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78</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青羊</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79</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青羊</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80</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青羊</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S5130S-52S-LI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81</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青羊</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S5130S-52S-LI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青羊</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83</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青羊</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84</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广安</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S5130S-52S-LI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85</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广安</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S5130S-52S-LI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86</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锦江</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S5500V3-48P-SI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87</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锦江</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S5500V3-48P-SI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88</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锦江</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S5500V3-48P-SI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89</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锦江</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S5500V3-48P-SI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90</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金沙</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S5500V3-48P-SI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91</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金沙</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S5500V3-48P-SI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92</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泸州</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93</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泸州</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94</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泸州</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95</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泸州</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96</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泸州</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97</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泸州</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98</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武侯</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99</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武侯</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S5130S-52S-SI</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100</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武侯</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101</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武侯</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路由器</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Regular" w:hAnsi="Arial Regular" w:eastAsia="Arial Regular" w:cs="Arial Regular"/>
                <w:i w:val="0"/>
                <w:iCs w:val="0"/>
                <w:color w:val="000000"/>
                <w:sz w:val="20"/>
                <w:szCs w:val="20"/>
                <w:u w:val="none"/>
              </w:rPr>
            </w:pPr>
            <w:r>
              <w:rPr>
                <w:rFonts w:hint="default" w:ascii="Arial Regular" w:hAnsi="Arial Regular" w:eastAsia="Arial Regular" w:cs="Arial Regular"/>
                <w:i w:val="0"/>
                <w:iCs w:val="0"/>
                <w:color w:val="000000"/>
                <w:kern w:val="0"/>
                <w:sz w:val="20"/>
                <w:szCs w:val="20"/>
                <w:u w:val="none"/>
                <w:lang w:val="en-US" w:eastAsia="zh-CN" w:bidi="ar"/>
              </w:rPr>
              <w:t>MSR3620</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新华三（H3C）</w:t>
            </w:r>
          </w:p>
        </w:tc>
      </w:tr>
    </w:tbl>
    <w:p>
      <w:pPr>
        <w:keepNext w:val="0"/>
        <w:keepLines w:val="0"/>
        <w:pageBreakBefore w:val="0"/>
        <w:kinsoku/>
        <w:wordWrap/>
        <w:overflowPunct/>
        <w:topLinePunct w:val="0"/>
        <w:autoSpaceDE/>
        <w:autoSpaceDN/>
        <w:bidi w:val="0"/>
        <w:spacing w:line="600" w:lineRule="exact"/>
        <w:jc w:val="left"/>
        <w:rPr>
          <w:rFonts w:hint="eastAsia" w:ascii="方正小标宋_GBK" w:eastAsia="方正小标宋_GBK" w:hAnsiTheme="minorEastAsia"/>
          <w:color w:val="auto"/>
          <w:sz w:val="32"/>
          <w:szCs w:val="32"/>
          <w:lang w:val="en-US" w:eastAsia="zh-CN"/>
        </w:rPr>
      </w:pPr>
    </w:p>
    <w:p>
      <w:pPr>
        <w:rPr>
          <w:rFonts w:hint="eastAsia" w:ascii="方正小标宋_GBK" w:eastAsia="方正小标宋_GBK" w:hAnsiTheme="minorEastAsia"/>
          <w:color w:val="auto"/>
          <w:sz w:val="32"/>
          <w:szCs w:val="32"/>
          <w:lang w:val="en-US" w:eastAsia="zh-CN"/>
        </w:rPr>
      </w:pPr>
      <w:r>
        <w:rPr>
          <w:rFonts w:hint="eastAsia" w:ascii="方正小标宋_GBK" w:eastAsia="方正小标宋_GBK" w:hAnsiTheme="minorEastAsia"/>
          <w:color w:val="auto"/>
          <w:sz w:val="32"/>
          <w:szCs w:val="32"/>
          <w:lang w:val="en-US" w:eastAsia="zh-CN"/>
        </w:rPr>
        <w:br w:type="page"/>
      </w:r>
    </w:p>
    <w:p>
      <w:pPr>
        <w:keepNext w:val="0"/>
        <w:keepLines w:val="0"/>
        <w:pageBreakBefore w:val="0"/>
        <w:kinsoku/>
        <w:wordWrap/>
        <w:overflowPunct/>
        <w:topLinePunct w:val="0"/>
        <w:autoSpaceDE/>
        <w:autoSpaceDN/>
        <w:bidi w:val="0"/>
        <w:spacing w:line="600" w:lineRule="exact"/>
        <w:jc w:val="left"/>
        <w:rPr>
          <w:rFonts w:hint="eastAsia" w:ascii="方正小标宋_GBK" w:eastAsia="方正小标宋_GBK" w:hAnsiTheme="minorEastAsia"/>
          <w:color w:val="auto"/>
          <w:sz w:val="32"/>
          <w:szCs w:val="32"/>
          <w:lang w:val="en-US" w:eastAsia="zh-CN"/>
        </w:rPr>
      </w:pPr>
      <w:r>
        <w:rPr>
          <w:rFonts w:hint="eastAsia" w:ascii="方正小标宋_GBK" w:eastAsia="方正小标宋_GBK" w:hAnsiTheme="minorEastAsia"/>
          <w:color w:val="auto"/>
          <w:sz w:val="32"/>
          <w:szCs w:val="32"/>
          <w:lang w:val="en-US" w:eastAsia="zh-CN"/>
        </w:rPr>
        <w:t>附件3：</w:t>
      </w:r>
    </w:p>
    <w:p>
      <w:pPr>
        <w:keepNext w:val="0"/>
        <w:keepLines w:val="0"/>
        <w:pageBreakBefore w:val="0"/>
        <w:widowControl/>
        <w:kinsoku/>
        <w:wordWrap/>
        <w:overflowPunct/>
        <w:topLinePunct w:val="0"/>
        <w:autoSpaceDE/>
        <w:autoSpaceDN/>
        <w:bidi w:val="0"/>
        <w:spacing w:line="600" w:lineRule="exact"/>
        <w:jc w:val="center"/>
        <w:rPr>
          <w:rFonts w:ascii="方正小标宋_GBK" w:hAnsi="Times New Roman" w:eastAsia="方正小标宋_GBK"/>
          <w:color w:val="auto"/>
          <w:sz w:val="44"/>
          <w:highlight w:val="none"/>
        </w:rPr>
      </w:pPr>
      <w:r>
        <w:rPr>
          <w:rFonts w:ascii="方正小标宋_GBK" w:hAnsi="Times New Roman" w:eastAsia="方正小标宋_GBK"/>
          <w:color w:val="auto"/>
          <w:sz w:val="44"/>
          <w:highlight w:val="none"/>
        </w:rPr>
        <w:t>法人授权书</w:t>
      </w:r>
    </w:p>
    <w:p>
      <w:pPr>
        <w:keepNext w:val="0"/>
        <w:keepLines w:val="0"/>
        <w:pageBreakBefore w:val="0"/>
        <w:widowControl/>
        <w:kinsoku/>
        <w:wordWrap/>
        <w:overflowPunct/>
        <w:topLinePunct w:val="0"/>
        <w:autoSpaceDE/>
        <w:autoSpaceDN/>
        <w:bidi w:val="0"/>
        <w:snapToGrid w:val="0"/>
        <w:spacing w:line="600" w:lineRule="exact"/>
        <w:jc w:val="both"/>
        <w:rPr>
          <w:rFonts w:ascii="方正仿宋_GBK" w:hAnsi="Times New Roman" w:eastAsia="方正仿宋_GBK"/>
          <w:color w:val="auto"/>
          <w:sz w:val="32"/>
          <w:highlight w:val="none"/>
        </w:rPr>
      </w:pPr>
      <w:r>
        <w:rPr>
          <w:rFonts w:ascii="方正仿宋_GBK" w:hAnsi="Times New Roman" w:eastAsia="方正仿宋_GBK"/>
          <w:color w:val="auto"/>
          <w:sz w:val="32"/>
          <w:highlight w:val="none"/>
        </w:rPr>
        <w:t>重庆银行</w:t>
      </w:r>
      <w:r>
        <w:rPr>
          <w:rFonts w:hint="eastAsia" w:ascii="方正仿宋_GBK" w:hAnsi="Times New Roman" w:eastAsia="方正仿宋_GBK"/>
          <w:color w:val="auto"/>
          <w:sz w:val="32"/>
          <w:highlight w:val="none"/>
          <w:lang w:val="en-US" w:eastAsia="zh-CN"/>
        </w:rPr>
        <w:t>成都分行</w:t>
      </w:r>
      <w:r>
        <w:rPr>
          <w:rFonts w:ascii="方正仿宋_GBK" w:hAnsi="Times New Roman" w:eastAsia="方正仿宋_GBK"/>
          <w:color w:val="auto"/>
          <w:sz w:val="32"/>
          <w:highlight w:val="none"/>
        </w:rPr>
        <w:t>：</w:t>
      </w:r>
    </w:p>
    <w:p>
      <w:pPr>
        <w:keepNext w:val="0"/>
        <w:keepLines w:val="0"/>
        <w:pageBreakBefore w:val="0"/>
        <w:widowControl/>
        <w:kinsoku/>
        <w:wordWrap/>
        <w:overflowPunct/>
        <w:topLinePunct w:val="0"/>
        <w:autoSpaceDE/>
        <w:autoSpaceDN/>
        <w:bidi w:val="0"/>
        <w:snapToGrid w:val="0"/>
        <w:spacing w:line="600" w:lineRule="exact"/>
        <w:ind w:firstLine="672"/>
        <w:jc w:val="both"/>
        <w:rPr>
          <w:rFonts w:ascii="方正仿宋_GBK" w:hAnsi="Times New Roman" w:eastAsia="方正仿宋_GBK"/>
          <w:color w:val="auto"/>
          <w:sz w:val="32"/>
          <w:highlight w:val="none"/>
        </w:rPr>
      </w:pPr>
      <w:r>
        <w:rPr>
          <w:rFonts w:ascii="方正仿宋_GBK" w:hAnsi="Times New Roman" w:eastAsia="方正仿宋_GBK"/>
          <w:color w:val="auto"/>
          <w:sz w:val="32"/>
          <w:highlight w:val="none"/>
          <w:u w:val="single"/>
        </w:rPr>
        <w:t>（报价单位全称）</w:t>
      </w:r>
      <w:r>
        <w:rPr>
          <w:rFonts w:ascii="方正仿宋_GBK" w:hAnsi="Times New Roman" w:eastAsia="方正仿宋_GBK"/>
          <w:color w:val="auto"/>
          <w:sz w:val="32"/>
          <w:highlight w:val="none"/>
        </w:rPr>
        <w:t>法人代表授权（</w:t>
      </w:r>
      <w:r>
        <w:rPr>
          <w:rFonts w:ascii="方正仿宋_GBK" w:hAnsi="Times New Roman" w:eastAsia="方正仿宋_GBK"/>
          <w:color w:val="auto"/>
          <w:sz w:val="32"/>
          <w:highlight w:val="none"/>
          <w:u w:val="single"/>
        </w:rPr>
        <w:t>授权代表姓名）</w:t>
      </w:r>
      <w:r>
        <w:rPr>
          <w:rFonts w:ascii="方正仿宋_GBK" w:hAnsi="Times New Roman" w:eastAsia="方正仿宋_GBK"/>
          <w:color w:val="auto"/>
          <w:sz w:val="32"/>
          <w:highlight w:val="none"/>
        </w:rPr>
        <w:t>为授权代表，参加贵部项目</w:t>
      </w:r>
      <w:r>
        <w:rPr>
          <w:rFonts w:hint="eastAsia" w:ascii="方正仿宋_GBK" w:hAnsi="Times New Roman" w:eastAsia="方正仿宋_GBK"/>
          <w:color w:val="auto"/>
          <w:sz w:val="32"/>
          <w:highlight w:val="none"/>
          <w:lang w:val="en-US" w:eastAsia="zh-CN"/>
        </w:rPr>
        <w:t>采购</w:t>
      </w:r>
      <w:r>
        <w:rPr>
          <w:rFonts w:ascii="方正仿宋_GBK" w:hAnsi="Times New Roman" w:eastAsia="方正仿宋_GBK"/>
          <w:color w:val="auto"/>
          <w:sz w:val="32"/>
          <w:highlight w:val="none"/>
        </w:rPr>
        <w:t>活动，全权处理谈判中的一切事宜。</w:t>
      </w:r>
    </w:p>
    <w:p>
      <w:pPr>
        <w:keepNext w:val="0"/>
        <w:keepLines w:val="0"/>
        <w:pageBreakBefore w:val="0"/>
        <w:widowControl/>
        <w:kinsoku/>
        <w:wordWrap/>
        <w:overflowPunct/>
        <w:topLinePunct w:val="0"/>
        <w:autoSpaceDE/>
        <w:autoSpaceDN/>
        <w:bidi w:val="0"/>
        <w:spacing w:line="600" w:lineRule="exact"/>
        <w:jc w:val="both"/>
        <w:rPr>
          <w:rFonts w:ascii="方正仿宋_GBK" w:hAnsi="Times New Roman" w:eastAsia="方正仿宋_GBK"/>
          <w:color w:val="auto"/>
          <w:sz w:val="32"/>
          <w:highlight w:val="none"/>
        </w:rPr>
      </w:pPr>
    </w:p>
    <w:p>
      <w:pPr>
        <w:keepNext w:val="0"/>
        <w:keepLines w:val="0"/>
        <w:pageBreakBefore w:val="0"/>
        <w:widowControl/>
        <w:kinsoku/>
        <w:wordWrap/>
        <w:overflowPunct/>
        <w:topLinePunct w:val="0"/>
        <w:autoSpaceDE/>
        <w:autoSpaceDN/>
        <w:bidi w:val="0"/>
        <w:spacing w:line="600" w:lineRule="exact"/>
        <w:jc w:val="both"/>
        <w:rPr>
          <w:rFonts w:ascii="方正仿宋_GBK" w:hAnsi="Times New Roman" w:eastAsia="方正仿宋_GBK"/>
          <w:color w:val="auto"/>
          <w:sz w:val="32"/>
          <w:highlight w:val="none"/>
        </w:rPr>
      </w:pPr>
      <w:r>
        <w:rPr>
          <w:rFonts w:ascii="方正仿宋_GBK" w:hAnsi="Times New Roman" w:eastAsia="方正仿宋_GBK"/>
          <w:color w:val="auto"/>
          <w:sz w:val="32"/>
          <w:highlight w:val="none"/>
        </w:rPr>
        <w:t>法人代表（签字或盖章）：</w:t>
      </w:r>
    </w:p>
    <w:p>
      <w:pPr>
        <w:keepNext w:val="0"/>
        <w:keepLines w:val="0"/>
        <w:pageBreakBefore w:val="0"/>
        <w:widowControl/>
        <w:kinsoku/>
        <w:wordWrap/>
        <w:overflowPunct/>
        <w:topLinePunct w:val="0"/>
        <w:autoSpaceDE/>
        <w:autoSpaceDN/>
        <w:bidi w:val="0"/>
        <w:spacing w:line="600" w:lineRule="exact"/>
        <w:jc w:val="both"/>
        <w:rPr>
          <w:rFonts w:ascii="方正仿宋_GBK" w:hAnsi="Times New Roman" w:eastAsia="方正仿宋_GBK"/>
          <w:color w:val="auto"/>
          <w:sz w:val="32"/>
          <w:highlight w:val="none"/>
        </w:rPr>
      </w:pPr>
    </w:p>
    <w:p>
      <w:pPr>
        <w:keepNext w:val="0"/>
        <w:keepLines w:val="0"/>
        <w:pageBreakBefore w:val="0"/>
        <w:widowControl/>
        <w:kinsoku/>
        <w:wordWrap/>
        <w:overflowPunct/>
        <w:topLinePunct w:val="0"/>
        <w:autoSpaceDE/>
        <w:autoSpaceDN/>
        <w:bidi w:val="0"/>
        <w:spacing w:line="600" w:lineRule="exact"/>
        <w:jc w:val="both"/>
        <w:rPr>
          <w:rFonts w:ascii="方正仿宋_GBK" w:hAnsi="Times New Roman" w:eastAsia="方正仿宋_GBK"/>
          <w:color w:val="auto"/>
          <w:sz w:val="32"/>
          <w:highlight w:val="none"/>
        </w:rPr>
      </w:pPr>
      <w:r>
        <w:rPr>
          <w:rFonts w:ascii="方正仿宋_GBK" w:hAnsi="Times New Roman" w:eastAsia="方正仿宋_GBK"/>
          <w:color w:val="auto"/>
          <w:sz w:val="32"/>
          <w:highlight w:val="none"/>
        </w:rPr>
        <w:t>被授权人（签字）：</w:t>
      </w:r>
    </w:p>
    <w:p>
      <w:pPr>
        <w:keepNext w:val="0"/>
        <w:keepLines w:val="0"/>
        <w:pageBreakBefore w:val="0"/>
        <w:widowControl/>
        <w:kinsoku/>
        <w:wordWrap/>
        <w:overflowPunct/>
        <w:topLinePunct w:val="0"/>
        <w:autoSpaceDE/>
        <w:autoSpaceDN/>
        <w:bidi w:val="0"/>
        <w:spacing w:line="600" w:lineRule="exact"/>
        <w:jc w:val="both"/>
        <w:rPr>
          <w:rFonts w:ascii="方正仿宋_GBK" w:hAnsi="Times New Roman" w:eastAsia="方正仿宋_GBK"/>
          <w:color w:val="auto"/>
          <w:sz w:val="32"/>
          <w:highlight w:val="none"/>
        </w:rPr>
      </w:pPr>
    </w:p>
    <w:p>
      <w:pPr>
        <w:keepNext w:val="0"/>
        <w:keepLines w:val="0"/>
        <w:pageBreakBefore w:val="0"/>
        <w:widowControl/>
        <w:kinsoku/>
        <w:wordWrap/>
        <w:overflowPunct/>
        <w:topLinePunct w:val="0"/>
        <w:autoSpaceDE/>
        <w:autoSpaceDN/>
        <w:bidi w:val="0"/>
        <w:spacing w:line="600" w:lineRule="exact"/>
        <w:jc w:val="both"/>
        <w:rPr>
          <w:rFonts w:ascii="方正仿宋_GBK" w:hAnsi="Times New Roman" w:eastAsia="方正仿宋_GBK"/>
          <w:color w:val="auto"/>
          <w:sz w:val="32"/>
          <w:highlight w:val="none"/>
        </w:rPr>
      </w:pPr>
      <w:r>
        <w:rPr>
          <w:rFonts w:hint="eastAsia" w:ascii="方正仿宋_GBK" w:hAnsi="Times New Roman" w:eastAsia="方正仿宋_GBK"/>
          <w:color w:val="auto"/>
          <w:sz w:val="32"/>
          <w:highlight w:val="none"/>
        </w:rPr>
        <w:t>供应商</w:t>
      </w:r>
      <w:r>
        <w:rPr>
          <w:rFonts w:ascii="方正仿宋_GBK" w:hAnsi="Times New Roman" w:eastAsia="方正仿宋_GBK"/>
          <w:color w:val="auto"/>
          <w:sz w:val="32"/>
          <w:highlight w:val="none"/>
        </w:rPr>
        <w:t>全称（加盖公章）：</w:t>
      </w:r>
    </w:p>
    <w:p>
      <w:pPr>
        <w:keepNext w:val="0"/>
        <w:keepLines w:val="0"/>
        <w:pageBreakBefore w:val="0"/>
        <w:widowControl/>
        <w:kinsoku/>
        <w:wordWrap/>
        <w:overflowPunct/>
        <w:topLinePunct w:val="0"/>
        <w:autoSpaceDE/>
        <w:autoSpaceDN/>
        <w:bidi w:val="0"/>
        <w:spacing w:line="600" w:lineRule="exact"/>
        <w:jc w:val="both"/>
        <w:rPr>
          <w:rFonts w:ascii="方正仿宋_GBK" w:hAnsi="Times New Roman" w:eastAsia="方正仿宋_GBK"/>
          <w:color w:val="auto"/>
          <w:sz w:val="32"/>
          <w:highlight w:val="none"/>
        </w:rPr>
      </w:pPr>
    </w:p>
    <w:p>
      <w:pPr>
        <w:keepNext w:val="0"/>
        <w:keepLines w:val="0"/>
        <w:pageBreakBefore w:val="0"/>
        <w:widowControl/>
        <w:kinsoku/>
        <w:wordWrap/>
        <w:overflowPunct/>
        <w:topLinePunct w:val="0"/>
        <w:autoSpaceDE/>
        <w:autoSpaceDN/>
        <w:bidi w:val="0"/>
        <w:spacing w:line="600" w:lineRule="exact"/>
        <w:jc w:val="both"/>
        <w:rPr>
          <w:rFonts w:ascii="方正仿宋_GBK" w:hAnsi="Times New Roman" w:eastAsia="方正仿宋_GBK"/>
          <w:color w:val="auto"/>
          <w:sz w:val="32"/>
          <w:highlight w:val="none"/>
        </w:rPr>
      </w:pPr>
      <w:r>
        <w:rPr>
          <w:rFonts w:ascii="方正仿宋_GBK" w:hAnsi="Times New Roman" w:eastAsia="方正仿宋_GBK"/>
          <w:color w:val="auto"/>
          <w:sz w:val="32"/>
          <w:highlight w:val="none"/>
        </w:rPr>
        <w:t>签署日期：</w:t>
      </w:r>
    </w:p>
    <w:p>
      <w:pPr>
        <w:keepNext w:val="0"/>
        <w:keepLines w:val="0"/>
        <w:pageBreakBefore w:val="0"/>
        <w:widowControl/>
        <w:kinsoku/>
        <w:wordWrap/>
        <w:overflowPunct/>
        <w:topLinePunct w:val="0"/>
        <w:autoSpaceDE/>
        <w:autoSpaceDN/>
        <w:bidi w:val="0"/>
        <w:spacing w:line="600" w:lineRule="exact"/>
        <w:jc w:val="both"/>
        <w:rPr>
          <w:rFonts w:ascii="方正仿宋_GBK" w:hAnsi="Times New Roman" w:eastAsia="方正仿宋_GBK"/>
          <w:color w:val="auto"/>
          <w:sz w:val="32"/>
          <w:highlight w:val="none"/>
        </w:rPr>
      </w:pPr>
      <w:r>
        <w:rPr>
          <w:rFonts w:ascii="方正仿宋_GBK" w:hAnsi="Times New Roman" w:eastAsia="方正仿宋_GBK"/>
          <w:color w:val="auto"/>
          <w:sz w:val="32"/>
          <w:highlight w:val="none"/>
        </w:rPr>
        <w:t>法人身份证复印件：          授权代表身份证复印件：</w:t>
      </w:r>
    </w:p>
    <w:tbl>
      <w:tblPr>
        <w:tblStyle w:val="7"/>
        <w:tblpPr w:vertAnchor="text" w:horzAnchor="margin" w:tblpY="233"/>
        <w:tblW w:w="9060" w:type="dxa"/>
        <w:tblInd w:w="0" w:type="dxa"/>
        <w:tblLayout w:type="fixed"/>
        <w:tblCellMar>
          <w:top w:w="0" w:type="dxa"/>
          <w:left w:w="0" w:type="dxa"/>
          <w:bottom w:w="0" w:type="dxa"/>
          <w:right w:w="0" w:type="dxa"/>
        </w:tblCellMar>
      </w:tblPr>
      <w:tblGrid>
        <w:gridCol w:w="4530"/>
        <w:gridCol w:w="4530"/>
      </w:tblGrid>
      <w:tr>
        <w:trPr>
          <w:trHeight w:val="3022" w:hRule="atLeast"/>
        </w:trPr>
        <w:tc>
          <w:tcPr>
            <w:tcW w:w="4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pPr>
              <w:keepNext w:val="0"/>
              <w:keepLines w:val="0"/>
              <w:pageBreakBefore w:val="0"/>
              <w:widowControl/>
              <w:suppressLineNumbers w:val="0"/>
              <w:kinsoku/>
              <w:wordWrap/>
              <w:overflowPunct/>
              <w:topLinePunct w:val="0"/>
              <w:autoSpaceDE/>
              <w:autoSpaceDN/>
              <w:bidi w:val="0"/>
              <w:spacing w:before="0" w:beforeAutospacing="0" w:after="0" w:afterAutospacing="0" w:line="600" w:lineRule="exact"/>
              <w:ind w:left="0" w:right="0"/>
              <w:jc w:val="both"/>
              <w:rPr>
                <w:rFonts w:hint="default" w:ascii="方正仿宋_GBK" w:eastAsia="方正仿宋_GBK"/>
                <w:color w:val="auto"/>
                <w:sz w:val="32"/>
                <w:highlight w:val="none"/>
              </w:rPr>
            </w:pPr>
            <w:r>
              <w:rPr>
                <w:rFonts w:hint="eastAsia"/>
              </w:rPr>
              <w:t>法定代表人身份证明复印件（正面）</w:t>
            </w:r>
          </w:p>
        </w:tc>
        <w:tc>
          <w:tcPr>
            <w:tcW w:w="4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pPr>
              <w:keepNext w:val="0"/>
              <w:keepLines w:val="0"/>
              <w:pageBreakBefore w:val="0"/>
              <w:kinsoku/>
              <w:wordWrap/>
              <w:overflowPunct/>
              <w:topLinePunct w:val="0"/>
              <w:autoSpaceDE/>
              <w:autoSpaceDN/>
              <w:bidi w:val="0"/>
              <w:spacing w:line="600" w:lineRule="exact"/>
              <w:jc w:val="both"/>
            </w:pPr>
            <w:r>
              <w:rPr>
                <w:rFonts w:hint="eastAsia"/>
              </w:rPr>
              <w:t>被授权人身份证明复印件（正面）</w:t>
            </w:r>
          </w:p>
          <w:p>
            <w:pPr>
              <w:keepNext w:val="0"/>
              <w:keepLines w:val="0"/>
              <w:pageBreakBefore w:val="0"/>
              <w:widowControl/>
              <w:suppressLineNumbers w:val="0"/>
              <w:kinsoku/>
              <w:wordWrap/>
              <w:overflowPunct/>
              <w:topLinePunct w:val="0"/>
              <w:autoSpaceDE/>
              <w:autoSpaceDN/>
              <w:bidi w:val="0"/>
              <w:spacing w:before="0" w:beforeAutospacing="0" w:after="0" w:afterAutospacing="0" w:line="600" w:lineRule="exact"/>
              <w:ind w:left="0" w:right="0"/>
              <w:jc w:val="both"/>
              <w:rPr>
                <w:rFonts w:hint="default" w:ascii="方正仿宋_GBK" w:eastAsia="方正仿宋_GBK"/>
                <w:color w:val="auto"/>
                <w:sz w:val="32"/>
                <w:highlight w:val="none"/>
              </w:rPr>
            </w:pPr>
          </w:p>
        </w:tc>
      </w:tr>
      <w:tr>
        <w:tblPrEx>
          <w:tblCellMar>
            <w:top w:w="0" w:type="dxa"/>
            <w:left w:w="0" w:type="dxa"/>
            <w:bottom w:w="0" w:type="dxa"/>
            <w:right w:w="0" w:type="dxa"/>
          </w:tblCellMar>
        </w:tblPrEx>
        <w:trPr>
          <w:trHeight w:val="2883" w:hRule="atLeast"/>
        </w:trPr>
        <w:tc>
          <w:tcPr>
            <w:tcW w:w="4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pPr>
              <w:keepNext w:val="0"/>
              <w:keepLines w:val="0"/>
              <w:pageBreakBefore w:val="0"/>
              <w:widowControl/>
              <w:suppressLineNumbers w:val="0"/>
              <w:kinsoku/>
              <w:wordWrap/>
              <w:overflowPunct/>
              <w:topLinePunct w:val="0"/>
              <w:autoSpaceDE/>
              <w:autoSpaceDN/>
              <w:bidi w:val="0"/>
              <w:spacing w:before="0" w:beforeAutospacing="0" w:after="0" w:afterAutospacing="0" w:line="600" w:lineRule="exact"/>
              <w:ind w:left="0" w:right="0"/>
              <w:jc w:val="both"/>
              <w:rPr>
                <w:rFonts w:hint="eastAsia"/>
              </w:rPr>
            </w:pPr>
            <w:r>
              <w:rPr>
                <w:rFonts w:hint="eastAsia"/>
              </w:rPr>
              <w:t>法定代表人身份证明复印件（</w:t>
            </w:r>
            <w:r>
              <w:rPr>
                <w:rFonts w:hint="eastAsia"/>
                <w:lang w:val="en-US" w:eastAsia="zh-CN"/>
              </w:rPr>
              <w:t>反面</w:t>
            </w:r>
            <w:r>
              <w:rPr>
                <w:rFonts w:hint="eastAsia"/>
              </w:rPr>
              <w:t>）</w:t>
            </w:r>
          </w:p>
        </w:tc>
        <w:tc>
          <w:tcPr>
            <w:tcW w:w="4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pPr>
              <w:keepNext w:val="0"/>
              <w:keepLines w:val="0"/>
              <w:pageBreakBefore w:val="0"/>
              <w:kinsoku/>
              <w:wordWrap/>
              <w:overflowPunct/>
              <w:topLinePunct w:val="0"/>
              <w:autoSpaceDE/>
              <w:autoSpaceDN/>
              <w:bidi w:val="0"/>
              <w:spacing w:line="600" w:lineRule="exact"/>
              <w:jc w:val="both"/>
            </w:pPr>
            <w:r>
              <w:rPr>
                <w:rFonts w:hint="eastAsia"/>
              </w:rPr>
              <w:t>被授权人身份证明复印件（</w:t>
            </w:r>
            <w:r>
              <w:rPr>
                <w:rFonts w:hint="eastAsia"/>
                <w:lang w:val="en-US" w:eastAsia="zh-CN"/>
              </w:rPr>
              <w:t>反</w:t>
            </w:r>
            <w:r>
              <w:rPr>
                <w:rFonts w:hint="eastAsia"/>
              </w:rPr>
              <w:t>面）</w:t>
            </w:r>
          </w:p>
          <w:p>
            <w:pPr>
              <w:keepNext w:val="0"/>
              <w:keepLines w:val="0"/>
              <w:pageBreakBefore w:val="0"/>
              <w:widowControl/>
              <w:suppressLineNumbers w:val="0"/>
              <w:kinsoku/>
              <w:wordWrap/>
              <w:overflowPunct/>
              <w:topLinePunct w:val="0"/>
              <w:autoSpaceDE/>
              <w:autoSpaceDN/>
              <w:bidi w:val="0"/>
              <w:spacing w:before="0" w:beforeAutospacing="0" w:after="0" w:afterAutospacing="0" w:line="600" w:lineRule="exact"/>
              <w:ind w:left="0" w:right="0"/>
              <w:jc w:val="both"/>
              <w:rPr>
                <w:rFonts w:hint="default" w:ascii="方正仿宋_GBK" w:eastAsia="方正仿宋_GBK"/>
                <w:color w:val="auto"/>
                <w:sz w:val="32"/>
                <w:highlight w:val="none"/>
              </w:rPr>
            </w:pPr>
          </w:p>
        </w:tc>
      </w:tr>
    </w:tbl>
    <w:p>
      <w:pPr>
        <w:keepNext w:val="0"/>
        <w:keepLines w:val="0"/>
        <w:pageBreakBefore w:val="0"/>
        <w:kinsoku/>
        <w:wordWrap/>
        <w:overflowPunct/>
        <w:topLinePunct w:val="0"/>
        <w:autoSpaceDE/>
        <w:autoSpaceDN/>
        <w:bidi w:val="0"/>
        <w:spacing w:line="600" w:lineRule="exact"/>
        <w:jc w:val="lef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pStyle w:val="3"/>
        <w:keepNext w:val="0"/>
        <w:keepLines w:val="0"/>
        <w:pageBreakBefore w:val="0"/>
        <w:kinsoku/>
        <w:wordWrap/>
        <w:overflowPunct/>
        <w:topLinePunct w:val="0"/>
        <w:autoSpaceDE/>
        <w:autoSpaceDN/>
        <w:bidi w:val="0"/>
        <w:spacing w:line="600" w:lineRule="exact"/>
        <w:rPr>
          <w:rFonts w:hint="eastAsia" w:ascii="方正小标宋_GBK" w:eastAsia="方正小标宋_GBK" w:hAnsiTheme="minorEastAsia"/>
          <w:color w:val="auto"/>
          <w:sz w:val="32"/>
          <w:szCs w:val="32"/>
          <w:lang w:val="en-US" w:eastAsia="zh-CN"/>
        </w:rPr>
      </w:pPr>
    </w:p>
    <w:p>
      <w:pPr>
        <w:keepNext w:val="0"/>
        <w:keepLines w:val="0"/>
        <w:pageBreakBefore w:val="0"/>
        <w:kinsoku/>
        <w:wordWrap/>
        <w:overflowPunct/>
        <w:topLinePunct w:val="0"/>
        <w:autoSpaceDE/>
        <w:autoSpaceDN/>
        <w:bidi w:val="0"/>
        <w:spacing w:line="600" w:lineRule="exact"/>
        <w:jc w:val="left"/>
        <w:rPr>
          <w:rFonts w:hint="eastAsia" w:ascii="方正小标宋_GBK" w:eastAsia="方正小标宋_GBK" w:hAnsiTheme="minorEastAsia"/>
          <w:color w:val="auto"/>
          <w:sz w:val="32"/>
          <w:szCs w:val="32"/>
          <w:lang w:val="en-US" w:eastAsia="zh-CN"/>
        </w:rPr>
      </w:pPr>
      <w:r>
        <w:rPr>
          <w:rFonts w:hint="eastAsia" w:ascii="方正小标宋_GBK" w:eastAsia="方正小标宋_GBK" w:hAnsiTheme="minorEastAsia"/>
          <w:color w:val="auto"/>
          <w:sz w:val="32"/>
          <w:szCs w:val="32"/>
          <w:lang w:val="en-US" w:eastAsia="zh-CN"/>
        </w:rPr>
        <w:t>附件4：</w:t>
      </w:r>
    </w:p>
    <w:p>
      <w:pPr>
        <w:pStyle w:val="5"/>
        <w:keepNext w:val="0"/>
        <w:keepLines w:val="0"/>
        <w:pageBreakBefore w:val="0"/>
        <w:kinsoku/>
        <w:wordWrap/>
        <w:overflowPunct/>
        <w:topLinePunct w:val="0"/>
        <w:autoSpaceDE/>
        <w:autoSpaceDN/>
        <w:bidi w:val="0"/>
        <w:spacing w:line="600" w:lineRule="exact"/>
      </w:pPr>
    </w:p>
    <w:p>
      <w:pPr>
        <w:keepNext w:val="0"/>
        <w:keepLines w:val="0"/>
        <w:pageBreakBefore w:val="0"/>
        <w:widowControl/>
        <w:kinsoku/>
        <w:wordWrap/>
        <w:overflowPunct/>
        <w:topLinePunct w:val="0"/>
        <w:autoSpaceDE/>
        <w:autoSpaceDN/>
        <w:bidi w:val="0"/>
        <w:spacing w:line="600" w:lineRule="exact"/>
        <w:jc w:val="center"/>
        <w:rPr>
          <w:rFonts w:hint="eastAsia" w:ascii="方正小标宋_GBK" w:hAnsi="黑体" w:eastAsia="方正小标宋_GBK"/>
          <w:color w:val="auto"/>
          <w:sz w:val="44"/>
          <w:highlight w:val="none"/>
        </w:rPr>
      </w:pPr>
      <w:r>
        <w:rPr>
          <w:rFonts w:hint="eastAsia" w:ascii="方正小标宋_GBK" w:hAnsi="黑体" w:eastAsia="方正小标宋_GBK"/>
          <w:color w:val="auto"/>
          <w:sz w:val="44"/>
          <w:highlight w:val="none"/>
        </w:rPr>
        <w:t>重庆银行成都分行网络设备2026年-2028年</w:t>
      </w:r>
    </w:p>
    <w:p>
      <w:pPr>
        <w:keepNext w:val="0"/>
        <w:keepLines w:val="0"/>
        <w:pageBreakBefore w:val="0"/>
        <w:widowControl/>
        <w:kinsoku/>
        <w:wordWrap/>
        <w:overflowPunct/>
        <w:topLinePunct w:val="0"/>
        <w:autoSpaceDE/>
        <w:autoSpaceDN/>
        <w:bidi w:val="0"/>
        <w:spacing w:line="600" w:lineRule="exact"/>
        <w:jc w:val="center"/>
        <w:rPr>
          <w:rFonts w:hint="eastAsia" w:ascii="方正小标宋_GBK" w:hAnsi="黑体" w:eastAsia="方正小标宋_GBK"/>
          <w:color w:val="auto"/>
          <w:sz w:val="44"/>
          <w:highlight w:val="none"/>
        </w:rPr>
      </w:pPr>
      <w:r>
        <w:rPr>
          <w:rFonts w:hint="eastAsia" w:ascii="方正小标宋_GBK" w:hAnsi="黑体" w:eastAsia="方正小标宋_GBK"/>
          <w:color w:val="auto"/>
          <w:sz w:val="44"/>
          <w:highlight w:val="none"/>
        </w:rPr>
        <w:t>维保项目</w:t>
      </w:r>
    </w:p>
    <w:p>
      <w:pPr>
        <w:keepNext w:val="0"/>
        <w:keepLines w:val="0"/>
        <w:pageBreakBefore w:val="0"/>
        <w:kinsoku/>
        <w:wordWrap/>
        <w:overflowPunct/>
        <w:topLinePunct w:val="0"/>
        <w:autoSpaceDE/>
        <w:autoSpaceDN/>
        <w:bidi w:val="0"/>
        <w:spacing w:line="600" w:lineRule="exact"/>
        <w:jc w:val="center"/>
        <w:rPr>
          <w:rFonts w:ascii="方正小标宋_GBK" w:hAnsi="宋体" w:eastAsia="方正小标宋_GBK"/>
          <w:b/>
          <w:bCs/>
          <w:sz w:val="44"/>
          <w:szCs w:val="44"/>
        </w:rPr>
      </w:pPr>
      <w:r>
        <w:rPr>
          <w:rFonts w:hint="eastAsia" w:ascii="方正小标宋_GBK" w:hAnsi="宋体" w:eastAsia="方正小标宋_GBK" w:cs="方正小标宋_GBK"/>
          <w:sz w:val="44"/>
          <w:szCs w:val="44"/>
        </w:rPr>
        <w:t>（第____次）报价表</w:t>
      </w:r>
    </w:p>
    <w:p>
      <w:pPr>
        <w:keepNext w:val="0"/>
        <w:keepLines w:val="0"/>
        <w:pageBreakBefore w:val="0"/>
        <w:tabs>
          <w:tab w:val="left" w:pos="540"/>
          <w:tab w:val="left" w:pos="720"/>
        </w:tabs>
        <w:kinsoku/>
        <w:wordWrap/>
        <w:overflowPunct/>
        <w:topLinePunct w:val="0"/>
        <w:autoSpaceDE/>
        <w:autoSpaceDN/>
        <w:bidi w:val="0"/>
        <w:adjustRightInd w:val="0"/>
        <w:snapToGrid w:val="0"/>
        <w:spacing w:line="600" w:lineRule="exact"/>
        <w:ind w:firstLine="640" w:firstLineChars="200"/>
        <w:rPr>
          <w:rFonts w:ascii="仿宋_GB2312" w:hAnsi="宋体" w:eastAsia="仿宋_GB2312"/>
          <w:sz w:val="32"/>
          <w:szCs w:val="32"/>
        </w:rPr>
      </w:pPr>
    </w:p>
    <w:tbl>
      <w:tblPr>
        <w:tblStyle w:val="7"/>
        <w:tblW w:w="102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8"/>
        <w:gridCol w:w="2621"/>
        <w:gridCol w:w="2683"/>
        <w:gridCol w:w="1791"/>
        <w:gridCol w:w="17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348" w:type="dxa"/>
            <w:noWrap w:val="0"/>
            <w:vAlign w:val="center"/>
          </w:tcPr>
          <w:p>
            <w:pPr>
              <w:keepNext w:val="0"/>
              <w:keepLines w:val="0"/>
              <w:pageBreakBefore w:val="0"/>
              <w:kinsoku/>
              <w:wordWrap/>
              <w:overflowPunct/>
              <w:topLinePunct w:val="0"/>
              <w:autoSpaceDE/>
              <w:autoSpaceDN/>
              <w:bidi w:val="0"/>
              <w:spacing w:line="600" w:lineRule="exact"/>
              <w:jc w:val="center"/>
              <w:rPr>
                <w:rFonts w:ascii="黑体" w:hAnsi="黑体" w:eastAsia="黑体"/>
                <w:sz w:val="24"/>
              </w:rPr>
            </w:pPr>
            <w:r>
              <w:rPr>
                <w:rFonts w:hint="eastAsia" w:ascii="黑体" w:hAnsi="黑体" w:eastAsia="黑体" w:cs="黑体"/>
                <w:sz w:val="24"/>
              </w:rPr>
              <w:t>序号</w:t>
            </w:r>
          </w:p>
        </w:tc>
        <w:tc>
          <w:tcPr>
            <w:tcW w:w="2621" w:type="dxa"/>
            <w:noWrap w:val="0"/>
            <w:vAlign w:val="center"/>
          </w:tcPr>
          <w:p>
            <w:pPr>
              <w:keepNext w:val="0"/>
              <w:keepLines w:val="0"/>
              <w:pageBreakBefore w:val="0"/>
              <w:kinsoku/>
              <w:wordWrap/>
              <w:overflowPunct/>
              <w:topLinePunct w:val="0"/>
              <w:autoSpaceDE/>
              <w:autoSpaceDN/>
              <w:bidi w:val="0"/>
              <w:spacing w:line="600" w:lineRule="exact"/>
              <w:jc w:val="center"/>
              <w:rPr>
                <w:rFonts w:hint="default" w:ascii="黑体" w:hAnsi="黑体" w:eastAsia="黑体"/>
                <w:sz w:val="24"/>
                <w:lang w:val="en-US" w:eastAsia="zh-CN"/>
              </w:rPr>
            </w:pPr>
            <w:r>
              <w:rPr>
                <w:rFonts w:hint="eastAsia" w:ascii="黑体" w:hAnsi="黑体" w:eastAsia="黑体" w:cs="黑体"/>
                <w:sz w:val="24"/>
              </w:rPr>
              <w:t>项目</w:t>
            </w:r>
            <w:r>
              <w:rPr>
                <w:rFonts w:hint="eastAsia" w:ascii="黑体" w:hAnsi="黑体" w:eastAsia="黑体" w:cs="黑体"/>
                <w:sz w:val="24"/>
                <w:lang w:val="en-US" w:eastAsia="zh-CN"/>
              </w:rPr>
              <w:t>名称</w:t>
            </w:r>
          </w:p>
        </w:tc>
        <w:tc>
          <w:tcPr>
            <w:tcW w:w="2683" w:type="dxa"/>
            <w:noWrap w:val="0"/>
            <w:vAlign w:val="center"/>
          </w:tcPr>
          <w:p>
            <w:pPr>
              <w:keepNext w:val="0"/>
              <w:keepLines w:val="0"/>
              <w:pageBreakBefore w:val="0"/>
              <w:kinsoku/>
              <w:wordWrap/>
              <w:overflowPunct/>
              <w:topLinePunct w:val="0"/>
              <w:autoSpaceDE/>
              <w:autoSpaceDN/>
              <w:bidi w:val="0"/>
              <w:spacing w:line="600" w:lineRule="exact"/>
              <w:jc w:val="center"/>
              <w:rPr>
                <w:rFonts w:hint="default" w:ascii="黑体" w:hAnsi="黑体" w:eastAsia="黑体"/>
                <w:sz w:val="24"/>
                <w:lang w:val="en-US" w:eastAsia="zh-CN"/>
              </w:rPr>
            </w:pPr>
            <w:r>
              <w:rPr>
                <w:rFonts w:hint="eastAsia" w:ascii="黑体" w:hAnsi="黑体" w:eastAsia="黑体" w:cs="黑体"/>
                <w:sz w:val="24"/>
                <w:lang w:val="en-US" w:eastAsia="zh-CN"/>
              </w:rPr>
              <w:t>服务期限</w:t>
            </w:r>
          </w:p>
        </w:tc>
        <w:tc>
          <w:tcPr>
            <w:tcW w:w="1791" w:type="dxa"/>
            <w:noWrap w:val="0"/>
            <w:vAlign w:val="center"/>
          </w:tcPr>
          <w:p>
            <w:pPr>
              <w:keepNext w:val="0"/>
              <w:keepLines w:val="0"/>
              <w:pageBreakBefore w:val="0"/>
              <w:kinsoku/>
              <w:wordWrap/>
              <w:overflowPunct/>
              <w:topLinePunct w:val="0"/>
              <w:autoSpaceDE/>
              <w:autoSpaceDN/>
              <w:bidi w:val="0"/>
              <w:spacing w:line="600" w:lineRule="exact"/>
              <w:jc w:val="center"/>
              <w:rPr>
                <w:rFonts w:ascii="黑体" w:hAnsi="黑体" w:eastAsia="黑体"/>
                <w:sz w:val="24"/>
              </w:rPr>
            </w:pPr>
            <w:r>
              <w:rPr>
                <w:rFonts w:hint="eastAsia" w:ascii="黑体" w:hAnsi="黑体" w:eastAsia="黑体" w:cs="黑体"/>
                <w:sz w:val="24"/>
              </w:rPr>
              <w:t>报价</w:t>
            </w:r>
            <w:r>
              <w:rPr>
                <w:rFonts w:hint="eastAsia" w:ascii="黑体" w:hAnsi="黑体" w:eastAsia="黑体" w:cs="黑体"/>
                <w:sz w:val="24"/>
                <w:lang w:eastAsia="zh-CN"/>
              </w:rPr>
              <w:t>（</w:t>
            </w:r>
            <w:r>
              <w:rPr>
                <w:rFonts w:hint="eastAsia" w:ascii="黑体" w:hAnsi="黑体" w:eastAsia="黑体" w:cs="黑体"/>
                <w:sz w:val="24"/>
                <w:lang w:val="en-US" w:eastAsia="zh-CN"/>
              </w:rPr>
              <w:t>元</w:t>
            </w:r>
            <w:r>
              <w:rPr>
                <w:rFonts w:hint="eastAsia" w:ascii="黑体" w:hAnsi="黑体" w:eastAsia="黑体" w:cs="黑体"/>
                <w:sz w:val="24"/>
                <w:lang w:eastAsia="zh-CN"/>
              </w:rPr>
              <w:t>）</w:t>
            </w:r>
          </w:p>
        </w:tc>
        <w:tc>
          <w:tcPr>
            <w:tcW w:w="1791" w:type="dxa"/>
            <w:noWrap w:val="0"/>
            <w:vAlign w:val="center"/>
          </w:tcPr>
          <w:p>
            <w:pPr>
              <w:keepNext w:val="0"/>
              <w:keepLines w:val="0"/>
              <w:pageBreakBefore w:val="0"/>
              <w:kinsoku/>
              <w:wordWrap/>
              <w:overflowPunct/>
              <w:topLinePunct w:val="0"/>
              <w:autoSpaceDE/>
              <w:autoSpaceDN/>
              <w:bidi w:val="0"/>
              <w:spacing w:line="600" w:lineRule="exact"/>
              <w:jc w:val="center"/>
              <w:rPr>
                <w:rFonts w:hint="eastAsia" w:ascii="黑体" w:hAnsi="黑体" w:eastAsia="黑体" w:cs="黑体"/>
                <w:sz w:val="24"/>
              </w:rPr>
            </w:pPr>
            <w:r>
              <w:rPr>
                <w:rFonts w:hint="eastAsia" w:ascii="黑体" w:hAnsi="黑体" w:eastAsia="黑体" w:cs="黑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5" w:hRule="atLeast"/>
          <w:jc w:val="center"/>
        </w:trPr>
        <w:tc>
          <w:tcPr>
            <w:tcW w:w="1348" w:type="dxa"/>
            <w:noWrap w:val="0"/>
            <w:vAlign w:val="center"/>
          </w:tcPr>
          <w:p>
            <w:pPr>
              <w:keepNext w:val="0"/>
              <w:keepLines w:val="0"/>
              <w:pageBreakBefore w:val="0"/>
              <w:kinsoku/>
              <w:wordWrap/>
              <w:overflowPunct/>
              <w:topLinePunct w:val="0"/>
              <w:autoSpaceDE/>
              <w:autoSpaceDN/>
              <w:bidi w:val="0"/>
              <w:spacing w:line="600" w:lineRule="exact"/>
              <w:jc w:val="center"/>
              <w:rPr>
                <w:rFonts w:eastAsia="黑体"/>
                <w:b/>
                <w:bCs/>
                <w:sz w:val="24"/>
              </w:rPr>
            </w:pPr>
            <w:r>
              <w:rPr>
                <w:rFonts w:eastAsia="黑体"/>
                <w:b/>
                <w:bCs/>
                <w:sz w:val="24"/>
              </w:rPr>
              <w:t>1</w:t>
            </w:r>
          </w:p>
        </w:tc>
        <w:tc>
          <w:tcPr>
            <w:tcW w:w="2621" w:type="dxa"/>
            <w:noWrap w:val="0"/>
            <w:vAlign w:val="center"/>
          </w:tcPr>
          <w:p>
            <w:pPr>
              <w:keepNext w:val="0"/>
              <w:keepLines w:val="0"/>
              <w:pageBreakBefore w:val="0"/>
              <w:kinsoku/>
              <w:wordWrap/>
              <w:overflowPunct/>
              <w:topLinePunct w:val="0"/>
              <w:autoSpaceDE/>
              <w:autoSpaceDN/>
              <w:bidi w:val="0"/>
              <w:spacing w:line="600" w:lineRule="exact"/>
              <w:jc w:val="center"/>
              <w:rPr>
                <w:rFonts w:ascii="宋体" w:hAnsi="Calibri"/>
                <w:color w:val="000000"/>
                <w:sz w:val="22"/>
                <w:szCs w:val="21"/>
              </w:rPr>
            </w:pPr>
            <w:r>
              <w:rPr>
                <w:rFonts w:hint="eastAsia" w:ascii="黑体" w:hAnsi="黑体" w:eastAsia="黑体" w:cs="黑体"/>
                <w:sz w:val="24"/>
              </w:rPr>
              <w:t>重庆银行成都分行网络设备2026年-2028年维保项目</w:t>
            </w:r>
          </w:p>
        </w:tc>
        <w:tc>
          <w:tcPr>
            <w:tcW w:w="2683" w:type="dxa"/>
            <w:noWrap w:val="0"/>
            <w:vAlign w:val="center"/>
          </w:tcPr>
          <w:p>
            <w:pPr>
              <w:keepNext w:val="0"/>
              <w:keepLines w:val="0"/>
              <w:pageBreakBefore w:val="0"/>
              <w:kinsoku/>
              <w:wordWrap/>
              <w:overflowPunct/>
              <w:topLinePunct w:val="0"/>
              <w:autoSpaceDE/>
              <w:autoSpaceDN/>
              <w:bidi w:val="0"/>
              <w:spacing w:line="600" w:lineRule="exact"/>
              <w:jc w:val="center"/>
              <w:rPr>
                <w:rFonts w:hint="eastAsia" w:ascii="黑体" w:hAnsi="黑体" w:eastAsia="黑体" w:cs="黑体"/>
                <w:sz w:val="24"/>
                <w:lang w:eastAsia="zh-CN"/>
              </w:rPr>
            </w:pPr>
            <w:r>
              <w:rPr>
                <w:rFonts w:hint="eastAsia" w:ascii="黑体" w:hAnsi="黑体" w:eastAsia="黑体" w:cs="黑体"/>
                <w:sz w:val="24"/>
              </w:rPr>
              <w:t>2026年10月31日至2028年5月31日</w:t>
            </w:r>
          </w:p>
        </w:tc>
        <w:tc>
          <w:tcPr>
            <w:tcW w:w="1791" w:type="dxa"/>
            <w:noWrap w:val="0"/>
            <w:vAlign w:val="center"/>
          </w:tcPr>
          <w:p>
            <w:pPr>
              <w:keepNext w:val="0"/>
              <w:keepLines w:val="0"/>
              <w:pageBreakBefore w:val="0"/>
              <w:kinsoku/>
              <w:wordWrap/>
              <w:overflowPunct/>
              <w:topLinePunct w:val="0"/>
              <w:autoSpaceDE/>
              <w:autoSpaceDN/>
              <w:bidi w:val="0"/>
              <w:spacing w:line="600" w:lineRule="exact"/>
              <w:jc w:val="center"/>
              <w:rPr>
                <w:rFonts w:hint="eastAsia" w:ascii="黑体" w:hAnsi="黑体" w:eastAsia="黑体"/>
                <w:sz w:val="24"/>
                <w:lang w:eastAsia="zh-CN"/>
              </w:rPr>
            </w:pPr>
          </w:p>
        </w:tc>
        <w:tc>
          <w:tcPr>
            <w:tcW w:w="1791" w:type="dxa"/>
            <w:noWrap w:val="0"/>
            <w:vAlign w:val="center"/>
          </w:tcPr>
          <w:p>
            <w:pPr>
              <w:keepNext w:val="0"/>
              <w:keepLines w:val="0"/>
              <w:pageBreakBefore w:val="0"/>
              <w:kinsoku/>
              <w:wordWrap/>
              <w:overflowPunct/>
              <w:topLinePunct w:val="0"/>
              <w:autoSpaceDE/>
              <w:autoSpaceDN/>
              <w:bidi w:val="0"/>
              <w:spacing w:line="600" w:lineRule="exact"/>
              <w:jc w:val="center"/>
              <w:rPr>
                <w:rFonts w:hint="eastAsia" w:ascii="黑体" w:hAnsi="黑体" w:eastAsia="黑体"/>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348" w:type="dxa"/>
            <w:noWrap w:val="0"/>
            <w:vAlign w:val="center"/>
          </w:tcPr>
          <w:p>
            <w:pPr>
              <w:keepNext w:val="0"/>
              <w:keepLines w:val="0"/>
              <w:pageBreakBefore w:val="0"/>
              <w:kinsoku/>
              <w:wordWrap/>
              <w:overflowPunct/>
              <w:topLinePunct w:val="0"/>
              <w:autoSpaceDE/>
              <w:autoSpaceDN/>
              <w:bidi w:val="0"/>
              <w:spacing w:line="600" w:lineRule="exact"/>
              <w:jc w:val="center"/>
              <w:rPr>
                <w:rFonts w:eastAsia="黑体"/>
                <w:b/>
                <w:bCs/>
                <w:sz w:val="24"/>
              </w:rPr>
            </w:pPr>
            <w:r>
              <w:rPr>
                <w:rFonts w:hint="eastAsia" w:eastAsia="黑体" w:cs="黑体"/>
                <w:b/>
                <w:bCs/>
                <w:sz w:val="24"/>
              </w:rPr>
              <w:t>总计(大写)</w:t>
            </w:r>
          </w:p>
        </w:tc>
        <w:tc>
          <w:tcPr>
            <w:tcW w:w="7095" w:type="dxa"/>
            <w:gridSpan w:val="3"/>
            <w:noWrap w:val="0"/>
            <w:vAlign w:val="center"/>
          </w:tcPr>
          <w:p>
            <w:pPr>
              <w:keepNext w:val="0"/>
              <w:keepLines w:val="0"/>
              <w:pageBreakBefore w:val="0"/>
              <w:kinsoku/>
              <w:wordWrap/>
              <w:overflowPunct/>
              <w:topLinePunct w:val="0"/>
              <w:autoSpaceDE/>
              <w:autoSpaceDN/>
              <w:bidi w:val="0"/>
              <w:spacing w:line="600" w:lineRule="exact"/>
              <w:jc w:val="center"/>
              <w:rPr>
                <w:rFonts w:ascii="黑体" w:hAnsi="黑体" w:eastAsia="黑体"/>
                <w:sz w:val="24"/>
              </w:rPr>
            </w:pPr>
          </w:p>
        </w:tc>
        <w:tc>
          <w:tcPr>
            <w:tcW w:w="1791" w:type="dxa"/>
            <w:noWrap w:val="0"/>
            <w:vAlign w:val="center"/>
          </w:tcPr>
          <w:p>
            <w:pPr>
              <w:keepNext w:val="0"/>
              <w:keepLines w:val="0"/>
              <w:pageBreakBefore w:val="0"/>
              <w:kinsoku/>
              <w:wordWrap/>
              <w:overflowPunct/>
              <w:topLinePunct w:val="0"/>
              <w:autoSpaceDE/>
              <w:autoSpaceDN/>
              <w:bidi w:val="0"/>
              <w:spacing w:line="600" w:lineRule="exact"/>
              <w:jc w:val="center"/>
              <w:rPr>
                <w:rFonts w:ascii="黑体" w:hAnsi="黑体" w:eastAsia="黑体"/>
                <w:sz w:val="24"/>
              </w:rPr>
            </w:pPr>
          </w:p>
        </w:tc>
      </w:tr>
    </w:tbl>
    <w:p>
      <w:pPr>
        <w:keepNext w:val="0"/>
        <w:keepLines w:val="0"/>
        <w:pageBreakBefore w:val="0"/>
        <w:tabs>
          <w:tab w:val="left" w:pos="540"/>
          <w:tab w:val="left" w:pos="720"/>
        </w:tabs>
        <w:kinsoku/>
        <w:wordWrap/>
        <w:overflowPunct/>
        <w:topLinePunct w:val="0"/>
        <w:autoSpaceDE/>
        <w:autoSpaceDN/>
        <w:bidi w:val="0"/>
        <w:adjustRightInd w:val="0"/>
        <w:snapToGrid w:val="0"/>
        <w:spacing w:line="600" w:lineRule="exact"/>
        <w:ind w:firstLine="640" w:firstLineChars="200"/>
        <w:rPr>
          <w:rFonts w:ascii="仿宋_GB2312" w:hAnsi="Calibri" w:eastAsia="仿宋_GB2312"/>
          <w:sz w:val="32"/>
          <w:szCs w:val="32"/>
        </w:rPr>
      </w:pPr>
    </w:p>
    <w:p>
      <w:pPr>
        <w:keepNext w:val="0"/>
        <w:keepLines w:val="0"/>
        <w:pageBreakBefore w:val="0"/>
        <w:tabs>
          <w:tab w:val="left" w:pos="540"/>
          <w:tab w:val="left" w:pos="720"/>
        </w:tabs>
        <w:kinsoku/>
        <w:wordWrap/>
        <w:overflowPunct/>
        <w:topLinePunct w:val="0"/>
        <w:autoSpaceDE/>
        <w:autoSpaceDN/>
        <w:bidi w:val="0"/>
        <w:adjustRightInd w:val="0"/>
        <w:snapToGrid w:val="0"/>
        <w:spacing w:line="600" w:lineRule="exact"/>
        <w:ind w:firstLine="640" w:firstLineChars="200"/>
        <w:rPr>
          <w:rFonts w:ascii="仿宋_GB2312" w:hAnsi="Calibri" w:eastAsia="仿宋_GB2312"/>
          <w:sz w:val="32"/>
          <w:szCs w:val="32"/>
        </w:rPr>
      </w:pPr>
    </w:p>
    <w:p>
      <w:pPr>
        <w:keepNext w:val="0"/>
        <w:keepLines w:val="0"/>
        <w:pageBreakBefore w:val="0"/>
        <w:tabs>
          <w:tab w:val="left" w:pos="540"/>
          <w:tab w:val="left" w:pos="720"/>
        </w:tabs>
        <w:kinsoku/>
        <w:wordWrap/>
        <w:overflowPunct/>
        <w:topLinePunct w:val="0"/>
        <w:autoSpaceDE/>
        <w:autoSpaceDN/>
        <w:bidi w:val="0"/>
        <w:adjustRightInd w:val="0"/>
        <w:snapToGrid w:val="0"/>
        <w:spacing w:line="600" w:lineRule="exact"/>
        <w:rPr>
          <w:rFonts w:hint="eastAsia" w:ascii="方正仿宋_GBK" w:hAnsi="Calibri" w:eastAsia="方正仿宋_GBK" w:cs="方正仿宋_GBK"/>
          <w:sz w:val="32"/>
          <w:szCs w:val="32"/>
        </w:rPr>
      </w:pPr>
      <w:r>
        <w:rPr>
          <w:rFonts w:hint="eastAsia" w:ascii="方正仿宋_GBK" w:eastAsia="方正仿宋_GBK" w:cs="方正仿宋_GBK"/>
          <w:sz w:val="32"/>
          <w:szCs w:val="32"/>
          <w:lang w:val="en-US" w:eastAsia="zh-CN"/>
        </w:rPr>
        <w:t>供应商名称</w:t>
      </w:r>
      <w:r>
        <w:rPr>
          <w:rFonts w:hint="eastAsia" w:ascii="方正仿宋_GBK" w:hAnsi="Calibri" w:eastAsia="方正仿宋_GBK" w:cs="方正仿宋_GBK"/>
          <w:sz w:val="32"/>
          <w:szCs w:val="32"/>
        </w:rPr>
        <w:t>：</w:t>
      </w:r>
    </w:p>
    <w:p>
      <w:pPr>
        <w:pStyle w:val="3"/>
        <w:keepNext w:val="0"/>
        <w:keepLines w:val="0"/>
        <w:pageBreakBefore w:val="0"/>
        <w:kinsoku/>
        <w:wordWrap/>
        <w:overflowPunct/>
        <w:topLinePunct w:val="0"/>
        <w:autoSpaceDE/>
        <w:autoSpaceDN/>
        <w:bidi w:val="0"/>
        <w:spacing w:line="600" w:lineRule="exact"/>
      </w:pPr>
    </w:p>
    <w:p>
      <w:pPr>
        <w:keepNext w:val="0"/>
        <w:keepLines w:val="0"/>
        <w:pageBreakBefore w:val="0"/>
        <w:tabs>
          <w:tab w:val="left" w:pos="540"/>
          <w:tab w:val="left" w:pos="720"/>
        </w:tabs>
        <w:kinsoku/>
        <w:wordWrap/>
        <w:overflowPunct/>
        <w:topLinePunct w:val="0"/>
        <w:autoSpaceDE/>
        <w:autoSpaceDN/>
        <w:bidi w:val="0"/>
        <w:adjustRightInd w:val="0"/>
        <w:snapToGrid w:val="0"/>
        <w:spacing w:line="600" w:lineRule="exact"/>
        <w:rPr>
          <w:rFonts w:hint="eastAsia" w:ascii="方正仿宋_GBK" w:hAnsi="Calibri" w:eastAsia="方正仿宋_GBK" w:cs="方正仿宋_GBK"/>
          <w:sz w:val="32"/>
          <w:szCs w:val="32"/>
        </w:rPr>
      </w:pPr>
      <w:r>
        <w:rPr>
          <w:rFonts w:hint="eastAsia" w:ascii="方正仿宋_GBK" w:eastAsia="方正仿宋_GBK" w:cs="方正仿宋_GBK"/>
          <w:sz w:val="32"/>
          <w:szCs w:val="32"/>
          <w:lang w:val="en-US" w:eastAsia="zh-CN"/>
        </w:rPr>
        <w:t>法定代表人或</w:t>
      </w:r>
      <w:r>
        <w:rPr>
          <w:rFonts w:hint="eastAsia" w:ascii="方正仿宋_GBK" w:hAnsi="Calibri" w:eastAsia="方正仿宋_GBK" w:cs="方正仿宋_GBK"/>
          <w:sz w:val="32"/>
          <w:szCs w:val="32"/>
        </w:rPr>
        <w:t>授权代表签字：</w:t>
      </w:r>
    </w:p>
    <w:p>
      <w:pPr>
        <w:pStyle w:val="3"/>
        <w:keepNext w:val="0"/>
        <w:keepLines w:val="0"/>
        <w:pageBreakBefore w:val="0"/>
        <w:kinsoku/>
        <w:wordWrap/>
        <w:overflowPunct/>
        <w:topLinePunct w:val="0"/>
        <w:autoSpaceDE/>
        <w:autoSpaceDN/>
        <w:bidi w:val="0"/>
        <w:spacing w:line="600" w:lineRule="exact"/>
      </w:pPr>
    </w:p>
    <w:p>
      <w:pPr>
        <w:keepNext w:val="0"/>
        <w:keepLines w:val="0"/>
        <w:pageBreakBefore w:val="0"/>
        <w:tabs>
          <w:tab w:val="left" w:pos="540"/>
          <w:tab w:val="left" w:pos="720"/>
        </w:tabs>
        <w:kinsoku/>
        <w:wordWrap/>
        <w:overflowPunct/>
        <w:topLinePunct w:val="0"/>
        <w:autoSpaceDE/>
        <w:autoSpaceDN/>
        <w:bidi w:val="0"/>
        <w:adjustRightInd w:val="0"/>
        <w:snapToGrid w:val="0"/>
        <w:spacing w:line="600" w:lineRule="exact"/>
        <w:rPr>
          <w:rFonts w:ascii="方正仿宋_GBK" w:hAnsi="Calibri" w:eastAsia="方正仿宋_GBK"/>
          <w:sz w:val="32"/>
          <w:szCs w:val="32"/>
        </w:rPr>
      </w:pPr>
      <w:r>
        <w:rPr>
          <w:rFonts w:hint="eastAsia" w:ascii="方正仿宋_GBK" w:hAnsi="Calibri" w:eastAsia="方正仿宋_GBK" w:cs="方正仿宋_GBK"/>
          <w:sz w:val="32"/>
          <w:szCs w:val="32"/>
        </w:rPr>
        <w:t>时间：</w:t>
      </w:r>
    </w:p>
    <w:p>
      <w:pPr>
        <w:pStyle w:val="5"/>
        <w:keepNext w:val="0"/>
        <w:keepLines w:val="0"/>
        <w:pageBreakBefore w:val="0"/>
        <w:kinsoku/>
        <w:wordWrap/>
        <w:overflowPunct/>
        <w:topLinePunct w:val="0"/>
        <w:autoSpaceDE/>
        <w:autoSpaceDN/>
        <w:bidi w:val="0"/>
        <w:spacing w:line="600" w:lineRule="exact"/>
      </w:pPr>
    </w:p>
    <w:p>
      <w:pPr>
        <w:pStyle w:val="5"/>
        <w:keepNext w:val="0"/>
        <w:keepLines w:val="0"/>
        <w:pageBreakBefore w:val="0"/>
        <w:kinsoku/>
        <w:wordWrap/>
        <w:overflowPunct/>
        <w:topLinePunct w:val="0"/>
        <w:autoSpaceDE/>
        <w:autoSpaceDN/>
        <w:bidi w:val="0"/>
        <w:spacing w:line="600" w:lineRule="exact"/>
        <w:sectPr>
          <w:pgSz w:w="11906" w:h="16838"/>
          <w:pgMar w:top="2098" w:right="1474" w:bottom="1984" w:left="1587" w:header="851" w:footer="992" w:gutter="0"/>
          <w:cols w:space="425" w:num="1"/>
          <w:docGrid w:type="lines" w:linePitch="312" w:charSpace="0"/>
        </w:sectPr>
      </w:pPr>
    </w:p>
    <w:p>
      <w:pPr>
        <w:keepNext w:val="0"/>
        <w:keepLines w:val="0"/>
        <w:pageBreakBefore w:val="0"/>
        <w:kinsoku/>
        <w:wordWrap/>
        <w:overflowPunct/>
        <w:topLinePunct w:val="0"/>
        <w:autoSpaceDE/>
        <w:autoSpaceDN/>
        <w:bidi w:val="0"/>
        <w:spacing w:line="600" w:lineRule="exact"/>
        <w:jc w:val="left"/>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附件5：</w:t>
      </w:r>
    </w:p>
    <w:p>
      <w:pPr>
        <w:keepNext w:val="0"/>
        <w:keepLines w:val="0"/>
        <w:pageBreakBefore w:val="0"/>
        <w:kinsoku/>
        <w:wordWrap/>
        <w:overflowPunct/>
        <w:topLinePunct w:val="0"/>
        <w:autoSpaceDE/>
        <w:autoSpaceDN/>
        <w:bidi w:val="0"/>
        <w:spacing w:line="600" w:lineRule="exact"/>
        <w:jc w:val="center"/>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bCs/>
          <w:sz w:val="32"/>
          <w:szCs w:val="32"/>
          <w:highlight w:val="none"/>
        </w:rPr>
        <w:t>诚信声明</w:t>
      </w:r>
    </w:p>
    <w:p>
      <w:pPr>
        <w:keepNext w:val="0"/>
        <w:keepLines w:val="0"/>
        <w:pageBreakBefore w:val="0"/>
        <w:kinsoku/>
        <w:wordWrap/>
        <w:overflowPunct/>
        <w:topLinePunct w:val="0"/>
        <w:autoSpaceDE/>
        <w:autoSpaceDN/>
        <w:bidi w:val="0"/>
        <w:spacing w:line="600" w:lineRule="exact"/>
        <w:rPr>
          <w:rFonts w:hint="eastAsia" w:ascii="方正仿宋_GBK" w:hAnsi="方正仿宋_GBK" w:eastAsia="方正仿宋_GBK" w:cs="方正仿宋_GBK"/>
          <w:bCs/>
          <w:spacing w:val="8"/>
          <w:sz w:val="32"/>
          <w:szCs w:val="32"/>
          <w:highlight w:val="none"/>
          <w:lang w:val="en-US" w:eastAsia="zh-CN"/>
        </w:rPr>
      </w:pPr>
      <w:r>
        <w:rPr>
          <w:rFonts w:hint="eastAsia" w:ascii="方正仿宋_GBK" w:hAnsi="方正仿宋_GBK" w:eastAsia="方正仿宋_GBK" w:cs="方正仿宋_GBK"/>
          <w:bCs/>
          <w:spacing w:val="8"/>
          <w:sz w:val="32"/>
          <w:szCs w:val="32"/>
          <w:highlight w:val="none"/>
        </w:rPr>
        <w:t>致：</w:t>
      </w:r>
      <w:r>
        <w:rPr>
          <w:rFonts w:hint="eastAsia" w:ascii="方正仿宋_GBK" w:hAnsi="方正仿宋_GBK" w:eastAsia="方正仿宋_GBK" w:cs="方正仿宋_GBK"/>
          <w:bCs/>
          <w:spacing w:val="8"/>
          <w:sz w:val="32"/>
          <w:szCs w:val="32"/>
          <w:highlight w:val="none"/>
          <w:u w:val="single"/>
        </w:rPr>
        <w:t>重庆银行股份有限公司</w:t>
      </w:r>
      <w:r>
        <w:rPr>
          <w:rFonts w:hint="eastAsia" w:ascii="方正仿宋_GBK" w:hAnsi="方正仿宋_GBK" w:eastAsia="方正仿宋_GBK" w:cs="方正仿宋_GBK"/>
          <w:bCs/>
          <w:spacing w:val="8"/>
          <w:sz w:val="32"/>
          <w:szCs w:val="32"/>
          <w:highlight w:val="none"/>
          <w:u w:val="single"/>
          <w:lang w:val="en-US" w:eastAsia="zh-CN"/>
        </w:rPr>
        <w:t>成都分行</w:t>
      </w:r>
    </w:p>
    <w:p>
      <w:pPr>
        <w:keepNext w:val="0"/>
        <w:keepLines w:val="0"/>
        <w:pageBreakBefore w:val="0"/>
        <w:kinsoku/>
        <w:wordWrap/>
        <w:overflowPunct/>
        <w:topLinePunct w:val="0"/>
        <w:autoSpaceDE/>
        <w:autoSpaceDN/>
        <w:bidi w:val="0"/>
        <w:spacing w:line="600" w:lineRule="exact"/>
        <w:ind w:firstLine="640" w:firstLineChars="200"/>
        <w:rPr>
          <w:rFonts w:hint="eastAsia" w:ascii="方正仿宋_GBK" w:hAnsi="方正仿宋_GBK" w:eastAsia="方正仿宋_GBK" w:cs="方正仿宋_GBK"/>
          <w:bCs/>
          <w:spacing w:val="8"/>
          <w:sz w:val="32"/>
          <w:szCs w:val="32"/>
          <w:highlight w:val="none"/>
        </w:rPr>
      </w:pPr>
      <w:r>
        <w:rPr>
          <w:rFonts w:hint="eastAsia" w:ascii="方正仿宋_GBK" w:hAnsi="方正仿宋_GBK" w:eastAsia="方正仿宋_GBK" w:cs="方正仿宋_GBK"/>
          <w:sz w:val="32"/>
          <w:szCs w:val="32"/>
          <w:highlight w:val="none"/>
        </w:rPr>
        <w:t>1、我公司</w:t>
      </w:r>
      <w:r>
        <w:rPr>
          <w:rFonts w:hint="eastAsia" w:ascii="方正仿宋_GBK" w:hAnsi="方正仿宋_GBK" w:eastAsia="方正仿宋_GBK" w:cs="方正仿宋_GBK"/>
          <w:sz w:val="32"/>
          <w:szCs w:val="32"/>
          <w:highlight w:val="none"/>
          <w:u w:val="single"/>
        </w:rPr>
        <w:t>（供应商名称）</w:t>
      </w:r>
      <w:r>
        <w:rPr>
          <w:rFonts w:hint="eastAsia" w:ascii="方正仿宋_GBK" w:hAnsi="方正仿宋_GBK" w:eastAsia="方正仿宋_GBK" w:cs="方正仿宋_GBK"/>
          <w:sz w:val="32"/>
          <w:szCs w:val="32"/>
          <w:highlight w:val="none"/>
        </w:rPr>
        <w:t>参加了你公司</w:t>
      </w:r>
      <w:r>
        <w:rPr>
          <w:rFonts w:hint="eastAsia" w:ascii="方正仿宋_GBK" w:hAnsi="方正仿宋_GBK" w:eastAsia="方正仿宋_GBK" w:cs="方正仿宋_GBK"/>
          <w:sz w:val="32"/>
          <w:szCs w:val="32"/>
          <w:highlight w:val="none"/>
          <w:u w:val="single"/>
        </w:rPr>
        <w:t>（重庆银行成都分行网络设备2026年-2028年维保项目）</w:t>
      </w:r>
      <w:r>
        <w:rPr>
          <w:rFonts w:hint="eastAsia" w:ascii="方正仿宋_GBK" w:hAnsi="方正仿宋_GBK" w:eastAsia="方正仿宋_GBK" w:cs="方正仿宋_GBK"/>
          <w:sz w:val="32"/>
          <w:szCs w:val="32"/>
          <w:highlight w:val="none"/>
        </w:rPr>
        <w:t>的采购。</w:t>
      </w:r>
      <w:r>
        <w:rPr>
          <w:rFonts w:hint="eastAsia" w:ascii="方正仿宋_GBK" w:hAnsi="方正仿宋_GBK" w:eastAsia="方正仿宋_GBK" w:cs="方正仿宋_GBK"/>
          <w:bCs/>
          <w:spacing w:val="8"/>
          <w:sz w:val="32"/>
          <w:szCs w:val="32"/>
          <w:highlight w:val="none"/>
        </w:rPr>
        <w:t>我司申明：我司响应文件中提供的各项证明材料都是真实、可靠性的。若在评审及后续工作中若发现证明材料的真实性、可靠性存在弄虚作假等行为，采购人有权取消我司成交资格。我司愿赔偿相应损失并承担一切法律责任。</w:t>
      </w:r>
    </w:p>
    <w:p>
      <w:pPr>
        <w:keepNext w:val="0"/>
        <w:keepLines w:val="0"/>
        <w:pageBreakBefore w:val="0"/>
        <w:kinsoku/>
        <w:wordWrap/>
        <w:overflowPunct/>
        <w:topLinePunct w:val="0"/>
        <w:autoSpaceDE/>
        <w:autoSpaceDN/>
        <w:bidi w:val="0"/>
        <w:spacing w:line="600" w:lineRule="exact"/>
        <w:ind w:firstLine="672" w:firstLineChars="200"/>
        <w:rPr>
          <w:rFonts w:hint="eastAsia" w:ascii="方正仿宋_GBK" w:hAnsi="方正仿宋_GBK" w:eastAsia="方正仿宋_GBK" w:cs="方正仿宋_GBK"/>
          <w:bCs/>
          <w:spacing w:val="8"/>
          <w:sz w:val="32"/>
          <w:szCs w:val="32"/>
          <w:highlight w:val="none"/>
        </w:rPr>
      </w:pPr>
      <w:r>
        <w:rPr>
          <w:rFonts w:hint="eastAsia" w:ascii="方正仿宋_GBK" w:hAnsi="方正仿宋_GBK" w:eastAsia="方正仿宋_GBK" w:cs="方正仿宋_GBK"/>
          <w:bCs/>
          <w:spacing w:val="8"/>
          <w:sz w:val="32"/>
          <w:szCs w:val="32"/>
          <w:highlight w:val="none"/>
        </w:rPr>
        <w:t>2、我公司不存在下列部分或全部不得参加本项目采购活动的情况：</w:t>
      </w:r>
    </w:p>
    <w:p>
      <w:pPr>
        <w:keepNext w:val="0"/>
        <w:keepLines w:val="0"/>
        <w:pageBreakBefore w:val="0"/>
        <w:kinsoku/>
        <w:wordWrap/>
        <w:overflowPunct/>
        <w:topLinePunct w:val="0"/>
        <w:autoSpaceDE/>
        <w:autoSpaceDN/>
        <w:bidi w:val="0"/>
        <w:spacing w:line="600" w:lineRule="exact"/>
        <w:ind w:firstLine="336" w:firstLineChars="100"/>
        <w:rPr>
          <w:rFonts w:hint="eastAsia" w:ascii="方正仿宋_GBK" w:hAnsi="方正仿宋_GBK" w:eastAsia="方正仿宋_GBK" w:cs="方正仿宋_GBK"/>
          <w:bCs/>
          <w:spacing w:val="8"/>
          <w:sz w:val="32"/>
          <w:szCs w:val="32"/>
          <w:highlight w:val="none"/>
        </w:rPr>
      </w:pPr>
      <w:r>
        <w:rPr>
          <w:rFonts w:hint="eastAsia" w:ascii="方正仿宋_GBK" w:hAnsi="方正仿宋_GBK" w:eastAsia="方正仿宋_GBK" w:cs="方正仿宋_GBK"/>
          <w:bCs/>
          <w:spacing w:val="8"/>
          <w:sz w:val="32"/>
          <w:szCs w:val="32"/>
          <w:highlight w:val="none"/>
        </w:rPr>
        <w:t>（1）与采购人存在利害关系可能影响采购公正性的法人、其他组织或者个人；单位负责人为同一人或者存在控股、管理关系的不同单位，不得参加同一分包或者未划分包的同一采购项目采购活动；为采购项目提供设计、规范编制或者项目管理、监理、检测等服务的供应商，不得再参加该采购项目的其他采购活动；</w:t>
      </w:r>
    </w:p>
    <w:p>
      <w:pPr>
        <w:keepNext w:val="0"/>
        <w:keepLines w:val="0"/>
        <w:pageBreakBefore w:val="0"/>
        <w:kinsoku/>
        <w:wordWrap/>
        <w:overflowPunct/>
        <w:topLinePunct w:val="0"/>
        <w:autoSpaceDE/>
        <w:autoSpaceDN/>
        <w:bidi w:val="0"/>
        <w:spacing w:line="600" w:lineRule="exact"/>
        <w:ind w:firstLine="336" w:firstLineChars="100"/>
        <w:rPr>
          <w:rFonts w:hint="eastAsia" w:ascii="方正仿宋_GBK" w:hAnsi="方正仿宋_GBK" w:eastAsia="方正仿宋_GBK" w:cs="方正仿宋_GBK"/>
          <w:bCs/>
          <w:spacing w:val="8"/>
          <w:sz w:val="32"/>
          <w:szCs w:val="32"/>
          <w:highlight w:val="none"/>
        </w:rPr>
      </w:pPr>
      <w:r>
        <w:rPr>
          <w:rFonts w:hint="eastAsia" w:ascii="方正仿宋_GBK" w:hAnsi="方正仿宋_GBK" w:eastAsia="方正仿宋_GBK" w:cs="方正仿宋_GBK"/>
          <w:bCs/>
          <w:spacing w:val="8"/>
          <w:sz w:val="32"/>
          <w:szCs w:val="32"/>
          <w:highlight w:val="none"/>
        </w:rPr>
        <w:t>（2）与采购人有控股关系的；</w:t>
      </w:r>
    </w:p>
    <w:p>
      <w:pPr>
        <w:keepNext w:val="0"/>
        <w:keepLines w:val="0"/>
        <w:pageBreakBefore w:val="0"/>
        <w:kinsoku/>
        <w:wordWrap/>
        <w:overflowPunct/>
        <w:topLinePunct w:val="0"/>
        <w:autoSpaceDE/>
        <w:autoSpaceDN/>
        <w:bidi w:val="0"/>
        <w:spacing w:line="600" w:lineRule="exact"/>
        <w:ind w:firstLine="336" w:firstLineChars="100"/>
        <w:rPr>
          <w:rFonts w:hint="eastAsia" w:ascii="方正仿宋_GBK" w:hAnsi="方正仿宋_GBK" w:eastAsia="方正仿宋_GBK" w:cs="方正仿宋_GBK"/>
          <w:bCs/>
          <w:spacing w:val="8"/>
          <w:sz w:val="32"/>
          <w:szCs w:val="32"/>
          <w:highlight w:val="none"/>
        </w:rPr>
      </w:pPr>
      <w:r>
        <w:rPr>
          <w:rFonts w:hint="eastAsia" w:ascii="方正仿宋_GBK" w:hAnsi="方正仿宋_GBK" w:eastAsia="方正仿宋_GBK" w:cs="方正仿宋_GBK"/>
          <w:bCs/>
          <w:spacing w:val="8"/>
          <w:sz w:val="32"/>
          <w:szCs w:val="32"/>
          <w:highlight w:val="none"/>
        </w:rPr>
        <w:t>（3）因违法经营受到责令停产停业、吊销许可证或者执照、或者存在其他重大违法记录的；被有关行政部门或采购人暂停（禁止）参加采购（投标）活动期限以内的。</w:t>
      </w:r>
    </w:p>
    <w:p>
      <w:pPr>
        <w:pStyle w:val="5"/>
        <w:rPr>
          <w:rFonts w:hint="eastAsia"/>
        </w:rPr>
      </w:pPr>
    </w:p>
    <w:p>
      <w:pPr>
        <w:keepNext w:val="0"/>
        <w:keepLines w:val="0"/>
        <w:pageBreakBefore w:val="0"/>
        <w:kinsoku/>
        <w:wordWrap/>
        <w:overflowPunct/>
        <w:topLinePunct w:val="0"/>
        <w:autoSpaceDE/>
        <w:autoSpaceDN/>
        <w:bidi w:val="0"/>
        <w:spacing w:line="600" w:lineRule="exact"/>
        <w:rPr>
          <w:rFonts w:hint="default" w:ascii="方正仿宋_GBK" w:hAnsi="方正仿宋_GBK" w:eastAsia="方正仿宋_GBK" w:cs="方正仿宋_GBK"/>
          <w:bCs/>
          <w:spacing w:val="8"/>
          <w:sz w:val="32"/>
          <w:szCs w:val="32"/>
          <w:highlight w:val="none"/>
          <w:lang w:val="en-US" w:eastAsia="zh-CN"/>
        </w:rPr>
      </w:pPr>
      <w:r>
        <w:rPr>
          <w:rFonts w:hint="eastAsia" w:ascii="方正仿宋_GBK" w:hAnsi="方正仿宋_GBK" w:eastAsia="方正仿宋_GBK" w:cs="方正仿宋_GBK"/>
          <w:bCs/>
          <w:spacing w:val="8"/>
          <w:sz w:val="32"/>
          <w:szCs w:val="32"/>
          <w:highlight w:val="none"/>
        </w:rPr>
        <w:t>供应商名称（盖公章）：</w:t>
      </w:r>
      <w:r>
        <w:rPr>
          <w:rFonts w:hint="eastAsia" w:ascii="方正仿宋_GBK" w:hAnsi="方正仿宋_GBK" w:eastAsia="方正仿宋_GBK" w:cs="方正仿宋_GBK"/>
          <w:bCs/>
          <w:spacing w:val="8"/>
          <w:sz w:val="32"/>
          <w:szCs w:val="32"/>
          <w:highlight w:val="none"/>
          <w:lang w:val="en-US" w:eastAsia="zh-CN"/>
        </w:rPr>
        <w:t>___________</w:t>
      </w:r>
    </w:p>
    <w:p>
      <w:pPr>
        <w:keepNext w:val="0"/>
        <w:keepLines w:val="0"/>
        <w:pageBreakBefore w:val="0"/>
        <w:kinsoku/>
        <w:wordWrap/>
        <w:overflowPunct/>
        <w:topLinePunct w:val="0"/>
        <w:autoSpaceDE/>
        <w:autoSpaceDN/>
        <w:bidi w:val="0"/>
        <w:spacing w:line="600" w:lineRule="exact"/>
        <w:rPr>
          <w:rFonts w:hint="eastAsia" w:ascii="方正仿宋_GBK" w:hAnsi="方正仿宋_GBK" w:eastAsia="方正仿宋_GBK" w:cs="方正仿宋_GBK"/>
          <w:bCs/>
          <w:spacing w:val="8"/>
          <w:sz w:val="32"/>
          <w:szCs w:val="32"/>
          <w:highlight w:val="none"/>
          <w:lang w:val="en-US" w:eastAsia="zh-CN"/>
        </w:rPr>
      </w:pPr>
      <w:r>
        <w:rPr>
          <w:rFonts w:hint="eastAsia" w:ascii="方正仿宋_GBK" w:hAnsi="方正仿宋_GBK" w:eastAsia="方正仿宋_GBK" w:cs="方正仿宋_GBK"/>
          <w:bCs/>
          <w:spacing w:val="8"/>
          <w:sz w:val="32"/>
          <w:szCs w:val="32"/>
          <w:highlight w:val="none"/>
        </w:rPr>
        <w:t>法定代表人或其委托代理人（签字或盖章）：</w:t>
      </w:r>
      <w:r>
        <w:rPr>
          <w:rFonts w:hint="eastAsia" w:ascii="方正仿宋_GBK" w:hAnsi="方正仿宋_GBK" w:eastAsia="方正仿宋_GBK" w:cs="方正仿宋_GBK"/>
          <w:bCs/>
          <w:spacing w:val="8"/>
          <w:sz w:val="32"/>
          <w:szCs w:val="32"/>
          <w:highlight w:val="none"/>
          <w:lang w:val="en-US" w:eastAsia="zh-CN"/>
        </w:rPr>
        <w:t>___________</w:t>
      </w:r>
    </w:p>
    <w:p>
      <w:pPr>
        <w:keepNext w:val="0"/>
        <w:keepLines w:val="0"/>
        <w:pageBreakBefore w:val="0"/>
        <w:kinsoku/>
        <w:wordWrap/>
        <w:overflowPunct/>
        <w:topLinePunct w:val="0"/>
        <w:autoSpaceDE/>
        <w:autoSpaceDN/>
        <w:bidi w:val="0"/>
        <w:spacing w:line="600" w:lineRule="exact"/>
        <w:rPr>
          <w:rFonts w:hint="default" w:ascii="方正仿宋_GBK" w:hAnsi="方正仿宋_GBK" w:eastAsia="方正仿宋_GBK" w:cs="方正仿宋_GBK"/>
          <w:bCs/>
          <w:spacing w:val="8"/>
          <w:sz w:val="32"/>
          <w:szCs w:val="32"/>
          <w:highlight w:val="none"/>
          <w:lang w:val="en-US"/>
        </w:rPr>
        <w:sectPr>
          <w:endnotePr>
            <w:numFmt w:val="decimal"/>
          </w:endnotePr>
          <w:pgSz w:w="11907" w:h="16840"/>
          <w:pgMar w:top="1418" w:right="964" w:bottom="1418" w:left="1077" w:header="964" w:footer="992" w:gutter="0"/>
          <w:pgNumType w:fmt="decimal"/>
          <w:cols w:space="720" w:num="1"/>
          <w:docGrid w:linePitch="380" w:charSpace="-5735"/>
        </w:sectPr>
      </w:pPr>
      <w:r>
        <w:rPr>
          <w:rFonts w:hint="eastAsia" w:ascii="方正仿宋_GBK" w:hAnsi="方正仿宋_GBK" w:eastAsia="方正仿宋_GBK" w:cs="方正仿宋_GBK"/>
          <w:bCs/>
          <w:spacing w:val="8"/>
          <w:sz w:val="32"/>
          <w:szCs w:val="32"/>
          <w:highlight w:val="none"/>
        </w:rPr>
        <w:t>日期：</w:t>
      </w:r>
      <w:r>
        <w:rPr>
          <w:rFonts w:hint="eastAsia" w:ascii="方正仿宋_GBK" w:hAnsi="方正仿宋_GBK" w:eastAsia="方正仿宋_GBK" w:cs="方正仿宋_GBK"/>
          <w:bCs/>
          <w:spacing w:val="8"/>
          <w:sz w:val="32"/>
          <w:szCs w:val="32"/>
          <w:highlight w:val="none"/>
          <w:lang w:val="en-US" w:eastAsia="zh-CN"/>
        </w:rPr>
        <w:t>____</w:t>
      </w:r>
      <w:r>
        <w:rPr>
          <w:rFonts w:hint="eastAsia" w:ascii="方正仿宋_GBK" w:hAnsi="方正仿宋_GBK" w:eastAsia="方正仿宋_GBK" w:cs="方正仿宋_GBK"/>
          <w:bCs/>
          <w:spacing w:val="8"/>
          <w:sz w:val="32"/>
          <w:szCs w:val="32"/>
          <w:highlight w:val="none"/>
        </w:rPr>
        <w:t>年</w:t>
      </w:r>
      <w:r>
        <w:rPr>
          <w:rFonts w:hint="eastAsia" w:ascii="方正仿宋_GBK" w:hAnsi="方正仿宋_GBK" w:eastAsia="方正仿宋_GBK" w:cs="方正仿宋_GBK"/>
          <w:bCs/>
          <w:spacing w:val="8"/>
          <w:sz w:val="32"/>
          <w:szCs w:val="32"/>
          <w:highlight w:val="none"/>
          <w:lang w:val="en-US" w:eastAsia="zh-CN"/>
        </w:rPr>
        <w:t>____</w:t>
      </w:r>
      <w:r>
        <w:rPr>
          <w:rFonts w:hint="eastAsia" w:ascii="方正仿宋_GBK" w:hAnsi="方正仿宋_GBK" w:eastAsia="方正仿宋_GBK" w:cs="方正仿宋_GBK"/>
          <w:bCs/>
          <w:spacing w:val="8"/>
          <w:sz w:val="32"/>
          <w:szCs w:val="32"/>
          <w:highlight w:val="none"/>
        </w:rPr>
        <w:t>月</w:t>
      </w:r>
      <w:r>
        <w:rPr>
          <w:rFonts w:hint="eastAsia" w:ascii="方正仿宋_GBK" w:hAnsi="方正仿宋_GBK" w:eastAsia="方正仿宋_GBK" w:cs="方正仿宋_GBK"/>
          <w:bCs/>
          <w:spacing w:val="8"/>
          <w:sz w:val="32"/>
          <w:szCs w:val="32"/>
          <w:highlight w:val="none"/>
          <w:lang w:val="en-US" w:eastAsia="zh-CN"/>
        </w:rPr>
        <w:t>____</w:t>
      </w:r>
    </w:p>
    <w:p>
      <w:pPr>
        <w:pStyle w:val="5"/>
        <w:keepNext w:val="0"/>
        <w:keepLines w:val="0"/>
        <w:pageBreakBefore w:val="0"/>
        <w:kinsoku/>
        <w:wordWrap/>
        <w:overflowPunct/>
        <w:topLinePunct w:val="0"/>
        <w:autoSpaceDE/>
        <w:autoSpaceDN/>
        <w:bidi w:val="0"/>
        <w:spacing w:line="600" w:lineRule="exact"/>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简仿宋">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仿宋简体">
    <w:altName w:val="微软雅黑"/>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Arial Regular">
    <w:altName w:val="Arial"/>
    <w:panose1 w:val="00000000000000000000"/>
    <w:charset w:val="00"/>
    <w:family w:val="auto"/>
    <w:pitch w:val="default"/>
    <w:sig w:usb0="00000000" w:usb1="00000000" w:usb2="00000000" w:usb3="00000000" w:csb0="0000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49F7B3"/>
    <w:multiLevelType w:val="singleLevel"/>
    <w:tmpl w:val="A249F7B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247F5"/>
    <w:rsid w:val="002802D2"/>
    <w:rsid w:val="00283E45"/>
    <w:rsid w:val="004B3D0A"/>
    <w:rsid w:val="004E43BF"/>
    <w:rsid w:val="00590AA1"/>
    <w:rsid w:val="006570F0"/>
    <w:rsid w:val="00690D3B"/>
    <w:rsid w:val="00776045"/>
    <w:rsid w:val="0086066C"/>
    <w:rsid w:val="008770A5"/>
    <w:rsid w:val="00B34633"/>
    <w:rsid w:val="00BE32F3"/>
    <w:rsid w:val="00C710D5"/>
    <w:rsid w:val="00CE72AE"/>
    <w:rsid w:val="00D03F63"/>
    <w:rsid w:val="00F3541C"/>
    <w:rsid w:val="0106663B"/>
    <w:rsid w:val="01322983"/>
    <w:rsid w:val="013B2B96"/>
    <w:rsid w:val="014C132E"/>
    <w:rsid w:val="014D0B1B"/>
    <w:rsid w:val="015F254D"/>
    <w:rsid w:val="016347D7"/>
    <w:rsid w:val="01980129"/>
    <w:rsid w:val="019C45B0"/>
    <w:rsid w:val="01A1683A"/>
    <w:rsid w:val="01B62F5C"/>
    <w:rsid w:val="01D55A0F"/>
    <w:rsid w:val="01DB742D"/>
    <w:rsid w:val="01DD669F"/>
    <w:rsid w:val="01E1612F"/>
    <w:rsid w:val="01F77461"/>
    <w:rsid w:val="02447348"/>
    <w:rsid w:val="02454DC9"/>
    <w:rsid w:val="025008C3"/>
    <w:rsid w:val="025F5973"/>
    <w:rsid w:val="02610E76"/>
    <w:rsid w:val="026D3223"/>
    <w:rsid w:val="027520D7"/>
    <w:rsid w:val="02805EA8"/>
    <w:rsid w:val="02867E41"/>
    <w:rsid w:val="028A3101"/>
    <w:rsid w:val="029E0CDB"/>
    <w:rsid w:val="02A11C60"/>
    <w:rsid w:val="02A318E0"/>
    <w:rsid w:val="02BF64DF"/>
    <w:rsid w:val="02C37C16"/>
    <w:rsid w:val="02C62D99"/>
    <w:rsid w:val="02CD7738"/>
    <w:rsid w:val="02DB4577"/>
    <w:rsid w:val="02E46D6A"/>
    <w:rsid w:val="02ED0A5A"/>
    <w:rsid w:val="02F6716B"/>
    <w:rsid w:val="031F2043"/>
    <w:rsid w:val="031F785D"/>
    <w:rsid w:val="033B1182"/>
    <w:rsid w:val="034104E4"/>
    <w:rsid w:val="03903AE7"/>
    <w:rsid w:val="03B617A8"/>
    <w:rsid w:val="03B94246"/>
    <w:rsid w:val="03C74BB5"/>
    <w:rsid w:val="03CC06C2"/>
    <w:rsid w:val="03DF70E9"/>
    <w:rsid w:val="03E4576F"/>
    <w:rsid w:val="03F01582"/>
    <w:rsid w:val="03FB5394"/>
    <w:rsid w:val="03FD5F08"/>
    <w:rsid w:val="042774DD"/>
    <w:rsid w:val="043C0119"/>
    <w:rsid w:val="04402271"/>
    <w:rsid w:val="0444548E"/>
    <w:rsid w:val="04510321"/>
    <w:rsid w:val="04662845"/>
    <w:rsid w:val="04BE4A1C"/>
    <w:rsid w:val="04D741E0"/>
    <w:rsid w:val="04D87301"/>
    <w:rsid w:val="04E76AA2"/>
    <w:rsid w:val="04F668B1"/>
    <w:rsid w:val="04F80D9E"/>
    <w:rsid w:val="056A6870"/>
    <w:rsid w:val="05781409"/>
    <w:rsid w:val="057A31EB"/>
    <w:rsid w:val="05EF3F4F"/>
    <w:rsid w:val="05F45A09"/>
    <w:rsid w:val="05F81957"/>
    <w:rsid w:val="05FB28DB"/>
    <w:rsid w:val="06006D63"/>
    <w:rsid w:val="06436553"/>
    <w:rsid w:val="064562B0"/>
    <w:rsid w:val="064A1761"/>
    <w:rsid w:val="064A5EDE"/>
    <w:rsid w:val="0654426F"/>
    <w:rsid w:val="06744B24"/>
    <w:rsid w:val="06801C3B"/>
    <w:rsid w:val="068154EF"/>
    <w:rsid w:val="068501A3"/>
    <w:rsid w:val="069227DA"/>
    <w:rsid w:val="069A751C"/>
    <w:rsid w:val="06A665F7"/>
    <w:rsid w:val="06B331CE"/>
    <w:rsid w:val="06BA630B"/>
    <w:rsid w:val="06CB2FB4"/>
    <w:rsid w:val="06F7130D"/>
    <w:rsid w:val="070D0B30"/>
    <w:rsid w:val="071B07B5"/>
    <w:rsid w:val="071B4B75"/>
    <w:rsid w:val="071E100A"/>
    <w:rsid w:val="071F71BB"/>
    <w:rsid w:val="073F54F1"/>
    <w:rsid w:val="075E2523"/>
    <w:rsid w:val="075F5104"/>
    <w:rsid w:val="07667053"/>
    <w:rsid w:val="07691BB9"/>
    <w:rsid w:val="0776564B"/>
    <w:rsid w:val="077B0190"/>
    <w:rsid w:val="077E62DB"/>
    <w:rsid w:val="0782145E"/>
    <w:rsid w:val="079B25E0"/>
    <w:rsid w:val="07B37C1F"/>
    <w:rsid w:val="07D714CD"/>
    <w:rsid w:val="07D745EC"/>
    <w:rsid w:val="07EA49A8"/>
    <w:rsid w:val="08223565"/>
    <w:rsid w:val="0824366F"/>
    <w:rsid w:val="084E154F"/>
    <w:rsid w:val="08534C69"/>
    <w:rsid w:val="08687FE8"/>
    <w:rsid w:val="087D0726"/>
    <w:rsid w:val="087D297A"/>
    <w:rsid w:val="0887159A"/>
    <w:rsid w:val="089D3278"/>
    <w:rsid w:val="089D4136"/>
    <w:rsid w:val="08C83CF3"/>
    <w:rsid w:val="08C91775"/>
    <w:rsid w:val="08FC454D"/>
    <w:rsid w:val="0930241E"/>
    <w:rsid w:val="09336848"/>
    <w:rsid w:val="094F2CD3"/>
    <w:rsid w:val="09585B18"/>
    <w:rsid w:val="095D32ED"/>
    <w:rsid w:val="095D7A6A"/>
    <w:rsid w:val="095E0D6F"/>
    <w:rsid w:val="097035F9"/>
    <w:rsid w:val="09880942"/>
    <w:rsid w:val="09B2350E"/>
    <w:rsid w:val="09B23C11"/>
    <w:rsid w:val="09B2776D"/>
    <w:rsid w:val="09BB6AB2"/>
    <w:rsid w:val="09C11FDD"/>
    <w:rsid w:val="09CC13A3"/>
    <w:rsid w:val="09EC6054"/>
    <w:rsid w:val="09FA0BED"/>
    <w:rsid w:val="0A1C6BA3"/>
    <w:rsid w:val="0A334D52"/>
    <w:rsid w:val="0A3E680D"/>
    <w:rsid w:val="0A441AE8"/>
    <w:rsid w:val="0A63147A"/>
    <w:rsid w:val="0A696CA3"/>
    <w:rsid w:val="0A887557"/>
    <w:rsid w:val="0ABB4D47"/>
    <w:rsid w:val="0AC7123A"/>
    <w:rsid w:val="0AF33383"/>
    <w:rsid w:val="0B0B35D9"/>
    <w:rsid w:val="0B3316D4"/>
    <w:rsid w:val="0B3643CE"/>
    <w:rsid w:val="0B380146"/>
    <w:rsid w:val="0B744BD6"/>
    <w:rsid w:val="0B815649"/>
    <w:rsid w:val="0B82196E"/>
    <w:rsid w:val="0B894B7C"/>
    <w:rsid w:val="0B8D320C"/>
    <w:rsid w:val="0B8E2BFE"/>
    <w:rsid w:val="0B9C2483"/>
    <w:rsid w:val="0BC02AD7"/>
    <w:rsid w:val="0BD107F3"/>
    <w:rsid w:val="0BE1300C"/>
    <w:rsid w:val="0BE43F91"/>
    <w:rsid w:val="0BE74F15"/>
    <w:rsid w:val="0BEA0098"/>
    <w:rsid w:val="0BEB203B"/>
    <w:rsid w:val="0C0C18D2"/>
    <w:rsid w:val="0C177D5B"/>
    <w:rsid w:val="0C2506CA"/>
    <w:rsid w:val="0C2E7545"/>
    <w:rsid w:val="0C4574AD"/>
    <w:rsid w:val="0C7E3DA7"/>
    <w:rsid w:val="0C822B95"/>
    <w:rsid w:val="0C9F68C2"/>
    <w:rsid w:val="0CAF10DB"/>
    <w:rsid w:val="0CAF495E"/>
    <w:rsid w:val="0CBC3A23"/>
    <w:rsid w:val="0CC864D7"/>
    <w:rsid w:val="0CD6481E"/>
    <w:rsid w:val="0CF34325"/>
    <w:rsid w:val="0D1A3FA7"/>
    <w:rsid w:val="0D1D0E33"/>
    <w:rsid w:val="0D505C1B"/>
    <w:rsid w:val="0D5663F1"/>
    <w:rsid w:val="0D5B0F8B"/>
    <w:rsid w:val="0D693D8C"/>
    <w:rsid w:val="0D75476D"/>
    <w:rsid w:val="0D9755F8"/>
    <w:rsid w:val="0DAB5AFB"/>
    <w:rsid w:val="0DB02216"/>
    <w:rsid w:val="0DCF4D92"/>
    <w:rsid w:val="0DDC74AE"/>
    <w:rsid w:val="0E064F10"/>
    <w:rsid w:val="0E3A5D88"/>
    <w:rsid w:val="0E5B4619"/>
    <w:rsid w:val="0E6354DA"/>
    <w:rsid w:val="0E666D78"/>
    <w:rsid w:val="0E737AC2"/>
    <w:rsid w:val="0E967DBE"/>
    <w:rsid w:val="0E981627"/>
    <w:rsid w:val="0EA25651"/>
    <w:rsid w:val="0EA76C97"/>
    <w:rsid w:val="0EC465C7"/>
    <w:rsid w:val="0F216FC8"/>
    <w:rsid w:val="0F295F6C"/>
    <w:rsid w:val="0F296723"/>
    <w:rsid w:val="0F2B7270"/>
    <w:rsid w:val="0F5C232E"/>
    <w:rsid w:val="0F6D0FDF"/>
    <w:rsid w:val="0F711941"/>
    <w:rsid w:val="0F7C5D76"/>
    <w:rsid w:val="0F826515"/>
    <w:rsid w:val="0F927F1A"/>
    <w:rsid w:val="0F971E23"/>
    <w:rsid w:val="0F9D3D2C"/>
    <w:rsid w:val="0FBF5566"/>
    <w:rsid w:val="0FD9288C"/>
    <w:rsid w:val="0FE30C1D"/>
    <w:rsid w:val="0FE443F8"/>
    <w:rsid w:val="0FF21238"/>
    <w:rsid w:val="0FFF7484"/>
    <w:rsid w:val="10242D0C"/>
    <w:rsid w:val="10345524"/>
    <w:rsid w:val="10354C54"/>
    <w:rsid w:val="10400EF5"/>
    <w:rsid w:val="104942F3"/>
    <w:rsid w:val="105037D0"/>
    <w:rsid w:val="10545A59"/>
    <w:rsid w:val="109158BE"/>
    <w:rsid w:val="109A0F5B"/>
    <w:rsid w:val="109B375A"/>
    <w:rsid w:val="10B65D95"/>
    <w:rsid w:val="10E01064"/>
    <w:rsid w:val="10F1115B"/>
    <w:rsid w:val="10F3685C"/>
    <w:rsid w:val="10F86567"/>
    <w:rsid w:val="10FE4BED"/>
    <w:rsid w:val="1100110B"/>
    <w:rsid w:val="110348F8"/>
    <w:rsid w:val="11052878"/>
    <w:rsid w:val="111B419D"/>
    <w:rsid w:val="111F4200"/>
    <w:rsid w:val="1125116C"/>
    <w:rsid w:val="114952B5"/>
    <w:rsid w:val="114B4CEC"/>
    <w:rsid w:val="1168209E"/>
    <w:rsid w:val="11803EC2"/>
    <w:rsid w:val="118712CE"/>
    <w:rsid w:val="118947D1"/>
    <w:rsid w:val="118A0054"/>
    <w:rsid w:val="11AF3F8B"/>
    <w:rsid w:val="11CC0A24"/>
    <w:rsid w:val="11DF2FE2"/>
    <w:rsid w:val="11E73E06"/>
    <w:rsid w:val="11F72B09"/>
    <w:rsid w:val="12072EA1"/>
    <w:rsid w:val="12080872"/>
    <w:rsid w:val="12157C38"/>
    <w:rsid w:val="122A215C"/>
    <w:rsid w:val="123B762F"/>
    <w:rsid w:val="123D337B"/>
    <w:rsid w:val="126B0108"/>
    <w:rsid w:val="12767ED2"/>
    <w:rsid w:val="12B02AB5"/>
    <w:rsid w:val="12B32FBA"/>
    <w:rsid w:val="12BE3627"/>
    <w:rsid w:val="12CF75E2"/>
    <w:rsid w:val="12D1661F"/>
    <w:rsid w:val="12D22B3E"/>
    <w:rsid w:val="12E2190B"/>
    <w:rsid w:val="12E27315"/>
    <w:rsid w:val="12E32FAD"/>
    <w:rsid w:val="12F572A6"/>
    <w:rsid w:val="13021412"/>
    <w:rsid w:val="13051255"/>
    <w:rsid w:val="13385187"/>
    <w:rsid w:val="13434E27"/>
    <w:rsid w:val="1345619B"/>
    <w:rsid w:val="13611E59"/>
    <w:rsid w:val="136F4921"/>
    <w:rsid w:val="13760AF9"/>
    <w:rsid w:val="138D3FA2"/>
    <w:rsid w:val="13B079DA"/>
    <w:rsid w:val="13B567D8"/>
    <w:rsid w:val="13CB5B5C"/>
    <w:rsid w:val="13D749A0"/>
    <w:rsid w:val="13DC1FB6"/>
    <w:rsid w:val="13DD5026"/>
    <w:rsid w:val="13E36F2F"/>
    <w:rsid w:val="13F05CF2"/>
    <w:rsid w:val="13F44C4B"/>
    <w:rsid w:val="13F82B68"/>
    <w:rsid w:val="14092680"/>
    <w:rsid w:val="140B289C"/>
    <w:rsid w:val="141B0BDF"/>
    <w:rsid w:val="14272A04"/>
    <w:rsid w:val="142976A3"/>
    <w:rsid w:val="142B42FC"/>
    <w:rsid w:val="14702016"/>
    <w:rsid w:val="14734740"/>
    <w:rsid w:val="149503B7"/>
    <w:rsid w:val="149B08DC"/>
    <w:rsid w:val="14AE2B04"/>
    <w:rsid w:val="14EC51E3"/>
    <w:rsid w:val="14F055ED"/>
    <w:rsid w:val="14F267F7"/>
    <w:rsid w:val="150A6991"/>
    <w:rsid w:val="152C01CB"/>
    <w:rsid w:val="153320AA"/>
    <w:rsid w:val="154D1CD8"/>
    <w:rsid w:val="155477AF"/>
    <w:rsid w:val="155B515D"/>
    <w:rsid w:val="156E44B7"/>
    <w:rsid w:val="156F5830"/>
    <w:rsid w:val="158562DB"/>
    <w:rsid w:val="159D7523"/>
    <w:rsid w:val="15A72150"/>
    <w:rsid w:val="15B06226"/>
    <w:rsid w:val="15B4048A"/>
    <w:rsid w:val="15B72137"/>
    <w:rsid w:val="15B91328"/>
    <w:rsid w:val="15C838CC"/>
    <w:rsid w:val="15CE3B81"/>
    <w:rsid w:val="15CF11DB"/>
    <w:rsid w:val="16445BF1"/>
    <w:rsid w:val="16534086"/>
    <w:rsid w:val="16635CC9"/>
    <w:rsid w:val="16702E8A"/>
    <w:rsid w:val="167D3757"/>
    <w:rsid w:val="169C77DB"/>
    <w:rsid w:val="16AD7C3A"/>
    <w:rsid w:val="16B73C96"/>
    <w:rsid w:val="16F412D7"/>
    <w:rsid w:val="16F413C5"/>
    <w:rsid w:val="16F65238"/>
    <w:rsid w:val="16F83F95"/>
    <w:rsid w:val="16FA41E7"/>
    <w:rsid w:val="170C73DC"/>
    <w:rsid w:val="17217381"/>
    <w:rsid w:val="1750464D"/>
    <w:rsid w:val="177C3166"/>
    <w:rsid w:val="17A20A2C"/>
    <w:rsid w:val="17A27E08"/>
    <w:rsid w:val="17B133ED"/>
    <w:rsid w:val="17BF5E77"/>
    <w:rsid w:val="17FA6EAF"/>
    <w:rsid w:val="180608F8"/>
    <w:rsid w:val="180A6A0E"/>
    <w:rsid w:val="18135A10"/>
    <w:rsid w:val="181635BD"/>
    <w:rsid w:val="181C187B"/>
    <w:rsid w:val="18282132"/>
    <w:rsid w:val="182B30B6"/>
    <w:rsid w:val="1840063A"/>
    <w:rsid w:val="18402764"/>
    <w:rsid w:val="185D2F9A"/>
    <w:rsid w:val="188859CE"/>
    <w:rsid w:val="189406AA"/>
    <w:rsid w:val="18A03075"/>
    <w:rsid w:val="18B41D16"/>
    <w:rsid w:val="18E563E7"/>
    <w:rsid w:val="19404006"/>
    <w:rsid w:val="19433422"/>
    <w:rsid w:val="19467ED2"/>
    <w:rsid w:val="1952091A"/>
    <w:rsid w:val="196A0064"/>
    <w:rsid w:val="196A1E12"/>
    <w:rsid w:val="196C14C4"/>
    <w:rsid w:val="19871CEE"/>
    <w:rsid w:val="198A0A74"/>
    <w:rsid w:val="19A44EA1"/>
    <w:rsid w:val="19AC5F87"/>
    <w:rsid w:val="19B07BE2"/>
    <w:rsid w:val="19BC47A3"/>
    <w:rsid w:val="19C10BCE"/>
    <w:rsid w:val="1A023DF9"/>
    <w:rsid w:val="1A1A55E6"/>
    <w:rsid w:val="1A383CBF"/>
    <w:rsid w:val="1A522E26"/>
    <w:rsid w:val="1A5F77D3"/>
    <w:rsid w:val="1A8B6099"/>
    <w:rsid w:val="1A991D03"/>
    <w:rsid w:val="1AA524C6"/>
    <w:rsid w:val="1AB02A55"/>
    <w:rsid w:val="1AB13D5A"/>
    <w:rsid w:val="1AC57F78"/>
    <w:rsid w:val="1ACD2659"/>
    <w:rsid w:val="1ACF330A"/>
    <w:rsid w:val="1AF776D6"/>
    <w:rsid w:val="1B002C6D"/>
    <w:rsid w:val="1B1175F6"/>
    <w:rsid w:val="1B2026F6"/>
    <w:rsid w:val="1B291859"/>
    <w:rsid w:val="1B363FB3"/>
    <w:rsid w:val="1B533D19"/>
    <w:rsid w:val="1B65127F"/>
    <w:rsid w:val="1B6F4D9F"/>
    <w:rsid w:val="1B827383"/>
    <w:rsid w:val="1B9D1AF2"/>
    <w:rsid w:val="1BA90A6F"/>
    <w:rsid w:val="1BB34C01"/>
    <w:rsid w:val="1BBD7CBF"/>
    <w:rsid w:val="1BCA4827"/>
    <w:rsid w:val="1BD47334"/>
    <w:rsid w:val="1C222CB7"/>
    <w:rsid w:val="1C5562E0"/>
    <w:rsid w:val="1C672126"/>
    <w:rsid w:val="1C6A30AB"/>
    <w:rsid w:val="1C800AD2"/>
    <w:rsid w:val="1C823FD5"/>
    <w:rsid w:val="1CB82E2A"/>
    <w:rsid w:val="1CC61A56"/>
    <w:rsid w:val="1CD96BE2"/>
    <w:rsid w:val="1CE0488E"/>
    <w:rsid w:val="1CEF6B87"/>
    <w:rsid w:val="1D061E52"/>
    <w:rsid w:val="1D2247B2"/>
    <w:rsid w:val="1D330575"/>
    <w:rsid w:val="1D446291"/>
    <w:rsid w:val="1D4B3D09"/>
    <w:rsid w:val="1D553FAD"/>
    <w:rsid w:val="1D6445C8"/>
    <w:rsid w:val="1D655CE4"/>
    <w:rsid w:val="1D666D95"/>
    <w:rsid w:val="1D68774B"/>
    <w:rsid w:val="1D890511"/>
    <w:rsid w:val="1DC6338F"/>
    <w:rsid w:val="1DC91D6E"/>
    <w:rsid w:val="1E004446"/>
    <w:rsid w:val="1E3E64A9"/>
    <w:rsid w:val="1E5F6569"/>
    <w:rsid w:val="1E6B3AF5"/>
    <w:rsid w:val="1E7B23CC"/>
    <w:rsid w:val="1E977E3D"/>
    <w:rsid w:val="1E9D55C9"/>
    <w:rsid w:val="1EA60457"/>
    <w:rsid w:val="1EC43D73"/>
    <w:rsid w:val="1ED16490"/>
    <w:rsid w:val="1EE943C4"/>
    <w:rsid w:val="1F0A08B1"/>
    <w:rsid w:val="1F1706E4"/>
    <w:rsid w:val="1F192994"/>
    <w:rsid w:val="1F1A7E37"/>
    <w:rsid w:val="1F240D25"/>
    <w:rsid w:val="1F374545"/>
    <w:rsid w:val="1F3F7351"/>
    <w:rsid w:val="1F6F65CF"/>
    <w:rsid w:val="1FA060F1"/>
    <w:rsid w:val="1FA2090B"/>
    <w:rsid w:val="1FB66096"/>
    <w:rsid w:val="1FCC2803"/>
    <w:rsid w:val="1FDC0AB1"/>
    <w:rsid w:val="1FF535FC"/>
    <w:rsid w:val="20053897"/>
    <w:rsid w:val="20076D9A"/>
    <w:rsid w:val="2012512B"/>
    <w:rsid w:val="20132BAC"/>
    <w:rsid w:val="202E37B6"/>
    <w:rsid w:val="204B177C"/>
    <w:rsid w:val="204D5FEA"/>
    <w:rsid w:val="20693422"/>
    <w:rsid w:val="20863CB7"/>
    <w:rsid w:val="208A18F1"/>
    <w:rsid w:val="209150AE"/>
    <w:rsid w:val="20B15F2E"/>
    <w:rsid w:val="20B322F1"/>
    <w:rsid w:val="20EB4E0E"/>
    <w:rsid w:val="20F879A7"/>
    <w:rsid w:val="210324B5"/>
    <w:rsid w:val="210705DF"/>
    <w:rsid w:val="211C305E"/>
    <w:rsid w:val="21251770"/>
    <w:rsid w:val="213276BA"/>
    <w:rsid w:val="213A6018"/>
    <w:rsid w:val="213E4537"/>
    <w:rsid w:val="21536DBC"/>
    <w:rsid w:val="21621621"/>
    <w:rsid w:val="217C68FB"/>
    <w:rsid w:val="21977533"/>
    <w:rsid w:val="219A172E"/>
    <w:rsid w:val="21B11354"/>
    <w:rsid w:val="21B7196D"/>
    <w:rsid w:val="21BA6329"/>
    <w:rsid w:val="21C76D7B"/>
    <w:rsid w:val="21CF2B2B"/>
    <w:rsid w:val="21D65D10"/>
    <w:rsid w:val="220646A2"/>
    <w:rsid w:val="22272617"/>
    <w:rsid w:val="2241392C"/>
    <w:rsid w:val="224B759E"/>
    <w:rsid w:val="22896053"/>
    <w:rsid w:val="22954E49"/>
    <w:rsid w:val="22CA64DE"/>
    <w:rsid w:val="22DD2A69"/>
    <w:rsid w:val="22FE6DF7"/>
    <w:rsid w:val="23007D7C"/>
    <w:rsid w:val="230E4C02"/>
    <w:rsid w:val="23312AC9"/>
    <w:rsid w:val="23543F83"/>
    <w:rsid w:val="23665522"/>
    <w:rsid w:val="23A221A9"/>
    <w:rsid w:val="23A6613D"/>
    <w:rsid w:val="23BC26AD"/>
    <w:rsid w:val="23C16B35"/>
    <w:rsid w:val="23C831CC"/>
    <w:rsid w:val="23C95987"/>
    <w:rsid w:val="23E6478B"/>
    <w:rsid w:val="240253A0"/>
    <w:rsid w:val="240E783E"/>
    <w:rsid w:val="243C647F"/>
    <w:rsid w:val="24502B23"/>
    <w:rsid w:val="246031BB"/>
    <w:rsid w:val="246F263F"/>
    <w:rsid w:val="2491720E"/>
    <w:rsid w:val="24943B56"/>
    <w:rsid w:val="24B23EBF"/>
    <w:rsid w:val="24BB25D0"/>
    <w:rsid w:val="24BD4B8E"/>
    <w:rsid w:val="24C522A6"/>
    <w:rsid w:val="24F00B4F"/>
    <w:rsid w:val="24F45C2D"/>
    <w:rsid w:val="24FE653D"/>
    <w:rsid w:val="2505174B"/>
    <w:rsid w:val="25076767"/>
    <w:rsid w:val="250C10D6"/>
    <w:rsid w:val="254B122C"/>
    <w:rsid w:val="254B663C"/>
    <w:rsid w:val="25525FC7"/>
    <w:rsid w:val="25641764"/>
    <w:rsid w:val="258D1703"/>
    <w:rsid w:val="259720B5"/>
    <w:rsid w:val="25B721C8"/>
    <w:rsid w:val="25D76220"/>
    <w:rsid w:val="25E44CFA"/>
    <w:rsid w:val="25E63FB3"/>
    <w:rsid w:val="25ED3C47"/>
    <w:rsid w:val="25EE5B79"/>
    <w:rsid w:val="260B6A7A"/>
    <w:rsid w:val="261206FC"/>
    <w:rsid w:val="26163F51"/>
    <w:rsid w:val="26341DF0"/>
    <w:rsid w:val="264D3A61"/>
    <w:rsid w:val="265E5200"/>
    <w:rsid w:val="26621687"/>
    <w:rsid w:val="266C581A"/>
    <w:rsid w:val="2685028B"/>
    <w:rsid w:val="269425EF"/>
    <w:rsid w:val="269A17E1"/>
    <w:rsid w:val="26A00DE8"/>
    <w:rsid w:val="26A57B72"/>
    <w:rsid w:val="26B02E2F"/>
    <w:rsid w:val="26CC32B5"/>
    <w:rsid w:val="26E86A6C"/>
    <w:rsid w:val="26F0750E"/>
    <w:rsid w:val="27004A09"/>
    <w:rsid w:val="2715112B"/>
    <w:rsid w:val="272571C7"/>
    <w:rsid w:val="27467B25"/>
    <w:rsid w:val="274C6FFB"/>
    <w:rsid w:val="277427C9"/>
    <w:rsid w:val="277A0E4F"/>
    <w:rsid w:val="277B4352"/>
    <w:rsid w:val="27806CA5"/>
    <w:rsid w:val="27A7649B"/>
    <w:rsid w:val="27AD3C28"/>
    <w:rsid w:val="27B01329"/>
    <w:rsid w:val="27B34984"/>
    <w:rsid w:val="27BF73C5"/>
    <w:rsid w:val="27C634CD"/>
    <w:rsid w:val="27CB31D8"/>
    <w:rsid w:val="27D85841"/>
    <w:rsid w:val="27EB5C8B"/>
    <w:rsid w:val="28216165"/>
    <w:rsid w:val="283D06F2"/>
    <w:rsid w:val="285443B9"/>
    <w:rsid w:val="285E6FE6"/>
    <w:rsid w:val="28706D19"/>
    <w:rsid w:val="288B76AF"/>
    <w:rsid w:val="288C3296"/>
    <w:rsid w:val="28932C21"/>
    <w:rsid w:val="28C76D25"/>
    <w:rsid w:val="28C97878"/>
    <w:rsid w:val="28E726AB"/>
    <w:rsid w:val="28F306BC"/>
    <w:rsid w:val="28FA4C81"/>
    <w:rsid w:val="291476A5"/>
    <w:rsid w:val="291A637D"/>
    <w:rsid w:val="292024ED"/>
    <w:rsid w:val="292E501E"/>
    <w:rsid w:val="29342190"/>
    <w:rsid w:val="29480152"/>
    <w:rsid w:val="294E7AD1"/>
    <w:rsid w:val="295201CD"/>
    <w:rsid w:val="296C128F"/>
    <w:rsid w:val="299C1002"/>
    <w:rsid w:val="299E0B55"/>
    <w:rsid w:val="29B6075C"/>
    <w:rsid w:val="29BF490D"/>
    <w:rsid w:val="29C15A7E"/>
    <w:rsid w:val="29D87A35"/>
    <w:rsid w:val="29EC6DA5"/>
    <w:rsid w:val="29F050DC"/>
    <w:rsid w:val="2A070584"/>
    <w:rsid w:val="2A0D6C0A"/>
    <w:rsid w:val="2A19049E"/>
    <w:rsid w:val="2A1B7F65"/>
    <w:rsid w:val="2A44220C"/>
    <w:rsid w:val="2A7243B0"/>
    <w:rsid w:val="2A911B44"/>
    <w:rsid w:val="2AAB5DE7"/>
    <w:rsid w:val="2AB63060"/>
    <w:rsid w:val="2AC90AA2"/>
    <w:rsid w:val="2AD0640E"/>
    <w:rsid w:val="2AD20F52"/>
    <w:rsid w:val="2AF82165"/>
    <w:rsid w:val="2B066E22"/>
    <w:rsid w:val="2B265158"/>
    <w:rsid w:val="2B3A3DF9"/>
    <w:rsid w:val="2B95320E"/>
    <w:rsid w:val="2B9F159F"/>
    <w:rsid w:val="2BA412AA"/>
    <w:rsid w:val="2BAA21B3"/>
    <w:rsid w:val="2BAB460C"/>
    <w:rsid w:val="2BAE3DE1"/>
    <w:rsid w:val="2BB611C4"/>
    <w:rsid w:val="2BBD43D2"/>
    <w:rsid w:val="2BDB094E"/>
    <w:rsid w:val="2BE315B0"/>
    <w:rsid w:val="2BF31029"/>
    <w:rsid w:val="2BF4633D"/>
    <w:rsid w:val="2C046D45"/>
    <w:rsid w:val="2C0E2ED8"/>
    <w:rsid w:val="2C542347"/>
    <w:rsid w:val="2C6377AD"/>
    <w:rsid w:val="2C655F30"/>
    <w:rsid w:val="2C6C3271"/>
    <w:rsid w:val="2CC74884"/>
    <w:rsid w:val="2D391DD0"/>
    <w:rsid w:val="2D654973"/>
    <w:rsid w:val="2D766B80"/>
    <w:rsid w:val="2D953300"/>
    <w:rsid w:val="2D9829DE"/>
    <w:rsid w:val="2D9E48E8"/>
    <w:rsid w:val="2DA336ED"/>
    <w:rsid w:val="2DA92C79"/>
    <w:rsid w:val="2DC16AE6"/>
    <w:rsid w:val="2DFD2971"/>
    <w:rsid w:val="2E0B3C17"/>
    <w:rsid w:val="2E0C1698"/>
    <w:rsid w:val="2E277E7A"/>
    <w:rsid w:val="2E2B3406"/>
    <w:rsid w:val="2E3F0BEE"/>
    <w:rsid w:val="2E6C1D31"/>
    <w:rsid w:val="2E7C673E"/>
    <w:rsid w:val="2E9B72ED"/>
    <w:rsid w:val="2EA77318"/>
    <w:rsid w:val="2EB368BE"/>
    <w:rsid w:val="2EC830D0"/>
    <w:rsid w:val="2ECE4FDA"/>
    <w:rsid w:val="2ED33660"/>
    <w:rsid w:val="2EE401B3"/>
    <w:rsid w:val="2EE46F90"/>
    <w:rsid w:val="2F0363AD"/>
    <w:rsid w:val="2F201637"/>
    <w:rsid w:val="2F257BE7"/>
    <w:rsid w:val="2F280B6B"/>
    <w:rsid w:val="2F380E06"/>
    <w:rsid w:val="2F3A4309"/>
    <w:rsid w:val="2F552934"/>
    <w:rsid w:val="2F6936B3"/>
    <w:rsid w:val="2F6E12E0"/>
    <w:rsid w:val="2F77098D"/>
    <w:rsid w:val="2F7B5291"/>
    <w:rsid w:val="2F881E8A"/>
    <w:rsid w:val="2F927575"/>
    <w:rsid w:val="2FA572A9"/>
    <w:rsid w:val="2FE46D20"/>
    <w:rsid w:val="300809E8"/>
    <w:rsid w:val="30167854"/>
    <w:rsid w:val="301B13F8"/>
    <w:rsid w:val="3039422C"/>
    <w:rsid w:val="303C2C32"/>
    <w:rsid w:val="30AD0A32"/>
    <w:rsid w:val="30B967A1"/>
    <w:rsid w:val="30CC6AB7"/>
    <w:rsid w:val="30D3442A"/>
    <w:rsid w:val="30DC72B8"/>
    <w:rsid w:val="30E958BB"/>
    <w:rsid w:val="311A5A74"/>
    <w:rsid w:val="31331EC5"/>
    <w:rsid w:val="31541EC1"/>
    <w:rsid w:val="31682C84"/>
    <w:rsid w:val="316D029A"/>
    <w:rsid w:val="31765E32"/>
    <w:rsid w:val="318A49A8"/>
    <w:rsid w:val="31992E3D"/>
    <w:rsid w:val="31B20215"/>
    <w:rsid w:val="31C262B1"/>
    <w:rsid w:val="31C61758"/>
    <w:rsid w:val="31CC4FC0"/>
    <w:rsid w:val="31D15247"/>
    <w:rsid w:val="31DA4154"/>
    <w:rsid w:val="31EE29E8"/>
    <w:rsid w:val="31FC4E6F"/>
    <w:rsid w:val="32002EBC"/>
    <w:rsid w:val="320831A2"/>
    <w:rsid w:val="320B4127"/>
    <w:rsid w:val="322275CF"/>
    <w:rsid w:val="3275602C"/>
    <w:rsid w:val="3278255C"/>
    <w:rsid w:val="328C41F1"/>
    <w:rsid w:val="32D560F7"/>
    <w:rsid w:val="32E26388"/>
    <w:rsid w:val="33020E3C"/>
    <w:rsid w:val="3302598D"/>
    <w:rsid w:val="332D370E"/>
    <w:rsid w:val="332F0A06"/>
    <w:rsid w:val="33381316"/>
    <w:rsid w:val="334965C4"/>
    <w:rsid w:val="336E22A8"/>
    <w:rsid w:val="3388239A"/>
    <w:rsid w:val="338C0DA0"/>
    <w:rsid w:val="339C6C14"/>
    <w:rsid w:val="339E298D"/>
    <w:rsid w:val="33B850E7"/>
    <w:rsid w:val="33C86D39"/>
    <w:rsid w:val="33EB6BBB"/>
    <w:rsid w:val="33F50A6A"/>
    <w:rsid w:val="33FB6E55"/>
    <w:rsid w:val="33FE342B"/>
    <w:rsid w:val="34172F02"/>
    <w:rsid w:val="342D50A6"/>
    <w:rsid w:val="343D21A6"/>
    <w:rsid w:val="34723039"/>
    <w:rsid w:val="349921D7"/>
    <w:rsid w:val="34A83397"/>
    <w:rsid w:val="34CC65D3"/>
    <w:rsid w:val="34CE4C2F"/>
    <w:rsid w:val="34D00132"/>
    <w:rsid w:val="34D46B38"/>
    <w:rsid w:val="34D66156"/>
    <w:rsid w:val="34F90010"/>
    <w:rsid w:val="34FD577E"/>
    <w:rsid w:val="350C2516"/>
    <w:rsid w:val="35375618"/>
    <w:rsid w:val="353C420B"/>
    <w:rsid w:val="354074ED"/>
    <w:rsid w:val="35445EF3"/>
    <w:rsid w:val="355A28E3"/>
    <w:rsid w:val="3566572C"/>
    <w:rsid w:val="357D1550"/>
    <w:rsid w:val="357F2005"/>
    <w:rsid w:val="35871E5F"/>
    <w:rsid w:val="358C0256"/>
    <w:rsid w:val="358C5DB5"/>
    <w:rsid w:val="35923A74"/>
    <w:rsid w:val="35956BF6"/>
    <w:rsid w:val="35A12A09"/>
    <w:rsid w:val="35AD6EB7"/>
    <w:rsid w:val="35B31A2A"/>
    <w:rsid w:val="35CC3135"/>
    <w:rsid w:val="35D466DB"/>
    <w:rsid w:val="35D65462"/>
    <w:rsid w:val="35D703D8"/>
    <w:rsid w:val="35E11274"/>
    <w:rsid w:val="35E13818"/>
    <w:rsid w:val="360040A7"/>
    <w:rsid w:val="36113FC2"/>
    <w:rsid w:val="36150687"/>
    <w:rsid w:val="362058DB"/>
    <w:rsid w:val="365F40C1"/>
    <w:rsid w:val="36625046"/>
    <w:rsid w:val="367774C5"/>
    <w:rsid w:val="368045CB"/>
    <w:rsid w:val="36875285"/>
    <w:rsid w:val="36AC3612"/>
    <w:rsid w:val="36B54AD0"/>
    <w:rsid w:val="36BB69D9"/>
    <w:rsid w:val="36E52680"/>
    <w:rsid w:val="36E74237"/>
    <w:rsid w:val="36F079A3"/>
    <w:rsid w:val="37055B53"/>
    <w:rsid w:val="37123663"/>
    <w:rsid w:val="37272C99"/>
    <w:rsid w:val="37342E1F"/>
    <w:rsid w:val="37377380"/>
    <w:rsid w:val="376E6B1A"/>
    <w:rsid w:val="37965442"/>
    <w:rsid w:val="379D6FCC"/>
    <w:rsid w:val="37A33759"/>
    <w:rsid w:val="37FC4DE7"/>
    <w:rsid w:val="3810372D"/>
    <w:rsid w:val="381875E4"/>
    <w:rsid w:val="38332D42"/>
    <w:rsid w:val="387415AD"/>
    <w:rsid w:val="388F6D48"/>
    <w:rsid w:val="38972A67"/>
    <w:rsid w:val="38A96204"/>
    <w:rsid w:val="38CF183A"/>
    <w:rsid w:val="39094D4C"/>
    <w:rsid w:val="39396CB4"/>
    <w:rsid w:val="393B0C7E"/>
    <w:rsid w:val="39430031"/>
    <w:rsid w:val="394E0F10"/>
    <w:rsid w:val="39553AED"/>
    <w:rsid w:val="3958490F"/>
    <w:rsid w:val="395B6028"/>
    <w:rsid w:val="397D1A60"/>
    <w:rsid w:val="39986745"/>
    <w:rsid w:val="39A706A6"/>
    <w:rsid w:val="39C36951"/>
    <w:rsid w:val="39DF1C9E"/>
    <w:rsid w:val="39E44E71"/>
    <w:rsid w:val="39EA61CF"/>
    <w:rsid w:val="3A02553C"/>
    <w:rsid w:val="3A09768B"/>
    <w:rsid w:val="3A100326"/>
    <w:rsid w:val="3A2321ED"/>
    <w:rsid w:val="3A2B0CF2"/>
    <w:rsid w:val="3A483AD0"/>
    <w:rsid w:val="3A9D66C5"/>
    <w:rsid w:val="3AA35FBF"/>
    <w:rsid w:val="3AAF1923"/>
    <w:rsid w:val="3ABB6EE9"/>
    <w:rsid w:val="3AC30F2B"/>
    <w:rsid w:val="3AC72CFB"/>
    <w:rsid w:val="3AFB444F"/>
    <w:rsid w:val="3B166EA8"/>
    <w:rsid w:val="3B20468F"/>
    <w:rsid w:val="3B261E1B"/>
    <w:rsid w:val="3B43394A"/>
    <w:rsid w:val="3B4A32D5"/>
    <w:rsid w:val="3B5228DF"/>
    <w:rsid w:val="3B7A3CDF"/>
    <w:rsid w:val="3B820DE6"/>
    <w:rsid w:val="3B9B1DDA"/>
    <w:rsid w:val="3B9D74DC"/>
    <w:rsid w:val="3BAF2F92"/>
    <w:rsid w:val="3BC35686"/>
    <w:rsid w:val="3BD00FAF"/>
    <w:rsid w:val="3BD16A31"/>
    <w:rsid w:val="3BD544A5"/>
    <w:rsid w:val="3BE949C1"/>
    <w:rsid w:val="3BF21AC7"/>
    <w:rsid w:val="3BF3026A"/>
    <w:rsid w:val="3BFB7875"/>
    <w:rsid w:val="3C09240E"/>
    <w:rsid w:val="3C2974B3"/>
    <w:rsid w:val="3C3022CE"/>
    <w:rsid w:val="3C4B08F9"/>
    <w:rsid w:val="3C642299"/>
    <w:rsid w:val="3C746980"/>
    <w:rsid w:val="3C8619D8"/>
    <w:rsid w:val="3C8D6DE4"/>
    <w:rsid w:val="3C9708C1"/>
    <w:rsid w:val="3C9F07CB"/>
    <w:rsid w:val="3CAA05F4"/>
    <w:rsid w:val="3CE53DCB"/>
    <w:rsid w:val="3D0B54B4"/>
    <w:rsid w:val="3D0C0967"/>
    <w:rsid w:val="3D2363DE"/>
    <w:rsid w:val="3D301E70"/>
    <w:rsid w:val="3D325461"/>
    <w:rsid w:val="3D336678"/>
    <w:rsid w:val="3D3C1506"/>
    <w:rsid w:val="3D485717"/>
    <w:rsid w:val="3D7570E2"/>
    <w:rsid w:val="3D7C6112"/>
    <w:rsid w:val="3D8C3C51"/>
    <w:rsid w:val="3D9F17DB"/>
    <w:rsid w:val="3DBE4F57"/>
    <w:rsid w:val="3DC76F84"/>
    <w:rsid w:val="3DCF6FFB"/>
    <w:rsid w:val="3DE03BA2"/>
    <w:rsid w:val="3DED6BC5"/>
    <w:rsid w:val="3E157CEF"/>
    <w:rsid w:val="3E2B558B"/>
    <w:rsid w:val="3E7E7642"/>
    <w:rsid w:val="3E900B33"/>
    <w:rsid w:val="3E9726BC"/>
    <w:rsid w:val="3EA93C5B"/>
    <w:rsid w:val="3EAB1A1E"/>
    <w:rsid w:val="3ED76D29"/>
    <w:rsid w:val="3EDC6A5F"/>
    <w:rsid w:val="3EED2A1A"/>
    <w:rsid w:val="3EEF22EE"/>
    <w:rsid w:val="3F3106BC"/>
    <w:rsid w:val="3F395AC9"/>
    <w:rsid w:val="3F4A0D5C"/>
    <w:rsid w:val="3F4D5267"/>
    <w:rsid w:val="3F8C2BFA"/>
    <w:rsid w:val="3F965E62"/>
    <w:rsid w:val="3FBD249F"/>
    <w:rsid w:val="3FBD5D22"/>
    <w:rsid w:val="3FC2005E"/>
    <w:rsid w:val="3FC456AD"/>
    <w:rsid w:val="3FE91433"/>
    <w:rsid w:val="3FF04570"/>
    <w:rsid w:val="405F2FA3"/>
    <w:rsid w:val="406A16BE"/>
    <w:rsid w:val="407A57F9"/>
    <w:rsid w:val="408B434E"/>
    <w:rsid w:val="40953369"/>
    <w:rsid w:val="40957F84"/>
    <w:rsid w:val="409D1B0D"/>
    <w:rsid w:val="40A1537E"/>
    <w:rsid w:val="40D048E5"/>
    <w:rsid w:val="40D16208"/>
    <w:rsid w:val="40E20083"/>
    <w:rsid w:val="40E47D03"/>
    <w:rsid w:val="40F847A5"/>
    <w:rsid w:val="411C095D"/>
    <w:rsid w:val="412D224A"/>
    <w:rsid w:val="41666FD7"/>
    <w:rsid w:val="41840DB0"/>
    <w:rsid w:val="41871821"/>
    <w:rsid w:val="419D1550"/>
    <w:rsid w:val="41A23DE3"/>
    <w:rsid w:val="41BE244C"/>
    <w:rsid w:val="41C660F7"/>
    <w:rsid w:val="41CE0F85"/>
    <w:rsid w:val="41CE317A"/>
    <w:rsid w:val="41F92E0C"/>
    <w:rsid w:val="42045BDC"/>
    <w:rsid w:val="420723E4"/>
    <w:rsid w:val="420875D6"/>
    <w:rsid w:val="42260399"/>
    <w:rsid w:val="42294B17"/>
    <w:rsid w:val="42702D0D"/>
    <w:rsid w:val="42714011"/>
    <w:rsid w:val="427C7633"/>
    <w:rsid w:val="42881C6A"/>
    <w:rsid w:val="42A15FF5"/>
    <w:rsid w:val="42AC50F0"/>
    <w:rsid w:val="42AF6075"/>
    <w:rsid w:val="42B424FC"/>
    <w:rsid w:val="42BE6BA7"/>
    <w:rsid w:val="42C22B17"/>
    <w:rsid w:val="42C27294"/>
    <w:rsid w:val="42D34FAF"/>
    <w:rsid w:val="42D737C5"/>
    <w:rsid w:val="43040332"/>
    <w:rsid w:val="431F63BB"/>
    <w:rsid w:val="434C71F8"/>
    <w:rsid w:val="436037BB"/>
    <w:rsid w:val="4364101B"/>
    <w:rsid w:val="43690B0F"/>
    <w:rsid w:val="437F2ECA"/>
    <w:rsid w:val="438A6A89"/>
    <w:rsid w:val="4396542E"/>
    <w:rsid w:val="43A23DD3"/>
    <w:rsid w:val="43B70AA5"/>
    <w:rsid w:val="43C348B8"/>
    <w:rsid w:val="43EA3894"/>
    <w:rsid w:val="43F7188F"/>
    <w:rsid w:val="4400471D"/>
    <w:rsid w:val="4442648B"/>
    <w:rsid w:val="44551C28"/>
    <w:rsid w:val="44572BAD"/>
    <w:rsid w:val="44722916"/>
    <w:rsid w:val="44734A5C"/>
    <w:rsid w:val="447424DD"/>
    <w:rsid w:val="44775660"/>
    <w:rsid w:val="44942A12"/>
    <w:rsid w:val="44C879E9"/>
    <w:rsid w:val="44EF1E27"/>
    <w:rsid w:val="44F468B0"/>
    <w:rsid w:val="4530540F"/>
    <w:rsid w:val="455475CD"/>
    <w:rsid w:val="455A248C"/>
    <w:rsid w:val="456D26F5"/>
    <w:rsid w:val="459A44BE"/>
    <w:rsid w:val="45AB7FDC"/>
    <w:rsid w:val="45B25BFB"/>
    <w:rsid w:val="45B6056B"/>
    <w:rsid w:val="45B94000"/>
    <w:rsid w:val="45BB5620"/>
    <w:rsid w:val="45DA3058"/>
    <w:rsid w:val="45EF0CAA"/>
    <w:rsid w:val="46081EE8"/>
    <w:rsid w:val="4629790D"/>
    <w:rsid w:val="4659529A"/>
    <w:rsid w:val="465C7DFF"/>
    <w:rsid w:val="467576A4"/>
    <w:rsid w:val="469965DF"/>
    <w:rsid w:val="46D75EBB"/>
    <w:rsid w:val="46FD0882"/>
    <w:rsid w:val="47150195"/>
    <w:rsid w:val="471C1137"/>
    <w:rsid w:val="472D39A0"/>
    <w:rsid w:val="47490A0A"/>
    <w:rsid w:val="474E7DCE"/>
    <w:rsid w:val="4789176B"/>
    <w:rsid w:val="47B406DC"/>
    <w:rsid w:val="47B65AB2"/>
    <w:rsid w:val="47B727F3"/>
    <w:rsid w:val="47C44B0B"/>
    <w:rsid w:val="47FB07A5"/>
    <w:rsid w:val="480F1EC9"/>
    <w:rsid w:val="481041D5"/>
    <w:rsid w:val="482109E5"/>
    <w:rsid w:val="482A7F9C"/>
    <w:rsid w:val="484B1829"/>
    <w:rsid w:val="48547F3A"/>
    <w:rsid w:val="48847404"/>
    <w:rsid w:val="48932D95"/>
    <w:rsid w:val="48B8308E"/>
    <w:rsid w:val="49106FD2"/>
    <w:rsid w:val="491856F9"/>
    <w:rsid w:val="4922188C"/>
    <w:rsid w:val="49260292"/>
    <w:rsid w:val="493801AD"/>
    <w:rsid w:val="493A7349"/>
    <w:rsid w:val="4954425A"/>
    <w:rsid w:val="495F006C"/>
    <w:rsid w:val="49624874"/>
    <w:rsid w:val="49956348"/>
    <w:rsid w:val="499D11D6"/>
    <w:rsid w:val="49B22075"/>
    <w:rsid w:val="49B91A00"/>
    <w:rsid w:val="49B95283"/>
    <w:rsid w:val="49CB3958"/>
    <w:rsid w:val="49D04EA8"/>
    <w:rsid w:val="49F927E9"/>
    <w:rsid w:val="4A0A4480"/>
    <w:rsid w:val="4A136C16"/>
    <w:rsid w:val="4A2A0466"/>
    <w:rsid w:val="4A4C0075"/>
    <w:rsid w:val="4A562B83"/>
    <w:rsid w:val="4A7144FF"/>
    <w:rsid w:val="4A7909BF"/>
    <w:rsid w:val="4A7D2A42"/>
    <w:rsid w:val="4A834233"/>
    <w:rsid w:val="4A873D23"/>
    <w:rsid w:val="4AA71688"/>
    <w:rsid w:val="4ABD382C"/>
    <w:rsid w:val="4AC51E5D"/>
    <w:rsid w:val="4AF61B05"/>
    <w:rsid w:val="4AF65AC7"/>
    <w:rsid w:val="4B1132B6"/>
    <w:rsid w:val="4B1871BC"/>
    <w:rsid w:val="4B2444D5"/>
    <w:rsid w:val="4B2A53A7"/>
    <w:rsid w:val="4B2B76E3"/>
    <w:rsid w:val="4B2D2BE6"/>
    <w:rsid w:val="4B2E0668"/>
    <w:rsid w:val="4B46248B"/>
    <w:rsid w:val="4B493410"/>
    <w:rsid w:val="4B5A047D"/>
    <w:rsid w:val="4B646D5B"/>
    <w:rsid w:val="4B6D014C"/>
    <w:rsid w:val="4B8E6103"/>
    <w:rsid w:val="4BF16188"/>
    <w:rsid w:val="4C107D48"/>
    <w:rsid w:val="4C116304"/>
    <w:rsid w:val="4C2D6F06"/>
    <w:rsid w:val="4C613EDC"/>
    <w:rsid w:val="4C6C226D"/>
    <w:rsid w:val="4C73622A"/>
    <w:rsid w:val="4CDA0323"/>
    <w:rsid w:val="4CF46CCF"/>
    <w:rsid w:val="4CF93156"/>
    <w:rsid w:val="4D291727"/>
    <w:rsid w:val="4D316B33"/>
    <w:rsid w:val="4D3919C1"/>
    <w:rsid w:val="4D5A44E5"/>
    <w:rsid w:val="4D7C3730"/>
    <w:rsid w:val="4DA644C0"/>
    <w:rsid w:val="4DC46900"/>
    <w:rsid w:val="4DE1374A"/>
    <w:rsid w:val="4DF4042E"/>
    <w:rsid w:val="4DF74D1B"/>
    <w:rsid w:val="4E175B2C"/>
    <w:rsid w:val="4E232750"/>
    <w:rsid w:val="4E275DC7"/>
    <w:rsid w:val="4E3008AC"/>
    <w:rsid w:val="4E454725"/>
    <w:rsid w:val="4E54216E"/>
    <w:rsid w:val="4E5D2142"/>
    <w:rsid w:val="4E6A373F"/>
    <w:rsid w:val="4E9040B9"/>
    <w:rsid w:val="4EA529C9"/>
    <w:rsid w:val="4EAF3848"/>
    <w:rsid w:val="4EB124A8"/>
    <w:rsid w:val="4EC85307"/>
    <w:rsid w:val="4ED02D5C"/>
    <w:rsid w:val="4ED07129"/>
    <w:rsid w:val="4ED571E4"/>
    <w:rsid w:val="4ED84B4D"/>
    <w:rsid w:val="4EFB083B"/>
    <w:rsid w:val="4F236F63"/>
    <w:rsid w:val="4F2711ED"/>
    <w:rsid w:val="4F321E94"/>
    <w:rsid w:val="4F4B6E23"/>
    <w:rsid w:val="4F4C7FE7"/>
    <w:rsid w:val="4F5E6AB0"/>
    <w:rsid w:val="4F707062"/>
    <w:rsid w:val="4F732AC8"/>
    <w:rsid w:val="4F8151E4"/>
    <w:rsid w:val="4FA904C1"/>
    <w:rsid w:val="4FB045C9"/>
    <w:rsid w:val="4FB07E4C"/>
    <w:rsid w:val="4FBD3D43"/>
    <w:rsid w:val="4FC357E8"/>
    <w:rsid w:val="4FCD197A"/>
    <w:rsid w:val="4FDE2637"/>
    <w:rsid w:val="4FE33B1E"/>
    <w:rsid w:val="4FEF6B40"/>
    <w:rsid w:val="4FF0236A"/>
    <w:rsid w:val="50011267"/>
    <w:rsid w:val="50051AD4"/>
    <w:rsid w:val="50182CF3"/>
    <w:rsid w:val="50597F0F"/>
    <w:rsid w:val="505B02E5"/>
    <w:rsid w:val="505E72D4"/>
    <w:rsid w:val="507F03F4"/>
    <w:rsid w:val="50A64D42"/>
    <w:rsid w:val="50B079EF"/>
    <w:rsid w:val="50B576FA"/>
    <w:rsid w:val="50C64757"/>
    <w:rsid w:val="50D13F4A"/>
    <w:rsid w:val="50DC2AD2"/>
    <w:rsid w:val="50DF4CBB"/>
    <w:rsid w:val="50EB0ACD"/>
    <w:rsid w:val="51110D0D"/>
    <w:rsid w:val="512F5D3F"/>
    <w:rsid w:val="5140185C"/>
    <w:rsid w:val="51480E67"/>
    <w:rsid w:val="517819B6"/>
    <w:rsid w:val="517B5A7B"/>
    <w:rsid w:val="518100C7"/>
    <w:rsid w:val="51881C50"/>
    <w:rsid w:val="519028E0"/>
    <w:rsid w:val="519805C3"/>
    <w:rsid w:val="519D2D48"/>
    <w:rsid w:val="51A404F0"/>
    <w:rsid w:val="51A57002"/>
    <w:rsid w:val="51A84704"/>
    <w:rsid w:val="51C5066C"/>
    <w:rsid w:val="51E31065"/>
    <w:rsid w:val="51E47CAD"/>
    <w:rsid w:val="51FD2B1C"/>
    <w:rsid w:val="522956BF"/>
    <w:rsid w:val="52384A5B"/>
    <w:rsid w:val="524A4982"/>
    <w:rsid w:val="525564B4"/>
    <w:rsid w:val="52586AA6"/>
    <w:rsid w:val="525E09AF"/>
    <w:rsid w:val="52653BBD"/>
    <w:rsid w:val="52704D94"/>
    <w:rsid w:val="527C58AD"/>
    <w:rsid w:val="527F6965"/>
    <w:rsid w:val="5283364F"/>
    <w:rsid w:val="52976ACD"/>
    <w:rsid w:val="52B648C1"/>
    <w:rsid w:val="52CD6A64"/>
    <w:rsid w:val="52CF79E9"/>
    <w:rsid w:val="531371D9"/>
    <w:rsid w:val="535B3F9E"/>
    <w:rsid w:val="536072D8"/>
    <w:rsid w:val="53776EFD"/>
    <w:rsid w:val="53863C94"/>
    <w:rsid w:val="5389049C"/>
    <w:rsid w:val="538A5CD0"/>
    <w:rsid w:val="53A31046"/>
    <w:rsid w:val="53E00EAB"/>
    <w:rsid w:val="53E0692D"/>
    <w:rsid w:val="53FD7605"/>
    <w:rsid w:val="540A5A6E"/>
    <w:rsid w:val="542A3A4D"/>
    <w:rsid w:val="542B1BC3"/>
    <w:rsid w:val="542E0C2A"/>
    <w:rsid w:val="54363EAB"/>
    <w:rsid w:val="545A24A8"/>
    <w:rsid w:val="546C2C8D"/>
    <w:rsid w:val="546D3F92"/>
    <w:rsid w:val="54707211"/>
    <w:rsid w:val="54722618"/>
    <w:rsid w:val="547A32A8"/>
    <w:rsid w:val="548B23F5"/>
    <w:rsid w:val="54AF6350"/>
    <w:rsid w:val="54C67D59"/>
    <w:rsid w:val="54CB652A"/>
    <w:rsid w:val="54CF4F30"/>
    <w:rsid w:val="54F268D9"/>
    <w:rsid w:val="551054BE"/>
    <w:rsid w:val="551F1837"/>
    <w:rsid w:val="55376EDE"/>
    <w:rsid w:val="55412C40"/>
    <w:rsid w:val="554561F4"/>
    <w:rsid w:val="557856C0"/>
    <w:rsid w:val="557A53C9"/>
    <w:rsid w:val="558F1AEB"/>
    <w:rsid w:val="559F5609"/>
    <w:rsid w:val="55A57512"/>
    <w:rsid w:val="55A72A15"/>
    <w:rsid w:val="55A83F6F"/>
    <w:rsid w:val="55B87AE5"/>
    <w:rsid w:val="55C97A4C"/>
    <w:rsid w:val="55D14FAD"/>
    <w:rsid w:val="561B4258"/>
    <w:rsid w:val="56250D86"/>
    <w:rsid w:val="563E5B18"/>
    <w:rsid w:val="564A221E"/>
    <w:rsid w:val="566662CB"/>
    <w:rsid w:val="569C67A5"/>
    <w:rsid w:val="56B860D6"/>
    <w:rsid w:val="56BC0DE5"/>
    <w:rsid w:val="56EA7B13"/>
    <w:rsid w:val="56FE00DA"/>
    <w:rsid w:val="576B029A"/>
    <w:rsid w:val="576D098E"/>
    <w:rsid w:val="5774562F"/>
    <w:rsid w:val="577C7118"/>
    <w:rsid w:val="57803FD4"/>
    <w:rsid w:val="5785783C"/>
    <w:rsid w:val="57867A28"/>
    <w:rsid w:val="579B08C7"/>
    <w:rsid w:val="57A852D8"/>
    <w:rsid w:val="57BE1D80"/>
    <w:rsid w:val="57E96447"/>
    <w:rsid w:val="57F01655"/>
    <w:rsid w:val="57FF3E6E"/>
    <w:rsid w:val="580637F9"/>
    <w:rsid w:val="580A1AEF"/>
    <w:rsid w:val="580B7C81"/>
    <w:rsid w:val="5813728B"/>
    <w:rsid w:val="581E62F9"/>
    <w:rsid w:val="583077A8"/>
    <w:rsid w:val="58340C31"/>
    <w:rsid w:val="58394DEE"/>
    <w:rsid w:val="585B234B"/>
    <w:rsid w:val="58753AAD"/>
    <w:rsid w:val="58823D7B"/>
    <w:rsid w:val="5886571D"/>
    <w:rsid w:val="58894CCC"/>
    <w:rsid w:val="58B46E15"/>
    <w:rsid w:val="58BD5526"/>
    <w:rsid w:val="58BF2A88"/>
    <w:rsid w:val="58C24F41"/>
    <w:rsid w:val="58D45994"/>
    <w:rsid w:val="58DA3BB7"/>
    <w:rsid w:val="58E3481A"/>
    <w:rsid w:val="591E0A5B"/>
    <w:rsid w:val="59253085"/>
    <w:rsid w:val="592659A8"/>
    <w:rsid w:val="593041E0"/>
    <w:rsid w:val="593B28A8"/>
    <w:rsid w:val="59587923"/>
    <w:rsid w:val="595E0C6B"/>
    <w:rsid w:val="595F636A"/>
    <w:rsid w:val="596A0A97"/>
    <w:rsid w:val="59A5419F"/>
    <w:rsid w:val="59C8345A"/>
    <w:rsid w:val="59CD5363"/>
    <w:rsid w:val="59DC20FA"/>
    <w:rsid w:val="59E20A6C"/>
    <w:rsid w:val="59EE18A4"/>
    <w:rsid w:val="59FD00B1"/>
    <w:rsid w:val="5A2A7C7B"/>
    <w:rsid w:val="5A507EBB"/>
    <w:rsid w:val="5A5F6122"/>
    <w:rsid w:val="5A6A4AC7"/>
    <w:rsid w:val="5A6B2D19"/>
    <w:rsid w:val="5A6E722C"/>
    <w:rsid w:val="5A726E5B"/>
    <w:rsid w:val="5A785436"/>
    <w:rsid w:val="5AB81BCA"/>
    <w:rsid w:val="5ABB5323"/>
    <w:rsid w:val="5ABC17C7"/>
    <w:rsid w:val="5ACB7804"/>
    <w:rsid w:val="5AD44891"/>
    <w:rsid w:val="5AE4292D"/>
    <w:rsid w:val="5AF8090C"/>
    <w:rsid w:val="5B021EDD"/>
    <w:rsid w:val="5B0643E1"/>
    <w:rsid w:val="5B122177"/>
    <w:rsid w:val="5B1433B1"/>
    <w:rsid w:val="5B192961"/>
    <w:rsid w:val="5B253396"/>
    <w:rsid w:val="5B2C0178"/>
    <w:rsid w:val="5B363630"/>
    <w:rsid w:val="5B3C2907"/>
    <w:rsid w:val="5B3E6680"/>
    <w:rsid w:val="5B411CCC"/>
    <w:rsid w:val="5B7818B4"/>
    <w:rsid w:val="5B7D1826"/>
    <w:rsid w:val="5BAF1661"/>
    <w:rsid w:val="5BBE331C"/>
    <w:rsid w:val="5BF84A80"/>
    <w:rsid w:val="5C1D00AB"/>
    <w:rsid w:val="5C2F70CC"/>
    <w:rsid w:val="5C484D92"/>
    <w:rsid w:val="5C4946BC"/>
    <w:rsid w:val="5C533E08"/>
    <w:rsid w:val="5C696877"/>
    <w:rsid w:val="5C936557"/>
    <w:rsid w:val="5C965957"/>
    <w:rsid w:val="5CB65AD3"/>
    <w:rsid w:val="5CC74453"/>
    <w:rsid w:val="5CCB27CD"/>
    <w:rsid w:val="5CEF76FB"/>
    <w:rsid w:val="5CF714FC"/>
    <w:rsid w:val="5CF95CEA"/>
    <w:rsid w:val="5D273DE0"/>
    <w:rsid w:val="5D3A69D3"/>
    <w:rsid w:val="5D3D35D4"/>
    <w:rsid w:val="5D513758"/>
    <w:rsid w:val="5D557CB0"/>
    <w:rsid w:val="5D695983"/>
    <w:rsid w:val="5D755C5D"/>
    <w:rsid w:val="5D7F7CF2"/>
    <w:rsid w:val="5D861F38"/>
    <w:rsid w:val="5D8E030D"/>
    <w:rsid w:val="5DAE2DC0"/>
    <w:rsid w:val="5DB449D7"/>
    <w:rsid w:val="5DC15346"/>
    <w:rsid w:val="5DC75EE8"/>
    <w:rsid w:val="5DDB4B89"/>
    <w:rsid w:val="5DEF7705"/>
    <w:rsid w:val="5DF012AB"/>
    <w:rsid w:val="5E130566"/>
    <w:rsid w:val="5E153A69"/>
    <w:rsid w:val="5E176F6C"/>
    <w:rsid w:val="5E1E0AF5"/>
    <w:rsid w:val="5E2211CE"/>
    <w:rsid w:val="5E2B5C0D"/>
    <w:rsid w:val="5E3818C6"/>
    <w:rsid w:val="5E482FBE"/>
    <w:rsid w:val="5E525F9E"/>
    <w:rsid w:val="5E600665"/>
    <w:rsid w:val="5EAB6551"/>
    <w:rsid w:val="5EB43038"/>
    <w:rsid w:val="5EBB1C78"/>
    <w:rsid w:val="5ED30E8D"/>
    <w:rsid w:val="5EE00BB3"/>
    <w:rsid w:val="5EE40830"/>
    <w:rsid w:val="5F172392"/>
    <w:rsid w:val="5F723A40"/>
    <w:rsid w:val="5F813FC0"/>
    <w:rsid w:val="5F9D6CC2"/>
    <w:rsid w:val="5FB76A00"/>
    <w:rsid w:val="5FDA0F1A"/>
    <w:rsid w:val="5FE5356E"/>
    <w:rsid w:val="5FEE6B72"/>
    <w:rsid w:val="60017D91"/>
    <w:rsid w:val="60194FC5"/>
    <w:rsid w:val="6025484D"/>
    <w:rsid w:val="6054424F"/>
    <w:rsid w:val="60653243"/>
    <w:rsid w:val="607D18D9"/>
    <w:rsid w:val="608D07DE"/>
    <w:rsid w:val="60983788"/>
    <w:rsid w:val="60D40EEC"/>
    <w:rsid w:val="60FB46CB"/>
    <w:rsid w:val="610051C7"/>
    <w:rsid w:val="6109503A"/>
    <w:rsid w:val="61146955"/>
    <w:rsid w:val="6123116D"/>
    <w:rsid w:val="612B40D2"/>
    <w:rsid w:val="6136238C"/>
    <w:rsid w:val="614416A2"/>
    <w:rsid w:val="61477910"/>
    <w:rsid w:val="615F7CCE"/>
    <w:rsid w:val="616A37B0"/>
    <w:rsid w:val="618B1EF3"/>
    <w:rsid w:val="618E4F99"/>
    <w:rsid w:val="618F4FA5"/>
    <w:rsid w:val="619F3BDB"/>
    <w:rsid w:val="61A00737"/>
    <w:rsid w:val="61A02E98"/>
    <w:rsid w:val="61A84853"/>
    <w:rsid w:val="61B2122D"/>
    <w:rsid w:val="61DB5099"/>
    <w:rsid w:val="61EA6C19"/>
    <w:rsid w:val="61F43A44"/>
    <w:rsid w:val="61FC694D"/>
    <w:rsid w:val="621023F8"/>
    <w:rsid w:val="6211064A"/>
    <w:rsid w:val="622E70A1"/>
    <w:rsid w:val="623460E6"/>
    <w:rsid w:val="625627E4"/>
    <w:rsid w:val="625F30F4"/>
    <w:rsid w:val="627A5473"/>
    <w:rsid w:val="62803AF9"/>
    <w:rsid w:val="62B75D01"/>
    <w:rsid w:val="62C52A98"/>
    <w:rsid w:val="62C76F5B"/>
    <w:rsid w:val="62DE1443"/>
    <w:rsid w:val="62FF1978"/>
    <w:rsid w:val="63155479"/>
    <w:rsid w:val="631F442B"/>
    <w:rsid w:val="632B1543"/>
    <w:rsid w:val="632B74E9"/>
    <w:rsid w:val="63382DD7"/>
    <w:rsid w:val="63387E58"/>
    <w:rsid w:val="633B2C7C"/>
    <w:rsid w:val="63415C65"/>
    <w:rsid w:val="63476C40"/>
    <w:rsid w:val="63654BA0"/>
    <w:rsid w:val="636B3D8A"/>
    <w:rsid w:val="636C452A"/>
    <w:rsid w:val="63861052"/>
    <w:rsid w:val="638763D9"/>
    <w:rsid w:val="63CB1C7B"/>
    <w:rsid w:val="63D748EB"/>
    <w:rsid w:val="63F4318A"/>
    <w:rsid w:val="63F57AF7"/>
    <w:rsid w:val="64065861"/>
    <w:rsid w:val="64085A7D"/>
    <w:rsid w:val="6412273A"/>
    <w:rsid w:val="641301BB"/>
    <w:rsid w:val="643477F7"/>
    <w:rsid w:val="643A1700"/>
    <w:rsid w:val="643C1380"/>
    <w:rsid w:val="64430D0B"/>
    <w:rsid w:val="6443458E"/>
    <w:rsid w:val="644A1BF1"/>
    <w:rsid w:val="64572A3A"/>
    <w:rsid w:val="647A6C66"/>
    <w:rsid w:val="647B7FFD"/>
    <w:rsid w:val="647C2169"/>
    <w:rsid w:val="64833355"/>
    <w:rsid w:val="64917820"/>
    <w:rsid w:val="64A82DBC"/>
    <w:rsid w:val="64D92F75"/>
    <w:rsid w:val="65006AFE"/>
    <w:rsid w:val="651B1E3D"/>
    <w:rsid w:val="65490238"/>
    <w:rsid w:val="655E28EA"/>
    <w:rsid w:val="65694370"/>
    <w:rsid w:val="65744900"/>
    <w:rsid w:val="65A43583"/>
    <w:rsid w:val="65D247E6"/>
    <w:rsid w:val="65D3019C"/>
    <w:rsid w:val="65DB0E2C"/>
    <w:rsid w:val="65E174B2"/>
    <w:rsid w:val="65E47B5B"/>
    <w:rsid w:val="65EB3645"/>
    <w:rsid w:val="660D3169"/>
    <w:rsid w:val="66106E6A"/>
    <w:rsid w:val="661701F9"/>
    <w:rsid w:val="662A244F"/>
    <w:rsid w:val="662D17CA"/>
    <w:rsid w:val="663372D4"/>
    <w:rsid w:val="66344CC4"/>
    <w:rsid w:val="6640544E"/>
    <w:rsid w:val="66527D73"/>
    <w:rsid w:val="66531D6F"/>
    <w:rsid w:val="66564EF2"/>
    <w:rsid w:val="665E5B82"/>
    <w:rsid w:val="666F593F"/>
    <w:rsid w:val="667271DD"/>
    <w:rsid w:val="66B23A7E"/>
    <w:rsid w:val="66B36653"/>
    <w:rsid w:val="66BB6DD6"/>
    <w:rsid w:val="66BC48FC"/>
    <w:rsid w:val="66DF3B52"/>
    <w:rsid w:val="66E128D8"/>
    <w:rsid w:val="66F26570"/>
    <w:rsid w:val="66F61D60"/>
    <w:rsid w:val="670562A3"/>
    <w:rsid w:val="673C1857"/>
    <w:rsid w:val="674175FB"/>
    <w:rsid w:val="67596FAF"/>
    <w:rsid w:val="675D7E8D"/>
    <w:rsid w:val="6765411F"/>
    <w:rsid w:val="67787CAA"/>
    <w:rsid w:val="678D07F2"/>
    <w:rsid w:val="679413D5"/>
    <w:rsid w:val="67AD4002"/>
    <w:rsid w:val="67B0620F"/>
    <w:rsid w:val="67B232D0"/>
    <w:rsid w:val="67CF2561"/>
    <w:rsid w:val="67D11A4E"/>
    <w:rsid w:val="67D92E70"/>
    <w:rsid w:val="67DF568F"/>
    <w:rsid w:val="67E9768B"/>
    <w:rsid w:val="67EC148A"/>
    <w:rsid w:val="680A6704"/>
    <w:rsid w:val="680E73DA"/>
    <w:rsid w:val="68133F4F"/>
    <w:rsid w:val="6841155D"/>
    <w:rsid w:val="686B23DF"/>
    <w:rsid w:val="686D58E2"/>
    <w:rsid w:val="687D22F9"/>
    <w:rsid w:val="68863217"/>
    <w:rsid w:val="68866F70"/>
    <w:rsid w:val="68953223"/>
    <w:rsid w:val="68C0149A"/>
    <w:rsid w:val="68CC58FB"/>
    <w:rsid w:val="68D04B6C"/>
    <w:rsid w:val="691C78D4"/>
    <w:rsid w:val="692B3716"/>
    <w:rsid w:val="692E211D"/>
    <w:rsid w:val="692F59A0"/>
    <w:rsid w:val="6937518C"/>
    <w:rsid w:val="694859DB"/>
    <w:rsid w:val="694C640B"/>
    <w:rsid w:val="695A0B28"/>
    <w:rsid w:val="695E7EED"/>
    <w:rsid w:val="695F683E"/>
    <w:rsid w:val="6973738E"/>
    <w:rsid w:val="69830AD1"/>
    <w:rsid w:val="69835E08"/>
    <w:rsid w:val="69A73642"/>
    <w:rsid w:val="69BF53B0"/>
    <w:rsid w:val="69C064B2"/>
    <w:rsid w:val="69C608D9"/>
    <w:rsid w:val="69CB63AC"/>
    <w:rsid w:val="69CC61E8"/>
    <w:rsid w:val="69CE0BCF"/>
    <w:rsid w:val="69D67433"/>
    <w:rsid w:val="6A040E7B"/>
    <w:rsid w:val="6A062180"/>
    <w:rsid w:val="6A4E4D09"/>
    <w:rsid w:val="6A6600BF"/>
    <w:rsid w:val="6A6F1098"/>
    <w:rsid w:val="6A7E25F5"/>
    <w:rsid w:val="6AD3009F"/>
    <w:rsid w:val="6B057B25"/>
    <w:rsid w:val="6B061D23"/>
    <w:rsid w:val="6B225BFF"/>
    <w:rsid w:val="6B2931DC"/>
    <w:rsid w:val="6B360F09"/>
    <w:rsid w:val="6B4C0C26"/>
    <w:rsid w:val="6B530B87"/>
    <w:rsid w:val="6B5670CE"/>
    <w:rsid w:val="6B570828"/>
    <w:rsid w:val="6B593D2B"/>
    <w:rsid w:val="6B681DC7"/>
    <w:rsid w:val="6B6D29CC"/>
    <w:rsid w:val="6B6D624F"/>
    <w:rsid w:val="6BB107A8"/>
    <w:rsid w:val="6BCB6558"/>
    <w:rsid w:val="6BD9385B"/>
    <w:rsid w:val="6BE85B99"/>
    <w:rsid w:val="6BF10A27"/>
    <w:rsid w:val="6BF43BAA"/>
    <w:rsid w:val="6C365BBD"/>
    <w:rsid w:val="6C450EF0"/>
    <w:rsid w:val="6C535248"/>
    <w:rsid w:val="6C5A1350"/>
    <w:rsid w:val="6C702411"/>
    <w:rsid w:val="6C951535"/>
    <w:rsid w:val="6C991968"/>
    <w:rsid w:val="6C9F2CF6"/>
    <w:rsid w:val="6CB90470"/>
    <w:rsid w:val="6CBD51B5"/>
    <w:rsid w:val="6CC0027B"/>
    <w:rsid w:val="6CC87405"/>
    <w:rsid w:val="6D0240E7"/>
    <w:rsid w:val="6D0F5D7A"/>
    <w:rsid w:val="6D114B3A"/>
    <w:rsid w:val="6D155306"/>
    <w:rsid w:val="6D22461C"/>
    <w:rsid w:val="6D2F00AE"/>
    <w:rsid w:val="6D344536"/>
    <w:rsid w:val="6D4C79DE"/>
    <w:rsid w:val="6D527369"/>
    <w:rsid w:val="6D65184A"/>
    <w:rsid w:val="6D806BB4"/>
    <w:rsid w:val="6D8E174D"/>
    <w:rsid w:val="6DA00AD4"/>
    <w:rsid w:val="6DA02882"/>
    <w:rsid w:val="6DA21E39"/>
    <w:rsid w:val="6DB1683D"/>
    <w:rsid w:val="6DB662A4"/>
    <w:rsid w:val="6DBD6A19"/>
    <w:rsid w:val="6DEC1AE6"/>
    <w:rsid w:val="6DED1766"/>
    <w:rsid w:val="6E292877"/>
    <w:rsid w:val="6E7736BC"/>
    <w:rsid w:val="6E7B00D0"/>
    <w:rsid w:val="6E912C95"/>
    <w:rsid w:val="6EA9319E"/>
    <w:rsid w:val="6EBA5637"/>
    <w:rsid w:val="6EBE7FC3"/>
    <w:rsid w:val="6ECB58D1"/>
    <w:rsid w:val="6EF21014"/>
    <w:rsid w:val="6EF763A3"/>
    <w:rsid w:val="6EF967A0"/>
    <w:rsid w:val="6F023788"/>
    <w:rsid w:val="6F034B31"/>
    <w:rsid w:val="6F125A01"/>
    <w:rsid w:val="6F1B21D8"/>
    <w:rsid w:val="6F2A7F0E"/>
    <w:rsid w:val="6F3239AE"/>
    <w:rsid w:val="6F5632B7"/>
    <w:rsid w:val="6F5D58FB"/>
    <w:rsid w:val="6F885CC3"/>
    <w:rsid w:val="6FB645D5"/>
    <w:rsid w:val="6FC35E69"/>
    <w:rsid w:val="6FC438EB"/>
    <w:rsid w:val="6FE3114C"/>
    <w:rsid w:val="6FE41C21"/>
    <w:rsid w:val="6FE62BA6"/>
    <w:rsid w:val="6FE86FB7"/>
    <w:rsid w:val="6FF41EBB"/>
    <w:rsid w:val="70173375"/>
    <w:rsid w:val="70263260"/>
    <w:rsid w:val="70310109"/>
    <w:rsid w:val="705708DB"/>
    <w:rsid w:val="705E5CE7"/>
    <w:rsid w:val="70744BF2"/>
    <w:rsid w:val="707D0B1B"/>
    <w:rsid w:val="7089584F"/>
    <w:rsid w:val="70936542"/>
    <w:rsid w:val="70A370D3"/>
    <w:rsid w:val="70B358B9"/>
    <w:rsid w:val="70B46A76"/>
    <w:rsid w:val="70CD7E32"/>
    <w:rsid w:val="70D10B12"/>
    <w:rsid w:val="70D25448"/>
    <w:rsid w:val="70F45858"/>
    <w:rsid w:val="711A0B9D"/>
    <w:rsid w:val="71211F2C"/>
    <w:rsid w:val="71220D40"/>
    <w:rsid w:val="71367F49"/>
    <w:rsid w:val="714F5473"/>
    <w:rsid w:val="7166431B"/>
    <w:rsid w:val="716A4F20"/>
    <w:rsid w:val="716C2775"/>
    <w:rsid w:val="717C2C3C"/>
    <w:rsid w:val="71847896"/>
    <w:rsid w:val="718C6759"/>
    <w:rsid w:val="71A55DCD"/>
    <w:rsid w:val="71A82806"/>
    <w:rsid w:val="71BC6597"/>
    <w:rsid w:val="71C11A27"/>
    <w:rsid w:val="71C30E32"/>
    <w:rsid w:val="71E2790D"/>
    <w:rsid w:val="71E35DA6"/>
    <w:rsid w:val="71FE401B"/>
    <w:rsid w:val="72062BA0"/>
    <w:rsid w:val="721F290F"/>
    <w:rsid w:val="72232150"/>
    <w:rsid w:val="723942F4"/>
    <w:rsid w:val="723E077B"/>
    <w:rsid w:val="724F4877"/>
    <w:rsid w:val="726C71D7"/>
    <w:rsid w:val="727C6062"/>
    <w:rsid w:val="72920205"/>
    <w:rsid w:val="72995E06"/>
    <w:rsid w:val="729D6597"/>
    <w:rsid w:val="72AD6831"/>
    <w:rsid w:val="72AE77EF"/>
    <w:rsid w:val="72D22DF7"/>
    <w:rsid w:val="72D336FA"/>
    <w:rsid w:val="72D52FCE"/>
    <w:rsid w:val="72DC3AFD"/>
    <w:rsid w:val="72E80602"/>
    <w:rsid w:val="72EA3C3A"/>
    <w:rsid w:val="72EC1B99"/>
    <w:rsid w:val="730438B3"/>
    <w:rsid w:val="731A30D6"/>
    <w:rsid w:val="732C6762"/>
    <w:rsid w:val="734F3E3C"/>
    <w:rsid w:val="735D69D5"/>
    <w:rsid w:val="73643DE1"/>
    <w:rsid w:val="73B260DF"/>
    <w:rsid w:val="73B47087"/>
    <w:rsid w:val="73CD7F8D"/>
    <w:rsid w:val="73EE0BE7"/>
    <w:rsid w:val="73F95119"/>
    <w:rsid w:val="74171C1F"/>
    <w:rsid w:val="7421246D"/>
    <w:rsid w:val="742A7C83"/>
    <w:rsid w:val="74371BBB"/>
    <w:rsid w:val="74777121"/>
    <w:rsid w:val="749331CE"/>
    <w:rsid w:val="74A67C70"/>
    <w:rsid w:val="74C12A19"/>
    <w:rsid w:val="74D20734"/>
    <w:rsid w:val="74DD2349"/>
    <w:rsid w:val="74E651D7"/>
    <w:rsid w:val="74FF2584"/>
    <w:rsid w:val="75034787"/>
    <w:rsid w:val="7503583D"/>
    <w:rsid w:val="751524A3"/>
    <w:rsid w:val="75186CAB"/>
    <w:rsid w:val="75375EDA"/>
    <w:rsid w:val="7554328C"/>
    <w:rsid w:val="7555110A"/>
    <w:rsid w:val="75597714"/>
    <w:rsid w:val="755A1EB0"/>
    <w:rsid w:val="755D199D"/>
    <w:rsid w:val="75736ACE"/>
    <w:rsid w:val="759C6138"/>
    <w:rsid w:val="75A1338B"/>
    <w:rsid w:val="75A66EA3"/>
    <w:rsid w:val="75D315DC"/>
    <w:rsid w:val="76097931"/>
    <w:rsid w:val="760F78EA"/>
    <w:rsid w:val="76206B93"/>
    <w:rsid w:val="76286AE8"/>
    <w:rsid w:val="762F1CF6"/>
    <w:rsid w:val="763046B6"/>
    <w:rsid w:val="76522B87"/>
    <w:rsid w:val="76542E2F"/>
    <w:rsid w:val="7671495D"/>
    <w:rsid w:val="767336E4"/>
    <w:rsid w:val="76851400"/>
    <w:rsid w:val="7698261F"/>
    <w:rsid w:val="76A209B0"/>
    <w:rsid w:val="76BB28DB"/>
    <w:rsid w:val="76BF021D"/>
    <w:rsid w:val="76C53359"/>
    <w:rsid w:val="76E16AC1"/>
    <w:rsid w:val="76F55C40"/>
    <w:rsid w:val="76FC2343"/>
    <w:rsid w:val="76FD7DC5"/>
    <w:rsid w:val="77286A7D"/>
    <w:rsid w:val="77694EF6"/>
    <w:rsid w:val="77740D08"/>
    <w:rsid w:val="778C092D"/>
    <w:rsid w:val="77A85155"/>
    <w:rsid w:val="77B10B6D"/>
    <w:rsid w:val="77C5780E"/>
    <w:rsid w:val="77C80239"/>
    <w:rsid w:val="77E97C9B"/>
    <w:rsid w:val="77F32AC3"/>
    <w:rsid w:val="78197298"/>
    <w:rsid w:val="78342545"/>
    <w:rsid w:val="78372035"/>
    <w:rsid w:val="783E61D3"/>
    <w:rsid w:val="78476AE2"/>
    <w:rsid w:val="78485FF0"/>
    <w:rsid w:val="784941AA"/>
    <w:rsid w:val="785A182F"/>
    <w:rsid w:val="787D5E27"/>
    <w:rsid w:val="78A44C7D"/>
    <w:rsid w:val="78AA6B87"/>
    <w:rsid w:val="78E75809"/>
    <w:rsid w:val="792410CB"/>
    <w:rsid w:val="7952633F"/>
    <w:rsid w:val="79645FB5"/>
    <w:rsid w:val="796D46C6"/>
    <w:rsid w:val="79B3393D"/>
    <w:rsid w:val="79BE0C60"/>
    <w:rsid w:val="79DE3700"/>
    <w:rsid w:val="79FD2E0A"/>
    <w:rsid w:val="7A080CC1"/>
    <w:rsid w:val="7A1C017C"/>
    <w:rsid w:val="7A232B70"/>
    <w:rsid w:val="7A2B3800"/>
    <w:rsid w:val="7A2C3931"/>
    <w:rsid w:val="7A5358BD"/>
    <w:rsid w:val="7A765096"/>
    <w:rsid w:val="7A8A161B"/>
    <w:rsid w:val="7AA656C8"/>
    <w:rsid w:val="7AD242A9"/>
    <w:rsid w:val="7AD40126"/>
    <w:rsid w:val="7AD61FD9"/>
    <w:rsid w:val="7AD868F2"/>
    <w:rsid w:val="7AE71AF0"/>
    <w:rsid w:val="7AF16A40"/>
    <w:rsid w:val="7B0238C7"/>
    <w:rsid w:val="7B14377D"/>
    <w:rsid w:val="7B1511FF"/>
    <w:rsid w:val="7B1B5594"/>
    <w:rsid w:val="7B1D2D88"/>
    <w:rsid w:val="7B2F105B"/>
    <w:rsid w:val="7B430ADD"/>
    <w:rsid w:val="7B667D04"/>
    <w:rsid w:val="7B6D6BDB"/>
    <w:rsid w:val="7B7A3121"/>
    <w:rsid w:val="7B8E7BC4"/>
    <w:rsid w:val="7B954FD0"/>
    <w:rsid w:val="7B9D48A5"/>
    <w:rsid w:val="7BC23531"/>
    <w:rsid w:val="7BCB31C0"/>
    <w:rsid w:val="7BD55DED"/>
    <w:rsid w:val="7BF62A6B"/>
    <w:rsid w:val="7C12239B"/>
    <w:rsid w:val="7C1A70CE"/>
    <w:rsid w:val="7C23393A"/>
    <w:rsid w:val="7C3068C2"/>
    <w:rsid w:val="7C3D44E4"/>
    <w:rsid w:val="7C417667"/>
    <w:rsid w:val="7C4924F5"/>
    <w:rsid w:val="7C4A67DB"/>
    <w:rsid w:val="7C4D0EFB"/>
    <w:rsid w:val="7C5F4699"/>
    <w:rsid w:val="7C613431"/>
    <w:rsid w:val="7C705B15"/>
    <w:rsid w:val="7C7D1A4A"/>
    <w:rsid w:val="7C810FA5"/>
    <w:rsid w:val="7CBA4472"/>
    <w:rsid w:val="7CBE3824"/>
    <w:rsid w:val="7CBF7F35"/>
    <w:rsid w:val="7CC12815"/>
    <w:rsid w:val="7CF0780B"/>
    <w:rsid w:val="7CF93D5D"/>
    <w:rsid w:val="7CFF3A91"/>
    <w:rsid w:val="7D146DE8"/>
    <w:rsid w:val="7D2557AC"/>
    <w:rsid w:val="7D2A0467"/>
    <w:rsid w:val="7D4633F9"/>
    <w:rsid w:val="7D497E9A"/>
    <w:rsid w:val="7D90280C"/>
    <w:rsid w:val="7DA44D30"/>
    <w:rsid w:val="7DD16AF9"/>
    <w:rsid w:val="7DE45B1A"/>
    <w:rsid w:val="7DE76A9E"/>
    <w:rsid w:val="7DE9671E"/>
    <w:rsid w:val="7DF34C50"/>
    <w:rsid w:val="7DF612B7"/>
    <w:rsid w:val="7E1562E9"/>
    <w:rsid w:val="7E277888"/>
    <w:rsid w:val="7E377B22"/>
    <w:rsid w:val="7E3977A2"/>
    <w:rsid w:val="7E48583E"/>
    <w:rsid w:val="7E4E3EC4"/>
    <w:rsid w:val="7E506AA8"/>
    <w:rsid w:val="7E5725D5"/>
    <w:rsid w:val="7E5A4CCF"/>
    <w:rsid w:val="7E73175E"/>
    <w:rsid w:val="7E8A512D"/>
    <w:rsid w:val="7EAD4DFF"/>
    <w:rsid w:val="7EB07597"/>
    <w:rsid w:val="7EB63CCD"/>
    <w:rsid w:val="7EC37706"/>
    <w:rsid w:val="7EC42C09"/>
    <w:rsid w:val="7ED03198"/>
    <w:rsid w:val="7ED30FF3"/>
    <w:rsid w:val="7EE5313E"/>
    <w:rsid w:val="7EF02F3D"/>
    <w:rsid w:val="7EFE1AE9"/>
    <w:rsid w:val="7F0945F7"/>
    <w:rsid w:val="7F17138E"/>
    <w:rsid w:val="7F242C23"/>
    <w:rsid w:val="7F363046"/>
    <w:rsid w:val="7F3843DF"/>
    <w:rsid w:val="7F4E72EA"/>
    <w:rsid w:val="7F536FF5"/>
    <w:rsid w:val="7F7C4936"/>
    <w:rsid w:val="7F80640E"/>
    <w:rsid w:val="7FB9221D"/>
    <w:rsid w:val="7FC3060F"/>
    <w:rsid w:val="7FC900ED"/>
    <w:rsid w:val="7FE874E8"/>
    <w:rsid w:val="7FEC266B"/>
    <w:rsid w:val="7FF847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basedOn w:val="1"/>
    <w:unhideWhenUsed/>
    <w:qFormat/>
    <w:uiPriority w:val="0"/>
    <w:pPr>
      <w:ind w:firstLine="420" w:firstLineChars="200"/>
    </w:pPr>
  </w:style>
  <w:style w:type="paragraph" w:styleId="4">
    <w:name w:val="annotation text"/>
    <w:basedOn w:val="1"/>
    <w:unhideWhenUsed/>
    <w:qFormat/>
    <w:uiPriority w:val="99"/>
    <w:pPr>
      <w:jc w:val="left"/>
    </w:pPr>
  </w:style>
  <w:style w:type="paragraph" w:styleId="5">
    <w:name w:val="Body Text"/>
    <w:basedOn w:val="1"/>
    <w:qFormat/>
    <w:uiPriority w:val="0"/>
    <w:rPr>
      <w:sz w:val="24"/>
      <w:szCs w:val="24"/>
    </w:rPr>
  </w:style>
  <w:style w:type="paragraph" w:styleId="6">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0">
    <w:name w:val="样式 正文缩进 + 首行缩进:  2.56 字符 段前: 0.6 行 段后: 0.6 行"/>
    <w:basedOn w:val="3"/>
    <w:qFormat/>
    <w:uiPriority w:val="0"/>
    <w:pPr>
      <w:adjustRightInd w:val="0"/>
      <w:spacing w:beforeLines="60" w:afterLines="60" w:line="300" w:lineRule="auto"/>
      <w:ind w:firstLine="0" w:firstLineChars="0"/>
      <w:textAlignment w:val="baseline"/>
    </w:pPr>
    <w:rPr>
      <w:rFonts w:ascii="微软简仿宋" w:hAnsi="宋体" w:eastAsia="楷体_GB2312" w:cs="宋体"/>
      <w:snapToGrid w:val="0"/>
      <w:sz w:val="20"/>
      <w:szCs w:val="20"/>
      <w:lang w:val="zh-CN"/>
    </w:rPr>
  </w:style>
  <w:style w:type="paragraph" w:customStyle="1" w:styleId="11">
    <w:name w:val="正文-公1"/>
    <w:basedOn w:val="1"/>
    <w:qFormat/>
    <w:uiPriority w:val="99"/>
    <w:pPr>
      <w:ind w:firstLine="200" w:firstLineChars="200"/>
    </w:pPr>
    <w:rPr>
      <w:color w:val="000000"/>
    </w:rPr>
  </w:style>
  <w:style w:type="paragraph" w:customStyle="1" w:styleId="12">
    <w:name w:val="6-正文无缩进（重银）"/>
    <w:basedOn w:val="1"/>
    <w:qFormat/>
    <w:uiPriority w:val="0"/>
    <w:rPr>
      <w:rFonts w:hAnsi="方正仿宋简体"/>
      <w:szCs w:val="32"/>
    </w:rPr>
  </w:style>
  <w:style w:type="character" w:customStyle="1" w:styleId="13">
    <w:name w:val="font11"/>
    <w:basedOn w:val="9"/>
    <w:qFormat/>
    <w:uiPriority w:val="0"/>
    <w:rPr>
      <w:rFonts w:hint="default" w:ascii="Arial Regular" w:hAnsi="Arial Regular" w:eastAsia="Arial Regular" w:cs="Arial Regular"/>
      <w:color w:val="000000"/>
      <w:sz w:val="20"/>
      <w:szCs w:val="20"/>
      <w:u w:val="none"/>
    </w:rPr>
  </w:style>
  <w:style w:type="character" w:customStyle="1" w:styleId="14">
    <w:name w:val="font41"/>
    <w:basedOn w:val="9"/>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7862</Words>
  <Characters>10739</Characters>
  <Lines>0</Lines>
  <Paragraphs>0</Paragraphs>
  <TotalTime>10</TotalTime>
  <ScaleCrop>false</ScaleCrop>
  <LinksUpToDate>false</LinksUpToDate>
  <CharactersWithSpaces>10797</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2026-05-11T11:55:00Z</dcterms:created>
  <dc:creator>cqcb</dc:creator>
  <cp:lastModifiedBy>CQCB</cp:lastModifiedBy>
  <cp:lastPrinted>2026-10-21T09:06:00Z</cp:lastPrinted>
  <dcterms:modified xsi:type="dcterms:W3CDTF">2026-10-21T09:25:56Z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D3CF7D68DDB64DEE865C377FAA4DFD13</vt:lpwstr>
  </property>
  <property fmtid="{D5CDD505-2E9C-101B-9397-08002B2CF9AE}" pid="4" name="KSOTemplateDocerSaveRecord">
    <vt:lpwstr>eyJoZGlkIjoiMTE3MzJhYzIxZDVkNjhhZjI4OGY4MTVkYjJkMzE1NDciLCJ1c2VySWQiOiI2MjYyODc4ODMifQ==</vt:lpwstr>
  </property>
</Properties>
</file>